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drawings/drawing6.xml" ContentType="application/vnd.openxmlformats-officedocument.drawingml.chartshapes+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5.xml" ContentType="application/vnd.openxmlformats-officedocument.themeOverride+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drawings/drawing5.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80737A">
        <w:rPr>
          <w:rFonts w:ascii="Times New Roman" w:hAnsi="Times New Roman"/>
          <w:b/>
          <w:bCs/>
          <w:sz w:val="28"/>
          <w:szCs w:val="28"/>
        </w:rPr>
        <w:t>МИНИСТЕРСТВО ЭКОНОМИЧЕСКОГО РАЗВИТИЯ</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bCs/>
          <w:sz w:val="28"/>
          <w:szCs w:val="28"/>
        </w:rPr>
        <w:t>ПРИДНЕСТРОВСКОЙ МОЛДАВСКОЙ РЕСПУБЛИКИ</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80737A">
        <w:rPr>
          <w:rFonts w:ascii="Times New Roman" w:hAnsi="Times New Roman"/>
          <w:b/>
          <w:bCs/>
          <w:sz w:val="44"/>
          <w:szCs w:val="44"/>
        </w:rPr>
        <w:t>ДОКЛАД</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«О социально-экономическом развитии</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Приднестровской Молдавской Республики в январе–июне 201</w:t>
      </w:r>
      <w:r w:rsidR="000F6312">
        <w:rPr>
          <w:rFonts w:ascii="Times New Roman" w:hAnsi="Times New Roman"/>
          <w:b/>
          <w:bCs/>
          <w:sz w:val="48"/>
          <w:szCs w:val="48"/>
        </w:rPr>
        <w:t>7</w:t>
      </w:r>
      <w:r w:rsidRPr="0080737A">
        <w:rPr>
          <w:rFonts w:ascii="Times New Roman" w:hAnsi="Times New Roman"/>
          <w:b/>
          <w:bCs/>
          <w:sz w:val="48"/>
          <w:szCs w:val="48"/>
        </w:rPr>
        <w:t xml:space="preserve"> года»</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г. Тирасполь</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201</w:t>
      </w:r>
      <w:r w:rsidR="000F6312">
        <w:rPr>
          <w:rFonts w:ascii="Times New Roman" w:hAnsi="Times New Roman"/>
          <w:b/>
          <w:sz w:val="28"/>
          <w:szCs w:val="28"/>
        </w:rPr>
        <w:t>7</w:t>
      </w:r>
      <w:r w:rsidRPr="0080737A">
        <w:rPr>
          <w:rFonts w:ascii="Times New Roman" w:hAnsi="Times New Roman"/>
          <w:b/>
          <w:sz w:val="28"/>
          <w:szCs w:val="28"/>
        </w:rPr>
        <w:t xml:space="preserve"> год</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r w:rsidRPr="0080737A">
        <w:rPr>
          <w:rFonts w:ascii="Times New Roman" w:hAnsi="Times New Roman"/>
          <w:b/>
          <w:sz w:val="24"/>
          <w:szCs w:val="24"/>
        </w:rPr>
        <w:lastRenderedPageBreak/>
        <w:t>Содержание</w:t>
      </w:r>
    </w:p>
    <w:p w:rsidR="00335844" w:rsidRPr="0080737A" w:rsidRDefault="00335844" w:rsidP="00335844">
      <w:pPr>
        <w:spacing w:after="0" w:line="240" w:lineRule="auto"/>
        <w:ind w:firstLine="851"/>
        <w:jc w:val="both"/>
        <w:rPr>
          <w:rFonts w:ascii="Times New Roman" w:hAnsi="Times New Roman"/>
          <w:b/>
          <w:sz w:val="24"/>
          <w:szCs w:val="24"/>
        </w:rPr>
      </w:pPr>
    </w:p>
    <w:p w:rsidR="00335844" w:rsidRPr="0080737A" w:rsidRDefault="00335844" w:rsidP="00335844">
      <w:pPr>
        <w:spacing w:after="0" w:line="240" w:lineRule="auto"/>
        <w:ind w:firstLine="851"/>
        <w:jc w:val="both"/>
        <w:rPr>
          <w:rFonts w:ascii="Times New Roman" w:hAnsi="Times New Roman"/>
          <w:b/>
          <w:sz w:val="24"/>
          <w:szCs w:val="24"/>
        </w:rPr>
      </w:pPr>
    </w:p>
    <w:tbl>
      <w:tblPr>
        <w:tblW w:w="9434" w:type="dxa"/>
        <w:tblLook w:val="01E0"/>
      </w:tblPr>
      <w:tblGrid>
        <w:gridCol w:w="8798"/>
        <w:gridCol w:w="636"/>
      </w:tblGrid>
      <w:tr w:rsidR="003D29EE" w:rsidRPr="0080737A" w:rsidTr="004A34E5">
        <w:tc>
          <w:tcPr>
            <w:tcW w:w="8798" w:type="dxa"/>
          </w:tcPr>
          <w:p w:rsidR="003D29EE" w:rsidRDefault="003D29EE" w:rsidP="003D29EE">
            <w:pPr>
              <w:spacing w:after="0" w:line="240" w:lineRule="auto"/>
              <w:jc w:val="both"/>
              <w:rPr>
                <w:rFonts w:ascii="Times New Roman" w:hAnsi="Times New Roman"/>
                <w:b/>
                <w:sz w:val="24"/>
                <w:szCs w:val="24"/>
              </w:rPr>
            </w:pPr>
            <w:r w:rsidRPr="0080737A">
              <w:rPr>
                <w:rFonts w:ascii="Times New Roman" w:hAnsi="Times New Roman"/>
                <w:b/>
                <w:sz w:val="24"/>
                <w:szCs w:val="24"/>
              </w:rPr>
              <w:t xml:space="preserve">Основные тенденции развития экономики Приднестровской </w:t>
            </w:r>
          </w:p>
          <w:p w:rsidR="003D29EE" w:rsidRPr="0080737A" w:rsidRDefault="003D29EE" w:rsidP="003D29EE">
            <w:pPr>
              <w:spacing w:after="0" w:line="240" w:lineRule="auto"/>
              <w:jc w:val="both"/>
              <w:rPr>
                <w:rFonts w:ascii="Times New Roman" w:hAnsi="Times New Roman"/>
                <w:sz w:val="24"/>
                <w:szCs w:val="24"/>
              </w:rPr>
            </w:pPr>
            <w:r w:rsidRPr="0080737A">
              <w:rPr>
                <w:rFonts w:ascii="Times New Roman" w:hAnsi="Times New Roman"/>
                <w:b/>
                <w:sz w:val="24"/>
                <w:szCs w:val="24"/>
              </w:rPr>
              <w:t>Молдавской Республики в январе-июне 201</w:t>
            </w:r>
            <w:r>
              <w:rPr>
                <w:rFonts w:ascii="Times New Roman" w:hAnsi="Times New Roman"/>
                <w:b/>
                <w:sz w:val="24"/>
                <w:szCs w:val="24"/>
              </w:rPr>
              <w:t>7</w:t>
            </w:r>
            <w:r w:rsidRPr="0080737A">
              <w:rPr>
                <w:rFonts w:ascii="Times New Roman" w:hAnsi="Times New Roman"/>
                <w:b/>
                <w:sz w:val="24"/>
                <w:szCs w:val="24"/>
              </w:rPr>
              <w:t xml:space="preserve"> года</w:t>
            </w:r>
            <w:r w:rsidR="004A34E5">
              <w:rPr>
                <w:rFonts w:ascii="Times New Roman" w:hAnsi="Times New Roman"/>
                <w:b/>
                <w:sz w:val="24"/>
                <w:szCs w:val="24"/>
              </w:rPr>
              <w:t>…………………..</w:t>
            </w:r>
          </w:p>
        </w:tc>
        <w:tc>
          <w:tcPr>
            <w:tcW w:w="636" w:type="dxa"/>
            <w:vAlign w:val="bottom"/>
          </w:tcPr>
          <w:p w:rsidR="003D29EE" w:rsidRPr="004A34E5" w:rsidRDefault="003D29EE" w:rsidP="004A34E5">
            <w:pPr>
              <w:spacing w:before="100" w:beforeAutospacing="1" w:after="100" w:afterAutospacing="1" w:line="240" w:lineRule="auto"/>
              <w:rPr>
                <w:rFonts w:ascii="Times New Roman" w:hAnsi="Times New Roman"/>
                <w:b/>
                <w:sz w:val="24"/>
                <w:szCs w:val="24"/>
              </w:rPr>
            </w:pPr>
            <w:r w:rsidRPr="004A34E5">
              <w:rPr>
                <w:rFonts w:ascii="Times New Roman" w:hAnsi="Times New Roman"/>
                <w:b/>
                <w:sz w:val="24"/>
                <w:szCs w:val="24"/>
              </w:rPr>
              <w:t>3</w:t>
            </w:r>
          </w:p>
        </w:tc>
      </w:tr>
      <w:tr w:rsidR="00805A58" w:rsidRPr="0080737A" w:rsidTr="00805A58">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Объем и структура ВВП……………………………………………………</w:t>
            </w:r>
          </w:p>
        </w:tc>
        <w:tc>
          <w:tcPr>
            <w:tcW w:w="636" w:type="dxa"/>
          </w:tcPr>
          <w:p w:rsidR="00805A58" w:rsidRPr="0080737A" w:rsidRDefault="00805A58" w:rsidP="005C2655">
            <w:pPr>
              <w:spacing w:before="100" w:beforeAutospacing="1" w:after="100" w:afterAutospacing="1" w:line="240" w:lineRule="auto"/>
              <w:rPr>
                <w:rFonts w:ascii="Times New Roman" w:hAnsi="Times New Roman"/>
                <w:sz w:val="24"/>
                <w:szCs w:val="24"/>
              </w:rPr>
            </w:pPr>
            <w:r w:rsidRPr="0080737A">
              <w:rPr>
                <w:rFonts w:ascii="Times New Roman" w:hAnsi="Times New Roman"/>
                <w:sz w:val="24"/>
                <w:szCs w:val="24"/>
              </w:rPr>
              <w:t>3</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r w:rsidRPr="0080737A">
              <w:rPr>
                <w:rFonts w:ascii="Times New Roman" w:hAnsi="Times New Roman"/>
                <w:b/>
                <w:sz w:val="24"/>
                <w:szCs w:val="24"/>
              </w:rPr>
              <w:t>Состояние реального сектора экономики……………………………...</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7</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Промышленность……………………………………………………………</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7</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Агропромышленный комплекс…………………………………………….</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10</w:t>
            </w:r>
          </w:p>
        </w:tc>
      </w:tr>
      <w:tr w:rsidR="00805A58" w:rsidRPr="0080737A" w:rsidTr="003F67B2">
        <w:tc>
          <w:tcPr>
            <w:tcW w:w="8798" w:type="dxa"/>
          </w:tcPr>
          <w:p w:rsidR="00805A58" w:rsidRPr="0080737A" w:rsidRDefault="00805A58"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Транспорт…………………………………………………………………….</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15</w:t>
            </w:r>
          </w:p>
        </w:tc>
      </w:tr>
      <w:tr w:rsidR="00805A58" w:rsidRPr="0080737A" w:rsidTr="003F67B2">
        <w:tc>
          <w:tcPr>
            <w:tcW w:w="8798" w:type="dxa"/>
          </w:tcPr>
          <w:p w:rsidR="00805A58" w:rsidRPr="0080737A" w:rsidRDefault="00805A58"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Связь…………………………………………………………………………</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1</w:t>
            </w:r>
            <w:r w:rsidR="00805A58" w:rsidRPr="0080737A">
              <w:rPr>
                <w:rFonts w:ascii="Times New Roman" w:hAnsi="Times New Roman"/>
                <w:sz w:val="24"/>
                <w:szCs w:val="24"/>
              </w:rPr>
              <w:t>7</w:t>
            </w:r>
          </w:p>
        </w:tc>
      </w:tr>
      <w:tr w:rsidR="004A34E5" w:rsidRPr="0080737A" w:rsidTr="003F67B2">
        <w:tc>
          <w:tcPr>
            <w:tcW w:w="8798" w:type="dxa"/>
          </w:tcPr>
          <w:p w:rsidR="004A34E5" w:rsidRPr="0080737A" w:rsidRDefault="004A34E5"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Внешнеэкономическая деятельность……………………………………...</w:t>
            </w:r>
          </w:p>
        </w:tc>
        <w:tc>
          <w:tcPr>
            <w:tcW w:w="636" w:type="dxa"/>
          </w:tcPr>
          <w:p w:rsidR="004A34E5"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20</w:t>
            </w:r>
          </w:p>
        </w:tc>
      </w:tr>
      <w:tr w:rsidR="004A34E5" w:rsidRPr="0080737A" w:rsidTr="003F67B2">
        <w:tc>
          <w:tcPr>
            <w:tcW w:w="8798" w:type="dxa"/>
          </w:tcPr>
          <w:p w:rsidR="004A34E5" w:rsidRPr="004A34E5" w:rsidRDefault="004A34E5"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Инвестиционная деятельность……………………………………………..</w:t>
            </w:r>
          </w:p>
        </w:tc>
        <w:tc>
          <w:tcPr>
            <w:tcW w:w="636" w:type="dxa"/>
          </w:tcPr>
          <w:p w:rsidR="004A34E5" w:rsidRPr="0080737A" w:rsidRDefault="00090A9B"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24</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Малое предпринимательство………………………………………………</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27</w:t>
            </w:r>
          </w:p>
        </w:tc>
      </w:tr>
      <w:tr w:rsidR="004A34E5" w:rsidRPr="00090A9B" w:rsidTr="006A3EF7">
        <w:tc>
          <w:tcPr>
            <w:tcW w:w="8798" w:type="dxa"/>
          </w:tcPr>
          <w:p w:rsidR="004A34E5" w:rsidRPr="004A34E5" w:rsidRDefault="004A34E5" w:rsidP="006A3EF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Потребительский рынок……………………………………………………</w:t>
            </w:r>
          </w:p>
        </w:tc>
        <w:tc>
          <w:tcPr>
            <w:tcW w:w="636" w:type="dxa"/>
          </w:tcPr>
          <w:p w:rsidR="004A34E5" w:rsidRPr="00090A9B" w:rsidRDefault="00090A9B" w:rsidP="006A3EF7">
            <w:pPr>
              <w:spacing w:before="100" w:beforeAutospacing="1" w:after="0" w:afterAutospacing="1" w:line="240" w:lineRule="auto"/>
              <w:jc w:val="both"/>
              <w:rPr>
                <w:rFonts w:ascii="Times New Roman" w:hAnsi="Times New Roman"/>
                <w:sz w:val="24"/>
                <w:szCs w:val="24"/>
              </w:rPr>
            </w:pPr>
            <w:r w:rsidRPr="00090A9B">
              <w:rPr>
                <w:rFonts w:ascii="Times New Roman" w:hAnsi="Times New Roman"/>
                <w:sz w:val="24"/>
                <w:szCs w:val="24"/>
              </w:rPr>
              <w:t>32</w:t>
            </w:r>
          </w:p>
        </w:tc>
      </w:tr>
      <w:tr w:rsidR="004A34E5" w:rsidRPr="00090A9B" w:rsidTr="006A3EF7">
        <w:tc>
          <w:tcPr>
            <w:tcW w:w="8798" w:type="dxa"/>
          </w:tcPr>
          <w:p w:rsidR="004A34E5" w:rsidRPr="004A34E5" w:rsidRDefault="004A34E5" w:rsidP="006A3EF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Ценовая и тарифная политика……………………………………………...</w:t>
            </w:r>
          </w:p>
        </w:tc>
        <w:tc>
          <w:tcPr>
            <w:tcW w:w="636" w:type="dxa"/>
          </w:tcPr>
          <w:p w:rsidR="004A34E5" w:rsidRPr="00090A9B" w:rsidRDefault="00090A9B" w:rsidP="006A3EF7">
            <w:pPr>
              <w:spacing w:before="100" w:beforeAutospacing="1" w:after="0" w:afterAutospacing="1" w:line="240" w:lineRule="auto"/>
              <w:jc w:val="both"/>
              <w:rPr>
                <w:rFonts w:ascii="Times New Roman" w:hAnsi="Times New Roman"/>
                <w:sz w:val="24"/>
                <w:szCs w:val="24"/>
              </w:rPr>
            </w:pPr>
            <w:r w:rsidRPr="00090A9B">
              <w:rPr>
                <w:rFonts w:ascii="Times New Roman" w:hAnsi="Times New Roman"/>
                <w:sz w:val="24"/>
                <w:szCs w:val="24"/>
              </w:rPr>
              <w:t>34</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b/>
                <w:sz w:val="24"/>
                <w:szCs w:val="24"/>
              </w:rPr>
            </w:pPr>
            <w:r w:rsidRPr="004A34E5">
              <w:rPr>
                <w:rFonts w:ascii="Times New Roman" w:hAnsi="Times New Roman"/>
                <w:b/>
                <w:sz w:val="24"/>
                <w:szCs w:val="24"/>
              </w:rPr>
              <w:t>Состояние социальной сферы……………………………………………</w:t>
            </w:r>
          </w:p>
        </w:tc>
        <w:tc>
          <w:tcPr>
            <w:tcW w:w="636" w:type="dxa"/>
          </w:tcPr>
          <w:p w:rsidR="00805A58" w:rsidRPr="0080737A" w:rsidRDefault="00090A9B" w:rsidP="005C2655">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41</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Уровень жизни населения………………………………………………….</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41</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Рынок труда и сфера занятости…………………………………………….</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46</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A22BDD" w:rsidRPr="0080737A" w:rsidTr="006A3EF7">
        <w:tc>
          <w:tcPr>
            <w:tcW w:w="8798" w:type="dxa"/>
          </w:tcPr>
          <w:p w:rsidR="00A22BDD" w:rsidRPr="00A22BDD" w:rsidRDefault="00A22BDD" w:rsidP="006A3EF7">
            <w:pPr>
              <w:widowControl w:val="0"/>
              <w:autoSpaceDE w:val="0"/>
              <w:autoSpaceDN w:val="0"/>
              <w:adjustRightInd w:val="0"/>
              <w:spacing w:before="100" w:beforeAutospacing="1" w:after="0" w:afterAutospacing="1" w:line="240" w:lineRule="auto"/>
              <w:jc w:val="both"/>
              <w:rPr>
                <w:rFonts w:ascii="Times New Roman" w:hAnsi="Times New Roman"/>
                <w:b/>
                <w:sz w:val="24"/>
                <w:szCs w:val="24"/>
              </w:rPr>
            </w:pPr>
            <w:r w:rsidRPr="00A22BDD">
              <w:rPr>
                <w:rFonts w:ascii="Times New Roman" w:hAnsi="Times New Roman"/>
                <w:b/>
                <w:sz w:val="24"/>
                <w:szCs w:val="24"/>
              </w:rPr>
              <w:t>Финансы</w:t>
            </w:r>
            <w:r w:rsidR="00875D3B">
              <w:rPr>
                <w:rFonts w:ascii="Times New Roman" w:hAnsi="Times New Roman"/>
                <w:b/>
                <w:sz w:val="24"/>
                <w:szCs w:val="24"/>
              </w:rPr>
              <w:t>……………………………………………………………………...</w:t>
            </w:r>
          </w:p>
        </w:tc>
        <w:tc>
          <w:tcPr>
            <w:tcW w:w="636" w:type="dxa"/>
          </w:tcPr>
          <w:p w:rsidR="00A22BDD" w:rsidRPr="00090A9B" w:rsidRDefault="00090A9B" w:rsidP="006A3EF7">
            <w:pPr>
              <w:spacing w:before="100" w:beforeAutospacing="1" w:after="0" w:afterAutospacing="1" w:line="240" w:lineRule="auto"/>
              <w:rPr>
                <w:rFonts w:ascii="Times New Roman" w:hAnsi="Times New Roman"/>
                <w:b/>
                <w:sz w:val="24"/>
                <w:szCs w:val="24"/>
              </w:rPr>
            </w:pPr>
            <w:r w:rsidRPr="00090A9B">
              <w:rPr>
                <w:rFonts w:ascii="Times New Roman" w:hAnsi="Times New Roman"/>
                <w:b/>
                <w:sz w:val="24"/>
                <w:szCs w:val="24"/>
              </w:rPr>
              <w:t>49</w:t>
            </w:r>
          </w:p>
        </w:tc>
      </w:tr>
      <w:tr w:rsidR="004A34E5" w:rsidRPr="0080737A" w:rsidTr="006A3EF7">
        <w:tc>
          <w:tcPr>
            <w:tcW w:w="8798" w:type="dxa"/>
          </w:tcPr>
          <w:p w:rsidR="004A34E5" w:rsidRPr="004A34E5" w:rsidRDefault="004A34E5" w:rsidP="006A3EF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Исполнение Консолидированного бюджета……………………………</w:t>
            </w:r>
            <w:r w:rsidR="00875D3B">
              <w:rPr>
                <w:rFonts w:ascii="Times New Roman" w:hAnsi="Times New Roman"/>
                <w:sz w:val="24"/>
                <w:szCs w:val="24"/>
              </w:rPr>
              <w:t>…</w:t>
            </w:r>
            <w:r w:rsidRPr="004A34E5">
              <w:rPr>
                <w:rFonts w:ascii="Times New Roman" w:hAnsi="Times New Roman"/>
                <w:sz w:val="24"/>
                <w:szCs w:val="24"/>
              </w:rPr>
              <w:t>.</w:t>
            </w:r>
          </w:p>
        </w:tc>
        <w:tc>
          <w:tcPr>
            <w:tcW w:w="636" w:type="dxa"/>
          </w:tcPr>
          <w:p w:rsidR="004A34E5" w:rsidRPr="0080737A" w:rsidRDefault="00090A9B" w:rsidP="006A3EF7">
            <w:pPr>
              <w:spacing w:before="100" w:beforeAutospacing="1" w:after="0" w:afterAutospacing="1" w:line="240" w:lineRule="auto"/>
              <w:rPr>
                <w:rFonts w:ascii="Times New Roman" w:hAnsi="Times New Roman"/>
                <w:sz w:val="24"/>
                <w:szCs w:val="24"/>
              </w:rPr>
            </w:pPr>
            <w:r>
              <w:rPr>
                <w:rFonts w:ascii="Times New Roman" w:hAnsi="Times New Roman"/>
                <w:sz w:val="24"/>
                <w:szCs w:val="24"/>
              </w:rPr>
              <w:t>49</w:t>
            </w:r>
          </w:p>
        </w:tc>
      </w:tr>
      <w:tr w:rsidR="004A34E5" w:rsidRPr="0080737A" w:rsidTr="006A3EF7">
        <w:tc>
          <w:tcPr>
            <w:tcW w:w="8798" w:type="dxa"/>
          </w:tcPr>
          <w:p w:rsidR="004A34E5" w:rsidRPr="004A34E5" w:rsidRDefault="004A34E5" w:rsidP="006A3EF7">
            <w:pPr>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Денежно-кредитная политика……………………………………………</w:t>
            </w:r>
            <w:r w:rsidR="00875D3B">
              <w:rPr>
                <w:rFonts w:ascii="Times New Roman" w:hAnsi="Times New Roman"/>
                <w:sz w:val="24"/>
                <w:szCs w:val="24"/>
              </w:rPr>
              <w:t>….</w:t>
            </w:r>
          </w:p>
        </w:tc>
        <w:tc>
          <w:tcPr>
            <w:tcW w:w="636" w:type="dxa"/>
          </w:tcPr>
          <w:p w:rsidR="004A34E5" w:rsidRPr="0080737A" w:rsidRDefault="00090A9B" w:rsidP="006A3EF7">
            <w:pPr>
              <w:spacing w:before="100" w:beforeAutospacing="1" w:after="0" w:afterAutospacing="1" w:line="240" w:lineRule="auto"/>
              <w:rPr>
                <w:rFonts w:ascii="Times New Roman" w:hAnsi="Times New Roman"/>
                <w:sz w:val="24"/>
                <w:szCs w:val="24"/>
              </w:rPr>
            </w:pPr>
            <w:r>
              <w:rPr>
                <w:rFonts w:ascii="Times New Roman" w:hAnsi="Times New Roman"/>
                <w:sz w:val="24"/>
                <w:szCs w:val="24"/>
              </w:rPr>
              <w:t>54</w:t>
            </w:r>
          </w:p>
        </w:tc>
      </w:tr>
      <w:tr w:rsidR="004A34E5" w:rsidRPr="0080737A" w:rsidTr="003F67B2">
        <w:tc>
          <w:tcPr>
            <w:tcW w:w="8798" w:type="dxa"/>
          </w:tcPr>
          <w:p w:rsidR="004A34E5" w:rsidRPr="004A34E5" w:rsidRDefault="004A34E5" w:rsidP="003F67B2">
            <w:pPr>
              <w:spacing w:before="100" w:beforeAutospacing="1" w:after="0" w:afterAutospacing="1" w:line="240" w:lineRule="auto"/>
              <w:jc w:val="both"/>
              <w:rPr>
                <w:rFonts w:ascii="Times New Roman" w:hAnsi="Times New Roman"/>
                <w:b/>
                <w:sz w:val="24"/>
                <w:szCs w:val="24"/>
              </w:rPr>
            </w:pPr>
          </w:p>
        </w:tc>
        <w:tc>
          <w:tcPr>
            <w:tcW w:w="636" w:type="dxa"/>
          </w:tcPr>
          <w:p w:rsidR="004A34E5" w:rsidRPr="0080737A" w:rsidRDefault="004A34E5" w:rsidP="003F67B2">
            <w:pPr>
              <w:spacing w:before="100" w:beforeAutospacing="1" w:after="0" w:afterAutospacing="1" w:line="240" w:lineRule="auto"/>
              <w:jc w:val="both"/>
              <w:rPr>
                <w:rFonts w:ascii="Times New Roman" w:hAnsi="Times New Roman"/>
                <w:b/>
                <w:sz w:val="24"/>
                <w:szCs w:val="24"/>
              </w:rPr>
            </w:pPr>
          </w:p>
        </w:tc>
      </w:tr>
      <w:tr w:rsidR="004A34E5" w:rsidRPr="0080737A" w:rsidTr="003F67B2">
        <w:tc>
          <w:tcPr>
            <w:tcW w:w="8798" w:type="dxa"/>
          </w:tcPr>
          <w:p w:rsidR="004A34E5" w:rsidRPr="004A34E5" w:rsidRDefault="004A34E5" w:rsidP="003F67B2">
            <w:pPr>
              <w:spacing w:before="100" w:beforeAutospacing="1" w:after="0" w:afterAutospacing="1" w:line="240" w:lineRule="auto"/>
              <w:jc w:val="both"/>
              <w:rPr>
                <w:rFonts w:ascii="Times New Roman" w:hAnsi="Times New Roman"/>
                <w:b/>
                <w:sz w:val="24"/>
                <w:szCs w:val="24"/>
              </w:rPr>
            </w:pPr>
            <w:r w:rsidRPr="004A34E5">
              <w:rPr>
                <w:rFonts w:ascii="Times New Roman" w:hAnsi="Times New Roman"/>
                <w:sz w:val="24"/>
                <w:szCs w:val="24"/>
              </w:rPr>
              <w:t>Экология……………………………………………………………………..</w:t>
            </w:r>
          </w:p>
        </w:tc>
        <w:tc>
          <w:tcPr>
            <w:tcW w:w="636" w:type="dxa"/>
          </w:tcPr>
          <w:p w:rsidR="004A34E5" w:rsidRPr="0080737A" w:rsidRDefault="00090A9B" w:rsidP="003F67B2">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57</w:t>
            </w:r>
          </w:p>
        </w:tc>
      </w:tr>
      <w:tr w:rsidR="004A34E5" w:rsidRPr="0080737A" w:rsidTr="003F67B2">
        <w:tc>
          <w:tcPr>
            <w:tcW w:w="8798" w:type="dxa"/>
          </w:tcPr>
          <w:p w:rsidR="004A34E5" w:rsidRPr="0080737A" w:rsidRDefault="004A34E5" w:rsidP="003F67B2">
            <w:pPr>
              <w:spacing w:before="100" w:beforeAutospacing="1" w:after="0" w:afterAutospacing="1" w:line="240" w:lineRule="auto"/>
              <w:jc w:val="both"/>
              <w:rPr>
                <w:rFonts w:ascii="Times New Roman" w:hAnsi="Times New Roman"/>
                <w:b/>
                <w:sz w:val="24"/>
                <w:szCs w:val="24"/>
              </w:rPr>
            </w:pPr>
          </w:p>
        </w:tc>
        <w:tc>
          <w:tcPr>
            <w:tcW w:w="636" w:type="dxa"/>
          </w:tcPr>
          <w:p w:rsidR="004A34E5" w:rsidRPr="0080737A" w:rsidRDefault="004A34E5"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3F67B2">
            <w:pPr>
              <w:spacing w:after="0" w:line="240" w:lineRule="auto"/>
              <w:jc w:val="both"/>
              <w:rPr>
                <w:rFonts w:ascii="Times New Roman" w:hAnsi="Times New Roman"/>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p>
        </w:tc>
      </w:tr>
      <w:tr w:rsidR="00805A58" w:rsidRPr="0080737A" w:rsidTr="00805A58">
        <w:tc>
          <w:tcPr>
            <w:tcW w:w="8798" w:type="dxa"/>
          </w:tcPr>
          <w:p w:rsidR="00805A58" w:rsidRPr="0080737A" w:rsidRDefault="00805A58" w:rsidP="000F6312">
            <w:pPr>
              <w:spacing w:after="0" w:line="240" w:lineRule="auto"/>
              <w:rPr>
                <w:rFonts w:ascii="Times New Roman" w:hAnsi="Times New Roman"/>
                <w:sz w:val="24"/>
                <w:szCs w:val="24"/>
              </w:rPr>
            </w:pPr>
            <w:r w:rsidRPr="0080737A">
              <w:rPr>
                <w:rFonts w:ascii="Times New Roman" w:hAnsi="Times New Roman"/>
                <w:b/>
                <w:sz w:val="24"/>
                <w:szCs w:val="24"/>
              </w:rPr>
              <w:t>Приложение №1</w:t>
            </w:r>
            <w:r w:rsidR="00851087">
              <w:rPr>
                <w:rFonts w:ascii="Times New Roman" w:hAnsi="Times New Roman"/>
                <w:b/>
                <w:sz w:val="24"/>
                <w:szCs w:val="24"/>
              </w:rPr>
              <w:t xml:space="preserve"> </w:t>
            </w:r>
            <w:r w:rsidRPr="0080737A">
              <w:rPr>
                <w:rFonts w:ascii="Times New Roman" w:hAnsi="Times New Roman"/>
                <w:bCs/>
                <w:color w:val="000000"/>
                <w:sz w:val="24"/>
                <w:szCs w:val="24"/>
              </w:rPr>
              <w:t>Основные макроэкономические показатели Приднестровской Молдавской Республики за январь-июнь 201</w:t>
            </w:r>
            <w:r>
              <w:rPr>
                <w:rFonts w:ascii="Times New Roman" w:hAnsi="Times New Roman"/>
                <w:bCs/>
                <w:color w:val="000000"/>
                <w:sz w:val="24"/>
                <w:szCs w:val="24"/>
              </w:rPr>
              <w:t>7</w:t>
            </w:r>
            <w:r w:rsidRPr="0080737A">
              <w:rPr>
                <w:rFonts w:ascii="Times New Roman" w:hAnsi="Times New Roman"/>
                <w:bCs/>
                <w:color w:val="000000"/>
                <w:sz w:val="24"/>
                <w:szCs w:val="24"/>
              </w:rPr>
              <w:t xml:space="preserve"> года....................................................</w:t>
            </w:r>
          </w:p>
        </w:tc>
        <w:tc>
          <w:tcPr>
            <w:tcW w:w="636" w:type="dxa"/>
            <w:vAlign w:val="bottom"/>
          </w:tcPr>
          <w:p w:rsidR="00805A58" w:rsidRPr="0080737A" w:rsidRDefault="00090A9B" w:rsidP="005C2655">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61</w:t>
            </w:r>
          </w:p>
        </w:tc>
      </w:tr>
      <w:tr w:rsidR="00805A58" w:rsidRPr="0080737A" w:rsidTr="003F67B2">
        <w:tc>
          <w:tcPr>
            <w:tcW w:w="8798" w:type="dxa"/>
          </w:tcPr>
          <w:p w:rsidR="00805A58" w:rsidRPr="0080737A" w:rsidRDefault="00805A58" w:rsidP="003910AF">
            <w:pPr>
              <w:spacing w:after="0" w:line="240" w:lineRule="auto"/>
              <w:jc w:val="both"/>
              <w:rPr>
                <w:rFonts w:ascii="Times New Roman" w:hAnsi="Times New Roman"/>
                <w:sz w:val="24"/>
                <w:szCs w:val="24"/>
              </w:rPr>
            </w:pPr>
            <w:r w:rsidRPr="0080737A">
              <w:rPr>
                <w:rFonts w:ascii="Times New Roman" w:hAnsi="Times New Roman"/>
                <w:b/>
                <w:sz w:val="24"/>
                <w:szCs w:val="24"/>
              </w:rPr>
              <w:t xml:space="preserve">Приложение №2 </w:t>
            </w:r>
            <w:r w:rsidRPr="0080737A">
              <w:rPr>
                <w:rFonts w:ascii="Times New Roman" w:hAnsi="Times New Roman"/>
                <w:sz w:val="24"/>
                <w:szCs w:val="24"/>
              </w:rPr>
              <w:t xml:space="preserve">Динамика и структура промышленного производства и реализации продукции по отраслям промышленности </w:t>
            </w:r>
            <w:r w:rsidR="003910AF">
              <w:rPr>
                <w:rFonts w:ascii="Times New Roman" w:hAnsi="Times New Roman"/>
                <w:sz w:val="24"/>
                <w:szCs w:val="24"/>
              </w:rPr>
              <w:t>за</w:t>
            </w:r>
            <w:r w:rsidRPr="0080737A">
              <w:rPr>
                <w:rFonts w:ascii="Times New Roman" w:hAnsi="Times New Roman"/>
                <w:sz w:val="24"/>
                <w:szCs w:val="24"/>
              </w:rPr>
              <w:t xml:space="preserve"> январ</w:t>
            </w:r>
            <w:r w:rsidR="003910AF">
              <w:rPr>
                <w:rFonts w:ascii="Times New Roman" w:hAnsi="Times New Roman"/>
                <w:sz w:val="24"/>
                <w:szCs w:val="24"/>
              </w:rPr>
              <w:t>ь</w:t>
            </w:r>
            <w:r w:rsidRPr="0080737A">
              <w:rPr>
                <w:rFonts w:ascii="Times New Roman" w:hAnsi="Times New Roman"/>
                <w:sz w:val="24"/>
                <w:szCs w:val="24"/>
              </w:rPr>
              <w:t>-июн</w:t>
            </w:r>
            <w:r w:rsidR="003910AF">
              <w:rPr>
                <w:rFonts w:ascii="Times New Roman" w:hAnsi="Times New Roman"/>
                <w:sz w:val="24"/>
                <w:szCs w:val="24"/>
              </w:rPr>
              <w:t>ь</w:t>
            </w:r>
            <w:r w:rsidRPr="0080737A">
              <w:rPr>
                <w:rFonts w:ascii="Times New Roman" w:hAnsi="Times New Roman"/>
                <w:sz w:val="24"/>
                <w:szCs w:val="24"/>
              </w:rPr>
              <w:t xml:space="preserve">                                              201</w:t>
            </w:r>
            <w:r>
              <w:rPr>
                <w:rFonts w:ascii="Times New Roman" w:hAnsi="Times New Roman"/>
                <w:sz w:val="24"/>
                <w:szCs w:val="24"/>
              </w:rPr>
              <w:t>7</w:t>
            </w:r>
            <w:r w:rsidRPr="0080737A">
              <w:rPr>
                <w:rFonts w:ascii="Times New Roman" w:hAnsi="Times New Roman"/>
                <w:sz w:val="24"/>
                <w:szCs w:val="24"/>
              </w:rPr>
              <w:t xml:space="preserve"> года………………………………………………………………………………...</w:t>
            </w:r>
          </w:p>
        </w:tc>
        <w:tc>
          <w:tcPr>
            <w:tcW w:w="636" w:type="dxa"/>
            <w:vAlign w:val="bottom"/>
          </w:tcPr>
          <w:p w:rsidR="00805A58" w:rsidRPr="0080737A" w:rsidRDefault="00090A9B" w:rsidP="005C2655">
            <w:pPr>
              <w:spacing w:before="100" w:beforeAutospacing="1" w:after="0" w:afterAutospacing="1" w:line="240" w:lineRule="auto"/>
              <w:rPr>
                <w:rFonts w:ascii="Times New Roman" w:hAnsi="Times New Roman"/>
                <w:sz w:val="24"/>
                <w:szCs w:val="24"/>
              </w:rPr>
            </w:pPr>
            <w:r>
              <w:rPr>
                <w:rFonts w:ascii="Times New Roman" w:hAnsi="Times New Roman"/>
                <w:sz w:val="24"/>
                <w:szCs w:val="24"/>
              </w:rPr>
              <w:t>63</w:t>
            </w:r>
          </w:p>
        </w:tc>
      </w:tr>
      <w:tr w:rsidR="00805A58" w:rsidRPr="0080737A" w:rsidTr="003F67B2">
        <w:tc>
          <w:tcPr>
            <w:tcW w:w="8798" w:type="dxa"/>
          </w:tcPr>
          <w:p w:rsidR="00805A58" w:rsidRPr="0080737A" w:rsidRDefault="00805A58" w:rsidP="000F6312">
            <w:pPr>
              <w:spacing w:after="0" w:line="240" w:lineRule="auto"/>
              <w:rPr>
                <w:rFonts w:ascii="Times New Roman" w:hAnsi="Times New Roman"/>
                <w:sz w:val="24"/>
                <w:szCs w:val="24"/>
              </w:rPr>
            </w:pPr>
            <w:r w:rsidRPr="0080737A">
              <w:rPr>
                <w:rFonts w:ascii="Times New Roman" w:hAnsi="Times New Roman"/>
                <w:b/>
                <w:sz w:val="24"/>
                <w:szCs w:val="24"/>
              </w:rPr>
              <w:t>Приложение №3</w:t>
            </w:r>
            <w:r w:rsidRPr="0080737A">
              <w:rPr>
                <w:rFonts w:ascii="Times New Roman" w:hAnsi="Times New Roman"/>
                <w:sz w:val="24"/>
                <w:szCs w:val="24"/>
              </w:rPr>
              <w:t xml:space="preserve"> Основные показатели развития малого предпринимательства за январь-июнь 201</w:t>
            </w:r>
            <w:r>
              <w:rPr>
                <w:rFonts w:ascii="Times New Roman" w:hAnsi="Times New Roman"/>
                <w:sz w:val="24"/>
                <w:szCs w:val="24"/>
              </w:rPr>
              <w:t>7</w:t>
            </w:r>
            <w:r w:rsidRPr="0080737A">
              <w:rPr>
                <w:rFonts w:ascii="Times New Roman" w:hAnsi="Times New Roman"/>
                <w:bCs/>
                <w:color w:val="000000"/>
                <w:sz w:val="24"/>
                <w:szCs w:val="24"/>
              </w:rPr>
              <w:t>года</w:t>
            </w:r>
            <w:r w:rsidRPr="0080737A">
              <w:rPr>
                <w:rFonts w:ascii="Times New Roman" w:hAnsi="Times New Roman"/>
                <w:sz w:val="24"/>
                <w:szCs w:val="24"/>
              </w:rPr>
              <w:t xml:space="preserve"> …………………………………………………………………</w:t>
            </w:r>
          </w:p>
        </w:tc>
        <w:tc>
          <w:tcPr>
            <w:tcW w:w="636" w:type="dxa"/>
            <w:vAlign w:val="bottom"/>
          </w:tcPr>
          <w:p w:rsidR="00805A58" w:rsidRPr="0080737A" w:rsidRDefault="00090A9B" w:rsidP="005C2655">
            <w:pPr>
              <w:spacing w:before="100" w:beforeAutospacing="1" w:after="0" w:afterAutospacing="1" w:line="240" w:lineRule="auto"/>
              <w:rPr>
                <w:rFonts w:ascii="Times New Roman" w:hAnsi="Times New Roman"/>
                <w:sz w:val="24"/>
                <w:szCs w:val="24"/>
              </w:rPr>
            </w:pPr>
            <w:r>
              <w:rPr>
                <w:rFonts w:ascii="Times New Roman" w:hAnsi="Times New Roman"/>
                <w:sz w:val="24"/>
                <w:szCs w:val="24"/>
              </w:rPr>
              <w:t>64</w:t>
            </w:r>
          </w:p>
        </w:tc>
      </w:tr>
      <w:tr w:rsidR="00805A58" w:rsidRPr="0080737A" w:rsidTr="003F67B2">
        <w:tc>
          <w:tcPr>
            <w:tcW w:w="8798" w:type="dxa"/>
          </w:tcPr>
          <w:p w:rsidR="00805A58" w:rsidRPr="0080737A" w:rsidRDefault="00805A58" w:rsidP="003F67B2">
            <w:pPr>
              <w:spacing w:after="0" w:line="240" w:lineRule="auto"/>
              <w:rPr>
                <w:rFonts w:ascii="Times New Roman" w:hAnsi="Times New Roman"/>
                <w:sz w:val="24"/>
                <w:szCs w:val="24"/>
              </w:rPr>
            </w:pPr>
          </w:p>
        </w:tc>
        <w:tc>
          <w:tcPr>
            <w:tcW w:w="636" w:type="dxa"/>
            <w:vAlign w:val="bottom"/>
          </w:tcPr>
          <w:p w:rsidR="00805A58" w:rsidRPr="0080737A" w:rsidRDefault="00805A58" w:rsidP="003F67B2">
            <w:pPr>
              <w:spacing w:before="100" w:beforeAutospacing="1" w:after="0" w:afterAutospacing="1" w:line="240" w:lineRule="auto"/>
              <w:rPr>
                <w:rFonts w:ascii="Times New Roman" w:hAnsi="Times New Roman"/>
                <w:sz w:val="24"/>
                <w:szCs w:val="24"/>
              </w:rPr>
            </w:pPr>
          </w:p>
        </w:tc>
      </w:tr>
      <w:tr w:rsidR="00805A58" w:rsidRPr="0080737A" w:rsidTr="003F67B2">
        <w:tc>
          <w:tcPr>
            <w:tcW w:w="8798" w:type="dxa"/>
          </w:tcPr>
          <w:p w:rsidR="00805A58" w:rsidRPr="0080737A" w:rsidRDefault="00805A58" w:rsidP="003F67B2">
            <w:pPr>
              <w:spacing w:after="0" w:line="240" w:lineRule="auto"/>
              <w:rPr>
                <w:rFonts w:ascii="Times New Roman" w:hAnsi="Times New Roman"/>
                <w:sz w:val="24"/>
                <w:szCs w:val="24"/>
              </w:rPr>
            </w:pPr>
          </w:p>
        </w:tc>
        <w:tc>
          <w:tcPr>
            <w:tcW w:w="636" w:type="dxa"/>
            <w:vAlign w:val="bottom"/>
          </w:tcPr>
          <w:p w:rsidR="00805A58" w:rsidRPr="0080737A" w:rsidRDefault="00805A58" w:rsidP="003F67B2">
            <w:pPr>
              <w:spacing w:before="100" w:beforeAutospacing="1" w:after="0" w:afterAutospacing="1" w:line="240" w:lineRule="auto"/>
              <w:rPr>
                <w:rFonts w:ascii="Times New Roman" w:hAnsi="Times New Roman"/>
                <w:sz w:val="24"/>
                <w:szCs w:val="24"/>
              </w:rPr>
            </w:pPr>
          </w:p>
        </w:tc>
      </w:tr>
      <w:tr w:rsidR="00805A58" w:rsidRPr="0080737A" w:rsidTr="003F67B2">
        <w:tc>
          <w:tcPr>
            <w:tcW w:w="8798" w:type="dxa"/>
          </w:tcPr>
          <w:p w:rsidR="00805A58" w:rsidRPr="0080737A" w:rsidRDefault="00805A58" w:rsidP="003F67B2">
            <w:pPr>
              <w:spacing w:after="0" w:line="240" w:lineRule="auto"/>
              <w:rPr>
                <w:rFonts w:ascii="Times New Roman" w:hAnsi="Times New Roman"/>
                <w:sz w:val="24"/>
                <w:szCs w:val="24"/>
              </w:rPr>
            </w:pPr>
          </w:p>
        </w:tc>
        <w:tc>
          <w:tcPr>
            <w:tcW w:w="636" w:type="dxa"/>
            <w:vAlign w:val="bottom"/>
          </w:tcPr>
          <w:p w:rsidR="00805A58" w:rsidRPr="0080737A" w:rsidRDefault="00805A58" w:rsidP="003F67B2">
            <w:pPr>
              <w:spacing w:before="100" w:beforeAutospacing="1" w:after="100" w:afterAutospacing="1" w:line="240" w:lineRule="auto"/>
              <w:rPr>
                <w:rFonts w:ascii="Times New Roman" w:hAnsi="Times New Roman"/>
                <w:sz w:val="24"/>
                <w:szCs w:val="24"/>
              </w:rPr>
            </w:pPr>
          </w:p>
        </w:tc>
      </w:tr>
      <w:tr w:rsidR="00805A58" w:rsidRPr="0080737A" w:rsidTr="00805A58">
        <w:tblPrEx>
          <w:tblLook w:val="00A0"/>
        </w:tblPrEx>
        <w:tc>
          <w:tcPr>
            <w:tcW w:w="8798" w:type="dxa"/>
          </w:tcPr>
          <w:p w:rsidR="00805A58" w:rsidRPr="0080737A" w:rsidRDefault="00805A58" w:rsidP="003F67B2">
            <w:pPr>
              <w:pStyle w:val="4"/>
              <w:spacing w:before="0"/>
              <w:rPr>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blPrEx>
          <w:tblLook w:val="00A0"/>
        </w:tblPrEx>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blPrEx>
          <w:tblLook w:val="00A0"/>
        </w:tblPrEx>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rPr>
          <w:trHeight w:val="87"/>
        </w:trPr>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rPr>
          <w:trHeight w:val="87"/>
        </w:trPr>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bl>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sectPr w:rsidR="00335844" w:rsidRPr="0080737A" w:rsidSect="003F67B2">
          <w:footerReference w:type="even" r:id="rId8"/>
          <w:footerReference w:type="default" r:id="rId9"/>
          <w:pgSz w:w="11906" w:h="16838" w:code="9"/>
          <w:pgMar w:top="993" w:right="851" w:bottom="1134" w:left="1701" w:header="709" w:footer="709" w:gutter="0"/>
          <w:cols w:space="708"/>
          <w:titlePg/>
          <w:docGrid w:linePitch="360"/>
        </w:sectPr>
      </w:pPr>
    </w:p>
    <w:p w:rsidR="00335844" w:rsidRPr="0080737A" w:rsidRDefault="00335844" w:rsidP="008F70F5">
      <w:pPr>
        <w:pStyle w:val="a6"/>
        <w:spacing w:after="0" w:line="240" w:lineRule="atLeast"/>
        <w:ind w:left="0" w:firstLine="709"/>
        <w:jc w:val="center"/>
        <w:rPr>
          <w:rFonts w:ascii="Times New Roman" w:hAnsi="Times New Roman"/>
          <w:b/>
          <w:sz w:val="24"/>
          <w:szCs w:val="24"/>
        </w:rPr>
      </w:pPr>
      <w:r w:rsidRPr="0080737A">
        <w:rPr>
          <w:rFonts w:ascii="Times New Roman" w:hAnsi="Times New Roman"/>
          <w:b/>
          <w:sz w:val="24"/>
          <w:szCs w:val="24"/>
        </w:rPr>
        <w:lastRenderedPageBreak/>
        <w:t>Основные тенденции развития экономики Приднестровской Молдавской Республики в январе-июне 201</w:t>
      </w:r>
      <w:r w:rsidR="003D29EE">
        <w:rPr>
          <w:rFonts w:ascii="Times New Roman" w:hAnsi="Times New Roman"/>
          <w:b/>
          <w:sz w:val="24"/>
          <w:szCs w:val="24"/>
        </w:rPr>
        <w:t>7</w:t>
      </w:r>
      <w:r w:rsidRPr="0080737A">
        <w:rPr>
          <w:rFonts w:ascii="Times New Roman" w:hAnsi="Times New Roman"/>
          <w:b/>
          <w:sz w:val="24"/>
          <w:szCs w:val="24"/>
        </w:rPr>
        <w:t xml:space="preserve"> года</w:t>
      </w:r>
    </w:p>
    <w:p w:rsidR="008F70F5" w:rsidRDefault="008F70F5" w:rsidP="008F70F5">
      <w:pPr>
        <w:pStyle w:val="a6"/>
        <w:spacing w:after="0" w:line="240" w:lineRule="atLeast"/>
        <w:ind w:left="0" w:firstLine="709"/>
        <w:jc w:val="center"/>
        <w:rPr>
          <w:rFonts w:ascii="Times New Roman" w:hAnsi="Times New Roman"/>
          <w:b/>
          <w:sz w:val="24"/>
          <w:szCs w:val="24"/>
        </w:rPr>
      </w:pPr>
    </w:p>
    <w:p w:rsidR="00832D29" w:rsidRPr="00832D29" w:rsidRDefault="00832D29" w:rsidP="00832D29">
      <w:pPr>
        <w:tabs>
          <w:tab w:val="left" w:pos="993"/>
        </w:tabs>
        <w:spacing w:after="0" w:line="240" w:lineRule="auto"/>
        <w:ind w:firstLine="709"/>
        <w:contextualSpacing/>
        <w:jc w:val="both"/>
        <w:rPr>
          <w:rFonts w:ascii="Times New Roman" w:hAnsi="Times New Roman"/>
          <w:sz w:val="24"/>
          <w:szCs w:val="24"/>
        </w:rPr>
      </w:pPr>
      <w:r w:rsidRPr="00832D29">
        <w:rPr>
          <w:rFonts w:ascii="Times New Roman" w:hAnsi="Times New Roman"/>
          <w:sz w:val="24"/>
          <w:szCs w:val="24"/>
        </w:rPr>
        <w:t xml:space="preserve">В январе-июне 2017 года, несмотря на некоторое улучшение ценовой конъюнктуры мировых товарных рынков, условия функционирования экономики республики по-прежнему оставались сложными и помимо негативного воздействия ряда ограничительных факторов внешнеэкономического характера определялись структурными диспропорциями, накопившимися в предыдущие годы. В первую очередь, речь идет о зависимости динамики ключевых макроэкономических </w:t>
      </w:r>
      <w:r w:rsidR="00713422">
        <w:rPr>
          <w:rFonts w:ascii="Times New Roman" w:hAnsi="Times New Roman"/>
          <w:sz w:val="24"/>
          <w:szCs w:val="24"/>
        </w:rPr>
        <w:t xml:space="preserve">показателей </w:t>
      </w:r>
      <w:r w:rsidRPr="00832D29">
        <w:rPr>
          <w:rFonts w:ascii="Times New Roman" w:hAnsi="Times New Roman"/>
          <w:sz w:val="24"/>
          <w:szCs w:val="24"/>
        </w:rPr>
        <w:t xml:space="preserve">от результатов деятельности нескольких крупных </w:t>
      </w:r>
      <w:r w:rsidR="006A3EF7">
        <w:rPr>
          <w:rFonts w:ascii="Times New Roman" w:hAnsi="Times New Roman"/>
          <w:sz w:val="24"/>
          <w:szCs w:val="24"/>
        </w:rPr>
        <w:t>производителей</w:t>
      </w:r>
      <w:r w:rsidRPr="00832D29">
        <w:rPr>
          <w:rFonts w:ascii="Times New Roman" w:hAnsi="Times New Roman"/>
          <w:sz w:val="24"/>
          <w:szCs w:val="24"/>
        </w:rPr>
        <w:t xml:space="preserve">. Так, объем промышленного производства по </w:t>
      </w:r>
      <w:r w:rsidR="006A3EF7">
        <w:rPr>
          <w:rFonts w:ascii="Times New Roman" w:hAnsi="Times New Roman"/>
          <w:sz w:val="24"/>
          <w:szCs w:val="24"/>
        </w:rPr>
        <w:t>ведущим</w:t>
      </w:r>
      <w:r w:rsidRPr="00832D29">
        <w:rPr>
          <w:rFonts w:ascii="Times New Roman" w:hAnsi="Times New Roman"/>
          <w:sz w:val="24"/>
          <w:szCs w:val="24"/>
        </w:rPr>
        <w:t xml:space="preserve"> промышленным предприятиям на фоне нестабильной работы ЗАО «Молдавская ГРЭС» по итогам января-июня 2017 года сократился на 9,6%, объем экспорта - на 3,1%. </w:t>
      </w:r>
    </w:p>
    <w:p w:rsidR="00832D29" w:rsidRPr="00832D29" w:rsidRDefault="00832D29" w:rsidP="00832D29">
      <w:pPr>
        <w:tabs>
          <w:tab w:val="left" w:pos="993"/>
        </w:tabs>
        <w:spacing w:after="0" w:line="240" w:lineRule="auto"/>
        <w:ind w:firstLine="709"/>
        <w:contextualSpacing/>
        <w:jc w:val="both"/>
        <w:rPr>
          <w:rFonts w:ascii="Times New Roman" w:hAnsi="Times New Roman"/>
          <w:sz w:val="24"/>
          <w:szCs w:val="24"/>
        </w:rPr>
      </w:pPr>
      <w:r w:rsidRPr="00832D29">
        <w:rPr>
          <w:rFonts w:ascii="Times New Roman" w:hAnsi="Times New Roman"/>
          <w:sz w:val="24"/>
          <w:szCs w:val="24"/>
        </w:rPr>
        <w:t>В складывающихся макроэкономических условиях отсутствовали базовые предпосылки повышения инвестиционной активности, что выразилось в сдержанном поведении экономических агентов в сфере капитальных вложений в основной капитал.</w:t>
      </w:r>
      <w:r w:rsidR="003910AF">
        <w:rPr>
          <w:rFonts w:ascii="Times New Roman" w:hAnsi="Times New Roman"/>
          <w:sz w:val="24"/>
          <w:szCs w:val="24"/>
        </w:rPr>
        <w:t xml:space="preserve"> </w:t>
      </w:r>
      <w:r w:rsidRPr="00832D29">
        <w:rPr>
          <w:rFonts w:ascii="Times New Roman" w:hAnsi="Times New Roman"/>
          <w:sz w:val="24"/>
          <w:szCs w:val="24"/>
        </w:rPr>
        <w:t>В результате по итогам I полугодия</w:t>
      </w:r>
      <w:r w:rsidR="006A3EF7">
        <w:rPr>
          <w:rFonts w:ascii="Times New Roman" w:hAnsi="Times New Roman"/>
          <w:sz w:val="24"/>
          <w:szCs w:val="24"/>
        </w:rPr>
        <w:t xml:space="preserve"> текущего года</w:t>
      </w:r>
      <w:r w:rsidRPr="00832D29">
        <w:rPr>
          <w:rFonts w:ascii="Times New Roman" w:hAnsi="Times New Roman"/>
          <w:sz w:val="24"/>
          <w:szCs w:val="24"/>
        </w:rPr>
        <w:t xml:space="preserve"> масштабы и направления инвестиционных потоков сложились на </w:t>
      </w:r>
      <w:r w:rsidR="006A3EF7">
        <w:rPr>
          <w:rFonts w:ascii="Times New Roman" w:hAnsi="Times New Roman"/>
          <w:sz w:val="24"/>
          <w:szCs w:val="24"/>
        </w:rPr>
        <w:t xml:space="preserve">самом </w:t>
      </w:r>
      <w:r w:rsidRPr="00832D29">
        <w:rPr>
          <w:rFonts w:ascii="Times New Roman" w:hAnsi="Times New Roman"/>
          <w:sz w:val="24"/>
          <w:szCs w:val="24"/>
        </w:rPr>
        <w:t>низком уровне в ряду сопоставимых периодов з</w:t>
      </w:r>
      <w:r w:rsidR="006A3EF7">
        <w:rPr>
          <w:rFonts w:ascii="Times New Roman" w:hAnsi="Times New Roman"/>
          <w:sz w:val="24"/>
          <w:szCs w:val="24"/>
        </w:rPr>
        <w:t>а последние десять лет (-31,5%).</w:t>
      </w:r>
    </w:p>
    <w:p w:rsidR="00832D29" w:rsidRPr="00832D29" w:rsidRDefault="00832D29" w:rsidP="00832D29">
      <w:pPr>
        <w:spacing w:after="0" w:line="240" w:lineRule="auto"/>
        <w:ind w:firstLine="708"/>
        <w:jc w:val="both"/>
        <w:rPr>
          <w:rFonts w:ascii="Times New Roman" w:hAnsi="Times New Roman"/>
          <w:sz w:val="24"/>
          <w:szCs w:val="24"/>
        </w:rPr>
      </w:pPr>
      <w:r w:rsidRPr="00832D29">
        <w:rPr>
          <w:rFonts w:ascii="Times New Roman" w:eastAsiaTheme="minorEastAsia" w:hAnsi="Times New Roman" w:cstheme="minorBidi"/>
          <w:sz w:val="24"/>
          <w:szCs w:val="24"/>
        </w:rPr>
        <w:t>В то же время ф</w:t>
      </w:r>
      <w:r w:rsidRPr="00832D29">
        <w:rPr>
          <w:rFonts w:ascii="Times New Roman" w:hAnsi="Times New Roman"/>
          <w:sz w:val="24"/>
          <w:szCs w:val="24"/>
        </w:rPr>
        <w:t xml:space="preserve">иксируемые ценовые корректировки и инфляционные ожидания населения отразились на </w:t>
      </w:r>
      <w:r w:rsidRPr="00832D29">
        <w:rPr>
          <w:rFonts w:ascii="Times New Roman" w:eastAsiaTheme="minorEastAsia" w:hAnsi="Times New Roman" w:cstheme="minorBidi"/>
          <w:sz w:val="24"/>
          <w:szCs w:val="24"/>
        </w:rPr>
        <w:t xml:space="preserve">потребительском поведении и </w:t>
      </w:r>
      <w:r w:rsidRPr="00832D29">
        <w:rPr>
          <w:rFonts w:ascii="Times New Roman" w:hAnsi="Times New Roman"/>
          <w:sz w:val="24"/>
          <w:szCs w:val="24"/>
        </w:rPr>
        <w:t>предопределили восходящий тренд показателей, характеризующих потребительский рынок, при этом общая повышательная динамика обеспечена в большей степени расширением объемов розничной торговли (+</w:t>
      </w:r>
      <w:r w:rsidRPr="00832D29">
        <w:rPr>
          <w:rFonts w:ascii="Times New Roman" w:eastAsia="Calibri" w:hAnsi="Times New Roman"/>
          <w:sz w:val="24"/>
          <w:szCs w:val="24"/>
          <w:lang w:eastAsia="en-US"/>
        </w:rPr>
        <w:t>6,0%</w:t>
      </w:r>
      <w:r w:rsidRPr="00832D29">
        <w:rPr>
          <w:rFonts w:ascii="Times New Roman" w:hAnsi="Times New Roman"/>
          <w:sz w:val="24"/>
          <w:szCs w:val="24"/>
        </w:rPr>
        <w:t xml:space="preserve">). </w:t>
      </w:r>
    </w:p>
    <w:p w:rsidR="00832D29" w:rsidRPr="00832D29" w:rsidRDefault="00832D29" w:rsidP="00832D29">
      <w:pPr>
        <w:spacing w:after="0" w:line="240" w:lineRule="auto"/>
        <w:ind w:firstLine="709"/>
        <w:jc w:val="both"/>
        <w:rPr>
          <w:rFonts w:ascii="Times New Roman" w:eastAsiaTheme="minorEastAsia" w:hAnsi="Times New Roman" w:cstheme="minorBidi"/>
          <w:b/>
          <w:sz w:val="24"/>
          <w:szCs w:val="24"/>
        </w:rPr>
      </w:pPr>
      <w:r w:rsidRPr="00832D29">
        <w:rPr>
          <w:rFonts w:ascii="Times New Roman" w:eastAsiaTheme="minorEastAsia" w:hAnsi="Times New Roman" w:cstheme="minorBidi"/>
          <w:sz w:val="24"/>
        </w:rPr>
        <w:t>В результате, р</w:t>
      </w:r>
      <w:r w:rsidRPr="00832D29">
        <w:rPr>
          <w:rFonts w:ascii="Times New Roman" w:eastAsiaTheme="minorEastAsia" w:hAnsi="Times New Roman" w:cstheme="minorBidi"/>
          <w:sz w:val="24"/>
          <w:szCs w:val="24"/>
        </w:rPr>
        <w:t>еальный размер совокупного показателя развития экономики (ВВП в сопоставимых ценах) с учетом влияния конъюнктуры цен сократился на 11,6%. Однако, здесь</w:t>
      </w:r>
      <w:r w:rsidR="003910AF">
        <w:rPr>
          <w:rFonts w:ascii="Times New Roman" w:eastAsiaTheme="minorEastAsia" w:hAnsi="Times New Roman" w:cstheme="minorBidi"/>
          <w:sz w:val="24"/>
          <w:szCs w:val="24"/>
        </w:rPr>
        <w:t xml:space="preserve"> </w:t>
      </w:r>
      <w:r w:rsidRPr="00832D29">
        <w:rPr>
          <w:rFonts w:ascii="Times New Roman" w:eastAsiaTheme="minorEastAsia" w:hAnsi="Times New Roman" w:cstheme="minorBidi"/>
          <w:sz w:val="24"/>
          <w:szCs w:val="24"/>
        </w:rPr>
        <w:t xml:space="preserve">важно отметить, что на фиксируемую результативность в январе-июне 2017 года, доминирующее влияние оказала работа нескольких предприятий – ОАО «Молдавский металлургический завод» и ЗАО «Молдавская ГРЭС». В целом в экономике без учета результатов деятельности данных хозяйствующих субъектов в рассматриваемом периоде наметились тенденции к восстановлению - +6,7% (в реальном выражении). Таким образом, в последующем </w:t>
      </w:r>
      <w:r w:rsidR="006A3EF7">
        <w:rPr>
          <w:rFonts w:ascii="Times New Roman" w:eastAsiaTheme="minorEastAsia" w:hAnsi="Times New Roman" w:cstheme="minorBidi"/>
          <w:sz w:val="24"/>
          <w:szCs w:val="24"/>
        </w:rPr>
        <w:t>ритмичная</w:t>
      </w:r>
      <w:r w:rsidRPr="00832D29">
        <w:rPr>
          <w:rFonts w:ascii="Times New Roman" w:eastAsiaTheme="minorEastAsia" w:hAnsi="Times New Roman" w:cstheme="minorBidi"/>
          <w:sz w:val="24"/>
          <w:szCs w:val="24"/>
        </w:rPr>
        <w:t xml:space="preserve"> деятельност</w:t>
      </w:r>
      <w:r w:rsidR="006A3EF7">
        <w:rPr>
          <w:rFonts w:ascii="Times New Roman" w:eastAsiaTheme="minorEastAsia" w:hAnsi="Times New Roman" w:cstheme="minorBidi"/>
          <w:sz w:val="24"/>
          <w:szCs w:val="24"/>
        </w:rPr>
        <w:t>ь</w:t>
      </w:r>
      <w:r w:rsidRPr="00832D29">
        <w:rPr>
          <w:rFonts w:ascii="Times New Roman" w:eastAsiaTheme="minorEastAsia" w:hAnsi="Times New Roman" w:cstheme="minorBidi"/>
          <w:sz w:val="24"/>
          <w:szCs w:val="24"/>
        </w:rPr>
        <w:t xml:space="preserve"> данных предприятий и </w:t>
      </w:r>
      <w:r w:rsidR="006A3EF7">
        <w:rPr>
          <w:rFonts w:ascii="Times New Roman" w:eastAsiaTheme="minorEastAsia" w:hAnsi="Times New Roman" w:cstheme="minorBidi"/>
          <w:sz w:val="24"/>
          <w:szCs w:val="24"/>
        </w:rPr>
        <w:t>обеспечение</w:t>
      </w:r>
      <w:r w:rsidR="003910AF">
        <w:rPr>
          <w:rFonts w:ascii="Times New Roman" w:eastAsiaTheme="minorEastAsia" w:hAnsi="Times New Roman" w:cstheme="minorBidi"/>
          <w:sz w:val="24"/>
          <w:szCs w:val="24"/>
        </w:rPr>
        <w:t xml:space="preserve"> </w:t>
      </w:r>
      <w:r w:rsidR="006A3EF7">
        <w:rPr>
          <w:rFonts w:ascii="Times New Roman" w:eastAsiaTheme="minorEastAsia" w:hAnsi="Times New Roman" w:cstheme="minorBidi"/>
          <w:sz w:val="24"/>
          <w:szCs w:val="24"/>
        </w:rPr>
        <w:t>стабильных</w:t>
      </w:r>
      <w:r w:rsidRPr="00832D29">
        <w:rPr>
          <w:rFonts w:ascii="Times New Roman" w:eastAsiaTheme="minorEastAsia" w:hAnsi="Times New Roman" w:cstheme="minorBidi"/>
          <w:sz w:val="24"/>
          <w:szCs w:val="24"/>
        </w:rPr>
        <w:t xml:space="preserve"> условий функционирования экономики </w:t>
      </w:r>
      <w:r w:rsidR="006A3EF7">
        <w:rPr>
          <w:rFonts w:ascii="Times New Roman" w:eastAsiaTheme="minorEastAsia" w:hAnsi="Times New Roman" w:cstheme="minorBidi"/>
          <w:sz w:val="24"/>
          <w:szCs w:val="24"/>
        </w:rPr>
        <w:t>будут способствовать</w:t>
      </w:r>
      <w:r w:rsidRPr="00832D29">
        <w:rPr>
          <w:rFonts w:ascii="Times New Roman" w:eastAsiaTheme="minorEastAsia" w:hAnsi="Times New Roman" w:cstheme="minorBidi"/>
          <w:sz w:val="24"/>
          <w:szCs w:val="24"/>
        </w:rPr>
        <w:t xml:space="preserve"> восстановительно</w:t>
      </w:r>
      <w:r w:rsidR="006A3EF7">
        <w:rPr>
          <w:rFonts w:ascii="Times New Roman" w:eastAsiaTheme="minorEastAsia" w:hAnsi="Times New Roman" w:cstheme="minorBidi"/>
          <w:sz w:val="24"/>
          <w:szCs w:val="24"/>
        </w:rPr>
        <w:t>му</w:t>
      </w:r>
      <w:r w:rsidRPr="00832D29">
        <w:rPr>
          <w:rFonts w:ascii="Times New Roman" w:eastAsiaTheme="minorEastAsia" w:hAnsi="Times New Roman" w:cstheme="minorBidi"/>
          <w:sz w:val="24"/>
          <w:szCs w:val="24"/>
        </w:rPr>
        <w:t xml:space="preserve"> экономическо</w:t>
      </w:r>
      <w:r w:rsidR="006A3EF7">
        <w:rPr>
          <w:rFonts w:ascii="Times New Roman" w:eastAsiaTheme="minorEastAsia" w:hAnsi="Times New Roman" w:cstheme="minorBidi"/>
          <w:sz w:val="24"/>
          <w:szCs w:val="24"/>
        </w:rPr>
        <w:t>му</w:t>
      </w:r>
      <w:r w:rsidRPr="00832D29">
        <w:rPr>
          <w:rFonts w:ascii="Times New Roman" w:eastAsiaTheme="minorEastAsia" w:hAnsi="Times New Roman" w:cstheme="minorBidi"/>
          <w:sz w:val="24"/>
          <w:szCs w:val="24"/>
        </w:rPr>
        <w:t xml:space="preserve"> рост</w:t>
      </w:r>
      <w:r w:rsidR="006A3EF7">
        <w:rPr>
          <w:rFonts w:ascii="Times New Roman" w:eastAsiaTheme="minorEastAsia" w:hAnsi="Times New Roman" w:cstheme="minorBidi"/>
          <w:sz w:val="24"/>
          <w:szCs w:val="24"/>
        </w:rPr>
        <w:t>у</w:t>
      </w:r>
      <w:r w:rsidRPr="00832D29">
        <w:rPr>
          <w:rFonts w:ascii="Times New Roman" w:eastAsiaTheme="minorEastAsia" w:hAnsi="Times New Roman" w:cstheme="minorBidi"/>
          <w:sz w:val="24"/>
          <w:szCs w:val="24"/>
        </w:rPr>
        <w:t>.</w:t>
      </w:r>
    </w:p>
    <w:p w:rsidR="004A34E5" w:rsidRPr="0080737A" w:rsidRDefault="004A34E5" w:rsidP="00335844">
      <w:pPr>
        <w:spacing w:after="0" w:line="240" w:lineRule="auto"/>
        <w:ind w:firstLine="720"/>
        <w:jc w:val="both"/>
        <w:rPr>
          <w:rFonts w:ascii="Times New Roman" w:hAnsi="Times New Roman"/>
          <w:b/>
          <w:sz w:val="24"/>
          <w:szCs w:val="24"/>
        </w:rPr>
      </w:pPr>
    </w:p>
    <w:p w:rsidR="00335844" w:rsidRPr="0080737A" w:rsidRDefault="00335844" w:rsidP="0033584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Объем и структура ВВП</w:t>
      </w:r>
    </w:p>
    <w:p w:rsidR="00805A58" w:rsidRPr="00805A58" w:rsidRDefault="00805A58" w:rsidP="00805A58">
      <w:pPr>
        <w:spacing w:after="0" w:line="240" w:lineRule="auto"/>
        <w:jc w:val="both"/>
        <w:rPr>
          <w:rFonts w:ascii="Times New Roman" w:eastAsiaTheme="minorEastAsia" w:hAnsi="Times New Roman" w:cstheme="minorBidi"/>
          <w:b/>
          <w:sz w:val="24"/>
          <w:szCs w:val="24"/>
        </w:rPr>
      </w:pP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Номинальный объем созданного в республике валового внутреннего продукта за январь-июнь 2017 года составил 3 913,5 </w:t>
      </w:r>
      <w:proofErr w:type="spellStart"/>
      <w:r w:rsidRPr="00805A58">
        <w:rPr>
          <w:rFonts w:ascii="Times New Roman" w:hAnsi="Times New Roman"/>
          <w:sz w:val="24"/>
          <w:szCs w:val="24"/>
        </w:rPr>
        <w:t>млн</w:t>
      </w:r>
      <w:proofErr w:type="spellEnd"/>
      <w:r w:rsidRPr="00805A58">
        <w:rPr>
          <w:rFonts w:ascii="Times New Roman" w:hAnsi="Times New Roman"/>
          <w:sz w:val="24"/>
          <w:szCs w:val="24"/>
        </w:rPr>
        <w:t xml:space="preserve"> руб. и соответствовал 337,8 </w:t>
      </w:r>
      <w:proofErr w:type="spellStart"/>
      <w:r w:rsidRPr="00805A58">
        <w:rPr>
          <w:rFonts w:ascii="Times New Roman" w:hAnsi="Times New Roman"/>
          <w:sz w:val="24"/>
          <w:szCs w:val="24"/>
        </w:rPr>
        <w:t>млн</w:t>
      </w:r>
      <w:proofErr w:type="spellEnd"/>
      <w:r w:rsidRPr="00805A58">
        <w:rPr>
          <w:rFonts w:ascii="Times New Roman" w:hAnsi="Times New Roman"/>
          <w:sz w:val="24"/>
          <w:szCs w:val="24"/>
        </w:rPr>
        <w:t xml:space="preserve"> долл., сократившись относительно базового показателя на 4,6% и 7,6% соответственно. </w:t>
      </w:r>
    </w:p>
    <w:p w:rsidR="00805A58" w:rsidRPr="00805A58" w:rsidRDefault="00805A58" w:rsidP="00805A58">
      <w:pPr>
        <w:spacing w:after="0" w:line="240" w:lineRule="auto"/>
        <w:ind w:firstLine="709"/>
        <w:jc w:val="both"/>
        <w:rPr>
          <w:rFonts w:ascii="Times New Roman" w:hAnsi="Times New Roman"/>
          <w:b/>
          <w:sz w:val="24"/>
          <w:szCs w:val="24"/>
        </w:rPr>
      </w:pPr>
      <w:r w:rsidRPr="00805A58">
        <w:rPr>
          <w:rFonts w:ascii="Times New Roman" w:hAnsi="Times New Roman"/>
          <w:sz w:val="24"/>
          <w:szCs w:val="24"/>
        </w:rPr>
        <w:t>Реальный размер совокупного показателя развития экономики (ВВП в сопоставимых ценах) с учетом влияния конъюнктуры цен снизился на 11,6%.</w:t>
      </w:r>
    </w:p>
    <w:p w:rsidR="00805A58" w:rsidRPr="00805A58" w:rsidRDefault="00805A58" w:rsidP="00805A58">
      <w:pPr>
        <w:spacing w:after="0" w:line="240" w:lineRule="auto"/>
        <w:ind w:firstLine="709"/>
        <w:jc w:val="both"/>
        <w:rPr>
          <w:rFonts w:ascii="Times New Roman" w:hAnsi="Times New Roman"/>
          <w:b/>
          <w:sz w:val="24"/>
          <w:szCs w:val="24"/>
        </w:rPr>
      </w:pPr>
    </w:p>
    <w:p w:rsidR="00805A58" w:rsidRPr="00805A58" w:rsidRDefault="00805A58" w:rsidP="00805A58">
      <w:pPr>
        <w:spacing w:after="0" w:line="240" w:lineRule="auto"/>
        <w:ind w:firstLine="709"/>
        <w:jc w:val="center"/>
        <w:rPr>
          <w:rFonts w:ascii="Times New Roman" w:hAnsi="Times New Roman"/>
          <w:b/>
          <w:sz w:val="24"/>
          <w:szCs w:val="24"/>
        </w:rPr>
      </w:pPr>
      <w:r w:rsidRPr="00805A58">
        <w:rPr>
          <w:rFonts w:ascii="Times New Roman" w:hAnsi="Times New Roman"/>
          <w:b/>
          <w:sz w:val="24"/>
          <w:szCs w:val="24"/>
        </w:rPr>
        <w:t>Динамика изменения объема ВВП</w:t>
      </w:r>
    </w:p>
    <w:p w:rsidR="00805A58" w:rsidRPr="00805A58" w:rsidRDefault="00805A58" w:rsidP="00805A58">
      <w:pPr>
        <w:spacing w:after="0" w:line="240" w:lineRule="auto"/>
        <w:jc w:val="both"/>
        <w:rPr>
          <w:rFonts w:ascii="Times New Roman" w:hAnsi="Times New Roman"/>
          <w:b/>
          <w:sz w:val="24"/>
          <w:szCs w:val="24"/>
        </w:rPr>
      </w:pPr>
      <w:r w:rsidRPr="00805A58">
        <w:rPr>
          <w:rFonts w:ascii="Times New Roman" w:hAnsi="Times New Roman"/>
          <w:b/>
          <w:noProof/>
          <w:sz w:val="24"/>
          <w:szCs w:val="24"/>
        </w:rPr>
        <w:drawing>
          <wp:inline distT="0" distB="0" distL="0" distR="0">
            <wp:extent cx="6146359" cy="1963972"/>
            <wp:effectExtent l="0" t="0" r="0" b="0"/>
            <wp:docPr id="5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lastRenderedPageBreak/>
        <w:t>Дефлятор ВВП, устанавливающий связь между реальным и номинальным ВВП, на фоне складывающейся ценовой конъюнктуры в отраслях материального производства и в сфере услуг по итогам января-июня 2017 года повысился до 1,0795 против 0,9456 в</w:t>
      </w:r>
      <w:r w:rsidR="00A75860">
        <w:rPr>
          <w:rFonts w:ascii="Times New Roman" w:hAnsi="Times New Roman"/>
          <w:sz w:val="24"/>
          <w:szCs w:val="24"/>
        </w:rPr>
        <w:t xml:space="preserve">            </w:t>
      </w:r>
      <w:r w:rsidRPr="00805A58">
        <w:rPr>
          <w:rFonts w:ascii="Times New Roman" w:hAnsi="Times New Roman"/>
          <w:sz w:val="24"/>
          <w:szCs w:val="24"/>
        </w:rPr>
        <w:t xml:space="preserve"> январе-июне 2016 года. </w:t>
      </w: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Вместе с тем, </w:t>
      </w:r>
      <w:r w:rsidR="006A3EF7">
        <w:rPr>
          <w:rFonts w:ascii="Times New Roman" w:hAnsi="Times New Roman"/>
          <w:sz w:val="24"/>
          <w:szCs w:val="24"/>
        </w:rPr>
        <w:t xml:space="preserve">если </w:t>
      </w:r>
      <w:r w:rsidR="00C8410D">
        <w:rPr>
          <w:rFonts w:ascii="Times New Roman" w:hAnsi="Times New Roman"/>
          <w:sz w:val="24"/>
          <w:szCs w:val="24"/>
        </w:rPr>
        <w:t>с</w:t>
      </w:r>
      <w:r w:rsidR="006A3EF7">
        <w:rPr>
          <w:rFonts w:ascii="Times New Roman" w:hAnsi="Times New Roman"/>
          <w:sz w:val="24"/>
          <w:szCs w:val="24"/>
        </w:rPr>
        <w:t>корректировать</w:t>
      </w:r>
      <w:r w:rsidRPr="00805A58">
        <w:rPr>
          <w:rFonts w:ascii="Times New Roman" w:hAnsi="Times New Roman"/>
          <w:sz w:val="24"/>
          <w:szCs w:val="24"/>
        </w:rPr>
        <w:t xml:space="preserve"> созданн</w:t>
      </w:r>
      <w:r w:rsidR="006A3EF7">
        <w:rPr>
          <w:rFonts w:ascii="Times New Roman" w:hAnsi="Times New Roman"/>
          <w:sz w:val="24"/>
          <w:szCs w:val="24"/>
        </w:rPr>
        <w:t>ый</w:t>
      </w:r>
      <w:r w:rsidRPr="00805A58">
        <w:rPr>
          <w:rFonts w:ascii="Times New Roman" w:hAnsi="Times New Roman"/>
          <w:sz w:val="24"/>
          <w:szCs w:val="24"/>
        </w:rPr>
        <w:t xml:space="preserve"> в январе-июне </w:t>
      </w:r>
      <w:r w:rsidR="00C8410D">
        <w:rPr>
          <w:rFonts w:ascii="Times New Roman" w:hAnsi="Times New Roman"/>
          <w:sz w:val="24"/>
          <w:szCs w:val="24"/>
        </w:rPr>
        <w:t>2016</w:t>
      </w:r>
      <w:r w:rsidRPr="00805A58">
        <w:rPr>
          <w:rFonts w:ascii="Times New Roman" w:hAnsi="Times New Roman"/>
          <w:sz w:val="24"/>
          <w:szCs w:val="24"/>
        </w:rPr>
        <w:t xml:space="preserve"> года </w:t>
      </w:r>
      <w:r w:rsidR="00C8410D">
        <w:rPr>
          <w:rFonts w:ascii="Times New Roman" w:hAnsi="Times New Roman"/>
          <w:sz w:val="24"/>
          <w:szCs w:val="24"/>
        </w:rPr>
        <w:t>валовой внутренний продукт</w:t>
      </w:r>
      <w:r w:rsidRPr="00805A58">
        <w:rPr>
          <w:rFonts w:ascii="Times New Roman" w:hAnsi="Times New Roman"/>
          <w:sz w:val="24"/>
          <w:szCs w:val="24"/>
        </w:rPr>
        <w:t xml:space="preserve"> на сумму выплаченной кредиторской задолженности работникам бюджетной сферы,</w:t>
      </w:r>
      <w:r w:rsidR="00C8410D">
        <w:rPr>
          <w:rFonts w:ascii="Times New Roman" w:hAnsi="Times New Roman"/>
          <w:sz w:val="24"/>
          <w:szCs w:val="24"/>
        </w:rPr>
        <w:t xml:space="preserve"> то темпы сокращения </w:t>
      </w:r>
      <w:r w:rsidR="00C8410D" w:rsidRPr="00805A58">
        <w:rPr>
          <w:rFonts w:ascii="Times New Roman" w:hAnsi="Times New Roman"/>
          <w:sz w:val="24"/>
          <w:szCs w:val="24"/>
        </w:rPr>
        <w:t>ВВП</w:t>
      </w:r>
      <w:r w:rsidR="00E25E74">
        <w:rPr>
          <w:rFonts w:ascii="Times New Roman" w:hAnsi="Times New Roman"/>
          <w:sz w:val="24"/>
          <w:szCs w:val="24"/>
        </w:rPr>
        <w:t xml:space="preserve"> по итогам отчётного периода</w:t>
      </w:r>
      <w:r w:rsidR="003910AF">
        <w:rPr>
          <w:rFonts w:ascii="Times New Roman" w:hAnsi="Times New Roman"/>
          <w:sz w:val="24"/>
          <w:szCs w:val="24"/>
        </w:rPr>
        <w:t xml:space="preserve"> </w:t>
      </w:r>
      <w:r w:rsidR="00C8410D" w:rsidRPr="00805A58">
        <w:rPr>
          <w:rFonts w:ascii="Times New Roman" w:hAnsi="Times New Roman"/>
          <w:sz w:val="24"/>
          <w:szCs w:val="24"/>
        </w:rPr>
        <w:t xml:space="preserve">в реальном выражении </w:t>
      </w:r>
      <w:r w:rsidR="00C8410D">
        <w:rPr>
          <w:rFonts w:ascii="Times New Roman" w:hAnsi="Times New Roman"/>
          <w:sz w:val="24"/>
          <w:szCs w:val="24"/>
        </w:rPr>
        <w:t xml:space="preserve">снизятся </w:t>
      </w:r>
      <w:r w:rsidR="00E25E74">
        <w:rPr>
          <w:rFonts w:ascii="Times New Roman" w:hAnsi="Times New Roman"/>
          <w:sz w:val="24"/>
          <w:szCs w:val="24"/>
        </w:rPr>
        <w:t xml:space="preserve">на 6,8 п.п. </w:t>
      </w:r>
      <w:r w:rsidR="00C8410D">
        <w:rPr>
          <w:rFonts w:ascii="Times New Roman" w:hAnsi="Times New Roman"/>
          <w:sz w:val="24"/>
          <w:szCs w:val="24"/>
        </w:rPr>
        <w:t>до</w:t>
      </w:r>
      <w:r w:rsidRPr="00805A58">
        <w:rPr>
          <w:rFonts w:ascii="Times New Roman" w:hAnsi="Times New Roman"/>
          <w:sz w:val="24"/>
          <w:szCs w:val="24"/>
        </w:rPr>
        <w:t xml:space="preserve"> 4,8%.</w:t>
      </w:r>
    </w:p>
    <w:p w:rsidR="00805A58" w:rsidRPr="00805A58" w:rsidRDefault="00805A58" w:rsidP="00805A58">
      <w:pPr>
        <w:tabs>
          <w:tab w:val="left" w:pos="851"/>
        </w:tabs>
        <w:autoSpaceDE w:val="0"/>
        <w:autoSpaceDN w:val="0"/>
        <w:adjustRightInd w:val="0"/>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sz w:val="24"/>
          <w:szCs w:val="24"/>
        </w:rPr>
        <w:t>Таким образом, в январе-июне 2017 года в складывающихся условиях отчетливо проявилась несбалансированность экономики, выразившаяся в значительном падении совокупного результата деятельности хозяйствующих субъектов сектора материального производства</w:t>
      </w:r>
      <w:r w:rsidRPr="00805A58">
        <w:rPr>
          <w:rFonts w:asciiTheme="minorHAnsi" w:eastAsiaTheme="minorEastAsia" w:hAnsiTheme="minorHAnsi" w:cstheme="minorBidi"/>
        </w:rPr>
        <w:t xml:space="preserve"> (</w:t>
      </w:r>
      <w:r w:rsidRPr="00805A58">
        <w:rPr>
          <w:rFonts w:ascii="Times New Roman" w:eastAsiaTheme="minorEastAsia" w:hAnsi="Times New Roman" w:cstheme="minorBidi"/>
          <w:sz w:val="24"/>
          <w:szCs w:val="24"/>
        </w:rPr>
        <w:t xml:space="preserve">вклад отраслей материального производства в структуре ВВП сложился на рекордно низком уровне в размере 13,4%, на фоне увеличения затрат на производство товаров на 3,4 </w:t>
      </w:r>
      <w:r w:rsidR="00E25E74">
        <w:rPr>
          <w:rFonts w:ascii="Times New Roman" w:eastAsiaTheme="minorEastAsia" w:hAnsi="Times New Roman" w:cstheme="minorBidi"/>
          <w:sz w:val="24"/>
          <w:szCs w:val="24"/>
        </w:rPr>
        <w:t>п.п.</w:t>
      </w:r>
      <w:r w:rsidRPr="00805A58">
        <w:rPr>
          <w:rFonts w:ascii="Times New Roman" w:eastAsiaTheme="minorEastAsia" w:hAnsi="Times New Roman" w:cstheme="minorBidi"/>
          <w:sz w:val="24"/>
          <w:szCs w:val="24"/>
        </w:rPr>
        <w:t>).</w:t>
      </w:r>
    </w:p>
    <w:p w:rsidR="00805A58" w:rsidRPr="00805A58" w:rsidRDefault="00805A58" w:rsidP="00805A58">
      <w:pPr>
        <w:tabs>
          <w:tab w:val="left" w:pos="851"/>
        </w:tabs>
        <w:autoSpaceDE w:val="0"/>
        <w:autoSpaceDN w:val="0"/>
        <w:adjustRightInd w:val="0"/>
        <w:spacing w:after="0" w:line="240" w:lineRule="auto"/>
        <w:ind w:firstLine="709"/>
        <w:jc w:val="both"/>
        <w:rPr>
          <w:rFonts w:ascii="Times New Roman" w:eastAsiaTheme="minorEastAsia" w:hAnsi="Times New Roman"/>
          <w:sz w:val="24"/>
          <w:szCs w:val="24"/>
        </w:rPr>
      </w:pPr>
      <w:r w:rsidRPr="00805A58">
        <w:rPr>
          <w:rFonts w:ascii="Times New Roman" w:eastAsiaTheme="minorEastAsia" w:hAnsi="Times New Roman" w:cstheme="minorBidi"/>
          <w:sz w:val="24"/>
          <w:szCs w:val="24"/>
        </w:rPr>
        <w:t xml:space="preserve">Важно отметить, что на </w:t>
      </w:r>
      <w:r w:rsidRPr="00805A58">
        <w:rPr>
          <w:rFonts w:ascii="Times New Roman" w:eastAsiaTheme="minorEastAsia" w:hAnsi="Times New Roman"/>
          <w:sz w:val="24"/>
          <w:szCs w:val="24"/>
        </w:rPr>
        <w:t>фиксируемую результативность экономики в январе-июне 2017 года доминирующее влияние оказ</w:t>
      </w:r>
      <w:r w:rsidR="00E25E74">
        <w:rPr>
          <w:rFonts w:ascii="Times New Roman" w:eastAsiaTheme="minorEastAsia" w:hAnsi="Times New Roman"/>
          <w:sz w:val="24"/>
          <w:szCs w:val="24"/>
        </w:rPr>
        <w:t>ывал</w:t>
      </w:r>
      <w:r w:rsidRPr="00805A58">
        <w:rPr>
          <w:rFonts w:ascii="Times New Roman" w:eastAsiaTheme="minorEastAsia" w:hAnsi="Times New Roman"/>
          <w:sz w:val="24"/>
          <w:szCs w:val="24"/>
        </w:rPr>
        <w:t xml:space="preserve">а работа нескольких предприятий – </w:t>
      </w:r>
      <w:r w:rsidR="003910AF">
        <w:rPr>
          <w:rFonts w:ascii="Times New Roman" w:eastAsiaTheme="minorEastAsia" w:hAnsi="Times New Roman"/>
          <w:sz w:val="24"/>
          <w:szCs w:val="24"/>
        </w:rPr>
        <w:t xml:space="preserve">                      </w:t>
      </w:r>
      <w:r w:rsidRPr="00805A58">
        <w:rPr>
          <w:rFonts w:ascii="Times New Roman" w:eastAsiaTheme="minorEastAsia" w:hAnsi="Times New Roman"/>
          <w:sz w:val="24"/>
          <w:szCs w:val="24"/>
        </w:rPr>
        <w:t xml:space="preserve">ОАО «Молдавский металлургический завод» и ЗАО «Молдавская ГРЭС». В целом без учета деятельности данных гигантов в рассматриваемом периоде наметились тенденции к восстановлению </w:t>
      </w:r>
      <w:r w:rsidR="00E25E74">
        <w:rPr>
          <w:rFonts w:ascii="Times New Roman" w:eastAsiaTheme="minorEastAsia" w:hAnsi="Times New Roman"/>
          <w:sz w:val="24"/>
          <w:szCs w:val="24"/>
        </w:rPr>
        <w:t>– прирост ВВП</w:t>
      </w:r>
      <w:r w:rsidR="003910AF">
        <w:rPr>
          <w:rFonts w:ascii="Times New Roman" w:eastAsiaTheme="minorEastAsia" w:hAnsi="Times New Roman"/>
          <w:sz w:val="24"/>
          <w:szCs w:val="24"/>
        </w:rPr>
        <w:t xml:space="preserve"> </w:t>
      </w:r>
      <w:r w:rsidR="00E25E74">
        <w:rPr>
          <w:rFonts w:ascii="Times New Roman" w:eastAsiaTheme="minorEastAsia" w:hAnsi="Times New Roman"/>
          <w:sz w:val="24"/>
          <w:szCs w:val="24"/>
        </w:rPr>
        <w:t xml:space="preserve">составил </w:t>
      </w:r>
      <w:r w:rsidRPr="00805A58">
        <w:rPr>
          <w:rFonts w:ascii="Times New Roman" w:eastAsiaTheme="minorEastAsia" w:hAnsi="Times New Roman"/>
          <w:sz w:val="24"/>
          <w:szCs w:val="24"/>
        </w:rPr>
        <w:t xml:space="preserve">6,7% в реальном выражении. </w:t>
      </w:r>
      <w:proofErr w:type="gramStart"/>
      <w:r w:rsidRPr="00805A58">
        <w:rPr>
          <w:rFonts w:ascii="Times New Roman" w:eastAsiaTheme="minorEastAsia" w:hAnsi="Times New Roman"/>
          <w:sz w:val="24"/>
          <w:szCs w:val="24"/>
        </w:rPr>
        <w:t xml:space="preserve">При этом, если снижение вклада </w:t>
      </w:r>
      <w:r w:rsidR="00E25E74">
        <w:rPr>
          <w:rFonts w:ascii="Times New Roman" w:eastAsiaTheme="minorEastAsia" w:hAnsi="Times New Roman"/>
          <w:sz w:val="24"/>
          <w:szCs w:val="24"/>
        </w:rPr>
        <w:t>З</w:t>
      </w:r>
      <w:r w:rsidRPr="00805A58">
        <w:rPr>
          <w:rFonts w:ascii="Times New Roman" w:eastAsiaTheme="minorEastAsia" w:hAnsi="Times New Roman"/>
          <w:sz w:val="24"/>
          <w:szCs w:val="24"/>
        </w:rPr>
        <w:t>АО «Молдавская ГРЭС» в итоговый показатель определялось объективными причинами, – отсутствием экспортных поставок электроэнергии в течение двух месяцев, то для ОАО «Молдавский металлургический завод», несмотря на увеличение валового выпуска на 40%, особенности ведения учетной политики в предыдущие годы и ее корректировка в 2017 году (а именно не рациональное распределение затрат в 2015-</w:t>
      </w:r>
      <w:r w:rsidR="003910AF">
        <w:rPr>
          <w:rFonts w:ascii="Times New Roman" w:eastAsiaTheme="minorEastAsia" w:hAnsi="Times New Roman"/>
          <w:sz w:val="24"/>
          <w:szCs w:val="24"/>
        </w:rPr>
        <w:t xml:space="preserve">                 </w:t>
      </w:r>
      <w:r w:rsidRPr="00805A58">
        <w:rPr>
          <w:rFonts w:ascii="Times New Roman" w:eastAsiaTheme="minorEastAsia" w:hAnsi="Times New Roman"/>
          <w:sz w:val="24"/>
          <w:szCs w:val="24"/>
        </w:rPr>
        <w:t>2016 годы) обусловили снижение</w:t>
      </w:r>
      <w:proofErr w:type="gramEnd"/>
      <w:r w:rsidRPr="00805A58">
        <w:rPr>
          <w:rFonts w:ascii="Times New Roman" w:eastAsiaTheme="minorEastAsia" w:hAnsi="Times New Roman"/>
          <w:sz w:val="24"/>
          <w:szCs w:val="24"/>
        </w:rPr>
        <w:t xml:space="preserve"> участия данного предприятия в формировании ВВП более чем на 75% (то есть учет затрат на предприятии ранее зав</w:t>
      </w:r>
      <w:r w:rsidR="00E25E74">
        <w:rPr>
          <w:rFonts w:ascii="Times New Roman" w:eastAsiaTheme="minorEastAsia" w:hAnsi="Times New Roman"/>
          <w:sz w:val="24"/>
          <w:szCs w:val="24"/>
        </w:rPr>
        <w:t>ышал вклад организации в итоговый</w:t>
      </w:r>
      <w:r w:rsidRPr="00805A58">
        <w:rPr>
          <w:rFonts w:ascii="Times New Roman" w:eastAsiaTheme="minorEastAsia" w:hAnsi="Times New Roman"/>
          <w:sz w:val="24"/>
          <w:szCs w:val="24"/>
        </w:rPr>
        <w:t xml:space="preserve"> показател</w:t>
      </w:r>
      <w:r w:rsidR="00E25E74">
        <w:rPr>
          <w:rFonts w:ascii="Times New Roman" w:eastAsiaTheme="minorEastAsia" w:hAnsi="Times New Roman"/>
          <w:sz w:val="24"/>
          <w:szCs w:val="24"/>
        </w:rPr>
        <w:t>ь</w:t>
      </w:r>
      <w:r w:rsidRPr="00805A58">
        <w:rPr>
          <w:rFonts w:ascii="Times New Roman" w:eastAsiaTheme="minorEastAsia" w:hAnsi="Times New Roman"/>
          <w:sz w:val="24"/>
          <w:szCs w:val="24"/>
        </w:rPr>
        <w:t xml:space="preserve"> развития экономики и в целом искусственно увеличивал</w:t>
      </w:r>
      <w:r>
        <w:rPr>
          <w:rFonts w:ascii="Times New Roman" w:eastAsiaTheme="minorEastAsia" w:hAnsi="Times New Roman"/>
          <w:sz w:val="24"/>
          <w:szCs w:val="24"/>
        </w:rPr>
        <w:t xml:space="preserve"> создаваемый в республике ВВП).</w:t>
      </w:r>
    </w:p>
    <w:p w:rsidR="00805A58" w:rsidRPr="00805A58" w:rsidRDefault="00805A58" w:rsidP="00805A58">
      <w:pPr>
        <w:spacing w:after="0" w:line="240" w:lineRule="auto"/>
        <w:jc w:val="both"/>
        <w:rPr>
          <w:rFonts w:ascii="Times New Roman" w:hAnsi="Times New Roman"/>
          <w:sz w:val="24"/>
          <w:szCs w:val="24"/>
        </w:rPr>
      </w:pPr>
      <w:r w:rsidRPr="00805A58">
        <w:rPr>
          <w:rFonts w:ascii="Times New Roman" w:hAnsi="Times New Roman"/>
          <w:noProof/>
          <w:sz w:val="24"/>
          <w:szCs w:val="24"/>
        </w:rPr>
        <w:drawing>
          <wp:inline distT="0" distB="0" distL="0" distR="0">
            <wp:extent cx="5947576" cy="2433100"/>
            <wp:effectExtent l="0" t="0" r="0" b="0"/>
            <wp:docPr id="60"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5A58" w:rsidRPr="003910AF" w:rsidRDefault="00805A58" w:rsidP="00805A58">
      <w:pPr>
        <w:spacing w:after="0" w:line="240" w:lineRule="auto"/>
        <w:ind w:firstLine="709"/>
        <w:jc w:val="both"/>
        <w:rPr>
          <w:rFonts w:ascii="Times New Roman" w:hAnsi="Times New Roman"/>
          <w:sz w:val="20"/>
          <w:szCs w:val="20"/>
        </w:rPr>
      </w:pP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Структурный анализ ВВП свидетельствует о весьма интенсивных переменах в механизме формирования результативности в различных сегментах экономики. Так, удельный вес отраслей товарного производства в формировании ВВП сократился по отношению к базисным параметрам на 7,3 п.п. до рекордно низкого значения в 13,35%, при этом отмечается расширение долевого представительства инфраструктурных компонент до 87,3% (+6,1 п.п.), на фоне отрицательного</w:t>
      </w:r>
      <w:r w:rsidR="00E25E74">
        <w:rPr>
          <w:rFonts w:ascii="Times New Roman" w:hAnsi="Times New Roman"/>
          <w:sz w:val="24"/>
          <w:szCs w:val="24"/>
        </w:rPr>
        <w:t xml:space="preserve"> вклада фискальной составляющей: удельный вес статьи</w:t>
      </w:r>
      <w:r w:rsidRPr="00805A58">
        <w:rPr>
          <w:rFonts w:ascii="Times New Roman" w:hAnsi="Times New Roman"/>
          <w:sz w:val="24"/>
          <w:szCs w:val="24"/>
        </w:rPr>
        <w:t xml:space="preserve"> «чистые налоги на продукты и импорт» </w:t>
      </w:r>
      <w:r w:rsidR="00E25E74">
        <w:rPr>
          <w:rFonts w:ascii="Times New Roman" w:hAnsi="Times New Roman"/>
          <w:sz w:val="24"/>
          <w:szCs w:val="24"/>
        </w:rPr>
        <w:t>составил</w:t>
      </w:r>
      <w:r w:rsidRPr="00805A58">
        <w:rPr>
          <w:rFonts w:ascii="Times New Roman" w:hAnsi="Times New Roman"/>
          <w:sz w:val="24"/>
          <w:szCs w:val="24"/>
        </w:rPr>
        <w:t xml:space="preserve"> -0,64%. </w:t>
      </w:r>
    </w:p>
    <w:p w:rsidR="00805A58" w:rsidRPr="00805A58" w:rsidRDefault="00805A58" w:rsidP="00805A58">
      <w:pPr>
        <w:spacing w:after="0" w:line="240" w:lineRule="auto"/>
        <w:ind w:firstLine="709"/>
        <w:contextualSpacing/>
        <w:jc w:val="both"/>
        <w:rPr>
          <w:rFonts w:ascii="Times New Roman" w:hAnsi="Times New Roman"/>
          <w:sz w:val="24"/>
          <w:szCs w:val="24"/>
        </w:rPr>
      </w:pPr>
      <w:proofErr w:type="gramStart"/>
      <w:r w:rsidRPr="00805A58">
        <w:rPr>
          <w:rFonts w:ascii="Times New Roman" w:hAnsi="Times New Roman"/>
          <w:sz w:val="24"/>
          <w:szCs w:val="24"/>
        </w:rPr>
        <w:t>Падение валового выпуска в индустрии (-5,0%) на фоне увеличения (+0,4%) издержек производства (промежуточное потребление) в совокупности с отрицательным вкладом в формирование валового внутреннего продукта организаций аграрного сектора (-25,77% против -23,47% в январе-июне 2016 года) и падени</w:t>
      </w:r>
      <w:r w:rsidR="00E25E74">
        <w:rPr>
          <w:rFonts w:ascii="Times New Roman" w:hAnsi="Times New Roman"/>
          <w:sz w:val="24"/>
          <w:szCs w:val="24"/>
        </w:rPr>
        <w:t>ем</w:t>
      </w:r>
      <w:r w:rsidRPr="00805A58">
        <w:rPr>
          <w:rFonts w:ascii="Times New Roman" w:hAnsi="Times New Roman"/>
          <w:sz w:val="24"/>
          <w:szCs w:val="24"/>
        </w:rPr>
        <w:t xml:space="preserve"> результативности в строительстве           (-48,3%), привело к сужению долевого участия </w:t>
      </w:r>
      <w:r w:rsidRPr="00805A58">
        <w:rPr>
          <w:rFonts w:ascii="Times New Roman" w:hAnsi="Times New Roman"/>
          <w:b/>
          <w:sz w:val="24"/>
          <w:szCs w:val="24"/>
        </w:rPr>
        <w:t>отраслей материального производства</w:t>
      </w:r>
      <w:r w:rsidRPr="00805A58">
        <w:rPr>
          <w:rFonts w:ascii="Times New Roman" w:hAnsi="Times New Roman"/>
          <w:sz w:val="24"/>
          <w:szCs w:val="24"/>
        </w:rPr>
        <w:t xml:space="preserve"> на </w:t>
      </w:r>
      <w:r w:rsidRPr="00805A58">
        <w:rPr>
          <w:rFonts w:ascii="Times New Roman" w:hAnsi="Times New Roman"/>
          <w:sz w:val="24"/>
          <w:szCs w:val="24"/>
        </w:rPr>
        <w:lastRenderedPageBreak/>
        <w:t>7,3 п.п</w:t>
      </w:r>
      <w:r w:rsidRPr="00805A58">
        <w:rPr>
          <w:sz w:val="24"/>
          <w:szCs w:val="24"/>
        </w:rPr>
        <w:t>. до</w:t>
      </w:r>
      <w:r w:rsidRPr="00805A58">
        <w:rPr>
          <w:rFonts w:ascii="Times New Roman" w:hAnsi="Times New Roman"/>
          <w:sz w:val="24"/>
          <w:szCs w:val="24"/>
        </w:rPr>
        <w:t xml:space="preserve"> 13,35% ВВП.</w:t>
      </w:r>
      <w:proofErr w:type="gramEnd"/>
      <w:r w:rsidRPr="00805A58">
        <w:rPr>
          <w:rFonts w:ascii="Times New Roman" w:hAnsi="Times New Roman"/>
          <w:sz w:val="24"/>
          <w:szCs w:val="24"/>
        </w:rPr>
        <w:t xml:space="preserve"> В результате совокупная номинальная величина вновь созданной добавленной стоимости отраслей материального сектора в январе-июне текущего года составила 522,3 </w:t>
      </w:r>
      <w:proofErr w:type="spellStart"/>
      <w:r w:rsidRPr="00805A58">
        <w:rPr>
          <w:rFonts w:ascii="Times New Roman" w:hAnsi="Times New Roman"/>
          <w:sz w:val="24"/>
          <w:szCs w:val="24"/>
        </w:rPr>
        <w:t>млн</w:t>
      </w:r>
      <w:proofErr w:type="spellEnd"/>
      <w:r w:rsidRPr="00805A58">
        <w:rPr>
          <w:rFonts w:ascii="Times New Roman" w:hAnsi="Times New Roman"/>
          <w:sz w:val="24"/>
          <w:szCs w:val="24"/>
        </w:rPr>
        <w:t xml:space="preserve"> руб., сократившись относительно параметр</w:t>
      </w:r>
      <w:r w:rsidR="00E25E74">
        <w:rPr>
          <w:rFonts w:ascii="Times New Roman" w:hAnsi="Times New Roman"/>
          <w:sz w:val="24"/>
          <w:szCs w:val="24"/>
        </w:rPr>
        <w:t>ов</w:t>
      </w:r>
      <w:r w:rsidRPr="00805A58">
        <w:rPr>
          <w:rFonts w:ascii="Times New Roman" w:hAnsi="Times New Roman"/>
          <w:sz w:val="24"/>
          <w:szCs w:val="24"/>
        </w:rPr>
        <w:t xml:space="preserve"> минувшего года на 38,2%. </w:t>
      </w:r>
    </w:p>
    <w:p w:rsidR="00805A58" w:rsidRPr="00805A58" w:rsidRDefault="00805A58" w:rsidP="00805A58">
      <w:pPr>
        <w:spacing w:after="0" w:line="240" w:lineRule="auto"/>
        <w:ind w:firstLine="567"/>
        <w:contextualSpacing/>
        <w:jc w:val="both"/>
        <w:rPr>
          <w:rFonts w:ascii="Times New Roman" w:hAnsi="Times New Roman"/>
          <w:sz w:val="24"/>
          <w:szCs w:val="24"/>
        </w:rPr>
      </w:pPr>
      <w:r w:rsidRPr="00805A58">
        <w:rPr>
          <w:rFonts w:ascii="Times New Roman" w:hAnsi="Times New Roman"/>
          <w:noProof/>
          <w:sz w:val="24"/>
          <w:szCs w:val="24"/>
        </w:rPr>
        <w:drawing>
          <wp:inline distT="0" distB="0" distL="0" distR="0">
            <wp:extent cx="5947576" cy="2608028"/>
            <wp:effectExtent l="0" t="0" r="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5A58" w:rsidRPr="00805A58" w:rsidRDefault="00805A58" w:rsidP="00805A58">
      <w:pPr>
        <w:spacing w:after="0" w:line="240" w:lineRule="auto"/>
        <w:ind w:firstLine="709"/>
        <w:jc w:val="both"/>
        <w:rPr>
          <w:rFonts w:ascii="Times New Roman" w:eastAsiaTheme="minorEastAsia" w:hAnsi="Times New Roman" w:cstheme="minorBidi"/>
          <w:sz w:val="24"/>
          <w:szCs w:val="24"/>
        </w:rPr>
      </w:pPr>
      <w:r w:rsidRPr="00805A58">
        <w:rPr>
          <w:rFonts w:ascii="Times New Roman" w:hAnsi="Times New Roman"/>
          <w:sz w:val="24"/>
          <w:szCs w:val="24"/>
        </w:rPr>
        <w:t xml:space="preserve">Несмотря на сложные общеэкономические предпосылки и сохраняющийся дисбаланс на валютном рынке в первой четверти года в совокупности с реализованной в последующем девальвацией приднестровского рубля </w:t>
      </w:r>
      <w:r w:rsidRPr="00805A58">
        <w:rPr>
          <w:rFonts w:ascii="Times New Roman" w:eastAsiaTheme="minorEastAsia" w:hAnsi="Times New Roman" w:cstheme="minorBidi"/>
          <w:sz w:val="24"/>
          <w:szCs w:val="24"/>
        </w:rPr>
        <w:t xml:space="preserve">потребительский спрос населения </w:t>
      </w:r>
      <w:r w:rsidRPr="00805A58">
        <w:rPr>
          <w:rFonts w:ascii="Times New Roman" w:hAnsi="Times New Roman"/>
          <w:sz w:val="24"/>
          <w:szCs w:val="24"/>
        </w:rPr>
        <w:t xml:space="preserve">предопределил </w:t>
      </w:r>
      <w:r w:rsidRPr="00805A58">
        <w:rPr>
          <w:rFonts w:ascii="Times New Roman" w:eastAsiaTheme="minorEastAsia" w:hAnsi="Times New Roman" w:cstheme="minorBidi"/>
          <w:sz w:val="24"/>
          <w:szCs w:val="24"/>
        </w:rPr>
        <w:t xml:space="preserve">увеличение совокупной добавленной стоимости </w:t>
      </w:r>
      <w:r w:rsidRPr="00805A58">
        <w:rPr>
          <w:rFonts w:ascii="Times New Roman" w:eastAsiaTheme="minorEastAsia" w:hAnsi="Times New Roman" w:cstheme="minorBidi"/>
          <w:b/>
          <w:sz w:val="24"/>
          <w:szCs w:val="24"/>
        </w:rPr>
        <w:t>отраслей сектора услуг</w:t>
      </w:r>
      <w:r w:rsidR="003910AF">
        <w:rPr>
          <w:rFonts w:ascii="Times New Roman" w:eastAsiaTheme="minorEastAsia" w:hAnsi="Times New Roman" w:cstheme="minorBidi"/>
          <w:sz w:val="24"/>
          <w:szCs w:val="24"/>
        </w:rPr>
        <w:t xml:space="preserve"> на 2,6% до </w:t>
      </w:r>
      <w:r w:rsidR="003910AF">
        <w:rPr>
          <w:rFonts w:ascii="Times New Roman" w:eastAsiaTheme="minorEastAsia" w:hAnsi="Times New Roman" w:cstheme="minorBidi"/>
          <w:sz w:val="24"/>
          <w:szCs w:val="24"/>
        </w:rPr>
        <w:br/>
        <w:t xml:space="preserve">3 416,4 </w:t>
      </w:r>
      <w:proofErr w:type="spellStart"/>
      <w:proofErr w:type="gramStart"/>
      <w:r w:rsidR="003910AF">
        <w:rPr>
          <w:rFonts w:ascii="Times New Roman" w:eastAsiaTheme="minorEastAsia" w:hAnsi="Times New Roman" w:cstheme="minorBidi"/>
          <w:sz w:val="24"/>
          <w:szCs w:val="24"/>
        </w:rPr>
        <w:t>млн</w:t>
      </w:r>
      <w:proofErr w:type="spellEnd"/>
      <w:proofErr w:type="gramEnd"/>
      <w:r w:rsidRPr="00805A58">
        <w:rPr>
          <w:rFonts w:ascii="Times New Roman" w:eastAsiaTheme="minorEastAsia" w:hAnsi="Times New Roman" w:cstheme="minorBidi"/>
          <w:sz w:val="24"/>
          <w:szCs w:val="24"/>
        </w:rPr>
        <w:t xml:space="preserve"> руб. и соответственно расширение долевого представления в структуре формирования </w:t>
      </w:r>
      <w:r w:rsidRPr="00805A58">
        <w:rPr>
          <w:rFonts w:ascii="Times New Roman" w:eastAsiaTheme="minorEastAsia" w:hAnsi="Times New Roman"/>
          <w:sz w:val="24"/>
          <w:szCs w:val="24"/>
        </w:rPr>
        <w:t>валового внутреннего продукта</w:t>
      </w:r>
      <w:r w:rsidRPr="00805A58">
        <w:rPr>
          <w:rFonts w:ascii="Times New Roman" w:eastAsiaTheme="minorEastAsia" w:hAnsi="Times New Roman" w:cstheme="minorBidi"/>
          <w:sz w:val="24"/>
          <w:szCs w:val="24"/>
        </w:rPr>
        <w:t xml:space="preserve"> на 6,1 </w:t>
      </w:r>
      <w:r w:rsidRPr="00805A58">
        <w:rPr>
          <w:rFonts w:ascii="Times New Roman" w:eastAsiaTheme="minorEastAsia" w:hAnsi="Times New Roman"/>
          <w:sz w:val="24"/>
          <w:szCs w:val="24"/>
        </w:rPr>
        <w:t>п.п.</w:t>
      </w:r>
      <w:r w:rsidRPr="00805A58">
        <w:rPr>
          <w:rFonts w:ascii="Times New Roman" w:eastAsiaTheme="minorEastAsia" w:hAnsi="Times New Roman" w:cstheme="minorBidi"/>
          <w:sz w:val="24"/>
          <w:szCs w:val="24"/>
        </w:rPr>
        <w:t xml:space="preserve">до 87,3%. </w:t>
      </w:r>
    </w:p>
    <w:p w:rsidR="00805A58" w:rsidRPr="003910AF" w:rsidRDefault="00805A58" w:rsidP="00805A58">
      <w:pPr>
        <w:spacing w:after="0" w:line="240" w:lineRule="auto"/>
        <w:ind w:firstLine="709"/>
        <w:jc w:val="both"/>
        <w:rPr>
          <w:rFonts w:ascii="Times New Roman" w:eastAsiaTheme="minorEastAsia" w:hAnsi="Times New Roman" w:cstheme="minorBidi"/>
          <w:sz w:val="18"/>
          <w:szCs w:val="18"/>
        </w:rPr>
      </w:pPr>
    </w:p>
    <w:p w:rsidR="00805A58" w:rsidRPr="00805A58" w:rsidRDefault="00805A58" w:rsidP="00805A58">
      <w:pPr>
        <w:spacing w:after="0" w:line="240" w:lineRule="auto"/>
        <w:jc w:val="both"/>
        <w:rPr>
          <w:rFonts w:ascii="Times New Roman" w:hAnsi="Times New Roman"/>
          <w:sz w:val="24"/>
          <w:szCs w:val="24"/>
        </w:rPr>
      </w:pPr>
      <w:r w:rsidRPr="00805A58">
        <w:rPr>
          <w:rFonts w:ascii="Times New Roman" w:hAnsi="Times New Roman"/>
          <w:noProof/>
          <w:sz w:val="24"/>
          <w:szCs w:val="24"/>
        </w:rPr>
        <w:drawing>
          <wp:inline distT="0" distB="0" distL="0" distR="0">
            <wp:extent cx="5943600" cy="3057525"/>
            <wp:effectExtent l="0" t="0" r="0" b="0"/>
            <wp:docPr id="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5A58" w:rsidRPr="00805A58" w:rsidRDefault="00805A58" w:rsidP="00805A58">
      <w:pPr>
        <w:spacing w:after="0" w:line="240" w:lineRule="auto"/>
        <w:ind w:firstLine="709"/>
        <w:jc w:val="both"/>
        <w:rPr>
          <w:rFonts w:ascii="Times New Roman" w:hAnsi="Times New Roman"/>
          <w:sz w:val="24"/>
          <w:szCs w:val="24"/>
        </w:rPr>
      </w:pP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На этом фоне приращение добавленной стоимости в сегменте </w:t>
      </w:r>
      <w:r w:rsidRPr="00805A58">
        <w:rPr>
          <w:rFonts w:ascii="Times New Roman" w:hAnsi="Times New Roman"/>
          <w:b/>
          <w:sz w:val="24"/>
          <w:szCs w:val="24"/>
        </w:rPr>
        <w:t>рыночных услуг</w:t>
      </w:r>
      <w:r w:rsidRPr="00805A58">
        <w:rPr>
          <w:rFonts w:ascii="Times New Roman" w:hAnsi="Times New Roman"/>
          <w:sz w:val="24"/>
          <w:szCs w:val="24"/>
        </w:rPr>
        <w:t xml:space="preserve"> характеризовалось ярко выраженным повышательным трендом, обусловившим увеличение ВДС с</w:t>
      </w:r>
      <w:r w:rsidR="003910AF">
        <w:rPr>
          <w:rFonts w:ascii="Times New Roman" w:hAnsi="Times New Roman"/>
          <w:sz w:val="24"/>
          <w:szCs w:val="24"/>
        </w:rPr>
        <w:t xml:space="preserve">егмента на 15,5% до 1 761,3 </w:t>
      </w:r>
      <w:proofErr w:type="spellStart"/>
      <w:proofErr w:type="gramStart"/>
      <w:r w:rsidR="003910AF">
        <w:rPr>
          <w:rFonts w:ascii="Times New Roman" w:hAnsi="Times New Roman"/>
          <w:sz w:val="24"/>
          <w:szCs w:val="24"/>
        </w:rPr>
        <w:t>млн</w:t>
      </w:r>
      <w:proofErr w:type="spellEnd"/>
      <w:proofErr w:type="gramEnd"/>
      <w:r w:rsidRPr="00805A58">
        <w:rPr>
          <w:rFonts w:ascii="Times New Roman" w:hAnsi="Times New Roman"/>
          <w:sz w:val="24"/>
          <w:szCs w:val="24"/>
        </w:rPr>
        <w:t xml:space="preserve"> руб., что </w:t>
      </w:r>
      <w:r w:rsidR="00E25E74">
        <w:rPr>
          <w:rFonts w:ascii="Times New Roman" w:hAnsi="Times New Roman"/>
          <w:sz w:val="24"/>
          <w:szCs w:val="24"/>
        </w:rPr>
        <w:t>сопровождалось ростом удельного веса</w:t>
      </w:r>
      <w:r w:rsidRPr="00805A58">
        <w:rPr>
          <w:rFonts w:ascii="Times New Roman" w:hAnsi="Times New Roman"/>
          <w:sz w:val="24"/>
          <w:szCs w:val="24"/>
        </w:rPr>
        <w:t xml:space="preserve"> данной сферы в структуре ВВП на 7,8 п.п. до 45,01%.</w:t>
      </w: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Лидером по масштабности наращивания добавленной стоимости в рассматриваемом периоде являлась </w:t>
      </w:r>
      <w:r w:rsidRPr="00805A58">
        <w:rPr>
          <w:rFonts w:ascii="Times New Roman" w:hAnsi="Times New Roman"/>
          <w:b/>
          <w:sz w:val="24"/>
          <w:szCs w:val="24"/>
        </w:rPr>
        <w:t>торговля и общественное питание</w:t>
      </w:r>
      <w:r w:rsidRPr="00805A58">
        <w:rPr>
          <w:rFonts w:ascii="Times New Roman" w:hAnsi="Times New Roman"/>
          <w:sz w:val="24"/>
          <w:szCs w:val="24"/>
        </w:rPr>
        <w:t xml:space="preserve"> (+40,7%), при этом объем добавленной стоимости данных организаций выступал доминирующим структурным показателем в формировании совокупного показателя результативности экономики, обеспечившим 47,4% добавленной стоимости рыночного сегмента и 21,34% </w:t>
      </w:r>
      <w:r w:rsidR="00E25E74">
        <w:rPr>
          <w:rFonts w:ascii="Times New Roman" w:hAnsi="Times New Roman"/>
          <w:sz w:val="24"/>
          <w:szCs w:val="24"/>
        </w:rPr>
        <w:t>итогового</w:t>
      </w:r>
      <w:r w:rsidRPr="00805A58">
        <w:rPr>
          <w:rFonts w:ascii="Times New Roman" w:hAnsi="Times New Roman"/>
          <w:sz w:val="24"/>
          <w:szCs w:val="24"/>
        </w:rPr>
        <w:t xml:space="preserve"> ВВП. </w:t>
      </w: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lastRenderedPageBreak/>
        <w:t xml:space="preserve">Сжатие валового выпуска по </w:t>
      </w:r>
      <w:r w:rsidRPr="00805A58">
        <w:rPr>
          <w:rFonts w:ascii="Times New Roman" w:hAnsi="Times New Roman"/>
          <w:b/>
          <w:sz w:val="24"/>
          <w:szCs w:val="24"/>
        </w:rPr>
        <w:t>отрасли «связь»</w:t>
      </w:r>
      <w:r w:rsidRPr="00805A58">
        <w:rPr>
          <w:rFonts w:ascii="Times New Roman" w:hAnsi="Times New Roman"/>
          <w:sz w:val="24"/>
          <w:szCs w:val="24"/>
        </w:rPr>
        <w:t xml:space="preserve"> на 0,5% в совокупности с ростом промежуточного потребления на 1,7% определили отставание (-2,2%) вновь созданной добавленной стоимости от базисных показателей. </w:t>
      </w: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Организациями </w:t>
      </w:r>
      <w:r w:rsidRPr="00805A58">
        <w:rPr>
          <w:rFonts w:ascii="Times New Roman" w:hAnsi="Times New Roman"/>
          <w:b/>
          <w:sz w:val="24"/>
          <w:szCs w:val="24"/>
        </w:rPr>
        <w:t>жилищно-коммунального хозяйства</w:t>
      </w:r>
      <w:r w:rsidRPr="00805A58">
        <w:rPr>
          <w:rFonts w:ascii="Times New Roman" w:hAnsi="Times New Roman"/>
          <w:sz w:val="24"/>
          <w:szCs w:val="24"/>
        </w:rPr>
        <w:t xml:space="preserve"> в рассматриваемом периоде создано 186,4 </w:t>
      </w:r>
      <w:proofErr w:type="spellStart"/>
      <w:r w:rsidRPr="00805A58">
        <w:rPr>
          <w:rFonts w:ascii="Times New Roman" w:hAnsi="Times New Roman"/>
          <w:sz w:val="24"/>
          <w:szCs w:val="24"/>
        </w:rPr>
        <w:t>млн</w:t>
      </w:r>
      <w:proofErr w:type="spellEnd"/>
      <w:r w:rsidRPr="00805A58">
        <w:rPr>
          <w:rFonts w:ascii="Times New Roman" w:hAnsi="Times New Roman"/>
          <w:sz w:val="24"/>
          <w:szCs w:val="24"/>
        </w:rPr>
        <w:t xml:space="preserve"> руб. добавленной стоимости, что на 4,2% больше показателя минувшего года. Долевое участие отрасли в структуре валового внутреннего продукта расширилось на 0,4 п.п. до 4,76%.</w:t>
      </w: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Добавленная стоимость, созданная </w:t>
      </w:r>
      <w:r w:rsidRPr="00805A58">
        <w:rPr>
          <w:rFonts w:ascii="Times New Roman" w:hAnsi="Times New Roman"/>
          <w:b/>
          <w:sz w:val="24"/>
          <w:szCs w:val="24"/>
        </w:rPr>
        <w:t>транспортными организациями</w:t>
      </w:r>
      <w:r w:rsidRPr="00805A58">
        <w:rPr>
          <w:rFonts w:ascii="Times New Roman" w:hAnsi="Times New Roman"/>
          <w:sz w:val="24"/>
          <w:szCs w:val="24"/>
        </w:rPr>
        <w:t xml:space="preserve">, в </w:t>
      </w:r>
      <w:r w:rsidRPr="00805A58">
        <w:rPr>
          <w:rFonts w:ascii="Times New Roman" w:hAnsi="Times New Roman"/>
          <w:sz w:val="24"/>
          <w:szCs w:val="24"/>
          <w:lang w:val="en-US"/>
        </w:rPr>
        <w:t>I</w:t>
      </w:r>
      <w:r w:rsidRPr="00805A58">
        <w:rPr>
          <w:rFonts w:ascii="Times New Roman" w:hAnsi="Times New Roman"/>
          <w:sz w:val="24"/>
          <w:szCs w:val="24"/>
        </w:rPr>
        <w:t xml:space="preserve"> полугодии текущего года выросла на 3,4%</w:t>
      </w:r>
      <w:r w:rsidR="000F5DEE">
        <w:rPr>
          <w:rFonts w:ascii="Times New Roman" w:hAnsi="Times New Roman"/>
          <w:sz w:val="24"/>
          <w:szCs w:val="24"/>
        </w:rPr>
        <w:t xml:space="preserve"> и сложилась в объеме 136,5 </w:t>
      </w:r>
      <w:proofErr w:type="spellStart"/>
      <w:r w:rsidR="000F5DEE">
        <w:rPr>
          <w:rFonts w:ascii="Times New Roman" w:hAnsi="Times New Roman"/>
          <w:sz w:val="24"/>
          <w:szCs w:val="24"/>
        </w:rPr>
        <w:t>млн</w:t>
      </w:r>
      <w:proofErr w:type="spellEnd"/>
      <w:r w:rsidRPr="00805A58">
        <w:rPr>
          <w:rFonts w:ascii="Times New Roman" w:hAnsi="Times New Roman"/>
          <w:sz w:val="24"/>
          <w:szCs w:val="24"/>
        </w:rPr>
        <w:t xml:space="preserve"> руб., что соответствует 3,49% в структуре совокупного показателя (+0,3 п.п.). </w:t>
      </w:r>
    </w:p>
    <w:p w:rsidR="00805A58" w:rsidRPr="00805A58" w:rsidRDefault="00805A58" w:rsidP="00805A58">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Существенным отставанием от показателей прошлого года характеризовалась деятельность организаций </w:t>
      </w:r>
      <w:r w:rsidRPr="00805A58">
        <w:rPr>
          <w:rFonts w:ascii="Times New Roman" w:hAnsi="Times New Roman"/>
          <w:b/>
          <w:sz w:val="24"/>
          <w:szCs w:val="24"/>
        </w:rPr>
        <w:t xml:space="preserve">финансового сектора, </w:t>
      </w:r>
      <w:r w:rsidRPr="00805A58">
        <w:rPr>
          <w:rFonts w:ascii="Times New Roman" w:hAnsi="Times New Roman"/>
          <w:sz w:val="24"/>
          <w:szCs w:val="24"/>
        </w:rPr>
        <w:t xml:space="preserve">которые под влиянием нестабильных макроэкономических условий и отсутствия предпосылок повышения результативности деятельности банковской системы сформировали добавленной стоимости в объеме           195,4 </w:t>
      </w:r>
      <w:proofErr w:type="spellStart"/>
      <w:r w:rsidRPr="00805A58">
        <w:rPr>
          <w:rFonts w:ascii="Times New Roman" w:hAnsi="Times New Roman"/>
          <w:sz w:val="24"/>
          <w:szCs w:val="24"/>
        </w:rPr>
        <w:t>млн</w:t>
      </w:r>
      <w:proofErr w:type="spellEnd"/>
      <w:r w:rsidRPr="00805A58">
        <w:rPr>
          <w:rFonts w:ascii="Times New Roman" w:hAnsi="Times New Roman"/>
          <w:sz w:val="24"/>
          <w:szCs w:val="24"/>
        </w:rPr>
        <w:t xml:space="preserve"> руб., что на 8,4% ниже базового параметра минувшего года, обеспечив тем самым 5,0% долевого участия в совокупном показателе против 5,2% в январе-июне 2016 года.</w:t>
      </w:r>
    </w:p>
    <w:p w:rsidR="00805A58" w:rsidRPr="00805A58" w:rsidRDefault="00805A58" w:rsidP="00805A58">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Динамика </w:t>
      </w:r>
      <w:r w:rsidRPr="00805A58">
        <w:rPr>
          <w:rFonts w:ascii="Times New Roman" w:eastAsiaTheme="minorEastAsia" w:hAnsi="Times New Roman" w:cstheme="minorBidi"/>
          <w:b/>
          <w:sz w:val="24"/>
          <w:szCs w:val="24"/>
        </w:rPr>
        <w:t>нерыночных услуг</w:t>
      </w:r>
      <w:r w:rsidRPr="00805A58">
        <w:rPr>
          <w:rFonts w:ascii="Times New Roman" w:eastAsiaTheme="minorEastAsia" w:hAnsi="Times New Roman" w:cstheme="minorBidi"/>
          <w:sz w:val="24"/>
          <w:szCs w:val="24"/>
        </w:rPr>
        <w:t xml:space="preserve"> и их структурное представление в совокупном показателе (ВВП) в условиях жесткой экономии и оптимизации расходования бюджетных средств отразили ситуацию с исполнением государственного бюджета в январе-июне текущего года и участие государства в распределительном процессе. В складывающихся условиях объем вновь созданной добавленной стоимости в секторе нерыночных услуг сократился на 8,4% и обеспечил 42,3% совокупного показателя (в январе-июне 2016 года 44,0%). </w:t>
      </w:r>
    </w:p>
    <w:p w:rsidR="00805A58" w:rsidRPr="00805A58" w:rsidRDefault="00805A58" w:rsidP="00805A58">
      <w:pPr>
        <w:spacing w:after="0" w:line="240" w:lineRule="auto"/>
        <w:jc w:val="both"/>
        <w:rPr>
          <w:rFonts w:ascii="Times New Roman" w:eastAsiaTheme="minorEastAsia" w:hAnsi="Times New Roman" w:cstheme="minorBidi"/>
          <w:sz w:val="24"/>
          <w:szCs w:val="24"/>
        </w:rPr>
      </w:pPr>
      <w:r w:rsidRPr="00805A58">
        <w:rPr>
          <w:rFonts w:ascii="Times New Roman" w:eastAsiaTheme="minorEastAsia" w:hAnsi="Times New Roman" w:cstheme="minorBidi"/>
          <w:noProof/>
          <w:sz w:val="24"/>
          <w:szCs w:val="24"/>
        </w:rPr>
        <w:drawing>
          <wp:inline distT="0" distB="0" distL="0" distR="0">
            <wp:extent cx="5947576" cy="2767054"/>
            <wp:effectExtent l="0" t="0" r="0"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5A58" w:rsidRPr="00805A58" w:rsidRDefault="00805A58" w:rsidP="00805A58">
      <w:pPr>
        <w:spacing w:after="0" w:line="240" w:lineRule="auto"/>
        <w:ind w:firstLine="709"/>
        <w:jc w:val="both"/>
        <w:rPr>
          <w:rFonts w:ascii="Times New Roman" w:eastAsiaTheme="minorEastAsia" w:hAnsi="Times New Roman" w:cstheme="minorBidi"/>
          <w:sz w:val="24"/>
          <w:szCs w:val="24"/>
        </w:rPr>
      </w:pPr>
      <w:proofErr w:type="gramStart"/>
      <w:r w:rsidRPr="00805A58">
        <w:rPr>
          <w:rFonts w:ascii="Times New Roman" w:eastAsiaTheme="minorEastAsia" w:hAnsi="Times New Roman" w:cstheme="minorBidi"/>
          <w:sz w:val="24"/>
          <w:szCs w:val="24"/>
        </w:rPr>
        <w:t xml:space="preserve">Услуги, оказываемые учреждениями </w:t>
      </w:r>
      <w:r w:rsidRPr="00805A58">
        <w:rPr>
          <w:rFonts w:ascii="Times New Roman" w:eastAsiaTheme="minorEastAsia" w:hAnsi="Times New Roman" w:cstheme="minorBidi"/>
          <w:b/>
          <w:sz w:val="24"/>
          <w:szCs w:val="24"/>
        </w:rPr>
        <w:t xml:space="preserve">здравоохранения, социального обеспечения, образования, </w:t>
      </w:r>
      <w:r w:rsidRPr="00805A58">
        <w:rPr>
          <w:rFonts w:ascii="Times New Roman" w:eastAsiaTheme="minorEastAsia" w:hAnsi="Times New Roman" w:cstheme="minorBidi"/>
          <w:sz w:val="24"/>
          <w:szCs w:val="24"/>
        </w:rPr>
        <w:t>на</w:t>
      </w:r>
      <w:r w:rsidR="003910AF">
        <w:rPr>
          <w:rFonts w:ascii="Times New Roman" w:eastAsiaTheme="minorEastAsia" w:hAnsi="Times New Roman" w:cstheme="minorBidi"/>
          <w:sz w:val="24"/>
          <w:szCs w:val="24"/>
        </w:rPr>
        <w:t xml:space="preserve"> </w:t>
      </w:r>
      <w:r w:rsidRPr="00805A58">
        <w:rPr>
          <w:rFonts w:ascii="Times New Roman" w:eastAsiaTheme="minorEastAsia" w:hAnsi="Times New Roman" w:cstheme="minorBidi"/>
          <w:sz w:val="24"/>
          <w:szCs w:val="24"/>
        </w:rPr>
        <w:t>фоне</w:t>
      </w:r>
      <w:r w:rsidR="003910AF">
        <w:rPr>
          <w:rFonts w:ascii="Times New Roman" w:eastAsiaTheme="minorEastAsia" w:hAnsi="Times New Roman" w:cstheme="minorBidi"/>
          <w:sz w:val="24"/>
          <w:szCs w:val="24"/>
        </w:rPr>
        <w:t xml:space="preserve"> </w:t>
      </w:r>
      <w:r w:rsidRPr="00805A58">
        <w:rPr>
          <w:rFonts w:ascii="Times New Roman" w:eastAsiaTheme="minorEastAsia" w:hAnsi="Times New Roman" w:cstheme="minorBidi"/>
          <w:sz w:val="24"/>
          <w:szCs w:val="24"/>
        </w:rPr>
        <w:t>сохранения приоритета политики государства в области отраслей социальной направленности</w:t>
      </w:r>
      <w:r w:rsidRPr="00805A58">
        <w:rPr>
          <w:rFonts w:ascii="Times New Roman" w:eastAsiaTheme="minorEastAsia" w:hAnsi="Times New Roman" w:cstheme="minorBidi"/>
          <w:b/>
          <w:sz w:val="24"/>
          <w:szCs w:val="24"/>
        </w:rPr>
        <w:t>,</w:t>
      </w:r>
      <w:r w:rsidRPr="00805A58">
        <w:rPr>
          <w:rFonts w:ascii="Times New Roman" w:eastAsiaTheme="minorEastAsia" w:hAnsi="Times New Roman" w:cstheme="minorBidi"/>
          <w:sz w:val="24"/>
          <w:szCs w:val="24"/>
        </w:rPr>
        <w:t xml:space="preserve"> несмотря на кризисные явления в экономике, сформировали в совокупности 20,8% ВВП и около половины (49,3%) валовой добавленной стоимости в сегменте нерыночных услуг, при этом в абсолютном выражении их номинальная </w:t>
      </w:r>
      <w:r w:rsidR="003910AF">
        <w:rPr>
          <w:rFonts w:ascii="Times New Roman" w:eastAsiaTheme="minorEastAsia" w:hAnsi="Times New Roman" w:cstheme="minorBidi"/>
          <w:sz w:val="24"/>
          <w:szCs w:val="24"/>
        </w:rPr>
        <w:t>величина, сократилась на 14,0%.</w:t>
      </w:r>
      <w:proofErr w:type="gramEnd"/>
    </w:p>
    <w:p w:rsidR="00805A58" w:rsidRPr="00805A58" w:rsidRDefault="00805A58" w:rsidP="00805A58">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Остальные составляющие нерыночного сектора (культура, искусство, кинематография, наука и научное обслуживание, управление) также демонстрировали понижающий тренд. </w:t>
      </w:r>
    </w:p>
    <w:p w:rsidR="00805A58" w:rsidRPr="00805A58" w:rsidRDefault="00805A58" w:rsidP="00805A58">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В январе-июне текущего года субсидирование государством товаров и услуг превышало поступления налогов на потребление (налог на внешнюю торговлю и внешнеэкономические операции и акцизы и др.), в связи с чем, доходы государства, суммируемые по статье </w:t>
      </w:r>
      <w:r w:rsidRPr="00805A58">
        <w:rPr>
          <w:rFonts w:ascii="Times New Roman" w:eastAsiaTheme="minorEastAsia" w:hAnsi="Times New Roman" w:cstheme="minorBidi"/>
          <w:b/>
          <w:sz w:val="24"/>
          <w:szCs w:val="24"/>
        </w:rPr>
        <w:t xml:space="preserve">«чистые налоги на продукты и импорт», </w:t>
      </w:r>
      <w:r w:rsidR="000F5DEE">
        <w:rPr>
          <w:rFonts w:ascii="Times New Roman" w:eastAsiaTheme="minorEastAsia" w:hAnsi="Times New Roman" w:cstheme="minorBidi"/>
          <w:sz w:val="24"/>
          <w:szCs w:val="24"/>
        </w:rPr>
        <w:t xml:space="preserve">сложились в </w:t>
      </w:r>
      <w:r w:rsidR="000F5DEE">
        <w:rPr>
          <w:rFonts w:ascii="Times New Roman" w:eastAsiaTheme="minorEastAsia" w:hAnsi="Times New Roman" w:cstheme="minorBidi"/>
          <w:sz w:val="24"/>
          <w:szCs w:val="24"/>
        </w:rPr>
        <w:br/>
        <w:t xml:space="preserve">объеме -25,2 </w:t>
      </w:r>
      <w:proofErr w:type="spellStart"/>
      <w:r w:rsidR="000F5DEE">
        <w:rPr>
          <w:rFonts w:ascii="Times New Roman" w:eastAsiaTheme="minorEastAsia" w:hAnsi="Times New Roman" w:cstheme="minorBidi"/>
          <w:sz w:val="24"/>
          <w:szCs w:val="24"/>
        </w:rPr>
        <w:t>млн</w:t>
      </w:r>
      <w:proofErr w:type="spellEnd"/>
      <w:r w:rsidR="00E25E74">
        <w:rPr>
          <w:rFonts w:ascii="Times New Roman" w:eastAsiaTheme="minorEastAsia" w:hAnsi="Times New Roman" w:cstheme="minorBidi"/>
          <w:sz w:val="24"/>
          <w:szCs w:val="24"/>
        </w:rPr>
        <w:t xml:space="preserve"> руб.</w:t>
      </w:r>
      <w:r w:rsidRPr="00805A58">
        <w:rPr>
          <w:rFonts w:ascii="Times New Roman" w:eastAsiaTheme="minorEastAsia" w:hAnsi="Times New Roman" w:cstheme="minorBidi"/>
          <w:sz w:val="24"/>
          <w:szCs w:val="24"/>
        </w:rPr>
        <w:t xml:space="preserve"> против -75,0</w:t>
      </w:r>
      <w:r w:rsidR="000F5DEE">
        <w:rPr>
          <w:rFonts w:ascii="Times New Roman" w:eastAsiaTheme="minorEastAsia" w:hAnsi="Times New Roman" w:cstheme="minorBidi"/>
          <w:sz w:val="24"/>
          <w:szCs w:val="24"/>
        </w:rPr>
        <w:t xml:space="preserve"> </w:t>
      </w:r>
      <w:proofErr w:type="spellStart"/>
      <w:r w:rsidR="000F5DEE">
        <w:rPr>
          <w:rFonts w:ascii="Times New Roman" w:eastAsiaTheme="minorEastAsia" w:hAnsi="Times New Roman" w:cstheme="minorBidi"/>
          <w:sz w:val="24"/>
          <w:szCs w:val="24"/>
        </w:rPr>
        <w:t>млн</w:t>
      </w:r>
      <w:proofErr w:type="spellEnd"/>
      <w:r w:rsidRPr="00805A58">
        <w:rPr>
          <w:rFonts w:ascii="Times New Roman" w:eastAsiaTheme="minorEastAsia" w:hAnsi="Times New Roman" w:cstheme="minorBidi"/>
          <w:sz w:val="24"/>
          <w:szCs w:val="24"/>
        </w:rPr>
        <w:t xml:space="preserve"> руб. в базисном периоде. </w:t>
      </w:r>
    </w:p>
    <w:p w:rsidR="00864AD0" w:rsidRPr="000F5DEE" w:rsidRDefault="00805A58" w:rsidP="000F5DEE">
      <w:pPr>
        <w:spacing w:after="0" w:line="240" w:lineRule="auto"/>
        <w:ind w:firstLine="709"/>
        <w:jc w:val="both"/>
        <w:rPr>
          <w:rFonts w:ascii="Times New Roman" w:hAnsi="Times New Roman"/>
          <w:sz w:val="24"/>
          <w:szCs w:val="24"/>
        </w:rPr>
      </w:pPr>
      <w:r w:rsidRPr="00805A58">
        <w:rPr>
          <w:rFonts w:ascii="Times New Roman" w:hAnsi="Times New Roman"/>
          <w:sz w:val="24"/>
          <w:szCs w:val="24"/>
        </w:rPr>
        <w:t xml:space="preserve">Таким образом, несмотря на некоторое улучшение ценовой конъюнктуры мировых товарных рынков, основной макроэкономический индикатор развития экономики в </w:t>
      </w:r>
      <w:r w:rsidRPr="00805A58">
        <w:rPr>
          <w:rFonts w:ascii="Times New Roman" w:hAnsi="Times New Roman"/>
          <w:sz w:val="24"/>
          <w:szCs w:val="24"/>
          <w:lang w:val="en-US"/>
        </w:rPr>
        <w:lastRenderedPageBreak/>
        <w:t>I</w:t>
      </w:r>
      <w:r w:rsidRPr="00805A58">
        <w:rPr>
          <w:rFonts w:ascii="Times New Roman" w:hAnsi="Times New Roman"/>
          <w:sz w:val="24"/>
          <w:szCs w:val="24"/>
        </w:rPr>
        <w:t>полугодии 2017 года отразил сформированные структурные диспропорции, когда деятельность нескольких крупных производителей отражается как на динамике показателей материального сектора, так и на резу</w:t>
      </w:r>
      <w:r w:rsidR="000F5DEE">
        <w:rPr>
          <w:rFonts w:ascii="Times New Roman" w:hAnsi="Times New Roman"/>
          <w:sz w:val="24"/>
          <w:szCs w:val="24"/>
        </w:rPr>
        <w:t>льтативности экономики в целом.</w:t>
      </w:r>
    </w:p>
    <w:p w:rsidR="00864AD0" w:rsidRDefault="00864AD0" w:rsidP="00335844">
      <w:pPr>
        <w:spacing w:after="0" w:line="240" w:lineRule="auto"/>
        <w:ind w:firstLine="720"/>
        <w:jc w:val="both"/>
        <w:rPr>
          <w:rFonts w:ascii="Times New Roman" w:hAnsi="Times New Roman"/>
          <w:b/>
          <w:sz w:val="24"/>
          <w:szCs w:val="24"/>
        </w:rPr>
      </w:pPr>
    </w:p>
    <w:p w:rsidR="00146BB8" w:rsidRDefault="00146BB8" w:rsidP="0033584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Состояние реального сектора экономики</w:t>
      </w:r>
    </w:p>
    <w:p w:rsidR="00146BB8" w:rsidRDefault="00146BB8" w:rsidP="00335844">
      <w:pPr>
        <w:spacing w:after="0" w:line="240" w:lineRule="auto"/>
        <w:ind w:firstLine="720"/>
        <w:jc w:val="both"/>
        <w:rPr>
          <w:rFonts w:ascii="Times New Roman" w:hAnsi="Times New Roman"/>
          <w:b/>
          <w:sz w:val="24"/>
          <w:szCs w:val="24"/>
        </w:rPr>
      </w:pPr>
    </w:p>
    <w:p w:rsidR="003D29EE" w:rsidRPr="0080737A" w:rsidRDefault="003D29EE" w:rsidP="003D29EE">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Промышленность</w:t>
      </w:r>
    </w:p>
    <w:p w:rsidR="003D29EE" w:rsidRPr="003F5257" w:rsidRDefault="003D29EE" w:rsidP="003D29EE">
      <w:pPr>
        <w:widowControl w:val="0"/>
        <w:autoSpaceDE w:val="0"/>
        <w:autoSpaceDN w:val="0"/>
        <w:adjustRightInd w:val="0"/>
        <w:spacing w:after="0" w:line="240" w:lineRule="auto"/>
        <w:ind w:firstLine="720"/>
        <w:jc w:val="both"/>
        <w:rPr>
          <w:rFonts w:ascii="Times New Roman" w:eastAsia="Calibri" w:hAnsi="Times New Roman"/>
          <w:b/>
          <w:sz w:val="24"/>
          <w:szCs w:val="24"/>
        </w:rPr>
      </w:pPr>
      <w:bookmarkStart w:id="0" w:name="_Toc185403094"/>
      <w:bookmarkEnd w:id="0"/>
    </w:p>
    <w:p w:rsidR="003D29EE" w:rsidRPr="003F5257" w:rsidRDefault="003D29EE" w:rsidP="003D29EE">
      <w:pPr>
        <w:spacing w:after="0" w:line="240" w:lineRule="auto"/>
        <w:ind w:firstLine="540"/>
        <w:jc w:val="both"/>
        <w:rPr>
          <w:rFonts w:ascii="Times New Roman" w:eastAsia="Calibri" w:hAnsi="Times New Roman"/>
          <w:sz w:val="24"/>
          <w:szCs w:val="24"/>
        </w:rPr>
      </w:pPr>
      <w:r w:rsidRPr="003F5257">
        <w:rPr>
          <w:rFonts w:ascii="Times New Roman" w:hAnsi="Times New Roman"/>
          <w:sz w:val="24"/>
          <w:szCs w:val="24"/>
        </w:rPr>
        <w:t xml:space="preserve">Ситуация в индустриальном секторе республики в рассматриваемом периоде характеризовалась </w:t>
      </w:r>
      <w:proofErr w:type="spellStart"/>
      <w:r w:rsidRPr="003F5257">
        <w:rPr>
          <w:rFonts w:ascii="Times New Roman" w:hAnsi="Times New Roman"/>
          <w:sz w:val="24"/>
          <w:szCs w:val="24"/>
        </w:rPr>
        <w:t>разновекторной</w:t>
      </w:r>
      <w:proofErr w:type="spellEnd"/>
      <w:r w:rsidRPr="003F5257">
        <w:rPr>
          <w:rFonts w:ascii="Times New Roman" w:eastAsia="Calibri" w:hAnsi="Times New Roman"/>
          <w:sz w:val="24"/>
          <w:szCs w:val="24"/>
        </w:rPr>
        <w:t xml:space="preserve"> динамикой объёмов производства на структурообразующих предприятиях республики, что вызвано </w:t>
      </w:r>
      <w:proofErr w:type="spellStart"/>
      <w:r w:rsidRPr="003F5257">
        <w:rPr>
          <w:rFonts w:ascii="Times New Roman" w:eastAsia="Calibri" w:hAnsi="Times New Roman"/>
          <w:sz w:val="24"/>
          <w:szCs w:val="24"/>
        </w:rPr>
        <w:t>волатильностью</w:t>
      </w:r>
      <w:proofErr w:type="spellEnd"/>
      <w:r w:rsidRPr="003F5257">
        <w:rPr>
          <w:rFonts w:ascii="Times New Roman" w:eastAsia="Calibri" w:hAnsi="Times New Roman"/>
          <w:sz w:val="24"/>
          <w:szCs w:val="24"/>
        </w:rPr>
        <w:t xml:space="preserve"> конъю</w:t>
      </w:r>
      <w:r>
        <w:rPr>
          <w:rFonts w:ascii="Times New Roman" w:eastAsia="Calibri" w:hAnsi="Times New Roman"/>
          <w:sz w:val="24"/>
          <w:szCs w:val="24"/>
        </w:rPr>
        <w:t>н</w:t>
      </w:r>
      <w:r w:rsidRPr="003F5257">
        <w:rPr>
          <w:rFonts w:ascii="Times New Roman" w:eastAsia="Calibri" w:hAnsi="Times New Roman"/>
          <w:sz w:val="24"/>
          <w:szCs w:val="24"/>
        </w:rPr>
        <w:t>ктуры как на внутреннем, так и на внешних рынках</w:t>
      </w:r>
      <w:r w:rsidRPr="003F5257">
        <w:rPr>
          <w:rFonts w:ascii="Times New Roman" w:hAnsi="Times New Roman"/>
          <w:sz w:val="24"/>
          <w:szCs w:val="24"/>
        </w:rPr>
        <w:t xml:space="preserve">, </w:t>
      </w:r>
      <w:r w:rsidRPr="003F5257">
        <w:rPr>
          <w:rFonts w:ascii="Times New Roman" w:eastAsia="Calibri" w:hAnsi="Times New Roman"/>
          <w:sz w:val="24"/>
          <w:szCs w:val="24"/>
        </w:rPr>
        <w:t xml:space="preserve">изменением сырьевых и отпускных цен, </w:t>
      </w:r>
      <w:r w:rsidRPr="003F5257">
        <w:rPr>
          <w:rFonts w:ascii="Times New Roman" w:hAnsi="Times New Roman"/>
          <w:sz w:val="24"/>
          <w:szCs w:val="24"/>
        </w:rPr>
        <w:t>а также девальвацией приднестровского рубля</w:t>
      </w:r>
      <w:r w:rsidRPr="003F5257">
        <w:rPr>
          <w:rFonts w:eastAsia="Calibri"/>
        </w:rPr>
        <w:t>.</w:t>
      </w:r>
    </w:p>
    <w:p w:rsidR="003D29EE" w:rsidRPr="003F5257" w:rsidRDefault="003D29EE" w:rsidP="003D29EE">
      <w:pPr>
        <w:autoSpaceDE w:val="0"/>
        <w:autoSpaceDN w:val="0"/>
        <w:adjustRightInd w:val="0"/>
        <w:spacing w:after="0" w:line="240" w:lineRule="auto"/>
        <w:ind w:firstLine="709"/>
        <w:jc w:val="both"/>
        <w:rPr>
          <w:rFonts w:ascii="Times New Roman" w:eastAsia="Calibri" w:hAnsi="Times New Roman"/>
          <w:snapToGrid w:val="0"/>
          <w:sz w:val="24"/>
          <w:szCs w:val="24"/>
        </w:rPr>
      </w:pPr>
      <w:r w:rsidRPr="003F5257">
        <w:rPr>
          <w:rFonts w:ascii="Times New Roman" w:eastAsia="Calibri" w:hAnsi="Times New Roman"/>
          <w:snapToGrid w:val="0"/>
          <w:sz w:val="24"/>
          <w:szCs w:val="24"/>
        </w:rPr>
        <w:t xml:space="preserve">В целом в индустриальном комплексе республики, с учетом оценки объемов производства субъектов малого предпринимательства в январе–июне 2017 года было произведено продукции на 3 989,6 </w:t>
      </w:r>
      <w:proofErr w:type="spellStart"/>
      <w:r w:rsidRPr="003F5257">
        <w:rPr>
          <w:rFonts w:ascii="Times New Roman" w:eastAsia="Calibri" w:hAnsi="Times New Roman"/>
          <w:snapToGrid w:val="0"/>
          <w:sz w:val="24"/>
          <w:szCs w:val="24"/>
        </w:rPr>
        <w:t>млн</w:t>
      </w:r>
      <w:proofErr w:type="spellEnd"/>
      <w:r w:rsidRPr="003F5257">
        <w:rPr>
          <w:rFonts w:ascii="Times New Roman" w:eastAsia="Calibri" w:hAnsi="Times New Roman"/>
          <w:snapToGrid w:val="0"/>
          <w:sz w:val="24"/>
          <w:szCs w:val="24"/>
        </w:rPr>
        <w:t xml:space="preserve"> руб., или 94,7% от сопоставимого уровня предыдущего года.</w:t>
      </w:r>
    </w:p>
    <w:p w:rsidR="003D29EE" w:rsidRPr="003F5257" w:rsidRDefault="003D29EE" w:rsidP="003D29EE">
      <w:pPr>
        <w:autoSpaceDE w:val="0"/>
        <w:autoSpaceDN w:val="0"/>
        <w:adjustRightInd w:val="0"/>
        <w:spacing w:after="0" w:line="240" w:lineRule="auto"/>
        <w:ind w:firstLine="709"/>
        <w:jc w:val="both"/>
        <w:rPr>
          <w:rFonts w:ascii="Times New Roman" w:eastAsia="Calibri" w:hAnsi="Times New Roman"/>
          <w:snapToGrid w:val="0"/>
          <w:sz w:val="24"/>
          <w:szCs w:val="24"/>
        </w:rPr>
      </w:pPr>
      <w:r w:rsidRPr="003F5257">
        <w:rPr>
          <w:rFonts w:ascii="Times New Roman" w:eastAsia="Calibri" w:hAnsi="Times New Roman"/>
          <w:snapToGrid w:val="0"/>
          <w:sz w:val="24"/>
          <w:szCs w:val="24"/>
        </w:rPr>
        <w:t>Индекс физического объема важнейших видов промышленной продукции в результате снижения производства электроэнергии (на 26,0%), крупных электромашин (на 10,2%), проката черных металлов (на 9,4%) составил 90,2% к уровню января-июня               2016 года.</w:t>
      </w:r>
    </w:p>
    <w:p w:rsidR="003D29EE" w:rsidRPr="003F5257" w:rsidRDefault="003D29EE" w:rsidP="003D29EE">
      <w:pPr>
        <w:spacing w:after="0" w:line="240" w:lineRule="auto"/>
        <w:ind w:firstLine="709"/>
        <w:jc w:val="both"/>
        <w:rPr>
          <w:rFonts w:ascii="Times New Roman" w:eastAsia="Calibri" w:hAnsi="Times New Roman"/>
          <w:color w:val="000000"/>
          <w:sz w:val="24"/>
          <w:szCs w:val="24"/>
        </w:rPr>
      </w:pPr>
      <w:r w:rsidRPr="003F5257">
        <w:rPr>
          <w:rFonts w:ascii="Times New Roman" w:eastAsia="Calibri" w:hAnsi="Times New Roman"/>
          <w:sz w:val="24"/>
          <w:szCs w:val="24"/>
        </w:rPr>
        <w:t>Объем п</w:t>
      </w:r>
      <w:r w:rsidRPr="003F5257">
        <w:rPr>
          <w:rFonts w:ascii="Times New Roman" w:eastAsia="Calibri" w:hAnsi="Times New Roman"/>
          <w:snapToGrid w:val="0"/>
          <w:sz w:val="24"/>
          <w:szCs w:val="24"/>
        </w:rPr>
        <w:t>ромышленного производства</w:t>
      </w:r>
      <w:r w:rsidRPr="003F5257">
        <w:rPr>
          <w:rFonts w:ascii="Times New Roman" w:eastAsia="Calibri" w:hAnsi="Times New Roman"/>
          <w:sz w:val="24"/>
          <w:szCs w:val="24"/>
        </w:rPr>
        <w:t xml:space="preserve"> в январе-июне 2017 года (без учета субъектов малого предпринимательства) </w:t>
      </w:r>
      <w:r w:rsidRPr="003F5257">
        <w:rPr>
          <w:rFonts w:ascii="Times New Roman" w:eastAsia="Calibri" w:hAnsi="Times New Roman"/>
          <w:snapToGrid w:val="0"/>
          <w:sz w:val="24"/>
          <w:szCs w:val="24"/>
        </w:rPr>
        <w:t>в условиях роста</w:t>
      </w:r>
      <w:r w:rsidRPr="003F5257">
        <w:rPr>
          <w:rFonts w:ascii="Times New Roman" w:eastAsia="Calibri" w:hAnsi="Times New Roman"/>
          <w:sz w:val="24"/>
          <w:szCs w:val="24"/>
        </w:rPr>
        <w:t xml:space="preserve"> отпускных цен снизился на 5,8% до </w:t>
      </w:r>
      <w:r w:rsidR="003910AF">
        <w:rPr>
          <w:rFonts w:ascii="Times New Roman" w:eastAsia="Calibri" w:hAnsi="Times New Roman"/>
          <w:sz w:val="24"/>
          <w:szCs w:val="24"/>
        </w:rPr>
        <w:t xml:space="preserve">           </w:t>
      </w:r>
      <w:r w:rsidRPr="003F5257">
        <w:rPr>
          <w:rFonts w:ascii="Times New Roman" w:eastAsia="Calibri" w:hAnsi="Times New Roman"/>
          <w:sz w:val="24"/>
          <w:szCs w:val="24"/>
        </w:rPr>
        <w:t xml:space="preserve">          3 766,7 </w:t>
      </w:r>
      <w:proofErr w:type="spellStart"/>
      <w:proofErr w:type="gramStart"/>
      <w:r w:rsidRPr="003F5257">
        <w:rPr>
          <w:rFonts w:ascii="Times New Roman" w:eastAsia="Calibri" w:hAnsi="Times New Roman"/>
          <w:sz w:val="24"/>
          <w:szCs w:val="24"/>
        </w:rPr>
        <w:t>млн</w:t>
      </w:r>
      <w:proofErr w:type="spellEnd"/>
      <w:proofErr w:type="gramEnd"/>
      <w:r w:rsidRPr="003F5257">
        <w:rPr>
          <w:rFonts w:ascii="Times New Roman" w:eastAsia="Calibri" w:hAnsi="Times New Roman"/>
          <w:sz w:val="24"/>
          <w:szCs w:val="24"/>
        </w:rPr>
        <w:t xml:space="preserve"> руб. в стоимостном выражении. При этом в долларовом эквиваленте объем произведенной продукции составил 326,6 </w:t>
      </w:r>
      <w:proofErr w:type="spellStart"/>
      <w:r w:rsidRPr="003F5257">
        <w:rPr>
          <w:rFonts w:ascii="Times New Roman" w:eastAsia="Calibri" w:hAnsi="Times New Roman"/>
          <w:sz w:val="24"/>
          <w:szCs w:val="24"/>
        </w:rPr>
        <w:t>млн</w:t>
      </w:r>
      <w:proofErr w:type="spellEnd"/>
      <w:r w:rsidRPr="003F5257">
        <w:rPr>
          <w:rFonts w:ascii="Times New Roman" w:eastAsia="Calibri" w:hAnsi="Times New Roman"/>
          <w:sz w:val="24"/>
          <w:szCs w:val="24"/>
        </w:rPr>
        <w:t xml:space="preserve"> долл., или 91,6% к аналогичному показателю 2016 года. Доход от реализации промышленной продукции сократился на 5,0%, составив </w:t>
      </w:r>
      <w:r w:rsidR="003910AF">
        <w:rPr>
          <w:rFonts w:ascii="Times New Roman" w:eastAsia="Calibri" w:hAnsi="Times New Roman"/>
          <w:sz w:val="24"/>
          <w:szCs w:val="24"/>
        </w:rPr>
        <w:t xml:space="preserve">             </w:t>
      </w:r>
      <w:r w:rsidRPr="003F5257">
        <w:rPr>
          <w:rFonts w:ascii="Times New Roman" w:eastAsia="Calibri" w:hAnsi="Times New Roman"/>
          <w:sz w:val="24"/>
          <w:szCs w:val="24"/>
        </w:rPr>
        <w:t xml:space="preserve">3 697,4 </w:t>
      </w:r>
      <w:proofErr w:type="spellStart"/>
      <w:proofErr w:type="gramStart"/>
      <w:r w:rsidRPr="003F5257">
        <w:rPr>
          <w:rFonts w:ascii="Times New Roman" w:eastAsia="Calibri" w:hAnsi="Times New Roman"/>
          <w:sz w:val="24"/>
          <w:szCs w:val="24"/>
        </w:rPr>
        <w:t>млн</w:t>
      </w:r>
      <w:proofErr w:type="spellEnd"/>
      <w:proofErr w:type="gramEnd"/>
      <w:r w:rsidRPr="003F5257">
        <w:rPr>
          <w:rFonts w:ascii="Times New Roman" w:eastAsia="Calibri" w:hAnsi="Times New Roman"/>
          <w:sz w:val="24"/>
          <w:szCs w:val="24"/>
        </w:rPr>
        <w:t xml:space="preserve"> руб., или 319,1 </w:t>
      </w:r>
      <w:proofErr w:type="spellStart"/>
      <w:r w:rsidRPr="003F5257">
        <w:rPr>
          <w:rFonts w:ascii="Times New Roman" w:eastAsia="Calibri" w:hAnsi="Times New Roman"/>
          <w:sz w:val="24"/>
          <w:szCs w:val="24"/>
        </w:rPr>
        <w:t>млн</w:t>
      </w:r>
      <w:proofErr w:type="spellEnd"/>
      <w:r w:rsidRPr="003F5257">
        <w:rPr>
          <w:rFonts w:ascii="Times New Roman" w:eastAsia="Calibri" w:hAnsi="Times New Roman"/>
          <w:sz w:val="24"/>
          <w:szCs w:val="24"/>
        </w:rPr>
        <w:t xml:space="preserve"> долл.(-8,0%).</w:t>
      </w:r>
    </w:p>
    <w:p w:rsidR="003D29EE" w:rsidRPr="003F5257" w:rsidRDefault="003D29EE" w:rsidP="003D29EE">
      <w:pPr>
        <w:spacing w:after="0" w:line="240" w:lineRule="auto"/>
        <w:ind w:firstLine="709"/>
        <w:jc w:val="both"/>
        <w:rPr>
          <w:rFonts w:ascii="Times New Roman" w:eastAsia="Calibri" w:hAnsi="Times New Roman"/>
          <w:color w:val="000000"/>
          <w:sz w:val="24"/>
          <w:szCs w:val="24"/>
        </w:rPr>
      </w:pPr>
      <w:r w:rsidRPr="003F5257">
        <w:rPr>
          <w:rFonts w:ascii="Times New Roman" w:eastAsia="Calibri" w:hAnsi="Times New Roman"/>
          <w:color w:val="000000"/>
          <w:sz w:val="24"/>
          <w:szCs w:val="24"/>
        </w:rPr>
        <w:t xml:space="preserve">К концу </w:t>
      </w:r>
      <w:r w:rsidRPr="003F5257">
        <w:rPr>
          <w:rFonts w:ascii="Times New Roman" w:eastAsia="Calibri" w:hAnsi="Times New Roman"/>
          <w:color w:val="000000"/>
          <w:sz w:val="24"/>
          <w:szCs w:val="24"/>
          <w:lang w:val="en-US"/>
        </w:rPr>
        <w:t>I</w:t>
      </w:r>
      <w:r w:rsidRPr="003F5257">
        <w:rPr>
          <w:rFonts w:ascii="Times New Roman" w:eastAsia="Calibri" w:hAnsi="Times New Roman"/>
          <w:color w:val="000000"/>
          <w:sz w:val="24"/>
          <w:szCs w:val="24"/>
        </w:rPr>
        <w:t xml:space="preserve"> полугодия 2017 года по республике величина остатков готовой продукции на складах по сравнению с началом года практически не изменилась (+0,1%), их с</w:t>
      </w:r>
      <w:r w:rsidRPr="003F5257">
        <w:rPr>
          <w:rFonts w:ascii="Times New Roman" w:eastAsia="Calibri" w:hAnsi="Times New Roman"/>
          <w:sz w:val="24"/>
          <w:szCs w:val="24"/>
        </w:rPr>
        <w:t>тоимостное значение</w:t>
      </w:r>
      <w:r w:rsidR="003910AF">
        <w:rPr>
          <w:rFonts w:ascii="Times New Roman" w:eastAsia="Calibri" w:hAnsi="Times New Roman"/>
          <w:sz w:val="24"/>
          <w:szCs w:val="24"/>
        </w:rPr>
        <w:t xml:space="preserve"> </w:t>
      </w:r>
      <w:r w:rsidRPr="003F5257">
        <w:rPr>
          <w:rFonts w:ascii="Times New Roman" w:eastAsia="Calibri" w:hAnsi="Times New Roman"/>
          <w:sz w:val="24"/>
          <w:szCs w:val="24"/>
        </w:rPr>
        <w:t>по состоянию</w:t>
      </w:r>
      <w:r w:rsidR="003910AF">
        <w:rPr>
          <w:rFonts w:ascii="Times New Roman" w:eastAsia="Calibri" w:hAnsi="Times New Roman"/>
          <w:sz w:val="24"/>
          <w:szCs w:val="24"/>
        </w:rPr>
        <w:t xml:space="preserve"> </w:t>
      </w:r>
      <w:r w:rsidRPr="003F5257">
        <w:rPr>
          <w:rFonts w:ascii="Times New Roman" w:eastAsia="Calibri" w:hAnsi="Times New Roman"/>
          <w:color w:val="000000"/>
          <w:sz w:val="24"/>
          <w:szCs w:val="24"/>
        </w:rPr>
        <w:t xml:space="preserve">на 1 июля составило </w:t>
      </w:r>
      <w:r w:rsidRPr="003F5257">
        <w:rPr>
          <w:rFonts w:ascii="Times New Roman" w:eastAsia="Calibri" w:hAnsi="Times New Roman"/>
          <w:sz w:val="24"/>
          <w:szCs w:val="24"/>
        </w:rPr>
        <w:t xml:space="preserve">294,3 </w:t>
      </w:r>
      <w:proofErr w:type="spellStart"/>
      <w:proofErr w:type="gramStart"/>
      <w:r w:rsidRPr="003F5257">
        <w:rPr>
          <w:rFonts w:ascii="Times New Roman" w:eastAsia="Calibri" w:hAnsi="Times New Roman"/>
          <w:color w:val="000000"/>
          <w:sz w:val="24"/>
          <w:szCs w:val="24"/>
        </w:rPr>
        <w:t>млн</w:t>
      </w:r>
      <w:proofErr w:type="spellEnd"/>
      <w:proofErr w:type="gramEnd"/>
      <w:r w:rsidRPr="003F5257">
        <w:rPr>
          <w:rFonts w:ascii="Times New Roman" w:eastAsia="Calibri" w:hAnsi="Times New Roman"/>
          <w:color w:val="000000"/>
          <w:sz w:val="24"/>
          <w:szCs w:val="24"/>
        </w:rPr>
        <w:t xml:space="preserve"> руб. Наибольший удельный вес в составе совокупной величины остатков готовой продукции на складах принадлежит легкой промышленности, сформировавшей порядка 33,8% показателя.</w:t>
      </w:r>
    </w:p>
    <w:p w:rsidR="003D29EE" w:rsidRPr="003F5257" w:rsidRDefault="00091304" w:rsidP="003D29EE">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noProof/>
          <w:sz w:val="24"/>
          <w:szCs w:val="24"/>
        </w:rPr>
        <w:drawing>
          <wp:anchor distT="0" distB="11811" distL="114300" distR="115570" simplePos="0" relativeHeight="251680768" behindDoc="1" locked="0" layoutInCell="1" allowOverlap="1">
            <wp:simplePos x="0" y="0"/>
            <wp:positionH relativeFrom="column">
              <wp:posOffset>3714115</wp:posOffset>
            </wp:positionH>
            <wp:positionV relativeFrom="paragraph">
              <wp:posOffset>642620</wp:posOffset>
            </wp:positionV>
            <wp:extent cx="2490470" cy="2194560"/>
            <wp:effectExtent l="19050" t="0" r="5080" b="0"/>
            <wp:wrapTight wrapText="bothSides">
              <wp:wrapPolygon edited="0">
                <wp:start x="-165" y="0"/>
                <wp:lineTo x="-165" y="21375"/>
                <wp:lineTo x="21644" y="21375"/>
                <wp:lineTo x="21644" y="0"/>
                <wp:lineTo x="-165" y="0"/>
              </wp:wrapPolygon>
            </wp:wrapTight>
            <wp:docPr id="64"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eastAsia="Calibri" w:hAnsi="Times New Roman"/>
          <w:noProof/>
          <w:sz w:val="24"/>
          <w:szCs w:val="24"/>
        </w:rPr>
        <w:drawing>
          <wp:anchor distT="0" distB="14859" distL="114300" distR="115443" simplePos="0" relativeHeight="251681792" behindDoc="1" locked="0" layoutInCell="1" allowOverlap="1">
            <wp:simplePos x="0" y="0"/>
            <wp:positionH relativeFrom="column">
              <wp:posOffset>-173990</wp:posOffset>
            </wp:positionH>
            <wp:positionV relativeFrom="paragraph">
              <wp:posOffset>642620</wp:posOffset>
            </wp:positionV>
            <wp:extent cx="3869055" cy="2194560"/>
            <wp:effectExtent l="19050" t="0" r="0" b="0"/>
            <wp:wrapTight wrapText="bothSides">
              <wp:wrapPolygon edited="0">
                <wp:start x="-106" y="0"/>
                <wp:lineTo x="-106" y="21375"/>
                <wp:lineTo x="21589" y="21375"/>
                <wp:lineTo x="21589" y="0"/>
                <wp:lineTo x="-106" y="0"/>
              </wp:wrapPolygon>
            </wp:wrapTight>
            <wp:docPr id="6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D29EE" w:rsidRPr="003F5257">
        <w:rPr>
          <w:rFonts w:ascii="Times New Roman" w:eastAsia="Calibri" w:hAnsi="Times New Roman"/>
          <w:sz w:val="24"/>
          <w:szCs w:val="24"/>
        </w:rPr>
        <w:t>Отраслевая структура промышленного производства в январе-июне 2017 года на фоне отсутствия в апреле-мае поставок электроэнергии в Республику Молдова, перераспределилась следующим образом:</w:t>
      </w:r>
    </w:p>
    <w:p w:rsidR="003D29EE" w:rsidRPr="003F5257" w:rsidRDefault="003D29EE" w:rsidP="003D29EE">
      <w:pPr>
        <w:spacing w:after="0" w:line="240" w:lineRule="auto"/>
        <w:ind w:firstLine="709"/>
        <w:contextualSpacing/>
        <w:jc w:val="both"/>
        <w:rPr>
          <w:rFonts w:ascii="Times New Roman" w:eastAsia="Calibri" w:hAnsi="Times New Roman"/>
          <w:sz w:val="24"/>
          <w:szCs w:val="24"/>
        </w:rPr>
      </w:pPr>
      <w:r w:rsidRPr="003F5257">
        <w:rPr>
          <w:rFonts w:ascii="Times New Roman" w:eastAsia="Calibri" w:hAnsi="Times New Roman"/>
          <w:sz w:val="24"/>
          <w:szCs w:val="24"/>
        </w:rPr>
        <w:t xml:space="preserve">Наращивание объемов производства на ОАО «Молдавский металлургический завод» во втором квартале текущего года обусловило расширение долевого представления черной металлургии с 13,1% до 19,5%. Соответственно удельный вес энергетического комплекса снизился на 13,0 </w:t>
      </w:r>
      <w:r>
        <w:rPr>
          <w:rFonts w:ascii="Times New Roman" w:eastAsia="Calibri" w:hAnsi="Times New Roman"/>
          <w:sz w:val="24"/>
          <w:szCs w:val="24"/>
        </w:rPr>
        <w:t>п.п.</w:t>
      </w:r>
      <w:r w:rsidRPr="003F5257">
        <w:rPr>
          <w:rFonts w:ascii="Times New Roman" w:eastAsia="Calibri" w:hAnsi="Times New Roman"/>
          <w:sz w:val="24"/>
          <w:szCs w:val="24"/>
        </w:rPr>
        <w:t xml:space="preserve"> до 37,0%. Вместе с тем, достигнутые за рассматриваемый период показатели в легкой и пищевой промышленности обеспечили повышение вклада </w:t>
      </w:r>
      <w:r w:rsidRPr="003F5257">
        <w:rPr>
          <w:rFonts w:ascii="Times New Roman" w:eastAsia="Calibri" w:hAnsi="Times New Roman"/>
          <w:sz w:val="24"/>
          <w:szCs w:val="24"/>
        </w:rPr>
        <w:lastRenderedPageBreak/>
        <w:t xml:space="preserve">предприятий данных отраслей в структуре совокупного объема производства до 15,5% </w:t>
      </w:r>
      <w:r>
        <w:rPr>
          <w:rFonts w:ascii="Times New Roman" w:eastAsia="Calibri" w:hAnsi="Times New Roman"/>
          <w:sz w:val="24"/>
          <w:szCs w:val="24"/>
        </w:rPr>
        <w:br/>
      </w:r>
      <w:r w:rsidRPr="003F5257">
        <w:rPr>
          <w:rFonts w:ascii="Times New Roman" w:eastAsia="Calibri" w:hAnsi="Times New Roman"/>
          <w:sz w:val="24"/>
          <w:szCs w:val="24"/>
        </w:rPr>
        <w:t>(+1,8 п.п.) и 14,5% (+2,2 п.п.).</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В июне 2017 года объем промышленного производства на фоне активного роста производственных показателей в черной металлургии в совокупности с возобновлением поставок электроэнергии, вырабатываемой ЗАО «Молдавская ГРЭС», вырос относительно базового показателя июня 2016 года на 17,8%, а относительно уровня мая 2017 года – на 34,0%.</w:t>
      </w:r>
    </w:p>
    <w:p w:rsidR="003D29EE" w:rsidRPr="00146BB8" w:rsidRDefault="003D29EE" w:rsidP="00146BB8">
      <w:pPr>
        <w:spacing w:after="0" w:line="240" w:lineRule="auto"/>
        <w:jc w:val="both"/>
        <w:rPr>
          <w:rFonts w:ascii="Times New Roman" w:eastAsia="Calibri" w:hAnsi="Times New Roman"/>
          <w:sz w:val="16"/>
          <w:szCs w:val="16"/>
        </w:rPr>
      </w:pPr>
    </w:p>
    <w:p w:rsidR="003D29EE" w:rsidRPr="003F5257" w:rsidRDefault="003D29EE" w:rsidP="003D29EE">
      <w:pPr>
        <w:spacing w:after="0" w:line="240" w:lineRule="auto"/>
        <w:ind w:firstLine="709"/>
        <w:jc w:val="both"/>
        <w:rPr>
          <w:rFonts w:ascii="Times New Roman" w:eastAsia="Calibri" w:hAnsi="Times New Roman"/>
          <w:b/>
          <w:sz w:val="24"/>
          <w:szCs w:val="24"/>
        </w:rPr>
      </w:pPr>
      <w:r w:rsidRPr="003F5257">
        <w:rPr>
          <w:rFonts w:ascii="Times New Roman" w:eastAsia="Calibri" w:hAnsi="Times New Roman"/>
          <w:b/>
          <w:sz w:val="24"/>
          <w:szCs w:val="24"/>
        </w:rPr>
        <w:t>Динамика промышленного производства</w:t>
      </w:r>
      <w:r w:rsidRPr="003F5257">
        <w:rPr>
          <w:rFonts w:ascii="Times New Roman" w:eastAsia="Calibri" w:hAnsi="Times New Roman"/>
          <w:sz w:val="24"/>
          <w:szCs w:val="24"/>
        </w:rPr>
        <w:t xml:space="preserve"> (в сопоставимых ценах), </w:t>
      </w:r>
      <w:proofErr w:type="spellStart"/>
      <w:r>
        <w:rPr>
          <w:rFonts w:ascii="Times New Roman" w:eastAsia="Calibri" w:hAnsi="Times New Roman"/>
          <w:b/>
          <w:sz w:val="24"/>
          <w:szCs w:val="24"/>
        </w:rPr>
        <w:t>млн</w:t>
      </w:r>
      <w:proofErr w:type="spellEnd"/>
      <w:r w:rsidRPr="003F5257">
        <w:rPr>
          <w:rFonts w:ascii="Times New Roman" w:eastAsia="Calibri" w:hAnsi="Times New Roman"/>
          <w:b/>
          <w:sz w:val="24"/>
          <w:szCs w:val="24"/>
        </w:rPr>
        <w:t xml:space="preserve"> руб.</w:t>
      </w:r>
    </w:p>
    <w:p w:rsidR="003D29EE" w:rsidRPr="003F5257" w:rsidRDefault="003D29EE" w:rsidP="003D29EE">
      <w:pPr>
        <w:spacing w:after="0" w:line="240" w:lineRule="auto"/>
        <w:jc w:val="both"/>
        <w:rPr>
          <w:rFonts w:ascii="Times New Roman" w:eastAsia="Calibri" w:hAnsi="Times New Roman"/>
          <w:b/>
          <w:sz w:val="24"/>
          <w:szCs w:val="24"/>
        </w:rPr>
      </w:pPr>
      <w:r w:rsidRPr="003F5257">
        <w:rPr>
          <w:rFonts w:ascii="Times New Roman" w:eastAsia="Calibri" w:hAnsi="Times New Roman"/>
          <w:b/>
          <w:noProof/>
          <w:sz w:val="24"/>
          <w:szCs w:val="24"/>
        </w:rPr>
        <w:drawing>
          <wp:inline distT="0" distB="0" distL="0" distR="0">
            <wp:extent cx="5979381" cy="2099144"/>
            <wp:effectExtent l="0" t="0" r="0" b="0"/>
            <wp:docPr id="6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29EE" w:rsidRPr="003F5257" w:rsidRDefault="003D29EE" w:rsidP="003D29EE">
      <w:pPr>
        <w:spacing w:after="0" w:line="240" w:lineRule="auto"/>
        <w:ind w:firstLine="708"/>
        <w:contextualSpacing/>
        <w:jc w:val="both"/>
        <w:rPr>
          <w:rFonts w:ascii="Times New Roman" w:eastAsia="Calibri" w:hAnsi="Times New Roman"/>
          <w:sz w:val="24"/>
          <w:szCs w:val="24"/>
        </w:rPr>
      </w:pPr>
    </w:p>
    <w:p w:rsidR="003D29EE" w:rsidRPr="003F5257" w:rsidRDefault="003D29EE" w:rsidP="003D29EE">
      <w:pPr>
        <w:spacing w:after="0" w:line="240" w:lineRule="auto"/>
        <w:ind w:firstLine="709"/>
        <w:jc w:val="center"/>
        <w:rPr>
          <w:rFonts w:ascii="Times New Roman" w:eastAsia="Calibri" w:hAnsi="Times New Roman"/>
          <w:b/>
        </w:rPr>
      </w:pPr>
      <w:r w:rsidRPr="003F5257">
        <w:rPr>
          <w:rFonts w:ascii="Times New Roman" w:eastAsia="Calibri" w:hAnsi="Times New Roman"/>
          <w:b/>
        </w:rPr>
        <w:t>Динамика промышленной проду</w:t>
      </w:r>
      <w:r>
        <w:rPr>
          <w:rFonts w:ascii="Times New Roman" w:eastAsia="Calibri" w:hAnsi="Times New Roman"/>
          <w:b/>
        </w:rPr>
        <w:t xml:space="preserve">кции в разрезе </w:t>
      </w:r>
      <w:proofErr w:type="spellStart"/>
      <w:r>
        <w:rPr>
          <w:rFonts w:ascii="Times New Roman" w:eastAsia="Calibri" w:hAnsi="Times New Roman"/>
          <w:b/>
        </w:rPr>
        <w:t>подотраслей</w:t>
      </w:r>
      <w:proofErr w:type="spellEnd"/>
      <w:r>
        <w:rPr>
          <w:rFonts w:ascii="Times New Roman" w:eastAsia="Calibri" w:hAnsi="Times New Roman"/>
          <w:b/>
        </w:rPr>
        <w:t xml:space="preserve">, </w:t>
      </w:r>
      <w:proofErr w:type="spellStart"/>
      <w:r>
        <w:rPr>
          <w:rFonts w:ascii="Times New Roman" w:eastAsia="Calibri" w:hAnsi="Times New Roman"/>
          <w:b/>
        </w:rPr>
        <w:t>млн</w:t>
      </w:r>
      <w:proofErr w:type="spellEnd"/>
      <w:r w:rsidRPr="003F5257">
        <w:rPr>
          <w:rFonts w:ascii="Times New Roman" w:eastAsia="Calibri" w:hAnsi="Times New Roman"/>
          <w:b/>
        </w:rPr>
        <w:t xml:space="preserve"> руб.</w:t>
      </w:r>
    </w:p>
    <w:p w:rsidR="003D29EE" w:rsidRPr="003F5257" w:rsidRDefault="003D29EE" w:rsidP="003D29EE">
      <w:pPr>
        <w:spacing w:after="0" w:line="240" w:lineRule="auto"/>
        <w:rPr>
          <w:rFonts w:ascii="Times New Roman" w:eastAsia="Calibri" w:hAnsi="Times New Roman"/>
          <w:b/>
        </w:rPr>
      </w:pPr>
      <w:r w:rsidRPr="003F5257">
        <w:rPr>
          <w:rFonts w:ascii="Times New Roman" w:eastAsia="Calibri" w:hAnsi="Times New Roman"/>
          <w:b/>
          <w:noProof/>
          <w:color w:val="FF0000"/>
        </w:rPr>
        <w:drawing>
          <wp:inline distT="0" distB="0" distL="0" distR="0">
            <wp:extent cx="6070103" cy="3466768"/>
            <wp:effectExtent l="19050" t="0" r="25897" b="0"/>
            <wp:docPr id="6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29EE" w:rsidRPr="003F5257" w:rsidRDefault="003D29EE" w:rsidP="003D29EE">
      <w:pPr>
        <w:spacing w:after="0" w:line="240" w:lineRule="auto"/>
        <w:ind w:firstLine="709"/>
        <w:rPr>
          <w:rFonts w:ascii="Times New Roman" w:eastAsia="Calibri" w:hAnsi="Times New Roman"/>
          <w:b/>
          <w:highlight w:val="yellow"/>
        </w:rPr>
      </w:pP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 xml:space="preserve">В целом за </w:t>
      </w:r>
      <w:r w:rsidRPr="003F5257">
        <w:rPr>
          <w:rFonts w:ascii="Times New Roman" w:eastAsia="Calibri" w:hAnsi="Times New Roman"/>
          <w:color w:val="000000"/>
          <w:sz w:val="24"/>
          <w:szCs w:val="24"/>
        </w:rPr>
        <w:t xml:space="preserve">рассматриваемый период </w:t>
      </w:r>
      <w:r w:rsidRPr="003F5257">
        <w:rPr>
          <w:rFonts w:ascii="Times New Roman" w:eastAsia="Calibri" w:hAnsi="Times New Roman"/>
          <w:sz w:val="24"/>
          <w:szCs w:val="24"/>
        </w:rPr>
        <w:t>увеличили выпуск промышленной продукции 50</w:t>
      </w:r>
      <w:r w:rsidR="003910AF">
        <w:rPr>
          <w:rFonts w:ascii="Times New Roman" w:eastAsia="Calibri" w:hAnsi="Times New Roman"/>
          <w:sz w:val="24"/>
          <w:szCs w:val="24"/>
        </w:rPr>
        <w:t xml:space="preserve"> </w:t>
      </w:r>
      <w:r w:rsidRPr="003F5257">
        <w:rPr>
          <w:rFonts w:ascii="Times New Roman" w:eastAsia="Calibri" w:hAnsi="Times New Roman"/>
          <w:sz w:val="24"/>
          <w:szCs w:val="24"/>
        </w:rPr>
        <w:t>предприятий</w:t>
      </w:r>
      <w:r>
        <w:rPr>
          <w:rFonts w:ascii="Times New Roman" w:eastAsia="Calibri" w:hAnsi="Times New Roman"/>
          <w:sz w:val="24"/>
          <w:szCs w:val="24"/>
        </w:rPr>
        <w:t>,</w:t>
      </w:r>
      <w:r w:rsidRPr="003F5257">
        <w:rPr>
          <w:rFonts w:ascii="Times New Roman" w:eastAsia="Calibri" w:hAnsi="Times New Roman"/>
          <w:sz w:val="24"/>
          <w:szCs w:val="24"/>
        </w:rPr>
        <w:t xml:space="preserve"> или 59,5% от их общего числа (в январе-июне </w:t>
      </w:r>
      <w:r w:rsidRPr="003F5257">
        <w:rPr>
          <w:rFonts w:ascii="Times New Roman" w:eastAsia="Calibri" w:hAnsi="Times New Roman"/>
          <w:color w:val="000000"/>
          <w:sz w:val="24"/>
          <w:szCs w:val="24"/>
        </w:rPr>
        <w:t xml:space="preserve">2016 году </w:t>
      </w:r>
      <w:r w:rsidRPr="003F5257">
        <w:rPr>
          <w:rFonts w:ascii="Times New Roman" w:eastAsia="Calibri" w:hAnsi="Times New Roman"/>
          <w:sz w:val="24"/>
          <w:szCs w:val="24"/>
        </w:rPr>
        <w:t xml:space="preserve">- 31 предприятие), спад допущен на 27 предприятиях, что составляет 32,1% соответственно (в </w:t>
      </w:r>
      <w:r w:rsidRPr="003F5257">
        <w:rPr>
          <w:rFonts w:ascii="Times New Roman" w:eastAsia="Calibri" w:hAnsi="Times New Roman"/>
          <w:sz w:val="24"/>
          <w:szCs w:val="24"/>
          <w:lang w:val="en-US"/>
        </w:rPr>
        <w:t>I</w:t>
      </w:r>
      <w:r w:rsidRPr="003F5257">
        <w:rPr>
          <w:rFonts w:ascii="Times New Roman" w:eastAsia="Calibri" w:hAnsi="Times New Roman"/>
          <w:sz w:val="24"/>
          <w:szCs w:val="24"/>
        </w:rPr>
        <w:t xml:space="preserve"> полугодии</w:t>
      </w:r>
      <w:r w:rsidR="003910AF">
        <w:rPr>
          <w:rFonts w:ascii="Times New Roman" w:eastAsia="Calibri" w:hAnsi="Times New Roman"/>
          <w:sz w:val="24"/>
          <w:szCs w:val="24"/>
        </w:rPr>
        <w:t xml:space="preserve">          </w:t>
      </w:r>
      <w:r w:rsidRPr="003F5257">
        <w:rPr>
          <w:rFonts w:ascii="Times New Roman" w:eastAsia="Calibri" w:hAnsi="Times New Roman"/>
          <w:color w:val="000000"/>
          <w:sz w:val="24"/>
          <w:szCs w:val="24"/>
        </w:rPr>
        <w:t xml:space="preserve">2016 года </w:t>
      </w:r>
      <w:r w:rsidRPr="003F5257">
        <w:rPr>
          <w:rFonts w:ascii="Times New Roman" w:eastAsia="Calibri" w:hAnsi="Times New Roman"/>
          <w:sz w:val="24"/>
          <w:szCs w:val="24"/>
        </w:rPr>
        <w:t>– 52 предприятия).</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К выпуску промышленной продукции с начала года не приступило                                   7</w:t>
      </w:r>
      <w:r w:rsidR="003910AF">
        <w:rPr>
          <w:rFonts w:ascii="Times New Roman" w:eastAsia="Calibri" w:hAnsi="Times New Roman"/>
          <w:sz w:val="24"/>
          <w:szCs w:val="24"/>
        </w:rPr>
        <w:t xml:space="preserve"> </w:t>
      </w:r>
      <w:r w:rsidRPr="003F5257">
        <w:rPr>
          <w:rFonts w:ascii="Times New Roman" w:eastAsia="Calibri" w:hAnsi="Times New Roman"/>
          <w:sz w:val="24"/>
          <w:szCs w:val="24"/>
        </w:rPr>
        <w:t>промышленных предприятий:</w:t>
      </w:r>
    </w:p>
    <w:p w:rsidR="003D29EE" w:rsidRPr="003F5257" w:rsidRDefault="003D29EE" w:rsidP="003D29EE">
      <w:pPr>
        <w:tabs>
          <w:tab w:val="left" w:pos="1080"/>
        </w:tabs>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w:t>
      </w:r>
      <w:r w:rsidRPr="003F5257">
        <w:rPr>
          <w:rFonts w:ascii="Times New Roman" w:eastAsia="Calibri" w:hAnsi="Times New Roman"/>
          <w:sz w:val="24"/>
          <w:szCs w:val="24"/>
        </w:rPr>
        <w:tab/>
        <w:t>ГУП «</w:t>
      </w:r>
      <w:proofErr w:type="spellStart"/>
      <w:r w:rsidRPr="003F5257">
        <w:rPr>
          <w:rFonts w:ascii="Times New Roman" w:eastAsia="Calibri" w:hAnsi="Times New Roman"/>
          <w:sz w:val="24"/>
          <w:szCs w:val="24"/>
        </w:rPr>
        <w:t>Дубоссарское</w:t>
      </w:r>
      <w:proofErr w:type="spellEnd"/>
      <w:r w:rsidRPr="003F5257">
        <w:rPr>
          <w:rFonts w:ascii="Times New Roman" w:eastAsia="Calibri" w:hAnsi="Times New Roman"/>
          <w:sz w:val="24"/>
          <w:szCs w:val="24"/>
        </w:rPr>
        <w:t xml:space="preserve"> хлебоприемное предприятие», МУП «Автосервис и торговля» г.Дубоссары, МУП «</w:t>
      </w:r>
      <w:proofErr w:type="spellStart"/>
      <w:r w:rsidRPr="003F5257">
        <w:rPr>
          <w:rFonts w:ascii="Times New Roman" w:eastAsia="Calibri" w:hAnsi="Times New Roman"/>
          <w:sz w:val="24"/>
          <w:szCs w:val="24"/>
        </w:rPr>
        <w:t>Ветбиофарм</w:t>
      </w:r>
      <w:proofErr w:type="spellEnd"/>
      <w:r w:rsidRPr="003F5257">
        <w:rPr>
          <w:rFonts w:ascii="Times New Roman" w:eastAsia="Calibri" w:hAnsi="Times New Roman"/>
          <w:sz w:val="24"/>
          <w:szCs w:val="24"/>
        </w:rPr>
        <w:t>» - находятся в процессе ликвидации;</w:t>
      </w:r>
    </w:p>
    <w:p w:rsidR="003D29EE" w:rsidRPr="003F5257" w:rsidRDefault="003D29EE" w:rsidP="003D29EE">
      <w:pPr>
        <w:tabs>
          <w:tab w:val="left" w:pos="1080"/>
        </w:tabs>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w:t>
      </w:r>
      <w:r w:rsidRPr="003F5257">
        <w:rPr>
          <w:rFonts w:ascii="Times New Roman" w:eastAsia="Calibri" w:hAnsi="Times New Roman"/>
          <w:sz w:val="24"/>
          <w:szCs w:val="24"/>
        </w:rPr>
        <w:tab/>
        <w:t>ООО «С/</w:t>
      </w:r>
      <w:proofErr w:type="spellStart"/>
      <w:r w:rsidRPr="003F5257">
        <w:rPr>
          <w:rFonts w:ascii="Times New Roman" w:eastAsia="Calibri" w:hAnsi="Times New Roman"/>
          <w:sz w:val="24"/>
          <w:szCs w:val="24"/>
        </w:rPr>
        <w:t>х</w:t>
      </w:r>
      <w:proofErr w:type="spellEnd"/>
      <w:r w:rsidRPr="003F5257">
        <w:rPr>
          <w:rFonts w:ascii="Times New Roman" w:eastAsia="Calibri" w:hAnsi="Times New Roman"/>
          <w:sz w:val="24"/>
          <w:szCs w:val="24"/>
        </w:rPr>
        <w:t xml:space="preserve"> фирма </w:t>
      </w:r>
      <w:proofErr w:type="spellStart"/>
      <w:r w:rsidRPr="003F5257">
        <w:rPr>
          <w:rFonts w:ascii="Times New Roman" w:eastAsia="Calibri" w:hAnsi="Times New Roman"/>
          <w:sz w:val="24"/>
          <w:szCs w:val="24"/>
        </w:rPr>
        <w:t>Рустас</w:t>
      </w:r>
      <w:proofErr w:type="spellEnd"/>
      <w:r w:rsidRPr="003F5257">
        <w:rPr>
          <w:rFonts w:ascii="Times New Roman" w:eastAsia="Calibri" w:hAnsi="Times New Roman"/>
          <w:sz w:val="24"/>
          <w:szCs w:val="24"/>
        </w:rPr>
        <w:t>» - перешла полностью на производство сельскохозяйственной продукции;</w:t>
      </w:r>
    </w:p>
    <w:p w:rsidR="003D29EE" w:rsidRPr="003F5257" w:rsidRDefault="003D29EE" w:rsidP="003D29EE">
      <w:pPr>
        <w:tabs>
          <w:tab w:val="left" w:pos="1080"/>
        </w:tabs>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lastRenderedPageBreak/>
        <w:t>-</w:t>
      </w:r>
      <w:r w:rsidRPr="003F5257">
        <w:rPr>
          <w:rFonts w:ascii="Times New Roman" w:eastAsia="Calibri" w:hAnsi="Times New Roman"/>
          <w:sz w:val="24"/>
          <w:szCs w:val="24"/>
        </w:rPr>
        <w:tab/>
      </w:r>
      <w:r w:rsidRPr="003F5257">
        <w:rPr>
          <w:rFonts w:ascii="Times New Roman" w:eastAsia="Calibri" w:hAnsi="Times New Roman"/>
          <w:sz w:val="24"/>
          <w:szCs w:val="24"/>
          <w:lang w:val="en-US"/>
        </w:rPr>
        <w:t>OOO</w:t>
      </w:r>
      <w:r w:rsidRPr="003F5257">
        <w:rPr>
          <w:rFonts w:ascii="Times New Roman" w:eastAsia="Calibri" w:hAnsi="Times New Roman"/>
          <w:sz w:val="24"/>
          <w:szCs w:val="24"/>
        </w:rPr>
        <w:t xml:space="preserve"> «Мебельная фабрика </w:t>
      </w:r>
      <w:proofErr w:type="spellStart"/>
      <w:r w:rsidRPr="003F5257">
        <w:rPr>
          <w:rFonts w:ascii="Times New Roman" w:eastAsia="Calibri" w:hAnsi="Times New Roman"/>
          <w:sz w:val="24"/>
          <w:szCs w:val="24"/>
        </w:rPr>
        <w:t>Евростиль</w:t>
      </w:r>
      <w:proofErr w:type="spellEnd"/>
      <w:r w:rsidRPr="003F5257">
        <w:rPr>
          <w:rFonts w:ascii="Times New Roman" w:eastAsia="Calibri" w:hAnsi="Times New Roman"/>
          <w:sz w:val="24"/>
          <w:szCs w:val="24"/>
        </w:rPr>
        <w:t xml:space="preserve">» - в условиях конкуренции на отраслевом рынке, вызвавшей трудности с реализацией продукции, не приступала к производству продукции в целях </w:t>
      </w:r>
      <w:proofErr w:type="spellStart"/>
      <w:r w:rsidRPr="003F5257">
        <w:rPr>
          <w:rFonts w:ascii="Times New Roman" w:eastAsia="Calibri" w:hAnsi="Times New Roman"/>
          <w:sz w:val="24"/>
          <w:szCs w:val="24"/>
        </w:rPr>
        <w:t>незатоваривания</w:t>
      </w:r>
      <w:proofErr w:type="spellEnd"/>
      <w:r w:rsidRPr="003F5257">
        <w:rPr>
          <w:rFonts w:ascii="Times New Roman" w:eastAsia="Calibri" w:hAnsi="Times New Roman"/>
          <w:sz w:val="24"/>
          <w:szCs w:val="24"/>
        </w:rPr>
        <w:t xml:space="preserve"> складов;</w:t>
      </w:r>
    </w:p>
    <w:p w:rsidR="003D29EE" w:rsidRPr="006E2BBC" w:rsidRDefault="003D29EE" w:rsidP="003D29EE">
      <w:pPr>
        <w:tabs>
          <w:tab w:val="left" w:pos="1080"/>
        </w:tabs>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w:t>
      </w:r>
      <w:r w:rsidRPr="003F5257">
        <w:rPr>
          <w:rFonts w:ascii="Times New Roman" w:eastAsia="Calibri" w:hAnsi="Times New Roman"/>
          <w:sz w:val="24"/>
          <w:szCs w:val="24"/>
        </w:rPr>
        <w:tab/>
        <w:t xml:space="preserve">ОАО «Тираспольский кирпичный завод» - не приступал к производству промышленной продукции ввиду затоваривания складов, </w:t>
      </w:r>
      <w:r w:rsidRPr="006E2BBC">
        <w:rPr>
          <w:rFonts w:ascii="Times New Roman" w:eastAsia="Calibri" w:hAnsi="Times New Roman"/>
          <w:sz w:val="24"/>
          <w:szCs w:val="24"/>
        </w:rPr>
        <w:t xml:space="preserve">что обусловлено </w:t>
      </w:r>
      <w:r w:rsidRPr="006E2BBC">
        <w:rPr>
          <w:rFonts w:ascii="Times New Roman" w:eastAsia="Calibri" w:hAnsi="Times New Roman"/>
          <w:sz w:val="24"/>
          <w:szCs w:val="24"/>
          <w:shd w:val="clear" w:color="auto" w:fill="FFFFFF"/>
        </w:rPr>
        <w:t>сокращением спроса на продукцию предприятия, а также применением специалистами строительной отрасли более современных и экономичных материалов;</w:t>
      </w:r>
    </w:p>
    <w:p w:rsidR="003D29EE" w:rsidRPr="006E2BBC" w:rsidRDefault="003D29EE" w:rsidP="003D29EE">
      <w:pPr>
        <w:tabs>
          <w:tab w:val="left" w:pos="1080"/>
        </w:tabs>
        <w:spacing w:after="0" w:line="240" w:lineRule="auto"/>
        <w:ind w:firstLine="709"/>
        <w:jc w:val="both"/>
        <w:rPr>
          <w:rFonts w:ascii="Times New Roman" w:eastAsia="Calibri" w:hAnsi="Times New Roman"/>
          <w:sz w:val="24"/>
          <w:szCs w:val="24"/>
        </w:rPr>
      </w:pPr>
      <w:r w:rsidRPr="006E2BBC">
        <w:rPr>
          <w:rFonts w:ascii="Times New Roman" w:eastAsia="Calibri" w:hAnsi="Times New Roman"/>
          <w:sz w:val="24"/>
          <w:szCs w:val="24"/>
        </w:rPr>
        <w:t>-</w:t>
      </w:r>
      <w:r w:rsidRPr="006E2BBC">
        <w:rPr>
          <w:rFonts w:ascii="Times New Roman" w:eastAsia="Calibri" w:hAnsi="Times New Roman"/>
          <w:sz w:val="24"/>
          <w:szCs w:val="24"/>
        </w:rPr>
        <w:tab/>
        <w:t>ОАО «</w:t>
      </w:r>
      <w:proofErr w:type="spellStart"/>
      <w:r w:rsidRPr="006E2BBC">
        <w:rPr>
          <w:rFonts w:ascii="Times New Roman" w:eastAsia="Calibri" w:hAnsi="Times New Roman"/>
          <w:sz w:val="24"/>
          <w:szCs w:val="24"/>
        </w:rPr>
        <w:t>Рыбницкий</w:t>
      </w:r>
      <w:proofErr w:type="spellEnd"/>
      <w:r w:rsidRPr="006E2BBC">
        <w:rPr>
          <w:rFonts w:ascii="Times New Roman" w:eastAsia="Calibri" w:hAnsi="Times New Roman"/>
          <w:sz w:val="24"/>
          <w:szCs w:val="24"/>
        </w:rPr>
        <w:t xml:space="preserve"> молочный комбинат» -</w:t>
      </w:r>
      <w:r w:rsidR="003910AF">
        <w:rPr>
          <w:rFonts w:ascii="Times New Roman" w:eastAsia="Calibri" w:hAnsi="Times New Roman"/>
          <w:sz w:val="24"/>
          <w:szCs w:val="24"/>
        </w:rPr>
        <w:t xml:space="preserve"> </w:t>
      </w:r>
      <w:r w:rsidRPr="006E2BBC">
        <w:rPr>
          <w:rFonts w:ascii="Times New Roman" w:eastAsia="Calibri" w:hAnsi="Times New Roman"/>
          <w:sz w:val="24"/>
          <w:szCs w:val="24"/>
        </w:rPr>
        <w:t xml:space="preserve">не приступал к производству промышленной продукции ввиду </w:t>
      </w:r>
      <w:r w:rsidRPr="006E2BBC">
        <w:rPr>
          <w:rFonts w:ascii="Times New Roman" w:eastAsia="Calibri" w:hAnsi="Times New Roman"/>
          <w:sz w:val="24"/>
          <w:szCs w:val="24"/>
          <w:shd w:val="clear" w:color="auto" w:fill="FFFFFF"/>
        </w:rPr>
        <w:t>отсутствия сырья, нехватки оборотных средств, а также наличия задолженности по кредитам и налоговым платежам перед бюджетами различных уровней</w:t>
      </w:r>
      <w:r w:rsidRPr="006E2BBC">
        <w:rPr>
          <w:rFonts w:ascii="Times New Roman" w:eastAsia="Calibri" w:hAnsi="Times New Roman"/>
          <w:sz w:val="24"/>
          <w:szCs w:val="24"/>
        </w:rPr>
        <w:t>.</w:t>
      </w:r>
    </w:p>
    <w:p w:rsidR="003D29EE" w:rsidRPr="006E2BBC" w:rsidRDefault="003D29EE" w:rsidP="003D29EE">
      <w:pPr>
        <w:spacing w:after="0" w:line="240" w:lineRule="auto"/>
        <w:ind w:firstLine="709"/>
        <w:jc w:val="both"/>
        <w:rPr>
          <w:rFonts w:ascii="Times New Roman" w:hAnsi="Times New Roman"/>
          <w:sz w:val="24"/>
          <w:szCs w:val="24"/>
          <w:lang w:eastAsia="en-US"/>
        </w:rPr>
      </w:pPr>
      <w:r w:rsidRPr="006E2BBC">
        <w:rPr>
          <w:rFonts w:ascii="Times New Roman" w:hAnsi="Times New Roman"/>
          <w:sz w:val="24"/>
          <w:szCs w:val="24"/>
          <w:lang w:eastAsia="en-US"/>
        </w:rPr>
        <w:t>В I полугодии 2017 года в разрезе отраслей ситуация складывалась следующим образом:</w:t>
      </w:r>
    </w:p>
    <w:p w:rsidR="003D29EE" w:rsidRPr="003F5257" w:rsidRDefault="003D29EE" w:rsidP="003D29EE">
      <w:pPr>
        <w:spacing w:after="0" w:line="240" w:lineRule="auto"/>
        <w:ind w:firstLine="709"/>
        <w:contextualSpacing/>
        <w:jc w:val="both"/>
        <w:rPr>
          <w:rFonts w:ascii="Times New Roman" w:eastAsia="Calibri" w:hAnsi="Times New Roman"/>
          <w:sz w:val="24"/>
          <w:szCs w:val="24"/>
        </w:rPr>
      </w:pPr>
      <w:r w:rsidRPr="003F5257">
        <w:rPr>
          <w:rFonts w:ascii="Times New Roman" w:eastAsia="Calibri" w:hAnsi="Times New Roman"/>
          <w:sz w:val="24"/>
          <w:szCs w:val="24"/>
        </w:rPr>
        <w:t xml:space="preserve">В </w:t>
      </w:r>
      <w:r w:rsidRPr="003F5257">
        <w:rPr>
          <w:rFonts w:ascii="Times New Roman" w:eastAsia="Calibri" w:hAnsi="Times New Roman"/>
          <w:b/>
          <w:sz w:val="24"/>
          <w:szCs w:val="24"/>
        </w:rPr>
        <w:t>электроэнергетическом комплексе</w:t>
      </w:r>
      <w:r w:rsidRPr="003F5257">
        <w:rPr>
          <w:rFonts w:ascii="Times New Roman" w:eastAsia="Calibri" w:hAnsi="Times New Roman"/>
          <w:sz w:val="24"/>
          <w:szCs w:val="24"/>
        </w:rPr>
        <w:t xml:space="preserve"> республики в результате приостановки в апреле – мае поставок электроэнергии, вырабатываемой ЗАО «Молдавская ГРЭС», в Республику Молдова </w:t>
      </w:r>
      <w:r>
        <w:rPr>
          <w:rFonts w:ascii="Times New Roman" w:eastAsia="Calibri" w:hAnsi="Times New Roman"/>
          <w:sz w:val="24"/>
          <w:szCs w:val="24"/>
        </w:rPr>
        <w:t xml:space="preserve">по итогам периода </w:t>
      </w:r>
      <w:r w:rsidRPr="003F5257">
        <w:rPr>
          <w:rFonts w:ascii="Times New Roman" w:eastAsia="Calibri" w:hAnsi="Times New Roman"/>
          <w:sz w:val="24"/>
          <w:szCs w:val="24"/>
        </w:rPr>
        <w:t xml:space="preserve">отмечалось сокращение выработки электроэнергии в натуральном выражении в целом по отрасли на 597 962 тыс. кВт/ч </w:t>
      </w:r>
      <w:r>
        <w:rPr>
          <w:rFonts w:ascii="Times New Roman" w:eastAsia="Calibri" w:hAnsi="Times New Roman"/>
          <w:sz w:val="24"/>
          <w:szCs w:val="24"/>
        </w:rPr>
        <w:t>(</w:t>
      </w:r>
      <w:r w:rsidRPr="003F5257">
        <w:rPr>
          <w:rFonts w:ascii="Times New Roman" w:eastAsia="Calibri" w:hAnsi="Times New Roman"/>
          <w:sz w:val="24"/>
          <w:szCs w:val="24"/>
        </w:rPr>
        <w:t>-26,0%), что предопределило снижение товарного выпуска в стоимостном выражении на 30,3%.</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 xml:space="preserve">Увеличение проката стали на ЗАО «Молдавский металлургический завод» обусловило </w:t>
      </w:r>
      <w:r>
        <w:rPr>
          <w:rFonts w:ascii="Times New Roman" w:eastAsia="Calibri" w:hAnsi="Times New Roman"/>
          <w:sz w:val="24"/>
          <w:szCs w:val="24"/>
        </w:rPr>
        <w:t>превышение</w:t>
      </w:r>
      <w:r w:rsidRPr="003F5257">
        <w:rPr>
          <w:rFonts w:ascii="Times New Roman" w:eastAsia="Calibri" w:hAnsi="Times New Roman"/>
          <w:sz w:val="24"/>
          <w:szCs w:val="24"/>
        </w:rPr>
        <w:t xml:space="preserve"> товарного выпуска в июне текущего года к уровню июня 2016 года в 3,3 раза. В целом в </w:t>
      </w:r>
      <w:r w:rsidRPr="003F5257">
        <w:rPr>
          <w:rFonts w:ascii="Times New Roman" w:eastAsia="Calibri" w:hAnsi="Times New Roman"/>
          <w:b/>
          <w:sz w:val="24"/>
          <w:szCs w:val="24"/>
        </w:rPr>
        <w:t>черной металлургии</w:t>
      </w:r>
      <w:r w:rsidR="003910AF">
        <w:rPr>
          <w:rFonts w:ascii="Times New Roman" w:eastAsia="Calibri" w:hAnsi="Times New Roman"/>
          <w:b/>
          <w:sz w:val="24"/>
          <w:szCs w:val="24"/>
        </w:rPr>
        <w:t xml:space="preserve"> </w:t>
      </w:r>
      <w:r>
        <w:rPr>
          <w:rFonts w:ascii="Times New Roman" w:eastAsia="Calibri" w:hAnsi="Times New Roman"/>
          <w:sz w:val="24"/>
          <w:szCs w:val="24"/>
        </w:rPr>
        <w:t>объём производства</w:t>
      </w:r>
      <w:r w:rsidRPr="003F5257">
        <w:rPr>
          <w:rFonts w:ascii="Times New Roman" w:eastAsia="Calibri" w:hAnsi="Times New Roman"/>
          <w:sz w:val="24"/>
          <w:szCs w:val="24"/>
        </w:rPr>
        <w:t xml:space="preserve"> по итогам I полугодия, учитывая положительную тенденцию ценовой конъюнктуры на рынке черных металлов, а также проведенную девальвацию приднестровского рубля, </w:t>
      </w:r>
      <w:r>
        <w:rPr>
          <w:rFonts w:ascii="Times New Roman" w:eastAsia="Calibri" w:hAnsi="Times New Roman"/>
          <w:sz w:val="24"/>
          <w:szCs w:val="24"/>
        </w:rPr>
        <w:t>возрос</w:t>
      </w:r>
      <w:r w:rsidRPr="003F5257">
        <w:rPr>
          <w:rFonts w:ascii="Times New Roman" w:eastAsia="Calibri" w:hAnsi="Times New Roman"/>
          <w:sz w:val="24"/>
          <w:szCs w:val="24"/>
        </w:rPr>
        <w:t xml:space="preserve"> относительно соответствующего показателя 2016 года на 40,3%.</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В</w:t>
      </w:r>
      <w:r w:rsidRPr="003F5257">
        <w:rPr>
          <w:rFonts w:ascii="Times New Roman" w:eastAsia="Calibri" w:hAnsi="Times New Roman"/>
          <w:b/>
          <w:sz w:val="24"/>
          <w:szCs w:val="24"/>
        </w:rPr>
        <w:t xml:space="preserve"> химической промышленности </w:t>
      </w:r>
      <w:r w:rsidRPr="003F5257">
        <w:rPr>
          <w:rFonts w:ascii="Times New Roman" w:eastAsia="Calibri" w:hAnsi="Times New Roman"/>
          <w:sz w:val="24"/>
          <w:szCs w:val="24"/>
        </w:rPr>
        <w:t>в рассматриваемом периоде положительная динамика отпускных цен в совокупности с увеличением выпуска в натуральном выражении изделий из пластмасс на 49,2%, пленки полимерной в 2,3 раза, а также лаков в 26,6 раз</w:t>
      </w:r>
      <w:r>
        <w:rPr>
          <w:rFonts w:ascii="Times New Roman" w:eastAsia="Calibri" w:hAnsi="Times New Roman"/>
          <w:sz w:val="24"/>
          <w:szCs w:val="24"/>
        </w:rPr>
        <w:t>,</w:t>
      </w:r>
      <w:r w:rsidRPr="003F5257">
        <w:rPr>
          <w:rFonts w:ascii="Times New Roman" w:eastAsia="Calibri" w:hAnsi="Times New Roman"/>
          <w:sz w:val="24"/>
          <w:szCs w:val="24"/>
        </w:rPr>
        <w:t xml:space="preserve"> обусловил</w:t>
      </w:r>
      <w:r>
        <w:rPr>
          <w:rFonts w:ascii="Times New Roman" w:eastAsia="Calibri" w:hAnsi="Times New Roman"/>
          <w:sz w:val="24"/>
          <w:szCs w:val="24"/>
        </w:rPr>
        <w:t>и</w:t>
      </w:r>
      <w:r w:rsidRPr="003F5257">
        <w:rPr>
          <w:rFonts w:ascii="Times New Roman" w:eastAsia="Calibri" w:hAnsi="Times New Roman"/>
          <w:sz w:val="24"/>
          <w:szCs w:val="24"/>
        </w:rPr>
        <w:t xml:space="preserve"> расширение объема производства на 10,7%, а также рост доходов на 16,1%.</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 xml:space="preserve">Предприятия </w:t>
      </w:r>
      <w:r w:rsidRPr="003F5257">
        <w:rPr>
          <w:rFonts w:ascii="Times New Roman" w:eastAsia="Calibri" w:hAnsi="Times New Roman"/>
          <w:b/>
          <w:sz w:val="24"/>
          <w:szCs w:val="24"/>
        </w:rPr>
        <w:t xml:space="preserve">машиностроения и металлообработки, </w:t>
      </w:r>
      <w:r w:rsidRPr="003F5257">
        <w:rPr>
          <w:rFonts w:ascii="Times New Roman" w:eastAsia="Calibri" w:hAnsi="Times New Roman"/>
          <w:sz w:val="24"/>
          <w:szCs w:val="24"/>
        </w:rPr>
        <w:t>деятельность которых</w:t>
      </w:r>
      <w:r w:rsidR="00E22893">
        <w:rPr>
          <w:rFonts w:ascii="Times New Roman" w:eastAsia="Calibri" w:hAnsi="Times New Roman"/>
          <w:sz w:val="24"/>
          <w:szCs w:val="24"/>
        </w:rPr>
        <w:t xml:space="preserve"> </w:t>
      </w:r>
      <w:r w:rsidRPr="003F5257">
        <w:rPr>
          <w:rFonts w:ascii="Times New Roman" w:eastAsia="Calibri" w:hAnsi="Times New Roman"/>
          <w:sz w:val="24"/>
          <w:szCs w:val="24"/>
        </w:rPr>
        <w:t>в основном</w:t>
      </w:r>
      <w:r w:rsidR="00E22893">
        <w:rPr>
          <w:rFonts w:ascii="Times New Roman" w:eastAsia="Calibri" w:hAnsi="Times New Roman"/>
          <w:sz w:val="24"/>
          <w:szCs w:val="24"/>
        </w:rPr>
        <w:t xml:space="preserve"> </w:t>
      </w:r>
      <w:r w:rsidRPr="003F5257">
        <w:rPr>
          <w:rFonts w:ascii="Times New Roman" w:eastAsia="Calibri" w:hAnsi="Times New Roman"/>
          <w:sz w:val="24"/>
          <w:szCs w:val="24"/>
        </w:rPr>
        <w:t>ориентирована на российский рынок, по итогам января-июня 2017 года продолжали демонстрировать нарастающую динамику объема производства (+61,7</w:t>
      </w:r>
      <w:r>
        <w:rPr>
          <w:rFonts w:ascii="Times New Roman" w:eastAsia="Calibri" w:hAnsi="Times New Roman"/>
          <w:sz w:val="24"/>
          <w:szCs w:val="24"/>
        </w:rPr>
        <w:t>%)</w:t>
      </w:r>
      <w:r w:rsidRPr="003F5257">
        <w:rPr>
          <w:rFonts w:ascii="Times New Roman" w:eastAsia="Calibri" w:hAnsi="Times New Roman"/>
          <w:sz w:val="24"/>
          <w:szCs w:val="24"/>
        </w:rPr>
        <w:t xml:space="preserve">. Это стало следствием расширения товарного выпуска на </w:t>
      </w:r>
      <w:proofErr w:type="spellStart"/>
      <w:r w:rsidRPr="003F5257">
        <w:rPr>
          <w:rFonts w:ascii="Times New Roman" w:eastAsia="Calibri" w:hAnsi="Times New Roman"/>
          <w:sz w:val="24"/>
          <w:szCs w:val="24"/>
        </w:rPr>
        <w:t>ф-л</w:t>
      </w:r>
      <w:proofErr w:type="spellEnd"/>
      <w:r w:rsidRPr="003F5257">
        <w:rPr>
          <w:rFonts w:ascii="Times New Roman" w:eastAsia="Calibri" w:hAnsi="Times New Roman"/>
          <w:sz w:val="24"/>
          <w:szCs w:val="24"/>
        </w:rPr>
        <w:t xml:space="preserve"> «Завод «Прибор» (+41,8%), </w:t>
      </w:r>
      <w:r w:rsidR="00E22893">
        <w:rPr>
          <w:rFonts w:ascii="Times New Roman" w:eastAsia="Calibri" w:hAnsi="Times New Roman"/>
          <w:sz w:val="24"/>
          <w:szCs w:val="24"/>
        </w:rPr>
        <w:t xml:space="preserve">               </w:t>
      </w:r>
      <w:r w:rsidRPr="003F5257">
        <w:rPr>
          <w:rFonts w:ascii="Times New Roman" w:eastAsia="Calibri" w:hAnsi="Times New Roman"/>
          <w:sz w:val="24"/>
          <w:szCs w:val="24"/>
        </w:rPr>
        <w:t>ЗАО «Российское предприятие «БМЗ» (+82,9%), ОАО «</w:t>
      </w:r>
      <w:proofErr w:type="spellStart"/>
      <w:r w:rsidRPr="003F5257">
        <w:rPr>
          <w:rFonts w:ascii="Times New Roman" w:eastAsia="Calibri" w:hAnsi="Times New Roman"/>
          <w:sz w:val="24"/>
          <w:szCs w:val="24"/>
        </w:rPr>
        <w:t>Литмаш</w:t>
      </w:r>
      <w:proofErr w:type="spellEnd"/>
      <w:r w:rsidRPr="003F5257">
        <w:rPr>
          <w:rFonts w:ascii="Times New Roman" w:eastAsia="Calibri" w:hAnsi="Times New Roman"/>
          <w:sz w:val="24"/>
          <w:szCs w:val="24"/>
        </w:rPr>
        <w:t>» (+86,0%).</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В</w:t>
      </w:r>
      <w:r w:rsidRPr="003F5257">
        <w:rPr>
          <w:rFonts w:ascii="Times New Roman" w:eastAsia="Calibri" w:hAnsi="Times New Roman"/>
          <w:b/>
          <w:sz w:val="24"/>
          <w:szCs w:val="24"/>
        </w:rPr>
        <w:t xml:space="preserve"> электротехнической промышленности</w:t>
      </w:r>
      <w:r w:rsidRPr="003F5257">
        <w:rPr>
          <w:rFonts w:ascii="Times New Roman" w:eastAsia="Calibri" w:hAnsi="Times New Roman"/>
          <w:sz w:val="24"/>
          <w:szCs w:val="24"/>
        </w:rPr>
        <w:t xml:space="preserve"> увеличение производства кабельной продукции (проводов обмоточных - на 41,0%, проводов и шнуров осветительных – на 25,5%, кабелей силовых с медной жилкой - на 26,5%) на фоне сложившейся положительной динамики цен на продукцию отрасли обеспечило прирост товарного выпуска в целом по итогам рассматриваемого периода на 21,2%. Также </w:t>
      </w:r>
      <w:r>
        <w:rPr>
          <w:rFonts w:ascii="Times New Roman" w:eastAsia="Calibri" w:hAnsi="Times New Roman"/>
          <w:sz w:val="24"/>
          <w:szCs w:val="24"/>
        </w:rPr>
        <w:t>наращивание</w:t>
      </w:r>
      <w:r w:rsidRPr="003F5257">
        <w:rPr>
          <w:rFonts w:ascii="Times New Roman" w:eastAsia="Calibri" w:hAnsi="Times New Roman"/>
          <w:sz w:val="24"/>
          <w:szCs w:val="24"/>
        </w:rPr>
        <w:t xml:space="preserve"> объема производства отмечено на ведущем предприятии отрасли НП ЗАО «</w:t>
      </w:r>
      <w:proofErr w:type="spellStart"/>
      <w:r w:rsidRPr="003F5257">
        <w:rPr>
          <w:rFonts w:ascii="Times New Roman" w:eastAsia="Calibri" w:hAnsi="Times New Roman"/>
          <w:sz w:val="24"/>
          <w:szCs w:val="24"/>
        </w:rPr>
        <w:t>Электромаш</w:t>
      </w:r>
      <w:proofErr w:type="spellEnd"/>
      <w:r w:rsidRPr="003F5257">
        <w:rPr>
          <w:rFonts w:ascii="Times New Roman" w:eastAsia="Calibri" w:hAnsi="Times New Roman"/>
          <w:sz w:val="24"/>
          <w:szCs w:val="24"/>
        </w:rPr>
        <w:t>» - на 9,2%.</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 xml:space="preserve">Предприятия </w:t>
      </w:r>
      <w:r w:rsidRPr="003F5257">
        <w:rPr>
          <w:rFonts w:ascii="Times New Roman" w:eastAsia="Calibri" w:hAnsi="Times New Roman"/>
          <w:b/>
          <w:sz w:val="24"/>
          <w:szCs w:val="24"/>
        </w:rPr>
        <w:t>лесной и</w:t>
      </w:r>
      <w:r w:rsidR="00E22893">
        <w:rPr>
          <w:rFonts w:ascii="Times New Roman" w:eastAsia="Calibri" w:hAnsi="Times New Roman"/>
          <w:b/>
          <w:sz w:val="24"/>
          <w:szCs w:val="24"/>
        </w:rPr>
        <w:t xml:space="preserve"> </w:t>
      </w:r>
      <w:r w:rsidRPr="003F5257">
        <w:rPr>
          <w:rFonts w:ascii="Times New Roman" w:eastAsia="Calibri" w:hAnsi="Times New Roman"/>
          <w:b/>
          <w:sz w:val="24"/>
          <w:szCs w:val="24"/>
        </w:rPr>
        <w:t>деревообрабатывающей промышленности</w:t>
      </w:r>
      <w:r w:rsidRPr="003F5257">
        <w:rPr>
          <w:rFonts w:ascii="Times New Roman" w:eastAsia="Calibri" w:hAnsi="Times New Roman"/>
          <w:sz w:val="24"/>
          <w:szCs w:val="24"/>
        </w:rPr>
        <w:t xml:space="preserve"> в январе-июне 2017 года демонстрировали расширение производственных показателей, в результате чего, объем произведенной продукции отрасли увеличился </w:t>
      </w:r>
      <w:r w:rsidRPr="003F5257">
        <w:rPr>
          <w:rFonts w:ascii="Times New Roman" w:eastAsia="Calibri" w:hAnsi="Times New Roman"/>
          <w:color w:val="000000"/>
          <w:sz w:val="24"/>
          <w:szCs w:val="24"/>
        </w:rPr>
        <w:t>относительно соответствующего показателя предыдущего года</w:t>
      </w:r>
      <w:r w:rsidRPr="003F5257">
        <w:rPr>
          <w:rFonts w:ascii="Times New Roman" w:eastAsia="Calibri" w:hAnsi="Times New Roman"/>
          <w:sz w:val="24"/>
          <w:szCs w:val="24"/>
        </w:rPr>
        <w:t xml:space="preserve"> на 6,6%, достигнув в стоимостном выражении 2,5 </w:t>
      </w:r>
      <w:proofErr w:type="spellStart"/>
      <w:proofErr w:type="gramStart"/>
      <w:r w:rsidRPr="003F5257">
        <w:rPr>
          <w:rFonts w:ascii="Times New Roman" w:eastAsia="Calibri" w:hAnsi="Times New Roman"/>
          <w:sz w:val="24"/>
          <w:szCs w:val="24"/>
        </w:rPr>
        <w:t>млн</w:t>
      </w:r>
      <w:proofErr w:type="spellEnd"/>
      <w:proofErr w:type="gramEnd"/>
      <w:r w:rsidRPr="003F5257">
        <w:rPr>
          <w:rFonts w:ascii="Times New Roman" w:eastAsia="Calibri" w:hAnsi="Times New Roman"/>
          <w:sz w:val="24"/>
          <w:szCs w:val="24"/>
        </w:rPr>
        <w:t xml:space="preserve"> руб.</w:t>
      </w:r>
    </w:p>
    <w:p w:rsidR="003D29EE" w:rsidRPr="003F5257" w:rsidRDefault="003D29EE" w:rsidP="003D29EE">
      <w:pPr>
        <w:spacing w:after="0" w:line="240" w:lineRule="auto"/>
        <w:ind w:firstLine="709"/>
        <w:jc w:val="both"/>
        <w:rPr>
          <w:rFonts w:ascii="Times New Roman" w:hAnsi="Times New Roman"/>
          <w:sz w:val="24"/>
          <w:szCs w:val="24"/>
        </w:rPr>
      </w:pPr>
      <w:r w:rsidRPr="003F5257">
        <w:rPr>
          <w:rFonts w:ascii="Times New Roman" w:hAnsi="Times New Roman"/>
          <w:sz w:val="24"/>
          <w:szCs w:val="24"/>
        </w:rPr>
        <w:t>В</w:t>
      </w:r>
      <w:r w:rsidR="00E22893">
        <w:rPr>
          <w:rFonts w:ascii="Times New Roman" w:hAnsi="Times New Roman"/>
          <w:sz w:val="24"/>
          <w:szCs w:val="24"/>
        </w:rPr>
        <w:t xml:space="preserve"> </w:t>
      </w:r>
      <w:r w:rsidRPr="003F5257">
        <w:rPr>
          <w:rFonts w:ascii="Times New Roman" w:eastAsia="Calibri" w:hAnsi="Times New Roman"/>
          <w:b/>
          <w:sz w:val="24"/>
          <w:szCs w:val="24"/>
        </w:rPr>
        <w:t>промышл</w:t>
      </w:r>
      <w:r>
        <w:rPr>
          <w:rFonts w:ascii="Times New Roman" w:eastAsia="Calibri" w:hAnsi="Times New Roman"/>
          <w:b/>
          <w:sz w:val="24"/>
          <w:szCs w:val="24"/>
        </w:rPr>
        <w:t>енности строительных материалов</w:t>
      </w:r>
      <w:r w:rsidRPr="003F5257">
        <w:rPr>
          <w:rFonts w:ascii="Times New Roman" w:eastAsia="Calibri" w:hAnsi="Times New Roman"/>
          <w:sz w:val="24"/>
          <w:szCs w:val="24"/>
        </w:rPr>
        <w:t xml:space="preserve"> в июне 2017 года отмечал</w:t>
      </w:r>
      <w:r>
        <w:rPr>
          <w:rFonts w:ascii="Times New Roman" w:eastAsia="Calibri" w:hAnsi="Times New Roman"/>
          <w:sz w:val="24"/>
          <w:szCs w:val="24"/>
        </w:rPr>
        <w:t>о</w:t>
      </w:r>
      <w:r w:rsidRPr="003F5257">
        <w:rPr>
          <w:rFonts w:ascii="Times New Roman" w:eastAsia="Calibri" w:hAnsi="Times New Roman"/>
          <w:sz w:val="24"/>
          <w:szCs w:val="24"/>
        </w:rPr>
        <w:t>с</w:t>
      </w:r>
      <w:r>
        <w:rPr>
          <w:rFonts w:ascii="Times New Roman" w:eastAsia="Calibri" w:hAnsi="Times New Roman"/>
          <w:sz w:val="24"/>
          <w:szCs w:val="24"/>
        </w:rPr>
        <w:t>ь превышение</w:t>
      </w:r>
      <w:r w:rsidRPr="003F5257">
        <w:rPr>
          <w:rFonts w:ascii="Times New Roman" w:eastAsia="Calibri" w:hAnsi="Times New Roman"/>
          <w:sz w:val="24"/>
          <w:szCs w:val="24"/>
        </w:rPr>
        <w:t xml:space="preserve"> производственных</w:t>
      </w:r>
      <w:r>
        <w:rPr>
          <w:rFonts w:ascii="Times New Roman" w:eastAsia="Calibri" w:hAnsi="Times New Roman"/>
          <w:sz w:val="24"/>
          <w:szCs w:val="24"/>
        </w:rPr>
        <w:t xml:space="preserve"> майских</w:t>
      </w:r>
      <w:r w:rsidRPr="003F5257">
        <w:rPr>
          <w:rFonts w:ascii="Times New Roman" w:eastAsia="Calibri" w:hAnsi="Times New Roman"/>
          <w:sz w:val="24"/>
          <w:szCs w:val="24"/>
        </w:rPr>
        <w:t xml:space="preserve"> показателей на 10,5%. При этом, несмотря на </w:t>
      </w:r>
      <w:r>
        <w:rPr>
          <w:rFonts w:ascii="Times New Roman" w:eastAsia="Calibri" w:hAnsi="Times New Roman"/>
          <w:sz w:val="24"/>
          <w:szCs w:val="24"/>
        </w:rPr>
        <w:t xml:space="preserve">наращивание </w:t>
      </w:r>
      <w:r w:rsidRPr="003F5257">
        <w:rPr>
          <w:rFonts w:ascii="Times New Roman" w:eastAsia="Calibri" w:hAnsi="Times New Roman"/>
          <w:sz w:val="24"/>
          <w:szCs w:val="24"/>
        </w:rPr>
        <w:t xml:space="preserve">по итогам января-июня 2017 года промышленного производства на </w:t>
      </w:r>
      <w:r w:rsidR="00E22893">
        <w:rPr>
          <w:rFonts w:ascii="Times New Roman" w:eastAsia="Calibri" w:hAnsi="Times New Roman"/>
          <w:sz w:val="24"/>
          <w:szCs w:val="24"/>
        </w:rPr>
        <w:t xml:space="preserve">                   </w:t>
      </w:r>
      <w:r w:rsidRPr="003F5257">
        <w:rPr>
          <w:rFonts w:ascii="Times New Roman" w:eastAsia="Calibri" w:hAnsi="Times New Roman"/>
          <w:sz w:val="24"/>
          <w:szCs w:val="24"/>
        </w:rPr>
        <w:t>ЗАО «</w:t>
      </w:r>
      <w:proofErr w:type="spellStart"/>
      <w:r w:rsidRPr="003F5257">
        <w:rPr>
          <w:rFonts w:ascii="Times New Roman" w:eastAsia="Calibri" w:hAnsi="Times New Roman"/>
          <w:sz w:val="24"/>
          <w:szCs w:val="24"/>
        </w:rPr>
        <w:t>Рыбницкий</w:t>
      </w:r>
      <w:proofErr w:type="spellEnd"/>
      <w:r w:rsidRPr="003F5257">
        <w:rPr>
          <w:rFonts w:ascii="Times New Roman" w:eastAsia="Calibri" w:hAnsi="Times New Roman"/>
          <w:sz w:val="24"/>
          <w:szCs w:val="24"/>
        </w:rPr>
        <w:t xml:space="preserve"> цементный комбинат» (+7,1%) и ГУП «</w:t>
      </w:r>
      <w:proofErr w:type="spellStart"/>
      <w:r w:rsidRPr="003F5257">
        <w:rPr>
          <w:rFonts w:ascii="Times New Roman" w:eastAsia="Calibri" w:hAnsi="Times New Roman"/>
          <w:sz w:val="24"/>
          <w:szCs w:val="24"/>
        </w:rPr>
        <w:t>Григориопольская</w:t>
      </w:r>
      <w:proofErr w:type="spellEnd"/>
      <w:r w:rsidRPr="003F5257">
        <w:rPr>
          <w:rFonts w:ascii="Times New Roman" w:eastAsia="Calibri" w:hAnsi="Times New Roman"/>
          <w:sz w:val="24"/>
          <w:szCs w:val="24"/>
        </w:rPr>
        <w:t xml:space="preserve"> шахта» (+44,2%) совокупный </w:t>
      </w:r>
      <w:r>
        <w:rPr>
          <w:rFonts w:ascii="Times New Roman" w:eastAsia="Calibri" w:hAnsi="Times New Roman"/>
          <w:sz w:val="24"/>
          <w:szCs w:val="24"/>
          <w:shd w:val="clear" w:color="auto" w:fill="FFFFFF"/>
        </w:rPr>
        <w:t>показатель</w:t>
      </w:r>
      <w:r w:rsidRPr="003F5257">
        <w:rPr>
          <w:rFonts w:ascii="Times New Roman" w:eastAsia="Calibri" w:hAnsi="Times New Roman"/>
          <w:sz w:val="24"/>
          <w:szCs w:val="24"/>
          <w:shd w:val="clear" w:color="auto" w:fill="FFFFFF"/>
        </w:rPr>
        <w:t xml:space="preserve"> отрасли </w:t>
      </w:r>
      <w:r>
        <w:rPr>
          <w:rFonts w:ascii="Times New Roman" w:eastAsia="Calibri" w:hAnsi="Times New Roman"/>
          <w:sz w:val="24"/>
          <w:szCs w:val="24"/>
          <w:shd w:val="clear" w:color="auto" w:fill="FFFFFF"/>
        </w:rPr>
        <w:t>в сопоставимых ценах про</w:t>
      </w:r>
      <w:r w:rsidRPr="003F5257">
        <w:rPr>
          <w:rFonts w:ascii="Times New Roman" w:eastAsia="Calibri" w:hAnsi="Times New Roman"/>
          <w:sz w:val="24"/>
          <w:szCs w:val="24"/>
          <w:shd w:val="clear" w:color="auto" w:fill="FFFFFF"/>
        </w:rPr>
        <w:t xml:space="preserve">демонстрировал понижательную динамику (-1,4%) до 153,3 </w:t>
      </w:r>
      <w:proofErr w:type="spellStart"/>
      <w:proofErr w:type="gramStart"/>
      <w:r w:rsidRPr="003F5257">
        <w:rPr>
          <w:rFonts w:ascii="Times New Roman" w:eastAsia="Calibri" w:hAnsi="Times New Roman"/>
          <w:sz w:val="24"/>
          <w:szCs w:val="24"/>
          <w:shd w:val="clear" w:color="auto" w:fill="FFFFFF"/>
        </w:rPr>
        <w:t>млн</w:t>
      </w:r>
      <w:proofErr w:type="spellEnd"/>
      <w:proofErr w:type="gramEnd"/>
      <w:r w:rsidRPr="003F5257">
        <w:rPr>
          <w:rFonts w:ascii="Times New Roman" w:eastAsia="Calibri" w:hAnsi="Times New Roman"/>
          <w:sz w:val="24"/>
          <w:szCs w:val="24"/>
          <w:shd w:val="clear" w:color="auto" w:fill="FFFFFF"/>
        </w:rPr>
        <w:t xml:space="preserve"> руб.</w:t>
      </w:r>
      <w:r w:rsidRPr="003F5257">
        <w:rPr>
          <w:rFonts w:ascii="Times New Roman" w:hAnsi="Times New Roman"/>
          <w:sz w:val="24"/>
          <w:szCs w:val="24"/>
        </w:rPr>
        <w:t xml:space="preserve"> В натуральном выражении по отрасли отмечено увеличение производства цемента на 3,4% и строительной извести - на 95,0%.</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 xml:space="preserve">В </w:t>
      </w:r>
      <w:r w:rsidRPr="003F5257">
        <w:rPr>
          <w:rFonts w:ascii="Times New Roman" w:eastAsia="Calibri" w:hAnsi="Times New Roman"/>
          <w:b/>
          <w:sz w:val="24"/>
          <w:szCs w:val="24"/>
        </w:rPr>
        <w:t xml:space="preserve">легкой промышленности </w:t>
      </w:r>
      <w:r w:rsidRPr="003F5257">
        <w:rPr>
          <w:rFonts w:ascii="Times New Roman" w:eastAsia="Calibri" w:hAnsi="Times New Roman"/>
          <w:sz w:val="24"/>
          <w:szCs w:val="24"/>
        </w:rPr>
        <w:t xml:space="preserve">объем отраслевого выпуска </w:t>
      </w:r>
      <w:r>
        <w:rPr>
          <w:rFonts w:ascii="Times New Roman" w:eastAsia="Calibri" w:hAnsi="Times New Roman"/>
          <w:sz w:val="24"/>
          <w:szCs w:val="24"/>
        </w:rPr>
        <w:t>возрос</w:t>
      </w:r>
      <w:r w:rsidRPr="003F5257">
        <w:rPr>
          <w:rFonts w:ascii="Times New Roman" w:eastAsia="Calibri" w:hAnsi="Times New Roman"/>
          <w:sz w:val="24"/>
          <w:szCs w:val="24"/>
        </w:rPr>
        <w:t xml:space="preserve"> на 6,1%, что обусловлено расширением </w:t>
      </w:r>
      <w:r>
        <w:rPr>
          <w:rFonts w:ascii="Times New Roman" w:eastAsia="Calibri" w:hAnsi="Times New Roman"/>
          <w:sz w:val="24"/>
          <w:szCs w:val="24"/>
        </w:rPr>
        <w:t>параметров</w:t>
      </w:r>
      <w:r w:rsidRPr="003F5257">
        <w:rPr>
          <w:rFonts w:ascii="Times New Roman" w:eastAsia="Calibri" w:hAnsi="Times New Roman"/>
          <w:sz w:val="24"/>
          <w:szCs w:val="24"/>
        </w:rPr>
        <w:t xml:space="preserve"> на ООО «</w:t>
      </w:r>
      <w:proofErr w:type="gramStart"/>
      <w:r w:rsidRPr="003F5257">
        <w:rPr>
          <w:rFonts w:ascii="Times New Roman" w:eastAsia="Calibri" w:hAnsi="Times New Roman"/>
          <w:sz w:val="24"/>
          <w:szCs w:val="24"/>
        </w:rPr>
        <w:t>T</w:t>
      </w:r>
      <w:proofErr w:type="gramEnd"/>
      <w:r w:rsidRPr="003F5257">
        <w:rPr>
          <w:rFonts w:ascii="Times New Roman" w:eastAsia="Calibri" w:hAnsi="Times New Roman"/>
          <w:sz w:val="24"/>
          <w:szCs w:val="24"/>
        </w:rPr>
        <w:t xml:space="preserve">ПФ </w:t>
      </w:r>
      <w:proofErr w:type="spellStart"/>
      <w:r w:rsidRPr="003F5257">
        <w:rPr>
          <w:rFonts w:ascii="Times New Roman" w:eastAsia="Calibri" w:hAnsi="Times New Roman"/>
          <w:sz w:val="24"/>
          <w:szCs w:val="24"/>
        </w:rPr>
        <w:t>Интерцентр</w:t>
      </w:r>
      <w:proofErr w:type="spellEnd"/>
      <w:r w:rsidRPr="003F5257">
        <w:rPr>
          <w:rFonts w:ascii="Times New Roman" w:eastAsia="Calibri" w:hAnsi="Times New Roman"/>
          <w:sz w:val="24"/>
          <w:szCs w:val="24"/>
        </w:rPr>
        <w:t xml:space="preserve"> Люкс» (+58,6%), </w:t>
      </w:r>
      <w:r w:rsidR="00E22893">
        <w:rPr>
          <w:rFonts w:ascii="Times New Roman" w:eastAsia="Calibri" w:hAnsi="Times New Roman"/>
          <w:sz w:val="24"/>
          <w:szCs w:val="24"/>
        </w:rPr>
        <w:t xml:space="preserve">               </w:t>
      </w:r>
      <w:r w:rsidRPr="003F5257">
        <w:rPr>
          <w:rFonts w:ascii="Times New Roman" w:eastAsia="Calibri" w:hAnsi="Times New Roman"/>
          <w:sz w:val="24"/>
          <w:szCs w:val="24"/>
        </w:rPr>
        <w:t>ООО «</w:t>
      </w:r>
      <w:proofErr w:type="spellStart"/>
      <w:r w:rsidRPr="003F5257">
        <w:rPr>
          <w:rFonts w:ascii="Times New Roman" w:eastAsia="Calibri" w:hAnsi="Times New Roman"/>
          <w:sz w:val="24"/>
          <w:szCs w:val="24"/>
        </w:rPr>
        <w:t>Софшуз</w:t>
      </w:r>
      <w:proofErr w:type="spellEnd"/>
      <w:r w:rsidRPr="003F5257">
        <w:rPr>
          <w:rFonts w:ascii="Times New Roman" w:eastAsia="Calibri" w:hAnsi="Times New Roman"/>
          <w:sz w:val="24"/>
          <w:szCs w:val="24"/>
        </w:rPr>
        <w:t>» (+34,8%), ЗАО «</w:t>
      </w:r>
      <w:proofErr w:type="spellStart"/>
      <w:r w:rsidRPr="003F5257">
        <w:rPr>
          <w:rFonts w:ascii="Times New Roman" w:eastAsia="Calibri" w:hAnsi="Times New Roman"/>
          <w:sz w:val="24"/>
          <w:szCs w:val="24"/>
        </w:rPr>
        <w:t>Одема</w:t>
      </w:r>
      <w:proofErr w:type="spellEnd"/>
      <w:r w:rsidRPr="003F5257">
        <w:rPr>
          <w:rFonts w:ascii="Times New Roman" w:eastAsia="Calibri" w:hAnsi="Times New Roman"/>
          <w:sz w:val="24"/>
          <w:szCs w:val="24"/>
        </w:rPr>
        <w:t>» им. В. Соловьевой (+22,2%), СООО «</w:t>
      </w:r>
      <w:proofErr w:type="spellStart"/>
      <w:r w:rsidRPr="003F5257">
        <w:rPr>
          <w:rFonts w:ascii="Times New Roman" w:eastAsia="Calibri" w:hAnsi="Times New Roman"/>
          <w:sz w:val="24"/>
          <w:szCs w:val="24"/>
        </w:rPr>
        <w:t>Терри-па</w:t>
      </w:r>
      <w:proofErr w:type="spellEnd"/>
      <w:r w:rsidRPr="003F5257">
        <w:rPr>
          <w:rFonts w:ascii="Times New Roman" w:eastAsia="Calibri" w:hAnsi="Times New Roman"/>
          <w:sz w:val="24"/>
          <w:szCs w:val="24"/>
        </w:rPr>
        <w:t>» (+19,6%) и др. В то же время на крупнейшем предприятии отрасли ЗАО «</w:t>
      </w:r>
      <w:proofErr w:type="spellStart"/>
      <w:r w:rsidRPr="003F5257">
        <w:rPr>
          <w:rFonts w:ascii="Times New Roman" w:eastAsia="Calibri" w:hAnsi="Times New Roman"/>
          <w:sz w:val="24"/>
          <w:szCs w:val="24"/>
        </w:rPr>
        <w:t>Тиротекс</w:t>
      </w:r>
      <w:proofErr w:type="spellEnd"/>
      <w:r w:rsidRPr="003F5257">
        <w:rPr>
          <w:rFonts w:ascii="Times New Roman" w:eastAsia="Calibri" w:hAnsi="Times New Roman"/>
          <w:sz w:val="24"/>
          <w:szCs w:val="24"/>
        </w:rPr>
        <w:t xml:space="preserve">» (70,2% </w:t>
      </w:r>
      <w:r w:rsidRPr="003F5257">
        <w:rPr>
          <w:rFonts w:ascii="Times New Roman" w:eastAsia="Calibri" w:hAnsi="Times New Roman"/>
          <w:sz w:val="24"/>
          <w:szCs w:val="24"/>
        </w:rPr>
        <w:lastRenderedPageBreak/>
        <w:t xml:space="preserve">отраслевого выпуска) отмечалось сокращение </w:t>
      </w:r>
      <w:r>
        <w:rPr>
          <w:rFonts w:ascii="Times New Roman" w:eastAsia="Calibri" w:hAnsi="Times New Roman"/>
          <w:sz w:val="24"/>
          <w:szCs w:val="24"/>
        </w:rPr>
        <w:t>объемов производства</w:t>
      </w:r>
      <w:r w:rsidRPr="003F5257">
        <w:rPr>
          <w:rFonts w:ascii="Times New Roman" w:eastAsia="Calibri" w:hAnsi="Times New Roman"/>
          <w:sz w:val="24"/>
          <w:szCs w:val="24"/>
        </w:rPr>
        <w:t xml:space="preserve"> на 1,9%, что обусловлено отрицательной ценовой динамикой на изготавливаемую продукцию.</w:t>
      </w:r>
    </w:p>
    <w:p w:rsidR="003D29EE" w:rsidRPr="003F5257" w:rsidRDefault="003D29EE" w:rsidP="003D29EE">
      <w:pPr>
        <w:spacing w:after="0" w:line="240" w:lineRule="auto"/>
        <w:jc w:val="both"/>
        <w:rPr>
          <w:rFonts w:ascii="Times New Roman" w:eastAsia="Calibri" w:hAnsi="Times New Roman"/>
          <w:sz w:val="24"/>
          <w:szCs w:val="24"/>
        </w:rPr>
      </w:pPr>
      <w:r w:rsidRPr="003F5257">
        <w:rPr>
          <w:rFonts w:ascii="Times New Roman" w:eastAsia="Calibri" w:hAnsi="Times New Roman"/>
          <w:noProof/>
          <w:sz w:val="24"/>
          <w:szCs w:val="24"/>
        </w:rPr>
        <w:drawing>
          <wp:inline distT="0" distB="0" distL="0" distR="0">
            <wp:extent cx="6053842" cy="1892411"/>
            <wp:effectExtent l="19050" t="0" r="0" b="0"/>
            <wp:docPr id="6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29EE" w:rsidRPr="003F5257" w:rsidRDefault="003D29EE" w:rsidP="003D29EE">
      <w:pPr>
        <w:spacing w:after="0" w:line="240" w:lineRule="auto"/>
        <w:jc w:val="both"/>
        <w:rPr>
          <w:rFonts w:ascii="Times New Roman" w:hAnsi="Times New Roman"/>
          <w:sz w:val="24"/>
          <w:szCs w:val="24"/>
        </w:rPr>
      </w:pP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 xml:space="preserve">В </w:t>
      </w:r>
      <w:r w:rsidRPr="003F5257">
        <w:rPr>
          <w:rFonts w:ascii="Times New Roman" w:eastAsia="Calibri" w:hAnsi="Times New Roman"/>
          <w:b/>
          <w:snapToGrid w:val="0"/>
          <w:sz w:val="24"/>
          <w:szCs w:val="24"/>
        </w:rPr>
        <w:t xml:space="preserve">пищевой промышленности </w:t>
      </w:r>
      <w:r w:rsidRPr="003F5257">
        <w:rPr>
          <w:rFonts w:ascii="Times New Roman" w:eastAsia="Calibri" w:hAnsi="Times New Roman"/>
          <w:snapToGrid w:val="0"/>
          <w:sz w:val="24"/>
          <w:szCs w:val="24"/>
        </w:rPr>
        <w:t xml:space="preserve">объем производства вырос </w:t>
      </w:r>
      <w:r w:rsidRPr="003F5257">
        <w:rPr>
          <w:rFonts w:ascii="Times New Roman" w:eastAsia="Calibri" w:hAnsi="Times New Roman"/>
          <w:sz w:val="24"/>
          <w:szCs w:val="24"/>
        </w:rPr>
        <w:t xml:space="preserve">на 11,5%, вследствие положительной динамики показателя на ЗАО Тираспольский молочный комбинат (+34,4%), ЗАО «Тираспольский винно-коньячный завод «KVINT» (+21,2%), ЗАО «Бендерский мясокомбинат» (+17,7%), ЗАО «Тираспольский </w:t>
      </w:r>
      <w:proofErr w:type="spellStart"/>
      <w:r w:rsidRPr="003F5257">
        <w:rPr>
          <w:rFonts w:ascii="Times New Roman" w:eastAsia="Calibri" w:hAnsi="Times New Roman"/>
          <w:sz w:val="24"/>
          <w:szCs w:val="24"/>
        </w:rPr>
        <w:t>хлебокомбинат</w:t>
      </w:r>
      <w:proofErr w:type="spellEnd"/>
      <w:r w:rsidRPr="003F5257">
        <w:rPr>
          <w:rFonts w:ascii="Times New Roman" w:eastAsia="Calibri" w:hAnsi="Times New Roman"/>
          <w:sz w:val="24"/>
          <w:szCs w:val="24"/>
        </w:rPr>
        <w:t>» (+5,7%) и др. При этом в натуральном выражении увеличился выпуск цельномолочной продукции (+14,5%), консервов (+27,0%), макаронных изделий (+30,0%), кондитерских изделий (+50,4%), коньяка (+56,5%) и др.</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 xml:space="preserve">В </w:t>
      </w:r>
      <w:r w:rsidRPr="003F5257">
        <w:rPr>
          <w:rFonts w:ascii="Times New Roman" w:eastAsia="Calibri" w:hAnsi="Times New Roman"/>
          <w:b/>
          <w:sz w:val="24"/>
          <w:szCs w:val="24"/>
        </w:rPr>
        <w:t>мукомольно-крупяной и комбикормовой промышленности</w:t>
      </w:r>
      <w:r w:rsidRPr="003F5257">
        <w:rPr>
          <w:rFonts w:ascii="Times New Roman" w:eastAsia="Calibri" w:hAnsi="Times New Roman"/>
          <w:sz w:val="24"/>
          <w:szCs w:val="24"/>
        </w:rPr>
        <w:t xml:space="preserve"> в январе-июне текущего года отмечено увеличение производства муки на 17,1% и круп на 50,6%, при этом расширение совокупного отраслевого </w:t>
      </w:r>
      <w:r>
        <w:rPr>
          <w:rFonts w:ascii="Times New Roman" w:eastAsia="Calibri" w:hAnsi="Times New Roman"/>
          <w:sz w:val="24"/>
          <w:szCs w:val="24"/>
        </w:rPr>
        <w:t>показателя</w:t>
      </w:r>
      <w:r w:rsidRPr="003F5257">
        <w:rPr>
          <w:rFonts w:ascii="Times New Roman" w:eastAsia="Calibri" w:hAnsi="Times New Roman"/>
          <w:sz w:val="24"/>
          <w:szCs w:val="24"/>
        </w:rPr>
        <w:t xml:space="preserve"> в стоимостном выражении составило 12,4%.</w:t>
      </w:r>
    </w:p>
    <w:p w:rsidR="003D29EE" w:rsidRPr="003F5257" w:rsidRDefault="003D29EE" w:rsidP="003D29EE">
      <w:pPr>
        <w:spacing w:after="0" w:line="240" w:lineRule="auto"/>
        <w:ind w:firstLine="709"/>
        <w:jc w:val="both"/>
        <w:rPr>
          <w:rFonts w:ascii="Times New Roman" w:eastAsia="Calibri" w:hAnsi="Times New Roman"/>
          <w:sz w:val="24"/>
          <w:szCs w:val="24"/>
        </w:rPr>
      </w:pPr>
      <w:r w:rsidRPr="003F5257">
        <w:rPr>
          <w:rFonts w:ascii="Times New Roman" w:eastAsia="Calibri" w:hAnsi="Times New Roman"/>
          <w:sz w:val="24"/>
          <w:szCs w:val="24"/>
        </w:rPr>
        <w:t>В</w:t>
      </w:r>
      <w:r w:rsidR="00E22893">
        <w:rPr>
          <w:rFonts w:ascii="Times New Roman" w:eastAsia="Calibri" w:hAnsi="Times New Roman"/>
          <w:sz w:val="24"/>
          <w:szCs w:val="24"/>
        </w:rPr>
        <w:t xml:space="preserve"> </w:t>
      </w:r>
      <w:r w:rsidRPr="003F5257">
        <w:rPr>
          <w:rFonts w:ascii="Times New Roman" w:eastAsia="Calibri" w:hAnsi="Times New Roman"/>
          <w:b/>
          <w:color w:val="000000"/>
          <w:sz w:val="24"/>
          <w:szCs w:val="24"/>
        </w:rPr>
        <w:t>полиграфической промышленности</w:t>
      </w:r>
      <w:r w:rsidRPr="003F5257">
        <w:rPr>
          <w:rFonts w:ascii="Times New Roman" w:eastAsia="Calibri" w:hAnsi="Times New Roman"/>
          <w:color w:val="000000"/>
          <w:sz w:val="24"/>
          <w:szCs w:val="24"/>
        </w:rPr>
        <w:t xml:space="preserve"> изменение конъюнктуры рынка обусловило сокращение по таким позициям как книги и брошюры (-38,2%), газетные издания (-25,0%), товары бумажно-беловые (-34,9%), что в совокупности предопределило падение </w:t>
      </w:r>
      <w:r>
        <w:rPr>
          <w:rFonts w:ascii="Times New Roman" w:eastAsia="Calibri" w:hAnsi="Times New Roman"/>
          <w:color w:val="000000"/>
          <w:sz w:val="24"/>
          <w:szCs w:val="24"/>
        </w:rPr>
        <w:t>параметров выпуска</w:t>
      </w:r>
      <w:r w:rsidRPr="003F5257">
        <w:rPr>
          <w:rFonts w:ascii="Times New Roman" w:eastAsia="Calibri" w:hAnsi="Times New Roman"/>
          <w:color w:val="000000"/>
          <w:sz w:val="24"/>
          <w:szCs w:val="24"/>
        </w:rPr>
        <w:t xml:space="preserve"> отрасли на 19,9%.</w:t>
      </w:r>
    </w:p>
    <w:p w:rsidR="003D29EE" w:rsidRPr="003F5257" w:rsidRDefault="003D29EE" w:rsidP="003D29EE">
      <w:pPr>
        <w:spacing w:after="0" w:line="240" w:lineRule="auto"/>
        <w:ind w:firstLine="709"/>
        <w:jc w:val="both"/>
        <w:rPr>
          <w:rFonts w:ascii="Times New Roman" w:eastAsia="Calibri" w:hAnsi="Times New Roman"/>
          <w:sz w:val="24"/>
          <w:szCs w:val="24"/>
        </w:rPr>
      </w:pPr>
      <w:r w:rsidRPr="00702326">
        <w:rPr>
          <w:rFonts w:ascii="Times New Roman" w:eastAsia="Calibri" w:hAnsi="Times New Roman"/>
          <w:sz w:val="24"/>
          <w:szCs w:val="24"/>
        </w:rPr>
        <w:t xml:space="preserve">Таким образом, фиксируемая динамика промышленного производства в отчётном периоде определялась </w:t>
      </w:r>
      <w:proofErr w:type="spellStart"/>
      <w:r w:rsidRPr="00702326">
        <w:rPr>
          <w:rFonts w:ascii="Times New Roman" w:eastAsia="Calibri" w:hAnsi="Times New Roman"/>
          <w:sz w:val="24"/>
          <w:szCs w:val="24"/>
        </w:rPr>
        <w:t>спросовыми</w:t>
      </w:r>
      <w:proofErr w:type="spellEnd"/>
      <w:r w:rsidRPr="00702326">
        <w:rPr>
          <w:rFonts w:ascii="Times New Roman" w:eastAsia="Calibri" w:hAnsi="Times New Roman"/>
          <w:sz w:val="24"/>
          <w:szCs w:val="24"/>
        </w:rPr>
        <w:t xml:space="preserve"> и ценовыми факторами, а также возможностью адаптации хозяйствующих субъектов республики к складывающимся условиям хозяйствования. Серьезной проблемой продолжает оставаться</w:t>
      </w:r>
      <w:r w:rsidR="00E22893">
        <w:rPr>
          <w:rFonts w:ascii="Times New Roman" w:eastAsia="Calibri" w:hAnsi="Times New Roman"/>
          <w:sz w:val="24"/>
          <w:szCs w:val="24"/>
        </w:rPr>
        <w:t xml:space="preserve"> </w:t>
      </w:r>
      <w:proofErr w:type="spellStart"/>
      <w:r w:rsidRPr="00702326">
        <w:rPr>
          <w:rFonts w:ascii="Times New Roman" w:eastAsia="Calibri" w:hAnsi="Times New Roman"/>
          <w:sz w:val="24"/>
          <w:szCs w:val="24"/>
        </w:rPr>
        <w:t>моноструктурность</w:t>
      </w:r>
      <w:proofErr w:type="spellEnd"/>
      <w:r w:rsidR="00E22893">
        <w:rPr>
          <w:rFonts w:ascii="Times New Roman" w:eastAsia="Calibri" w:hAnsi="Times New Roman"/>
          <w:sz w:val="24"/>
          <w:szCs w:val="24"/>
        </w:rPr>
        <w:t xml:space="preserve"> </w:t>
      </w:r>
      <w:r w:rsidRPr="00702326">
        <w:rPr>
          <w:rFonts w:ascii="Times New Roman" w:eastAsia="Calibri" w:hAnsi="Times New Roman"/>
          <w:sz w:val="24"/>
          <w:szCs w:val="24"/>
        </w:rPr>
        <w:t xml:space="preserve">отрасли, вследствие чего резкое снижение выпуска на одном из ведущих предприятий сказывается не только на результатах деятельности индустриального сектора, но и </w:t>
      </w:r>
      <w:r>
        <w:rPr>
          <w:rFonts w:ascii="Times New Roman" w:eastAsia="Calibri" w:hAnsi="Times New Roman"/>
          <w:sz w:val="24"/>
          <w:szCs w:val="24"/>
        </w:rPr>
        <w:t>всей экономики</w:t>
      </w:r>
      <w:r w:rsidRPr="00702326">
        <w:rPr>
          <w:rFonts w:ascii="Times New Roman" w:eastAsia="Calibri" w:hAnsi="Times New Roman"/>
          <w:sz w:val="24"/>
          <w:szCs w:val="24"/>
        </w:rPr>
        <w:t>. Так, например, без учета производственных параметров ЗАО «Молдавская ГРЭС», объем промышленного производства по республике</w:t>
      </w:r>
      <w:r>
        <w:rPr>
          <w:rFonts w:ascii="Times New Roman" w:eastAsia="Calibri" w:hAnsi="Times New Roman"/>
          <w:sz w:val="24"/>
          <w:szCs w:val="24"/>
        </w:rPr>
        <w:t xml:space="preserve"> вырос на 13,7%.</w:t>
      </w:r>
    </w:p>
    <w:p w:rsidR="003D29EE" w:rsidRPr="0080737A" w:rsidRDefault="003D29EE" w:rsidP="003D29EE">
      <w:pPr>
        <w:autoSpaceDE w:val="0"/>
        <w:autoSpaceDN w:val="0"/>
        <w:adjustRightInd w:val="0"/>
        <w:spacing w:after="0" w:line="240" w:lineRule="auto"/>
        <w:ind w:firstLine="709"/>
        <w:jc w:val="both"/>
        <w:rPr>
          <w:rFonts w:ascii="Times New Roman" w:eastAsia="Calibri" w:hAnsi="Times New Roman"/>
          <w:sz w:val="24"/>
          <w:szCs w:val="24"/>
        </w:rPr>
      </w:pPr>
    </w:p>
    <w:p w:rsidR="003D29EE" w:rsidRDefault="003D29EE" w:rsidP="003D29EE">
      <w:pPr>
        <w:widowControl w:val="0"/>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Агропромышленный комплекс</w:t>
      </w:r>
    </w:p>
    <w:p w:rsidR="003D29EE" w:rsidRPr="00146BB8" w:rsidRDefault="003D29EE" w:rsidP="003D29EE">
      <w:pPr>
        <w:widowControl w:val="0"/>
        <w:autoSpaceDE w:val="0"/>
        <w:autoSpaceDN w:val="0"/>
        <w:adjustRightInd w:val="0"/>
        <w:spacing w:after="0" w:line="240" w:lineRule="auto"/>
        <w:ind w:firstLine="720"/>
        <w:jc w:val="both"/>
        <w:rPr>
          <w:rFonts w:ascii="Times New Roman" w:eastAsia="Calibri" w:hAnsi="Times New Roman"/>
          <w:sz w:val="24"/>
          <w:szCs w:val="24"/>
        </w:rPr>
      </w:pPr>
    </w:p>
    <w:p w:rsidR="003D29EE" w:rsidRPr="00864AD0" w:rsidRDefault="003D29EE" w:rsidP="003D29EE">
      <w:pPr>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Объем валовой продукции сельского хозяйства по всем категориям хозяйств по итогам I полугодия 2017 года вырос на 7,4% и оценочно </w:t>
      </w:r>
      <w:r>
        <w:rPr>
          <w:rFonts w:ascii="Times New Roman" w:eastAsiaTheme="minorEastAsia" w:hAnsi="Times New Roman" w:cstheme="minorBidi"/>
          <w:sz w:val="24"/>
          <w:szCs w:val="24"/>
        </w:rPr>
        <w:t>сложился в пределах</w:t>
      </w:r>
      <w:r w:rsidRPr="00864AD0">
        <w:rPr>
          <w:rFonts w:ascii="Times New Roman" w:eastAsiaTheme="minorEastAsia" w:hAnsi="Times New Roman" w:cstheme="minorBidi"/>
          <w:sz w:val="24"/>
          <w:szCs w:val="24"/>
        </w:rPr>
        <w:t xml:space="preserve"> 297,9 </w:t>
      </w:r>
      <w:proofErr w:type="spellStart"/>
      <w:r w:rsidRPr="00864AD0">
        <w:rPr>
          <w:rFonts w:ascii="Times New Roman" w:eastAsiaTheme="minorEastAsia" w:hAnsi="Times New Roman" w:cstheme="minorBidi"/>
          <w:sz w:val="24"/>
          <w:szCs w:val="24"/>
        </w:rPr>
        <w:t>млн</w:t>
      </w:r>
      <w:proofErr w:type="spellEnd"/>
      <w:r w:rsidRPr="00864AD0">
        <w:rPr>
          <w:rFonts w:ascii="Times New Roman" w:eastAsiaTheme="minorEastAsia" w:hAnsi="Times New Roman" w:cstheme="minorBidi"/>
          <w:sz w:val="24"/>
          <w:szCs w:val="24"/>
        </w:rPr>
        <w:t xml:space="preserve"> руб. (в текущих ценах). </w:t>
      </w:r>
    </w:p>
    <w:p w:rsidR="003D29EE" w:rsidRPr="00864AD0" w:rsidRDefault="003D29EE" w:rsidP="003D29EE">
      <w:pPr>
        <w:spacing w:after="0" w:line="240" w:lineRule="auto"/>
        <w:ind w:firstLine="709"/>
        <w:jc w:val="both"/>
        <w:rPr>
          <w:rFonts w:ascii="Times New Roman" w:eastAsia="Calibri" w:hAnsi="Times New Roman" w:cstheme="minorBidi"/>
          <w:sz w:val="24"/>
          <w:szCs w:val="24"/>
        </w:rPr>
      </w:pPr>
      <w:r w:rsidRPr="00864AD0">
        <w:rPr>
          <w:rFonts w:ascii="Times New Roman" w:eastAsia="Calibri" w:hAnsi="Times New Roman" w:cstheme="minorBidi"/>
          <w:sz w:val="24"/>
          <w:szCs w:val="24"/>
        </w:rPr>
        <w:t xml:space="preserve">Индекс физического объёма продукции сельского хозяйства составил 97,4% к уровню 2016 года, в том числе по продукции растениеводства – 85,0%, животноводства – 106,6%. </w:t>
      </w:r>
    </w:p>
    <w:p w:rsidR="003D29EE" w:rsidRPr="00864AD0" w:rsidRDefault="003D29EE" w:rsidP="003D29EE">
      <w:pPr>
        <w:spacing w:after="0" w:line="240" w:lineRule="auto"/>
        <w:ind w:left="-284"/>
        <w:jc w:val="both"/>
        <w:rPr>
          <w:rFonts w:ascii="Times New Roman" w:eastAsiaTheme="minorEastAsia" w:hAnsi="Times New Roman" w:cstheme="minorBidi"/>
          <w:sz w:val="24"/>
          <w:szCs w:val="24"/>
        </w:rPr>
      </w:pPr>
      <w:r w:rsidRPr="00864AD0">
        <w:rPr>
          <w:rFonts w:ascii="Times New Roman" w:eastAsiaTheme="minorEastAsia" w:hAnsi="Times New Roman" w:cstheme="minorBidi"/>
          <w:noProof/>
          <w:sz w:val="24"/>
          <w:szCs w:val="24"/>
        </w:rPr>
        <w:lastRenderedPageBreak/>
        <w:drawing>
          <wp:inline distT="0" distB="0" distL="0" distR="0">
            <wp:extent cx="6408752" cy="2973788"/>
            <wp:effectExtent l="0" t="0" r="0" b="0"/>
            <wp:docPr id="6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29EE" w:rsidRPr="00864AD0" w:rsidRDefault="003D29EE" w:rsidP="003D29EE">
      <w:pPr>
        <w:tabs>
          <w:tab w:val="left" w:pos="8080"/>
        </w:tabs>
        <w:spacing w:after="0" w:line="240" w:lineRule="auto"/>
        <w:ind w:right="-1"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b/>
          <w:i/>
          <w:sz w:val="24"/>
          <w:szCs w:val="24"/>
        </w:rPr>
        <w:t>Растениеводство.</w:t>
      </w:r>
      <w:r w:rsidR="00E22893">
        <w:rPr>
          <w:rFonts w:ascii="Times New Roman" w:eastAsiaTheme="minorEastAsia" w:hAnsi="Times New Roman" w:cstheme="minorBidi"/>
          <w:b/>
          <w:i/>
          <w:sz w:val="24"/>
          <w:szCs w:val="24"/>
        </w:rPr>
        <w:t xml:space="preserve"> </w:t>
      </w:r>
      <w:r w:rsidRPr="00864AD0">
        <w:rPr>
          <w:rFonts w:ascii="Times New Roman" w:eastAsiaTheme="minorEastAsia" w:hAnsi="Times New Roman" w:cstheme="minorBidi"/>
          <w:sz w:val="24"/>
          <w:szCs w:val="24"/>
        </w:rPr>
        <w:t>Основная работа сельскохозяйственных производителей в первой половине года в аграрном секторе была направлена на проведение весенне-полевых работ, а также на уборку урожая зерновых и зернобобовых культур первой группы.</w:t>
      </w:r>
    </w:p>
    <w:p w:rsidR="003D29EE" w:rsidRDefault="003D29EE" w:rsidP="003D29EE">
      <w:pPr>
        <w:shd w:val="clear" w:color="auto" w:fill="FFFFFF"/>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Посевная площадь озимых и яровых культур под урожай 2017 года в целом по республике составила 202,6 тыс. га, что на 3,8% больше, чем под урожай 2016 года. В структуре посевных площадей отмечается расширение на 7,2 п.п. доли площадей, отведенных под технические культуры, при сокращении на 6,8 п.п</w:t>
      </w:r>
      <w:r>
        <w:rPr>
          <w:rFonts w:ascii="Times New Roman" w:eastAsiaTheme="minorEastAsia" w:hAnsi="Times New Roman" w:cstheme="minorBidi"/>
          <w:sz w:val="24"/>
          <w:szCs w:val="24"/>
        </w:rPr>
        <w:t>.</w:t>
      </w:r>
      <w:r w:rsidRPr="00864AD0">
        <w:rPr>
          <w:rFonts w:ascii="Times New Roman" w:eastAsiaTheme="minorEastAsia" w:hAnsi="Times New Roman" w:cstheme="minorBidi"/>
          <w:sz w:val="24"/>
          <w:szCs w:val="24"/>
        </w:rPr>
        <w:t>удельного веса площадей, занятых под зерновые и зернобобовые культуры. Площадь пашни по итогам сева озимых и яровых культур увеличилась на 3,8% и достигла 210,7 тыс. га.</w:t>
      </w:r>
    </w:p>
    <w:p w:rsidR="00832D29" w:rsidRPr="00864AD0" w:rsidRDefault="00832D29" w:rsidP="003D29EE">
      <w:pPr>
        <w:shd w:val="clear" w:color="auto" w:fill="FFFFFF"/>
        <w:spacing w:after="0" w:line="240" w:lineRule="auto"/>
        <w:ind w:firstLine="709"/>
        <w:jc w:val="both"/>
        <w:rPr>
          <w:rFonts w:ascii="Times New Roman" w:eastAsiaTheme="minorEastAsia" w:hAnsi="Times New Roman" w:cstheme="minorBidi"/>
          <w:sz w:val="24"/>
          <w:szCs w:val="24"/>
        </w:rPr>
      </w:pPr>
    </w:p>
    <w:p w:rsidR="003D29EE" w:rsidRPr="00864AD0" w:rsidRDefault="003D29EE" w:rsidP="003D29EE">
      <w:pPr>
        <w:shd w:val="clear" w:color="auto" w:fill="FFFFFF"/>
        <w:tabs>
          <w:tab w:val="left" w:pos="7797"/>
        </w:tabs>
        <w:spacing w:after="0" w:line="240" w:lineRule="auto"/>
        <w:ind w:firstLine="709"/>
        <w:jc w:val="right"/>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Таблица №</w:t>
      </w:r>
      <w:r w:rsidR="00A22BDD">
        <w:rPr>
          <w:rFonts w:ascii="Times New Roman" w:eastAsiaTheme="minorEastAsia" w:hAnsi="Times New Roman" w:cstheme="minorBidi"/>
          <w:sz w:val="24"/>
          <w:szCs w:val="24"/>
        </w:rPr>
        <w:t>1</w:t>
      </w:r>
    </w:p>
    <w:p w:rsidR="003D29EE" w:rsidRPr="00864AD0" w:rsidRDefault="003D29EE" w:rsidP="003D29EE">
      <w:pPr>
        <w:spacing w:after="0" w:line="240" w:lineRule="auto"/>
        <w:jc w:val="center"/>
        <w:rPr>
          <w:rFonts w:ascii="Times New Roman" w:eastAsiaTheme="minorEastAsia" w:hAnsi="Times New Roman" w:cstheme="minorBidi"/>
          <w:b/>
          <w:sz w:val="24"/>
          <w:szCs w:val="24"/>
        </w:rPr>
      </w:pPr>
      <w:r w:rsidRPr="00864AD0">
        <w:rPr>
          <w:rFonts w:ascii="Times New Roman" w:eastAsiaTheme="minorEastAsia" w:hAnsi="Times New Roman" w:cstheme="minorBidi"/>
          <w:b/>
          <w:sz w:val="24"/>
          <w:szCs w:val="24"/>
        </w:rPr>
        <w:t xml:space="preserve">Посевные площади озимых и яровых культур под урожай 2017 года </w:t>
      </w:r>
    </w:p>
    <w:p w:rsidR="003D29EE" w:rsidRPr="00864AD0" w:rsidRDefault="003D29EE" w:rsidP="003D29EE">
      <w:pPr>
        <w:spacing w:after="0" w:line="240" w:lineRule="auto"/>
        <w:jc w:val="center"/>
        <w:rPr>
          <w:rFonts w:ascii="Times New Roman" w:eastAsiaTheme="minorEastAsia" w:hAnsi="Times New Roman" w:cstheme="minorBidi"/>
          <w:b/>
          <w:sz w:val="24"/>
          <w:szCs w:val="24"/>
        </w:rPr>
      </w:pPr>
      <w:r w:rsidRPr="00864AD0">
        <w:rPr>
          <w:rFonts w:ascii="Times New Roman" w:eastAsiaTheme="minorEastAsia" w:hAnsi="Times New Roman" w:cstheme="minorBidi"/>
          <w:b/>
          <w:sz w:val="24"/>
          <w:szCs w:val="24"/>
        </w:rPr>
        <w:t>в хозяйствах всех категорий (без учёта хозяйств населения)</w:t>
      </w:r>
    </w:p>
    <w:tbl>
      <w:tblPr>
        <w:tblW w:w="93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1"/>
        <w:gridCol w:w="991"/>
        <w:gridCol w:w="1274"/>
        <w:gridCol w:w="849"/>
        <w:gridCol w:w="1274"/>
        <w:gridCol w:w="1319"/>
      </w:tblGrid>
      <w:tr w:rsidR="003D29EE" w:rsidRPr="00864AD0" w:rsidTr="00832D29">
        <w:trPr>
          <w:trHeight w:val="293"/>
        </w:trPr>
        <w:tc>
          <w:tcPr>
            <w:tcW w:w="3681" w:type="dxa"/>
            <w:vMerge w:val="restart"/>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Культуры</w:t>
            </w:r>
          </w:p>
        </w:tc>
        <w:tc>
          <w:tcPr>
            <w:tcW w:w="4388" w:type="dxa"/>
            <w:gridSpan w:val="4"/>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Посевные площади, тыс. га</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ind w:left="-141"/>
              <w:jc w:val="center"/>
              <w:rPr>
                <w:rFonts w:ascii="Times New Roman" w:eastAsiaTheme="minorEastAsia" w:hAnsi="Times New Roman" w:cstheme="minorBidi"/>
                <w:b/>
                <w:bCs/>
                <w:sz w:val="21"/>
                <w:szCs w:val="21"/>
              </w:rPr>
            </w:pPr>
            <w:r w:rsidRPr="00864AD0">
              <w:rPr>
                <w:rFonts w:ascii="Times New Roman" w:eastAsiaTheme="minorEastAsia" w:hAnsi="Times New Roman" w:cstheme="minorBidi"/>
                <w:b/>
                <w:bCs/>
                <w:sz w:val="21"/>
                <w:szCs w:val="21"/>
              </w:rPr>
              <w:t>Темп роста    2017 г. к</w:t>
            </w:r>
          </w:p>
          <w:p w:rsidR="003D29EE" w:rsidRPr="00864AD0" w:rsidRDefault="003D29EE" w:rsidP="006A3EF7">
            <w:pPr>
              <w:tabs>
                <w:tab w:val="left" w:pos="4140"/>
                <w:tab w:val="left" w:pos="6173"/>
              </w:tabs>
              <w:spacing w:after="0" w:line="240" w:lineRule="auto"/>
              <w:ind w:left="-141"/>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bCs/>
                <w:sz w:val="21"/>
                <w:szCs w:val="21"/>
              </w:rPr>
              <w:t>2016 г., %</w:t>
            </w:r>
          </w:p>
        </w:tc>
      </w:tr>
      <w:tr w:rsidR="003D29EE" w:rsidRPr="00864AD0" w:rsidTr="00832D29">
        <w:trPr>
          <w:trHeight w:val="154"/>
        </w:trPr>
        <w:tc>
          <w:tcPr>
            <w:tcW w:w="3681" w:type="dxa"/>
            <w:vMerge/>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rPr>
                <w:rFonts w:ascii="Times New Roman" w:eastAsiaTheme="minorEastAsia" w:hAnsi="Times New Roman" w:cstheme="minorBidi"/>
                <w:b/>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ind w:left="-109"/>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2016</w:t>
            </w:r>
          </w:p>
          <w:p w:rsidR="003D29EE" w:rsidRPr="00864AD0" w:rsidRDefault="003D29EE" w:rsidP="006A3EF7">
            <w:pPr>
              <w:tabs>
                <w:tab w:val="left" w:pos="4140"/>
                <w:tab w:val="left" w:pos="6173"/>
              </w:tabs>
              <w:spacing w:after="0" w:line="240" w:lineRule="auto"/>
              <w:ind w:left="-109"/>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год</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Удельный вес, %</w:t>
            </w:r>
          </w:p>
        </w:tc>
        <w:tc>
          <w:tcPr>
            <w:tcW w:w="84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ind w:left="-109"/>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2017</w:t>
            </w:r>
          </w:p>
          <w:p w:rsidR="003D29EE" w:rsidRPr="00864AD0" w:rsidRDefault="003D29EE" w:rsidP="006A3EF7">
            <w:pPr>
              <w:tabs>
                <w:tab w:val="left" w:pos="4140"/>
                <w:tab w:val="left" w:pos="6173"/>
              </w:tabs>
              <w:spacing w:after="0" w:line="240" w:lineRule="auto"/>
              <w:ind w:left="-109"/>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год</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Удельный вес, %</w:t>
            </w:r>
          </w:p>
        </w:tc>
        <w:tc>
          <w:tcPr>
            <w:tcW w:w="1319" w:type="dxa"/>
            <w:vMerge/>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120" w:line="480" w:lineRule="auto"/>
              <w:ind w:left="283"/>
              <w:rPr>
                <w:rFonts w:ascii="Times New Roman" w:eastAsiaTheme="minorEastAsia" w:hAnsi="Times New Roman" w:cstheme="minorBidi"/>
                <w:b/>
                <w:sz w:val="21"/>
                <w:szCs w:val="21"/>
              </w:rPr>
            </w:pPr>
          </w:p>
        </w:tc>
      </w:tr>
      <w:tr w:rsidR="003D29EE" w:rsidRPr="00864AD0" w:rsidTr="00832D29">
        <w:trPr>
          <w:trHeight w:val="154"/>
        </w:trPr>
        <w:tc>
          <w:tcPr>
            <w:tcW w:w="3681" w:type="dxa"/>
            <w:tcBorders>
              <w:top w:val="single" w:sz="4" w:space="0" w:color="auto"/>
              <w:left w:val="single" w:sz="4" w:space="0" w:color="auto"/>
              <w:bottom w:val="single" w:sz="4" w:space="0" w:color="auto"/>
              <w:right w:val="single" w:sz="4" w:space="0" w:color="auto"/>
            </w:tcBorders>
          </w:tcPr>
          <w:p w:rsidR="003D29EE" w:rsidRPr="00864AD0" w:rsidRDefault="003D29EE" w:rsidP="006A3EF7">
            <w:pPr>
              <w:tabs>
                <w:tab w:val="left" w:pos="4140"/>
                <w:tab w:val="left" w:pos="6173"/>
              </w:tabs>
              <w:spacing w:after="0" w:line="240" w:lineRule="auto"/>
              <w:jc w:val="both"/>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Зерновые и зернобобовые культуры</w:t>
            </w:r>
          </w:p>
        </w:tc>
        <w:tc>
          <w:tcPr>
            <w:tcW w:w="99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123,3</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63,2</w:t>
            </w:r>
          </w:p>
        </w:tc>
        <w:tc>
          <w:tcPr>
            <w:tcW w:w="84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114,3</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56,4</w:t>
            </w:r>
          </w:p>
        </w:tc>
        <w:tc>
          <w:tcPr>
            <w:tcW w:w="131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92,7</w:t>
            </w:r>
          </w:p>
        </w:tc>
      </w:tr>
      <w:tr w:rsidR="003D29EE" w:rsidRPr="00864AD0" w:rsidTr="00832D29">
        <w:trPr>
          <w:trHeight w:val="154"/>
        </w:trPr>
        <w:tc>
          <w:tcPr>
            <w:tcW w:w="3681" w:type="dxa"/>
            <w:tcBorders>
              <w:top w:val="single" w:sz="4" w:space="0" w:color="auto"/>
              <w:left w:val="single" w:sz="4" w:space="0" w:color="auto"/>
              <w:bottom w:val="single" w:sz="4" w:space="0" w:color="auto"/>
              <w:right w:val="single" w:sz="4" w:space="0" w:color="auto"/>
            </w:tcBorders>
          </w:tcPr>
          <w:p w:rsidR="003D29EE" w:rsidRPr="00864AD0" w:rsidRDefault="003D29EE" w:rsidP="006A3EF7">
            <w:pPr>
              <w:tabs>
                <w:tab w:val="left" w:pos="4140"/>
                <w:tab w:val="left" w:pos="6173"/>
              </w:tabs>
              <w:spacing w:after="0" w:line="240" w:lineRule="auto"/>
              <w:jc w:val="both"/>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Технические культуры</w:t>
            </w:r>
          </w:p>
        </w:tc>
        <w:tc>
          <w:tcPr>
            <w:tcW w:w="99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63,0</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32,3</w:t>
            </w:r>
          </w:p>
        </w:tc>
        <w:tc>
          <w:tcPr>
            <w:tcW w:w="84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80,1</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39,5</w:t>
            </w:r>
          </w:p>
        </w:tc>
        <w:tc>
          <w:tcPr>
            <w:tcW w:w="131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127,1</w:t>
            </w:r>
          </w:p>
        </w:tc>
      </w:tr>
      <w:tr w:rsidR="003D29EE" w:rsidRPr="00864AD0" w:rsidTr="00832D29">
        <w:trPr>
          <w:trHeight w:val="154"/>
        </w:trPr>
        <w:tc>
          <w:tcPr>
            <w:tcW w:w="3681" w:type="dxa"/>
            <w:tcBorders>
              <w:top w:val="single" w:sz="4" w:space="0" w:color="auto"/>
              <w:left w:val="single" w:sz="4" w:space="0" w:color="auto"/>
              <w:bottom w:val="single" w:sz="4" w:space="0" w:color="auto"/>
              <w:right w:val="single" w:sz="4" w:space="0" w:color="auto"/>
            </w:tcBorders>
          </w:tcPr>
          <w:p w:rsidR="003D29EE" w:rsidRPr="00864AD0" w:rsidRDefault="003D29EE" w:rsidP="006A3EF7">
            <w:pPr>
              <w:tabs>
                <w:tab w:val="left" w:pos="4140"/>
                <w:tab w:val="left" w:pos="6173"/>
              </w:tabs>
              <w:spacing w:after="0" w:line="240" w:lineRule="auto"/>
              <w:jc w:val="both"/>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Картофель, овощи и бахчевые культуры</w:t>
            </w:r>
          </w:p>
        </w:tc>
        <w:tc>
          <w:tcPr>
            <w:tcW w:w="99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2,6</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506"/>
                <w:tab w:val="left" w:pos="4140"/>
                <w:tab w:val="left" w:pos="6173"/>
              </w:tabs>
              <w:spacing w:after="0" w:line="240" w:lineRule="auto"/>
              <w:ind w:left="-44" w:hanging="138"/>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 xml:space="preserve">   1,3</w:t>
            </w:r>
          </w:p>
        </w:tc>
        <w:tc>
          <w:tcPr>
            <w:tcW w:w="84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2,5</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506"/>
                <w:tab w:val="left" w:pos="4140"/>
                <w:tab w:val="left" w:pos="6173"/>
              </w:tabs>
              <w:spacing w:after="0" w:line="240" w:lineRule="auto"/>
              <w:ind w:left="-44" w:hanging="138"/>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 xml:space="preserve">   1,2</w:t>
            </w:r>
          </w:p>
        </w:tc>
        <w:tc>
          <w:tcPr>
            <w:tcW w:w="131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96,1</w:t>
            </w:r>
          </w:p>
        </w:tc>
      </w:tr>
      <w:tr w:rsidR="003D29EE" w:rsidRPr="00864AD0" w:rsidTr="00832D29">
        <w:trPr>
          <w:trHeight w:val="154"/>
        </w:trPr>
        <w:tc>
          <w:tcPr>
            <w:tcW w:w="3681" w:type="dxa"/>
            <w:tcBorders>
              <w:top w:val="single" w:sz="4" w:space="0" w:color="auto"/>
              <w:left w:val="single" w:sz="4" w:space="0" w:color="auto"/>
              <w:bottom w:val="single" w:sz="4" w:space="0" w:color="auto"/>
              <w:right w:val="single" w:sz="4" w:space="0" w:color="auto"/>
            </w:tcBorders>
          </w:tcPr>
          <w:p w:rsidR="003D29EE" w:rsidRPr="00864AD0" w:rsidRDefault="003D29EE" w:rsidP="006A3EF7">
            <w:pPr>
              <w:tabs>
                <w:tab w:val="left" w:pos="4140"/>
                <w:tab w:val="left" w:pos="6173"/>
              </w:tabs>
              <w:spacing w:after="0" w:line="240" w:lineRule="auto"/>
              <w:jc w:val="both"/>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6,3</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3,2</w:t>
            </w:r>
          </w:p>
        </w:tc>
        <w:tc>
          <w:tcPr>
            <w:tcW w:w="84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5,7</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2,8</w:t>
            </w:r>
          </w:p>
        </w:tc>
        <w:tc>
          <w:tcPr>
            <w:tcW w:w="131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jc w:val="center"/>
              <w:rPr>
                <w:rFonts w:ascii="Times New Roman" w:eastAsiaTheme="minorEastAsia" w:hAnsi="Times New Roman" w:cstheme="minorBidi"/>
                <w:sz w:val="21"/>
                <w:szCs w:val="21"/>
              </w:rPr>
            </w:pPr>
            <w:r w:rsidRPr="00864AD0">
              <w:rPr>
                <w:rFonts w:ascii="Times New Roman" w:eastAsiaTheme="minorEastAsia" w:hAnsi="Times New Roman" w:cstheme="minorBidi"/>
                <w:sz w:val="21"/>
                <w:szCs w:val="21"/>
              </w:rPr>
              <w:t>90,4</w:t>
            </w:r>
          </w:p>
        </w:tc>
      </w:tr>
      <w:tr w:rsidR="003D29EE" w:rsidRPr="00864AD0" w:rsidTr="00832D29">
        <w:trPr>
          <w:trHeight w:val="154"/>
        </w:trPr>
        <w:tc>
          <w:tcPr>
            <w:tcW w:w="368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Вся посевная площадь</w:t>
            </w:r>
          </w:p>
        </w:tc>
        <w:tc>
          <w:tcPr>
            <w:tcW w:w="99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195,2</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100,0</w:t>
            </w:r>
          </w:p>
        </w:tc>
        <w:tc>
          <w:tcPr>
            <w:tcW w:w="84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202,6</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100,0</w:t>
            </w:r>
          </w:p>
        </w:tc>
        <w:tc>
          <w:tcPr>
            <w:tcW w:w="131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103,8</w:t>
            </w:r>
          </w:p>
        </w:tc>
      </w:tr>
      <w:tr w:rsidR="003D29EE" w:rsidRPr="00864AD0" w:rsidTr="00832D29">
        <w:trPr>
          <w:trHeight w:val="154"/>
        </w:trPr>
        <w:tc>
          <w:tcPr>
            <w:tcW w:w="3681" w:type="dxa"/>
            <w:tcBorders>
              <w:top w:val="single" w:sz="4" w:space="0" w:color="auto"/>
              <w:left w:val="single" w:sz="4" w:space="0" w:color="auto"/>
              <w:bottom w:val="single" w:sz="4" w:space="0" w:color="auto"/>
              <w:right w:val="single" w:sz="4" w:space="0" w:color="auto"/>
            </w:tcBorders>
          </w:tcPr>
          <w:p w:rsidR="003D29EE" w:rsidRPr="00864AD0" w:rsidRDefault="003D29EE" w:rsidP="006A3EF7">
            <w:pPr>
              <w:tabs>
                <w:tab w:val="left" w:pos="4140"/>
                <w:tab w:val="left" w:pos="6173"/>
              </w:tabs>
              <w:spacing w:after="0" w:line="240" w:lineRule="auto"/>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Площадь пашни</w:t>
            </w:r>
          </w:p>
        </w:tc>
        <w:tc>
          <w:tcPr>
            <w:tcW w:w="991"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203,0</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w:t>
            </w:r>
          </w:p>
        </w:tc>
        <w:tc>
          <w:tcPr>
            <w:tcW w:w="84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210,7</w:t>
            </w:r>
          </w:p>
        </w:tc>
        <w:tc>
          <w:tcPr>
            <w:tcW w:w="1274"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tabs>
                <w:tab w:val="left" w:pos="4140"/>
                <w:tab w:val="left" w:pos="6173"/>
              </w:tabs>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w:t>
            </w:r>
          </w:p>
        </w:tc>
        <w:tc>
          <w:tcPr>
            <w:tcW w:w="1319" w:type="dxa"/>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jc w:val="center"/>
              <w:rPr>
                <w:rFonts w:ascii="Times New Roman" w:eastAsiaTheme="minorEastAsia" w:hAnsi="Times New Roman" w:cstheme="minorBidi"/>
                <w:b/>
                <w:sz w:val="21"/>
                <w:szCs w:val="21"/>
              </w:rPr>
            </w:pPr>
            <w:r w:rsidRPr="00864AD0">
              <w:rPr>
                <w:rFonts w:ascii="Times New Roman" w:eastAsiaTheme="minorEastAsia" w:hAnsi="Times New Roman" w:cstheme="minorBidi"/>
                <w:b/>
                <w:sz w:val="21"/>
                <w:szCs w:val="21"/>
              </w:rPr>
              <w:t>103,8</w:t>
            </w:r>
          </w:p>
        </w:tc>
      </w:tr>
    </w:tbl>
    <w:p w:rsidR="00832D29" w:rsidRDefault="00832D29" w:rsidP="003D29EE">
      <w:pPr>
        <w:suppressAutoHyphens/>
        <w:spacing w:after="0" w:line="240" w:lineRule="auto"/>
        <w:ind w:firstLine="709"/>
        <w:jc w:val="both"/>
        <w:rPr>
          <w:rFonts w:ascii="Times New Roman" w:eastAsiaTheme="minorEastAsia" w:hAnsi="Times New Roman" w:cstheme="minorBidi"/>
          <w:sz w:val="24"/>
          <w:szCs w:val="24"/>
        </w:rPr>
      </w:pPr>
    </w:p>
    <w:p w:rsidR="003D29EE" w:rsidRPr="00864AD0" w:rsidRDefault="003D29EE" w:rsidP="003D29EE">
      <w:pPr>
        <w:suppressAutoHyphens/>
        <w:spacing w:after="0" w:line="240" w:lineRule="auto"/>
        <w:ind w:firstLine="709"/>
        <w:jc w:val="both"/>
        <w:rPr>
          <w:rFonts w:ascii="Times New Roman" w:eastAsiaTheme="minorEastAsia" w:hAnsi="Times New Roman" w:cstheme="minorBidi"/>
          <w:color w:val="000000"/>
          <w:sz w:val="24"/>
          <w:szCs w:val="24"/>
        </w:rPr>
      </w:pPr>
      <w:r w:rsidRPr="00864AD0">
        <w:rPr>
          <w:rFonts w:ascii="Times New Roman" w:eastAsiaTheme="minorEastAsia" w:hAnsi="Times New Roman" w:cstheme="minorBidi"/>
          <w:sz w:val="24"/>
          <w:szCs w:val="24"/>
        </w:rPr>
        <w:t xml:space="preserve">По состоянию на 11 августа текущего года уборка зерновых первой группы в республике </w:t>
      </w:r>
      <w:r>
        <w:rPr>
          <w:rFonts w:ascii="Times New Roman" w:eastAsiaTheme="minorEastAsia" w:hAnsi="Times New Roman" w:cstheme="minorBidi"/>
          <w:sz w:val="24"/>
          <w:szCs w:val="24"/>
        </w:rPr>
        <w:t xml:space="preserve">была </w:t>
      </w:r>
      <w:r w:rsidRPr="00864AD0">
        <w:rPr>
          <w:rFonts w:ascii="Times New Roman" w:eastAsiaTheme="minorEastAsia" w:hAnsi="Times New Roman" w:cstheme="minorBidi"/>
          <w:sz w:val="24"/>
          <w:szCs w:val="24"/>
        </w:rPr>
        <w:t>практически завершена, убрано 98,5% площади, полученный урожай состав</w:t>
      </w:r>
      <w:r>
        <w:rPr>
          <w:rFonts w:ascii="Times New Roman" w:eastAsiaTheme="minorEastAsia" w:hAnsi="Times New Roman" w:cstheme="minorBidi"/>
          <w:sz w:val="24"/>
          <w:szCs w:val="24"/>
        </w:rPr>
        <w:t>и</w:t>
      </w:r>
      <w:r w:rsidRPr="00864AD0">
        <w:rPr>
          <w:rFonts w:ascii="Times New Roman" w:eastAsiaTheme="minorEastAsia" w:hAnsi="Times New Roman" w:cstheme="minorBidi"/>
          <w:sz w:val="24"/>
          <w:szCs w:val="24"/>
        </w:rPr>
        <w:t xml:space="preserve">л 83,3% к рекордному уровню 2016 года. </w:t>
      </w:r>
      <w:proofErr w:type="gramStart"/>
      <w:r w:rsidRPr="00864AD0">
        <w:rPr>
          <w:rFonts w:ascii="Times New Roman" w:eastAsiaTheme="minorEastAsia" w:hAnsi="Times New Roman" w:cstheme="minorBidi"/>
          <w:sz w:val="24"/>
          <w:szCs w:val="24"/>
        </w:rPr>
        <w:t>По данным Министерства сельского хозяйства и природных ресурсов Приднестровской Молдавской Республики, валовой сбор зерновых и зернобобовых культур первой группы на фоне сокращения посевных площадей</w:t>
      </w:r>
      <w:r>
        <w:rPr>
          <w:rFonts w:ascii="Times New Roman" w:eastAsiaTheme="minorEastAsia" w:hAnsi="Times New Roman" w:cstheme="minorBidi"/>
          <w:sz w:val="24"/>
          <w:szCs w:val="24"/>
        </w:rPr>
        <w:br/>
      </w:r>
      <w:r w:rsidRPr="00864AD0">
        <w:rPr>
          <w:rFonts w:ascii="Times New Roman" w:eastAsiaTheme="minorEastAsia" w:hAnsi="Times New Roman" w:cstheme="minorBidi"/>
          <w:sz w:val="24"/>
          <w:szCs w:val="24"/>
        </w:rPr>
        <w:t xml:space="preserve"> (-9,3%) и урожайности (-9,4%) составил 360,9 тыс. тонн (433,2</w:t>
      </w:r>
      <w:r w:rsidR="00E22893">
        <w:rPr>
          <w:rFonts w:ascii="Times New Roman" w:eastAsiaTheme="minorEastAsia" w:hAnsi="Times New Roman" w:cstheme="minorBidi"/>
          <w:sz w:val="24"/>
          <w:szCs w:val="24"/>
        </w:rPr>
        <w:t xml:space="preserve"> тыс. тонн </w:t>
      </w:r>
      <w:r>
        <w:rPr>
          <w:rFonts w:ascii="Times New Roman" w:eastAsiaTheme="minorEastAsia" w:hAnsi="Times New Roman" w:cstheme="minorBidi"/>
          <w:sz w:val="24"/>
          <w:szCs w:val="24"/>
        </w:rPr>
        <w:t xml:space="preserve">на аналогичную дату </w:t>
      </w:r>
      <w:r w:rsidRPr="00864AD0">
        <w:rPr>
          <w:rFonts w:ascii="Times New Roman" w:eastAsiaTheme="minorEastAsia" w:hAnsi="Times New Roman" w:cstheme="minorBidi"/>
          <w:sz w:val="24"/>
          <w:szCs w:val="24"/>
        </w:rPr>
        <w:t>2016 года), в том числе озимой пшеницы – 292,5 тыс. тонн</w:t>
      </w:r>
      <w:r w:rsidR="00E22893">
        <w:rPr>
          <w:rFonts w:ascii="Times New Roman" w:eastAsiaTheme="minorEastAsia" w:hAnsi="Times New Roman" w:cstheme="minorBidi"/>
          <w:sz w:val="24"/>
          <w:szCs w:val="24"/>
        </w:rPr>
        <w:t xml:space="preserve"> </w:t>
      </w:r>
      <w:r>
        <w:rPr>
          <w:rFonts w:ascii="Times New Roman" w:eastAsiaTheme="minorEastAsia" w:hAnsi="Times New Roman" w:cstheme="minorBidi"/>
          <w:sz w:val="24"/>
          <w:szCs w:val="24"/>
        </w:rPr>
        <w:t xml:space="preserve">против </w:t>
      </w:r>
      <w:r w:rsidRPr="00864AD0">
        <w:rPr>
          <w:rFonts w:ascii="Times New Roman" w:eastAsiaTheme="minorEastAsia" w:hAnsi="Times New Roman" w:cstheme="minorBidi"/>
          <w:sz w:val="24"/>
          <w:szCs w:val="24"/>
        </w:rPr>
        <w:t>351,1 тыс. тонн</w:t>
      </w:r>
      <w:r>
        <w:rPr>
          <w:rFonts w:ascii="Times New Roman" w:eastAsiaTheme="minorEastAsia" w:hAnsi="Times New Roman" w:cstheme="minorBidi"/>
          <w:sz w:val="24"/>
          <w:szCs w:val="24"/>
        </w:rPr>
        <w:t>.</w:t>
      </w:r>
      <w:proofErr w:type="gramEnd"/>
    </w:p>
    <w:p w:rsidR="003D29EE" w:rsidRDefault="003D29EE" w:rsidP="003D29EE">
      <w:pPr>
        <w:spacing w:after="0" w:line="240" w:lineRule="auto"/>
        <w:ind w:firstLine="709"/>
        <w:jc w:val="both"/>
        <w:rPr>
          <w:rFonts w:ascii="Times New Roman" w:eastAsiaTheme="minorEastAsia" w:hAnsi="Times New Roman" w:cstheme="minorBidi"/>
          <w:color w:val="000000"/>
          <w:sz w:val="24"/>
          <w:szCs w:val="24"/>
        </w:rPr>
      </w:pPr>
      <w:r w:rsidRPr="00864AD0">
        <w:rPr>
          <w:rFonts w:ascii="Times New Roman" w:eastAsiaTheme="minorEastAsia" w:hAnsi="Times New Roman" w:cstheme="minorBidi"/>
          <w:color w:val="000000"/>
          <w:sz w:val="24"/>
          <w:szCs w:val="24"/>
        </w:rPr>
        <w:t xml:space="preserve">Средняя урожайность зерновых культур составила 38,7 </w:t>
      </w:r>
      <w:proofErr w:type="spellStart"/>
      <w:r w:rsidRPr="00864AD0">
        <w:rPr>
          <w:rFonts w:ascii="Times New Roman" w:eastAsiaTheme="minorEastAsia" w:hAnsi="Times New Roman" w:cstheme="minorBidi"/>
          <w:color w:val="000000"/>
          <w:sz w:val="24"/>
          <w:szCs w:val="24"/>
        </w:rPr>
        <w:t>ц</w:t>
      </w:r>
      <w:proofErr w:type="spellEnd"/>
      <w:r w:rsidRPr="00864AD0">
        <w:rPr>
          <w:rFonts w:ascii="Times New Roman" w:eastAsiaTheme="minorEastAsia" w:hAnsi="Times New Roman" w:cstheme="minorBidi"/>
          <w:color w:val="000000"/>
          <w:sz w:val="24"/>
          <w:szCs w:val="24"/>
        </w:rPr>
        <w:t>/га, в том ч</w:t>
      </w:r>
      <w:r w:rsidR="00E22893">
        <w:rPr>
          <w:rFonts w:ascii="Times New Roman" w:eastAsiaTheme="minorEastAsia" w:hAnsi="Times New Roman" w:cstheme="minorBidi"/>
          <w:color w:val="000000"/>
          <w:sz w:val="24"/>
          <w:szCs w:val="24"/>
        </w:rPr>
        <w:t xml:space="preserve">исле озимой пшеницы – 40,8 </w:t>
      </w:r>
      <w:proofErr w:type="spellStart"/>
      <w:r w:rsidR="00E22893">
        <w:rPr>
          <w:rFonts w:ascii="Times New Roman" w:eastAsiaTheme="minorEastAsia" w:hAnsi="Times New Roman" w:cstheme="minorBidi"/>
          <w:color w:val="000000"/>
          <w:sz w:val="24"/>
          <w:szCs w:val="24"/>
        </w:rPr>
        <w:t>ц</w:t>
      </w:r>
      <w:proofErr w:type="spellEnd"/>
      <w:r w:rsidR="00E22893">
        <w:rPr>
          <w:rFonts w:ascii="Times New Roman" w:eastAsiaTheme="minorEastAsia" w:hAnsi="Times New Roman" w:cstheme="minorBidi"/>
          <w:color w:val="000000"/>
          <w:sz w:val="24"/>
          <w:szCs w:val="24"/>
        </w:rPr>
        <w:t>/га,</w:t>
      </w:r>
      <w:r w:rsidRPr="00864AD0">
        <w:rPr>
          <w:rFonts w:ascii="Times New Roman" w:eastAsiaTheme="minorEastAsia" w:hAnsi="Times New Roman" w:cstheme="minorBidi"/>
          <w:color w:val="000000"/>
          <w:sz w:val="24"/>
          <w:szCs w:val="24"/>
        </w:rPr>
        <w:t xml:space="preserve"> против 42,7 </w:t>
      </w:r>
      <w:proofErr w:type="spellStart"/>
      <w:r w:rsidRPr="00864AD0">
        <w:rPr>
          <w:rFonts w:ascii="Times New Roman" w:eastAsiaTheme="minorEastAsia" w:hAnsi="Times New Roman" w:cstheme="minorBidi"/>
          <w:color w:val="000000"/>
          <w:sz w:val="24"/>
          <w:szCs w:val="24"/>
        </w:rPr>
        <w:t>ц</w:t>
      </w:r>
      <w:proofErr w:type="spellEnd"/>
      <w:r w:rsidRPr="00864AD0">
        <w:rPr>
          <w:rFonts w:ascii="Times New Roman" w:eastAsiaTheme="minorEastAsia" w:hAnsi="Times New Roman" w:cstheme="minorBidi"/>
          <w:color w:val="000000"/>
          <w:sz w:val="24"/>
          <w:szCs w:val="24"/>
        </w:rPr>
        <w:t xml:space="preserve">/га и 45,2 </w:t>
      </w:r>
      <w:proofErr w:type="spellStart"/>
      <w:r w:rsidRPr="00864AD0">
        <w:rPr>
          <w:rFonts w:ascii="Times New Roman" w:eastAsiaTheme="minorEastAsia" w:hAnsi="Times New Roman" w:cstheme="minorBidi"/>
          <w:color w:val="000000"/>
          <w:sz w:val="24"/>
          <w:szCs w:val="24"/>
        </w:rPr>
        <w:t>ц</w:t>
      </w:r>
      <w:proofErr w:type="spellEnd"/>
      <w:r w:rsidRPr="00864AD0">
        <w:rPr>
          <w:rFonts w:ascii="Times New Roman" w:eastAsiaTheme="minorEastAsia" w:hAnsi="Times New Roman" w:cstheme="minorBidi"/>
          <w:color w:val="000000"/>
          <w:sz w:val="24"/>
          <w:szCs w:val="24"/>
        </w:rPr>
        <w:t>/га в 2016 году соответственно.</w:t>
      </w:r>
    </w:p>
    <w:p w:rsidR="00832D29" w:rsidRDefault="00832D29" w:rsidP="003D29EE">
      <w:pPr>
        <w:spacing w:after="0" w:line="240" w:lineRule="auto"/>
        <w:ind w:firstLine="709"/>
        <w:jc w:val="both"/>
        <w:rPr>
          <w:rFonts w:ascii="Times New Roman" w:eastAsiaTheme="minorEastAsia" w:hAnsi="Times New Roman" w:cstheme="minorBidi"/>
          <w:color w:val="000000"/>
          <w:sz w:val="24"/>
          <w:szCs w:val="24"/>
        </w:rPr>
      </w:pPr>
    </w:p>
    <w:p w:rsidR="00832D29" w:rsidRDefault="00832D29" w:rsidP="003D29EE">
      <w:pPr>
        <w:spacing w:after="0" w:line="240" w:lineRule="auto"/>
        <w:ind w:firstLine="709"/>
        <w:jc w:val="both"/>
        <w:rPr>
          <w:rFonts w:ascii="Times New Roman" w:eastAsiaTheme="minorEastAsia" w:hAnsi="Times New Roman" w:cstheme="minorBidi"/>
          <w:color w:val="000000"/>
          <w:sz w:val="24"/>
          <w:szCs w:val="24"/>
        </w:rPr>
      </w:pPr>
    </w:p>
    <w:p w:rsidR="00832D29" w:rsidRDefault="00832D29" w:rsidP="003D29EE">
      <w:pPr>
        <w:spacing w:after="0" w:line="240" w:lineRule="auto"/>
        <w:ind w:firstLine="709"/>
        <w:jc w:val="both"/>
        <w:rPr>
          <w:rFonts w:ascii="Times New Roman" w:eastAsiaTheme="minorEastAsia" w:hAnsi="Times New Roman" w:cstheme="minorBidi"/>
          <w:color w:val="000000"/>
          <w:sz w:val="24"/>
          <w:szCs w:val="24"/>
        </w:rPr>
      </w:pPr>
    </w:p>
    <w:p w:rsidR="00832D29" w:rsidRDefault="00832D29" w:rsidP="003D29EE">
      <w:pPr>
        <w:spacing w:after="0" w:line="240" w:lineRule="auto"/>
        <w:ind w:firstLine="709"/>
        <w:jc w:val="both"/>
        <w:rPr>
          <w:rFonts w:ascii="Times New Roman" w:eastAsiaTheme="minorEastAsia" w:hAnsi="Times New Roman" w:cstheme="minorBidi"/>
          <w:color w:val="000000"/>
          <w:sz w:val="24"/>
          <w:szCs w:val="24"/>
        </w:rPr>
      </w:pPr>
    </w:p>
    <w:p w:rsidR="00832D29" w:rsidRPr="00864AD0" w:rsidRDefault="00832D29" w:rsidP="003D29EE">
      <w:pPr>
        <w:spacing w:after="0" w:line="240" w:lineRule="auto"/>
        <w:ind w:firstLine="709"/>
        <w:jc w:val="both"/>
        <w:rPr>
          <w:rFonts w:ascii="Times New Roman" w:eastAsiaTheme="minorEastAsia" w:hAnsi="Times New Roman" w:cstheme="minorBidi"/>
          <w:sz w:val="24"/>
          <w:szCs w:val="24"/>
        </w:rPr>
      </w:pPr>
    </w:p>
    <w:p w:rsidR="003D29EE" w:rsidRPr="00864AD0" w:rsidRDefault="003D29EE" w:rsidP="003D29EE">
      <w:pPr>
        <w:spacing w:after="0" w:line="240" w:lineRule="auto"/>
        <w:ind w:firstLine="708"/>
        <w:jc w:val="right"/>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lastRenderedPageBreak/>
        <w:t>Таблица №</w:t>
      </w:r>
      <w:r w:rsidR="00091304">
        <w:rPr>
          <w:rFonts w:ascii="Times New Roman" w:eastAsiaTheme="minorEastAsia" w:hAnsi="Times New Roman" w:cstheme="minorBidi"/>
          <w:sz w:val="24"/>
          <w:szCs w:val="24"/>
        </w:rPr>
        <w:t>2</w:t>
      </w:r>
    </w:p>
    <w:p w:rsidR="003D29EE" w:rsidRPr="00832D29" w:rsidRDefault="003D29EE" w:rsidP="003D29EE">
      <w:pPr>
        <w:suppressAutoHyphens/>
        <w:spacing w:after="0" w:line="240" w:lineRule="auto"/>
        <w:jc w:val="center"/>
        <w:rPr>
          <w:rFonts w:ascii="Times New Roman" w:eastAsiaTheme="minorEastAsia" w:hAnsi="Times New Roman" w:cstheme="minorBidi"/>
          <w:b/>
        </w:rPr>
      </w:pPr>
      <w:r w:rsidRPr="00832D29">
        <w:rPr>
          <w:rFonts w:ascii="Times New Roman" w:eastAsiaTheme="minorEastAsia" w:hAnsi="Times New Roman" w:cstheme="minorBidi"/>
          <w:b/>
        </w:rPr>
        <w:t xml:space="preserve">Оперативная информация о валовом сборе зерновых и </w:t>
      </w:r>
    </w:p>
    <w:p w:rsidR="003D29EE" w:rsidRPr="00832D29" w:rsidRDefault="003D29EE" w:rsidP="003D29EE">
      <w:pPr>
        <w:suppressAutoHyphens/>
        <w:spacing w:after="0" w:line="240" w:lineRule="auto"/>
        <w:jc w:val="center"/>
        <w:rPr>
          <w:rFonts w:ascii="Times New Roman" w:eastAsiaTheme="minorEastAsia" w:hAnsi="Times New Roman" w:cstheme="minorBidi"/>
          <w:b/>
        </w:rPr>
      </w:pPr>
      <w:r w:rsidRPr="00832D29">
        <w:rPr>
          <w:rFonts w:ascii="Times New Roman" w:eastAsiaTheme="minorEastAsia" w:hAnsi="Times New Roman" w:cstheme="minorBidi"/>
          <w:b/>
        </w:rPr>
        <w:t xml:space="preserve">зернобобовых культур первой группы всеми категориями хозяйств ПМР </w:t>
      </w:r>
    </w:p>
    <w:p w:rsidR="003D29EE" w:rsidRPr="00832D29" w:rsidRDefault="003D29EE" w:rsidP="003D29EE">
      <w:pPr>
        <w:suppressAutoHyphens/>
        <w:spacing w:after="0" w:line="240" w:lineRule="auto"/>
        <w:jc w:val="center"/>
        <w:rPr>
          <w:rFonts w:ascii="Times New Roman" w:eastAsiaTheme="minorEastAsia" w:hAnsi="Times New Roman" w:cstheme="minorBidi"/>
          <w:b/>
        </w:rPr>
      </w:pPr>
      <w:r w:rsidRPr="00832D29">
        <w:rPr>
          <w:rFonts w:ascii="Times New Roman" w:eastAsiaTheme="minorEastAsia" w:hAnsi="Times New Roman" w:cstheme="minorBidi"/>
          <w:b/>
        </w:rPr>
        <w:t>по состоянию на 11 августа 2017 года</w:t>
      </w:r>
    </w:p>
    <w:tbl>
      <w:tblPr>
        <w:tblW w:w="9372" w:type="dxa"/>
        <w:tblInd w:w="250" w:type="dxa"/>
        <w:tblLayout w:type="fixed"/>
        <w:tblLook w:val="0000"/>
      </w:tblPr>
      <w:tblGrid>
        <w:gridCol w:w="2757"/>
        <w:gridCol w:w="1218"/>
        <w:gridCol w:w="994"/>
        <w:gridCol w:w="1136"/>
        <w:gridCol w:w="1136"/>
        <w:gridCol w:w="994"/>
        <w:gridCol w:w="1137"/>
      </w:tblGrid>
      <w:tr w:rsidR="003D29EE" w:rsidRPr="00864AD0" w:rsidTr="006A3EF7">
        <w:trPr>
          <w:trHeight w:val="273"/>
        </w:trPr>
        <w:tc>
          <w:tcPr>
            <w:tcW w:w="27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D29EE" w:rsidRPr="00864AD0" w:rsidRDefault="003D29EE" w:rsidP="006A3EF7">
            <w:pPr>
              <w:spacing w:after="0" w:line="240" w:lineRule="auto"/>
              <w:jc w:val="center"/>
              <w:rPr>
                <w:rFonts w:ascii="Times New Roman" w:eastAsiaTheme="minorEastAsia" w:hAnsi="Times New Roman" w:cstheme="minorBidi"/>
                <w:b/>
                <w:bCs/>
              </w:rPr>
            </w:pPr>
            <w:r w:rsidRPr="00864AD0">
              <w:rPr>
                <w:rFonts w:ascii="Times New Roman" w:eastAsiaTheme="minorEastAsia" w:hAnsi="Times New Roman" w:cstheme="minorBidi"/>
                <w:b/>
                <w:bCs/>
              </w:rPr>
              <w:t>Культуры</w:t>
            </w:r>
          </w:p>
        </w:tc>
        <w:tc>
          <w:tcPr>
            <w:tcW w:w="3348" w:type="dxa"/>
            <w:gridSpan w:val="3"/>
            <w:tcBorders>
              <w:top w:val="single" w:sz="4" w:space="0" w:color="auto"/>
              <w:left w:val="nil"/>
              <w:bottom w:val="single" w:sz="4" w:space="0" w:color="auto"/>
              <w:right w:val="single" w:sz="4" w:space="0" w:color="auto"/>
            </w:tcBorders>
            <w:shd w:val="clear" w:color="auto" w:fill="auto"/>
            <w:vAlign w:val="center"/>
          </w:tcPr>
          <w:p w:rsidR="003D29EE" w:rsidRPr="00864AD0" w:rsidRDefault="003D29EE" w:rsidP="006A3EF7">
            <w:pPr>
              <w:spacing w:after="0" w:line="240" w:lineRule="auto"/>
              <w:jc w:val="center"/>
              <w:rPr>
                <w:rFonts w:ascii="Times New Roman" w:eastAsiaTheme="minorEastAsia" w:hAnsi="Times New Roman" w:cstheme="minorBidi"/>
                <w:b/>
                <w:bCs/>
              </w:rPr>
            </w:pPr>
            <w:r w:rsidRPr="00864AD0">
              <w:rPr>
                <w:rFonts w:ascii="Times New Roman" w:eastAsiaTheme="minorEastAsia" w:hAnsi="Times New Roman" w:cstheme="minorBidi"/>
                <w:b/>
                <w:bCs/>
              </w:rPr>
              <w:t>Валовой сбор, тыс. тонн</w:t>
            </w:r>
          </w:p>
        </w:tc>
        <w:tc>
          <w:tcPr>
            <w:tcW w:w="3267" w:type="dxa"/>
            <w:gridSpan w:val="3"/>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ind w:left="-288"/>
              <w:jc w:val="center"/>
              <w:rPr>
                <w:rFonts w:ascii="Times New Roman" w:eastAsiaTheme="minorEastAsia" w:hAnsi="Times New Roman" w:cstheme="minorBidi"/>
                <w:b/>
                <w:bCs/>
              </w:rPr>
            </w:pPr>
            <w:r w:rsidRPr="00864AD0">
              <w:rPr>
                <w:rFonts w:ascii="Times New Roman" w:eastAsiaTheme="minorEastAsia" w:hAnsi="Times New Roman" w:cstheme="minorBidi"/>
                <w:b/>
                <w:bCs/>
              </w:rPr>
              <w:t xml:space="preserve">Средняя урожайность, </w:t>
            </w:r>
            <w:proofErr w:type="spellStart"/>
            <w:r w:rsidRPr="00864AD0">
              <w:rPr>
                <w:rFonts w:ascii="Times New Roman" w:eastAsiaTheme="minorEastAsia" w:hAnsi="Times New Roman" w:cstheme="minorBidi"/>
                <w:b/>
                <w:bCs/>
              </w:rPr>
              <w:t>ц</w:t>
            </w:r>
            <w:proofErr w:type="spellEnd"/>
            <w:r w:rsidRPr="00864AD0">
              <w:rPr>
                <w:rFonts w:ascii="Times New Roman" w:eastAsiaTheme="minorEastAsia" w:hAnsi="Times New Roman" w:cstheme="minorBidi"/>
                <w:b/>
                <w:bCs/>
              </w:rPr>
              <w:t>/га</w:t>
            </w:r>
          </w:p>
        </w:tc>
      </w:tr>
      <w:tr w:rsidR="003D29EE" w:rsidRPr="00864AD0" w:rsidTr="006A3EF7">
        <w:trPr>
          <w:trHeight w:val="803"/>
        </w:trPr>
        <w:tc>
          <w:tcPr>
            <w:tcW w:w="2757" w:type="dxa"/>
            <w:vMerge/>
            <w:tcBorders>
              <w:top w:val="single" w:sz="4" w:space="0" w:color="auto"/>
              <w:left w:val="single" w:sz="4" w:space="0" w:color="auto"/>
              <w:bottom w:val="single" w:sz="4" w:space="0" w:color="auto"/>
              <w:right w:val="single" w:sz="4" w:space="0" w:color="auto"/>
            </w:tcBorders>
            <w:vAlign w:val="center"/>
          </w:tcPr>
          <w:p w:rsidR="003D29EE" w:rsidRPr="00864AD0" w:rsidRDefault="003D29EE" w:rsidP="006A3EF7">
            <w:pPr>
              <w:spacing w:after="0" w:line="240" w:lineRule="auto"/>
              <w:rPr>
                <w:rFonts w:ascii="Times New Roman" w:eastAsiaTheme="minorEastAsia" w:hAnsi="Times New Roman" w:cstheme="minorBidi"/>
                <w:b/>
                <w:bCs/>
              </w:rPr>
            </w:pPr>
          </w:p>
        </w:tc>
        <w:tc>
          <w:tcPr>
            <w:tcW w:w="1218" w:type="dxa"/>
            <w:tcBorders>
              <w:top w:val="nil"/>
              <w:left w:val="nil"/>
              <w:bottom w:val="single" w:sz="4" w:space="0" w:color="auto"/>
              <w:right w:val="single" w:sz="4" w:space="0" w:color="auto"/>
            </w:tcBorders>
            <w:shd w:val="clear" w:color="auto" w:fill="auto"/>
            <w:vAlign w:val="center"/>
          </w:tcPr>
          <w:p w:rsidR="003D29EE" w:rsidRPr="00864AD0" w:rsidRDefault="003D29EE" w:rsidP="006A3EF7">
            <w:pPr>
              <w:spacing w:after="0" w:line="240" w:lineRule="auto"/>
              <w:ind w:left="-288"/>
              <w:jc w:val="center"/>
              <w:rPr>
                <w:rFonts w:ascii="Times New Roman" w:eastAsiaTheme="minorEastAsia" w:hAnsi="Times New Roman" w:cstheme="minorBidi"/>
                <w:b/>
                <w:bCs/>
              </w:rPr>
            </w:pPr>
            <w:r w:rsidRPr="00864AD0">
              <w:rPr>
                <w:rFonts w:ascii="Times New Roman" w:eastAsiaTheme="minorEastAsia" w:hAnsi="Times New Roman" w:cstheme="minorBidi"/>
                <w:b/>
                <w:bCs/>
              </w:rPr>
              <w:t xml:space="preserve">2016  </w:t>
            </w:r>
          </w:p>
          <w:p w:rsidR="003D29EE" w:rsidRPr="00864AD0" w:rsidRDefault="003D29EE" w:rsidP="006A3EF7">
            <w:pPr>
              <w:spacing w:after="0" w:line="240" w:lineRule="auto"/>
              <w:ind w:left="-288"/>
              <w:jc w:val="center"/>
              <w:rPr>
                <w:rFonts w:ascii="Times New Roman" w:eastAsiaTheme="minorEastAsia" w:hAnsi="Times New Roman" w:cstheme="minorBidi"/>
                <w:b/>
                <w:bCs/>
              </w:rPr>
            </w:pPr>
            <w:r w:rsidRPr="00864AD0">
              <w:rPr>
                <w:rFonts w:ascii="Times New Roman" w:eastAsiaTheme="minorEastAsia" w:hAnsi="Times New Roman" w:cstheme="minorBidi"/>
                <w:b/>
                <w:bCs/>
              </w:rPr>
              <w:t>год</w:t>
            </w:r>
          </w:p>
        </w:tc>
        <w:tc>
          <w:tcPr>
            <w:tcW w:w="994" w:type="dxa"/>
            <w:tcBorders>
              <w:top w:val="nil"/>
              <w:left w:val="nil"/>
              <w:bottom w:val="single" w:sz="4" w:space="0" w:color="auto"/>
              <w:right w:val="single" w:sz="4" w:space="0" w:color="auto"/>
            </w:tcBorders>
            <w:shd w:val="clear" w:color="auto" w:fill="auto"/>
            <w:vAlign w:val="center"/>
          </w:tcPr>
          <w:p w:rsidR="003D29EE" w:rsidRPr="00864AD0" w:rsidRDefault="003D29EE" w:rsidP="006A3EF7">
            <w:pPr>
              <w:spacing w:after="0" w:line="240" w:lineRule="auto"/>
              <w:ind w:left="-288"/>
              <w:jc w:val="center"/>
              <w:rPr>
                <w:rFonts w:ascii="Times New Roman" w:eastAsiaTheme="minorEastAsia" w:hAnsi="Times New Roman" w:cstheme="minorBidi"/>
                <w:b/>
                <w:bCs/>
              </w:rPr>
            </w:pPr>
            <w:r w:rsidRPr="00864AD0">
              <w:rPr>
                <w:rFonts w:ascii="Times New Roman" w:eastAsiaTheme="minorEastAsia" w:hAnsi="Times New Roman" w:cstheme="minorBidi"/>
                <w:b/>
                <w:bCs/>
              </w:rPr>
              <w:t xml:space="preserve">2017 </w:t>
            </w:r>
          </w:p>
          <w:p w:rsidR="003D29EE" w:rsidRPr="00864AD0" w:rsidRDefault="003D29EE" w:rsidP="006A3EF7">
            <w:pPr>
              <w:spacing w:after="0" w:line="240" w:lineRule="auto"/>
              <w:ind w:left="-288"/>
              <w:jc w:val="center"/>
              <w:rPr>
                <w:rFonts w:ascii="Times New Roman" w:eastAsiaTheme="minorEastAsia" w:hAnsi="Times New Roman" w:cstheme="minorBidi"/>
                <w:b/>
                <w:bCs/>
              </w:rPr>
            </w:pPr>
            <w:r w:rsidRPr="00864AD0">
              <w:rPr>
                <w:rFonts w:ascii="Times New Roman" w:eastAsiaTheme="minorEastAsia" w:hAnsi="Times New Roman" w:cstheme="minorBidi"/>
                <w:b/>
                <w:bCs/>
              </w:rPr>
              <w:t>год</w:t>
            </w:r>
          </w:p>
        </w:tc>
        <w:tc>
          <w:tcPr>
            <w:tcW w:w="1136" w:type="dxa"/>
            <w:tcBorders>
              <w:top w:val="nil"/>
              <w:left w:val="nil"/>
              <w:bottom w:val="single" w:sz="4" w:space="0" w:color="auto"/>
              <w:right w:val="single" w:sz="4" w:space="0" w:color="auto"/>
            </w:tcBorders>
            <w:shd w:val="clear" w:color="auto" w:fill="auto"/>
            <w:vAlign w:val="center"/>
          </w:tcPr>
          <w:p w:rsidR="003D29EE" w:rsidRPr="00864AD0" w:rsidRDefault="003D29EE" w:rsidP="006A3EF7">
            <w:pPr>
              <w:spacing w:after="0" w:line="240" w:lineRule="auto"/>
              <w:ind w:left="-108"/>
              <w:jc w:val="center"/>
              <w:rPr>
                <w:rFonts w:ascii="Times New Roman" w:eastAsiaTheme="minorEastAsia" w:hAnsi="Times New Roman" w:cstheme="minorBidi"/>
                <w:b/>
                <w:bCs/>
              </w:rPr>
            </w:pPr>
            <w:r w:rsidRPr="00864AD0">
              <w:rPr>
                <w:rFonts w:ascii="Times New Roman" w:eastAsiaTheme="minorEastAsia" w:hAnsi="Times New Roman" w:cstheme="minorBidi"/>
                <w:b/>
                <w:bCs/>
              </w:rPr>
              <w:t xml:space="preserve">Темп роста </w:t>
            </w:r>
          </w:p>
          <w:p w:rsidR="003D29EE" w:rsidRPr="00864AD0" w:rsidRDefault="003D29EE" w:rsidP="006A3EF7">
            <w:pPr>
              <w:spacing w:after="0" w:line="240" w:lineRule="auto"/>
              <w:ind w:left="-108"/>
              <w:jc w:val="center"/>
              <w:rPr>
                <w:rFonts w:ascii="Times New Roman" w:eastAsiaTheme="minorEastAsia" w:hAnsi="Times New Roman" w:cstheme="minorBidi"/>
                <w:b/>
                <w:bCs/>
              </w:rPr>
            </w:pPr>
            <w:r w:rsidRPr="00864AD0">
              <w:rPr>
                <w:rFonts w:ascii="Times New Roman" w:eastAsiaTheme="minorEastAsia" w:hAnsi="Times New Roman" w:cstheme="minorBidi"/>
                <w:b/>
                <w:bCs/>
              </w:rPr>
              <w:t xml:space="preserve">в % к </w:t>
            </w:r>
          </w:p>
          <w:p w:rsidR="003D29EE" w:rsidRPr="00864AD0" w:rsidRDefault="003D29EE" w:rsidP="006A3EF7">
            <w:pPr>
              <w:spacing w:after="0" w:line="240" w:lineRule="auto"/>
              <w:jc w:val="center"/>
              <w:rPr>
                <w:rFonts w:ascii="Times New Roman" w:eastAsiaTheme="minorEastAsia" w:hAnsi="Times New Roman" w:cstheme="minorBidi"/>
                <w:b/>
                <w:bCs/>
              </w:rPr>
            </w:pPr>
            <w:r w:rsidRPr="00864AD0">
              <w:rPr>
                <w:rFonts w:ascii="Times New Roman" w:eastAsiaTheme="minorEastAsia" w:hAnsi="Times New Roman" w:cstheme="minorBidi"/>
                <w:b/>
                <w:bCs/>
              </w:rPr>
              <w:t>2016 г.</w:t>
            </w:r>
          </w:p>
        </w:tc>
        <w:tc>
          <w:tcPr>
            <w:tcW w:w="1136" w:type="dxa"/>
            <w:tcBorders>
              <w:top w:val="nil"/>
              <w:left w:val="nil"/>
              <w:bottom w:val="single" w:sz="4" w:space="0" w:color="auto"/>
              <w:right w:val="single" w:sz="4" w:space="0" w:color="auto"/>
            </w:tcBorders>
            <w:shd w:val="clear" w:color="auto" w:fill="auto"/>
            <w:vAlign w:val="center"/>
          </w:tcPr>
          <w:p w:rsidR="003D29EE" w:rsidRPr="00864AD0" w:rsidRDefault="003D29EE" w:rsidP="006A3EF7">
            <w:pPr>
              <w:spacing w:after="0" w:line="240" w:lineRule="auto"/>
              <w:ind w:right="224"/>
              <w:jc w:val="center"/>
              <w:rPr>
                <w:rFonts w:ascii="Times New Roman" w:eastAsiaTheme="minorEastAsia" w:hAnsi="Times New Roman" w:cstheme="minorBidi"/>
                <w:b/>
                <w:bCs/>
              </w:rPr>
            </w:pPr>
            <w:r w:rsidRPr="00864AD0">
              <w:rPr>
                <w:rFonts w:ascii="Times New Roman" w:eastAsiaTheme="minorEastAsia" w:hAnsi="Times New Roman" w:cstheme="minorBidi"/>
                <w:b/>
                <w:bCs/>
              </w:rPr>
              <w:t xml:space="preserve">2016 год </w:t>
            </w:r>
          </w:p>
        </w:tc>
        <w:tc>
          <w:tcPr>
            <w:tcW w:w="994" w:type="dxa"/>
            <w:tcBorders>
              <w:top w:val="nil"/>
              <w:left w:val="nil"/>
              <w:bottom w:val="single" w:sz="4" w:space="0" w:color="auto"/>
              <w:right w:val="single" w:sz="4" w:space="0" w:color="auto"/>
            </w:tcBorders>
            <w:shd w:val="clear" w:color="auto" w:fill="auto"/>
            <w:vAlign w:val="center"/>
          </w:tcPr>
          <w:p w:rsidR="003D29EE" w:rsidRPr="00864AD0" w:rsidRDefault="003D29EE" w:rsidP="006A3EF7">
            <w:pPr>
              <w:spacing w:after="0" w:line="240" w:lineRule="auto"/>
              <w:ind w:right="224"/>
              <w:jc w:val="center"/>
              <w:rPr>
                <w:rFonts w:ascii="Times New Roman" w:eastAsiaTheme="minorEastAsia" w:hAnsi="Times New Roman" w:cstheme="minorBidi"/>
                <w:b/>
                <w:bCs/>
              </w:rPr>
            </w:pPr>
            <w:r w:rsidRPr="00864AD0">
              <w:rPr>
                <w:rFonts w:ascii="Times New Roman" w:eastAsiaTheme="minorEastAsia" w:hAnsi="Times New Roman" w:cstheme="minorBidi"/>
                <w:b/>
                <w:bCs/>
              </w:rPr>
              <w:t xml:space="preserve">2017 год </w:t>
            </w:r>
          </w:p>
        </w:tc>
        <w:tc>
          <w:tcPr>
            <w:tcW w:w="1137" w:type="dxa"/>
            <w:tcBorders>
              <w:top w:val="nil"/>
              <w:left w:val="nil"/>
              <w:bottom w:val="single" w:sz="4" w:space="0" w:color="auto"/>
              <w:right w:val="single" w:sz="4" w:space="0" w:color="auto"/>
            </w:tcBorders>
            <w:shd w:val="clear" w:color="auto" w:fill="auto"/>
            <w:vAlign w:val="center"/>
          </w:tcPr>
          <w:p w:rsidR="003D29EE" w:rsidRPr="00864AD0" w:rsidRDefault="003D29EE" w:rsidP="006A3EF7">
            <w:pPr>
              <w:spacing w:after="0" w:line="240" w:lineRule="auto"/>
              <w:ind w:left="-141"/>
              <w:jc w:val="center"/>
              <w:rPr>
                <w:rFonts w:ascii="Times New Roman" w:eastAsiaTheme="minorEastAsia" w:hAnsi="Times New Roman" w:cstheme="minorBidi"/>
                <w:b/>
                <w:bCs/>
              </w:rPr>
            </w:pPr>
            <w:r w:rsidRPr="00864AD0">
              <w:rPr>
                <w:rFonts w:ascii="Times New Roman" w:eastAsiaTheme="minorEastAsia" w:hAnsi="Times New Roman" w:cstheme="minorBidi"/>
                <w:b/>
                <w:bCs/>
              </w:rPr>
              <w:t>Темп роста</w:t>
            </w:r>
          </w:p>
          <w:p w:rsidR="003D29EE" w:rsidRPr="00864AD0" w:rsidRDefault="003D29EE" w:rsidP="006A3EF7">
            <w:pPr>
              <w:spacing w:after="0" w:line="240" w:lineRule="auto"/>
              <w:ind w:left="-141"/>
              <w:jc w:val="center"/>
              <w:rPr>
                <w:rFonts w:ascii="Times New Roman" w:eastAsiaTheme="minorEastAsia" w:hAnsi="Times New Roman" w:cstheme="minorBidi"/>
                <w:b/>
                <w:bCs/>
              </w:rPr>
            </w:pPr>
            <w:r w:rsidRPr="00864AD0">
              <w:rPr>
                <w:rFonts w:ascii="Times New Roman" w:eastAsiaTheme="minorEastAsia" w:hAnsi="Times New Roman" w:cstheme="minorBidi"/>
                <w:b/>
                <w:bCs/>
              </w:rPr>
              <w:t>в % к</w:t>
            </w:r>
          </w:p>
          <w:p w:rsidR="003D29EE" w:rsidRPr="00864AD0" w:rsidRDefault="003D29EE" w:rsidP="006A3EF7">
            <w:pPr>
              <w:spacing w:after="0" w:line="240" w:lineRule="auto"/>
              <w:ind w:left="-141"/>
              <w:jc w:val="center"/>
              <w:rPr>
                <w:rFonts w:ascii="Times New Roman" w:eastAsiaTheme="minorEastAsia" w:hAnsi="Times New Roman" w:cstheme="minorBidi"/>
                <w:b/>
                <w:bCs/>
              </w:rPr>
            </w:pPr>
            <w:r w:rsidRPr="00864AD0">
              <w:rPr>
                <w:rFonts w:ascii="Times New Roman" w:eastAsiaTheme="minorEastAsia" w:hAnsi="Times New Roman" w:cstheme="minorBidi"/>
                <w:b/>
                <w:bCs/>
              </w:rPr>
              <w:t>2016 г.</w:t>
            </w:r>
          </w:p>
        </w:tc>
      </w:tr>
      <w:tr w:rsidR="003D29EE" w:rsidRPr="00864AD0" w:rsidTr="006A3EF7">
        <w:trPr>
          <w:trHeight w:val="292"/>
        </w:trPr>
        <w:tc>
          <w:tcPr>
            <w:tcW w:w="2757" w:type="dxa"/>
            <w:tcBorders>
              <w:top w:val="single" w:sz="4" w:space="0" w:color="auto"/>
              <w:left w:val="single" w:sz="4" w:space="0" w:color="auto"/>
              <w:bottom w:val="single" w:sz="4" w:space="0" w:color="auto"/>
              <w:right w:val="single" w:sz="4" w:space="0" w:color="auto"/>
            </w:tcBorders>
            <w:shd w:val="clear" w:color="auto" w:fill="auto"/>
            <w:vAlign w:val="center"/>
          </w:tcPr>
          <w:p w:rsidR="003D29EE" w:rsidRPr="00864AD0" w:rsidRDefault="003D29EE" w:rsidP="006A3EF7">
            <w:pPr>
              <w:spacing w:after="0" w:line="240" w:lineRule="auto"/>
              <w:rPr>
                <w:rFonts w:ascii="Times New Roman" w:eastAsiaTheme="minorEastAsia" w:hAnsi="Times New Roman" w:cstheme="minorBidi"/>
                <w:bCs/>
              </w:rPr>
            </w:pPr>
            <w:r w:rsidRPr="00864AD0">
              <w:rPr>
                <w:rFonts w:ascii="Times New Roman" w:eastAsiaTheme="minorEastAsia" w:hAnsi="Times New Roman" w:cstheme="minorBidi"/>
                <w:bCs/>
              </w:rPr>
              <w:t>Зерновые и зернобобовые культуры - всего</w:t>
            </w:r>
          </w:p>
        </w:tc>
        <w:tc>
          <w:tcPr>
            <w:tcW w:w="1218"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433,2</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360,9</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83,3</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42,7</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38,7</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90,6</w:t>
            </w:r>
          </w:p>
        </w:tc>
      </w:tr>
      <w:tr w:rsidR="003D29EE" w:rsidRPr="00864AD0" w:rsidTr="006A3EF7">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3D29EE" w:rsidRPr="00864AD0" w:rsidRDefault="003D29EE" w:rsidP="006A3EF7">
            <w:pPr>
              <w:spacing w:after="0" w:line="240" w:lineRule="auto"/>
              <w:rPr>
                <w:rFonts w:ascii="Times New Roman" w:eastAsiaTheme="minorEastAsia" w:hAnsi="Times New Roman" w:cstheme="minorBidi"/>
                <w:bCs/>
              </w:rPr>
            </w:pPr>
            <w:r w:rsidRPr="00864AD0">
              <w:rPr>
                <w:rFonts w:ascii="Times New Roman" w:eastAsiaTheme="minorEastAsia" w:hAnsi="Times New Roman" w:cstheme="minorBidi"/>
                <w:bCs/>
              </w:rPr>
              <w:t>из них: озимая пшеница</w:t>
            </w:r>
          </w:p>
        </w:tc>
        <w:tc>
          <w:tcPr>
            <w:tcW w:w="1218"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351,1</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292,4</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83,3</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45,2</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40,8</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90,3</w:t>
            </w:r>
          </w:p>
        </w:tc>
      </w:tr>
      <w:tr w:rsidR="003D29EE" w:rsidRPr="00864AD0" w:rsidTr="006A3EF7">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3D29EE" w:rsidRPr="00864AD0" w:rsidRDefault="003D29EE" w:rsidP="006A3EF7">
            <w:pPr>
              <w:spacing w:after="0" w:line="240" w:lineRule="auto"/>
              <w:rPr>
                <w:rFonts w:ascii="Times New Roman" w:eastAsiaTheme="minorEastAsia" w:hAnsi="Times New Roman" w:cstheme="minorBidi"/>
                <w:bCs/>
              </w:rPr>
            </w:pPr>
            <w:r w:rsidRPr="00864AD0">
              <w:rPr>
                <w:rFonts w:ascii="Times New Roman" w:eastAsiaTheme="minorEastAsia" w:hAnsi="Times New Roman" w:cstheme="minorBidi"/>
                <w:bCs/>
              </w:rPr>
              <w:t>озимый ячмень</w:t>
            </w:r>
          </w:p>
        </w:tc>
        <w:tc>
          <w:tcPr>
            <w:tcW w:w="1218"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44,6</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32,5</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72,9</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37,8</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33,9</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89,7</w:t>
            </w:r>
          </w:p>
        </w:tc>
      </w:tr>
      <w:tr w:rsidR="003D29EE" w:rsidRPr="00864AD0" w:rsidTr="006A3EF7">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3D29EE" w:rsidRPr="00864AD0" w:rsidRDefault="003D29EE" w:rsidP="006A3EF7">
            <w:pPr>
              <w:spacing w:after="0" w:line="240" w:lineRule="auto"/>
              <w:rPr>
                <w:rFonts w:ascii="Times New Roman" w:eastAsiaTheme="minorEastAsia" w:hAnsi="Times New Roman" w:cstheme="minorBidi"/>
                <w:bCs/>
              </w:rPr>
            </w:pPr>
            <w:r w:rsidRPr="00864AD0">
              <w:rPr>
                <w:rFonts w:ascii="Times New Roman" w:eastAsiaTheme="minorEastAsia" w:hAnsi="Times New Roman" w:cstheme="minorBidi"/>
                <w:bCs/>
              </w:rPr>
              <w:t>яровой ячмень</w:t>
            </w:r>
          </w:p>
        </w:tc>
        <w:tc>
          <w:tcPr>
            <w:tcW w:w="1218"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20,3</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19,5</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96,1</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31,8</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30,2</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95,0</w:t>
            </w:r>
          </w:p>
        </w:tc>
      </w:tr>
      <w:tr w:rsidR="003D29EE" w:rsidRPr="00864AD0" w:rsidTr="006A3EF7">
        <w:trPr>
          <w:trHeight w:val="204"/>
        </w:trPr>
        <w:tc>
          <w:tcPr>
            <w:tcW w:w="2757" w:type="dxa"/>
            <w:tcBorders>
              <w:top w:val="single" w:sz="4" w:space="0" w:color="auto"/>
              <w:left w:val="single" w:sz="4" w:space="0" w:color="auto"/>
              <w:bottom w:val="single" w:sz="4" w:space="0" w:color="auto"/>
              <w:right w:val="single" w:sz="4" w:space="0" w:color="auto"/>
            </w:tcBorders>
            <w:shd w:val="clear" w:color="auto" w:fill="auto"/>
          </w:tcPr>
          <w:p w:rsidR="003D29EE" w:rsidRPr="00864AD0" w:rsidRDefault="003D29EE" w:rsidP="006A3EF7">
            <w:pPr>
              <w:spacing w:after="0" w:line="240" w:lineRule="auto"/>
              <w:rPr>
                <w:rFonts w:ascii="Times New Roman" w:eastAsiaTheme="minorEastAsia" w:hAnsi="Times New Roman" w:cstheme="minorBidi"/>
                <w:bCs/>
              </w:rPr>
            </w:pPr>
            <w:r w:rsidRPr="00864AD0">
              <w:rPr>
                <w:rFonts w:ascii="Times New Roman" w:eastAsiaTheme="minorEastAsia" w:hAnsi="Times New Roman" w:cstheme="minorBidi"/>
                <w:bCs/>
              </w:rPr>
              <w:t xml:space="preserve">озимый рапс </w:t>
            </w:r>
          </w:p>
        </w:tc>
        <w:tc>
          <w:tcPr>
            <w:tcW w:w="1218"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9,1</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19,2</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в 2,1 р.</w:t>
            </w:r>
          </w:p>
        </w:tc>
        <w:tc>
          <w:tcPr>
            <w:tcW w:w="1136"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24,0</w:t>
            </w:r>
          </w:p>
        </w:tc>
        <w:tc>
          <w:tcPr>
            <w:tcW w:w="994" w:type="dxa"/>
            <w:tcBorders>
              <w:top w:val="single" w:sz="4" w:space="0" w:color="auto"/>
              <w:left w:val="nil"/>
              <w:bottom w:val="single" w:sz="4" w:space="0" w:color="auto"/>
              <w:right w:val="single" w:sz="4" w:space="0" w:color="auto"/>
            </w:tcBorders>
            <w:shd w:val="clear" w:color="auto" w:fill="auto"/>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26,8</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3D29EE" w:rsidRPr="00864AD0" w:rsidRDefault="003D29EE" w:rsidP="006A3EF7">
            <w:pPr>
              <w:spacing w:after="0" w:line="240" w:lineRule="auto"/>
              <w:jc w:val="right"/>
              <w:rPr>
                <w:rFonts w:ascii="Times New Roman" w:eastAsiaTheme="minorEastAsia" w:hAnsi="Times New Roman" w:cstheme="minorBidi"/>
              </w:rPr>
            </w:pPr>
            <w:r w:rsidRPr="00864AD0">
              <w:rPr>
                <w:rFonts w:ascii="Times New Roman" w:eastAsiaTheme="minorEastAsia" w:hAnsi="Times New Roman" w:cstheme="minorBidi"/>
              </w:rPr>
              <w:t>111,7</w:t>
            </w:r>
          </w:p>
        </w:tc>
      </w:tr>
    </w:tbl>
    <w:p w:rsidR="003D29EE" w:rsidRPr="00864AD0" w:rsidRDefault="003D29EE" w:rsidP="003D29EE">
      <w:pPr>
        <w:spacing w:after="0" w:line="240" w:lineRule="auto"/>
        <w:ind w:firstLine="709"/>
        <w:jc w:val="both"/>
        <w:rPr>
          <w:rFonts w:ascii="Times New Roman" w:eastAsiaTheme="minorEastAsia" w:hAnsi="Times New Roman" w:cstheme="minorBidi"/>
          <w:sz w:val="24"/>
          <w:szCs w:val="24"/>
        </w:rPr>
      </w:pPr>
    </w:p>
    <w:p w:rsidR="003D29EE" w:rsidRPr="00864AD0" w:rsidRDefault="003D29EE" w:rsidP="003D29EE">
      <w:pPr>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Несмотря на то, что фиксируемые результаты сложились ниже рекордных параметров 2016 года, их объемы существенно превышают весьма успешные показатели </w:t>
      </w:r>
      <w:r w:rsidR="00E22893">
        <w:rPr>
          <w:rFonts w:ascii="Times New Roman" w:eastAsiaTheme="minorEastAsia" w:hAnsi="Times New Roman" w:cstheme="minorBidi"/>
          <w:sz w:val="24"/>
          <w:szCs w:val="24"/>
        </w:rPr>
        <w:t xml:space="preserve">                           </w:t>
      </w:r>
      <w:r w:rsidRPr="00864AD0">
        <w:rPr>
          <w:rFonts w:ascii="Times New Roman" w:eastAsiaTheme="minorEastAsia" w:hAnsi="Times New Roman" w:cstheme="minorBidi"/>
          <w:sz w:val="24"/>
          <w:szCs w:val="24"/>
        </w:rPr>
        <w:t>2014</w:t>
      </w:r>
      <w:r>
        <w:rPr>
          <w:rFonts w:ascii="Times New Roman" w:eastAsiaTheme="minorEastAsia" w:hAnsi="Times New Roman" w:cstheme="minorBidi"/>
          <w:sz w:val="24"/>
          <w:szCs w:val="24"/>
        </w:rPr>
        <w:t>-</w:t>
      </w:r>
      <w:r w:rsidRPr="00864AD0">
        <w:rPr>
          <w:rFonts w:ascii="Times New Roman" w:eastAsiaTheme="minorEastAsia" w:hAnsi="Times New Roman" w:cstheme="minorBidi"/>
          <w:sz w:val="24"/>
          <w:szCs w:val="24"/>
        </w:rPr>
        <w:t xml:space="preserve">2015 годов, а объем зерна продовольственной пшеницы позволяет полностью удовлетворить потребность республики в хлебе и обеспечить наличие переходящих запасов. </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В республике завершена уборка озимого рапса, горчицы. Была начата уборка сахарной кукурузы. Планируется, что часть данной культуры пойдет на заморозку, как в початках, так и в зерне, а часть на консервирование. В республике продолжается уборка таких технических культур как, лен, кориандр, </w:t>
      </w:r>
      <w:proofErr w:type="spellStart"/>
      <w:r w:rsidRPr="00864AD0">
        <w:rPr>
          <w:rFonts w:ascii="Times New Roman" w:eastAsiaTheme="minorEastAsia" w:hAnsi="Times New Roman" w:cstheme="minorBidi"/>
          <w:sz w:val="24"/>
          <w:szCs w:val="24"/>
        </w:rPr>
        <w:t>расторопша</w:t>
      </w:r>
      <w:proofErr w:type="spellEnd"/>
      <w:r w:rsidRPr="00864AD0">
        <w:rPr>
          <w:rFonts w:ascii="Times New Roman" w:eastAsiaTheme="minorEastAsia" w:hAnsi="Times New Roman" w:cstheme="minorBidi"/>
          <w:sz w:val="24"/>
          <w:szCs w:val="24"/>
        </w:rPr>
        <w:t>, предназначен</w:t>
      </w:r>
      <w:r>
        <w:rPr>
          <w:rFonts w:ascii="Times New Roman" w:eastAsiaTheme="minorEastAsia" w:hAnsi="Times New Roman" w:cstheme="minorBidi"/>
          <w:sz w:val="24"/>
          <w:szCs w:val="24"/>
        </w:rPr>
        <w:t>н</w:t>
      </w:r>
      <w:r w:rsidRPr="00864AD0">
        <w:rPr>
          <w:rFonts w:ascii="Times New Roman" w:eastAsiaTheme="minorEastAsia" w:hAnsi="Times New Roman" w:cstheme="minorBidi"/>
          <w:sz w:val="24"/>
          <w:szCs w:val="24"/>
        </w:rPr>
        <w:t>ы</w:t>
      </w:r>
      <w:r>
        <w:rPr>
          <w:rFonts w:ascii="Times New Roman" w:eastAsiaTheme="minorEastAsia" w:hAnsi="Times New Roman" w:cstheme="minorBidi"/>
          <w:sz w:val="24"/>
          <w:szCs w:val="24"/>
        </w:rPr>
        <w:t>х</w:t>
      </w:r>
      <w:r w:rsidR="00E22893">
        <w:rPr>
          <w:rFonts w:ascii="Times New Roman" w:eastAsiaTheme="minorEastAsia" w:hAnsi="Times New Roman" w:cstheme="minorBidi"/>
          <w:sz w:val="24"/>
          <w:szCs w:val="24"/>
        </w:rPr>
        <w:t xml:space="preserve"> на экспорт.</w:t>
      </w:r>
    </w:p>
    <w:p w:rsidR="003D29EE" w:rsidRPr="00864AD0" w:rsidRDefault="003D29EE" w:rsidP="003D29EE">
      <w:pPr>
        <w:spacing w:after="0" w:line="240" w:lineRule="auto"/>
        <w:ind w:firstLine="708"/>
        <w:jc w:val="both"/>
        <w:rPr>
          <w:rFonts w:ascii="Times New Roman" w:eastAsia="Calibri" w:hAnsi="Times New Roman" w:cstheme="minorBidi"/>
          <w:sz w:val="24"/>
          <w:szCs w:val="24"/>
        </w:rPr>
      </w:pPr>
      <w:r w:rsidRPr="00864AD0">
        <w:rPr>
          <w:rFonts w:ascii="Times New Roman" w:eastAsiaTheme="minorEastAsia" w:hAnsi="Times New Roman" w:cstheme="minorBidi"/>
          <w:b/>
          <w:i/>
          <w:sz w:val="24"/>
          <w:szCs w:val="24"/>
        </w:rPr>
        <w:t>Животноводство.</w:t>
      </w:r>
      <w:r w:rsidR="00E22893">
        <w:rPr>
          <w:rFonts w:ascii="Times New Roman" w:eastAsiaTheme="minorEastAsia" w:hAnsi="Times New Roman" w:cstheme="minorBidi"/>
          <w:b/>
          <w:i/>
          <w:sz w:val="24"/>
          <w:szCs w:val="24"/>
        </w:rPr>
        <w:t xml:space="preserve"> </w:t>
      </w:r>
      <w:r w:rsidRPr="00864AD0">
        <w:rPr>
          <w:rFonts w:ascii="Times New Roman" w:eastAsia="Calibri" w:hAnsi="Times New Roman" w:cstheme="minorBidi"/>
          <w:sz w:val="24"/>
          <w:szCs w:val="24"/>
        </w:rPr>
        <w:t xml:space="preserve">Общая ситуация в животноводческой отрасли, </w:t>
      </w:r>
      <w:r w:rsidRPr="00864AD0">
        <w:rPr>
          <w:rFonts w:ascii="Times New Roman" w:eastAsiaTheme="minorEastAsia" w:hAnsi="Times New Roman" w:cstheme="minorBidi"/>
          <w:sz w:val="24"/>
          <w:szCs w:val="24"/>
        </w:rPr>
        <w:t xml:space="preserve">несмотря на увеличение валовой продукции животноводства (+14,3%), </w:t>
      </w:r>
      <w:r w:rsidRPr="00864AD0">
        <w:rPr>
          <w:rFonts w:ascii="Times New Roman" w:eastAsia="Calibri" w:hAnsi="Times New Roman" w:cstheme="minorBidi"/>
          <w:sz w:val="24"/>
          <w:szCs w:val="24"/>
        </w:rPr>
        <w:t>остаётся по-прежнему сложной</w:t>
      </w:r>
      <w:r w:rsidRPr="00864AD0">
        <w:rPr>
          <w:rFonts w:ascii="Times New Roman" w:eastAsiaTheme="minorEastAsia" w:hAnsi="Times New Roman" w:cstheme="minorBidi"/>
          <w:sz w:val="24"/>
          <w:szCs w:val="24"/>
        </w:rPr>
        <w:t xml:space="preserve"> и требует мер государственной поддер</w:t>
      </w:r>
      <w:r w:rsidR="00E22893">
        <w:rPr>
          <w:rFonts w:ascii="Times New Roman" w:eastAsiaTheme="minorEastAsia" w:hAnsi="Times New Roman" w:cstheme="minorBidi"/>
          <w:sz w:val="24"/>
          <w:szCs w:val="24"/>
        </w:rPr>
        <w:t>жки в долгосрочной перспективе.</w:t>
      </w:r>
    </w:p>
    <w:p w:rsidR="003D29EE" w:rsidRPr="003D29EE" w:rsidRDefault="003D29EE" w:rsidP="003D29EE">
      <w:pPr>
        <w:spacing w:after="0" w:line="240" w:lineRule="auto"/>
        <w:ind w:firstLine="708"/>
        <w:jc w:val="both"/>
        <w:rPr>
          <w:rFonts w:ascii="Times New Roman" w:eastAsiaTheme="minorEastAsia" w:hAnsi="Times New Roman" w:cstheme="minorBidi"/>
          <w:sz w:val="24"/>
          <w:szCs w:val="24"/>
        </w:rPr>
      </w:pPr>
      <w:proofErr w:type="gramStart"/>
      <w:r w:rsidRPr="00864AD0">
        <w:rPr>
          <w:rFonts w:ascii="Times New Roman" w:eastAsiaTheme="minorEastAsia" w:hAnsi="Times New Roman" w:cstheme="minorBidi"/>
          <w:sz w:val="24"/>
          <w:szCs w:val="24"/>
        </w:rPr>
        <w:t xml:space="preserve">По состоянию на 1 июля 2017 года </w:t>
      </w:r>
      <w:r>
        <w:rPr>
          <w:rFonts w:ascii="Times New Roman" w:eastAsiaTheme="minorEastAsia" w:hAnsi="Times New Roman" w:cstheme="minorBidi"/>
          <w:sz w:val="24"/>
          <w:szCs w:val="24"/>
        </w:rPr>
        <w:t xml:space="preserve">по отношению </w:t>
      </w:r>
      <w:r w:rsidRPr="00864AD0">
        <w:rPr>
          <w:rFonts w:ascii="Times New Roman" w:eastAsiaTheme="minorEastAsia" w:hAnsi="Times New Roman" w:cstheme="minorBidi"/>
          <w:sz w:val="24"/>
          <w:szCs w:val="24"/>
        </w:rPr>
        <w:t>к аналогичной дате 2016 года в хозяйствах всех категорий (с учетом хозяйств населения), по данным ветеринарной службы Министерства сельского хозяйства и природных ресурсов Приднестровской Молдавской Республики, поголовье крупного рогатого скота сократилось на 8,1% до 16 210 голов, в том числе поголовье коров на 5,8% до 10 087 голов.</w:t>
      </w:r>
      <w:proofErr w:type="gramEnd"/>
      <w:r w:rsidRPr="00864AD0">
        <w:rPr>
          <w:rFonts w:ascii="Times New Roman" w:eastAsiaTheme="minorEastAsia" w:hAnsi="Times New Roman" w:cstheme="minorBidi"/>
          <w:sz w:val="24"/>
          <w:szCs w:val="24"/>
        </w:rPr>
        <w:t xml:space="preserve"> В то же время отмечен прирост свиней (+2,9% до 26 108 голов)</w:t>
      </w:r>
      <w:r>
        <w:rPr>
          <w:rFonts w:ascii="Times New Roman" w:eastAsiaTheme="minorEastAsia" w:hAnsi="Times New Roman" w:cstheme="minorBidi"/>
          <w:sz w:val="24"/>
          <w:szCs w:val="24"/>
        </w:rPr>
        <w:t xml:space="preserve"> и</w:t>
      </w:r>
      <w:r w:rsidRPr="00864AD0">
        <w:rPr>
          <w:rFonts w:ascii="Times New Roman" w:eastAsiaTheme="minorEastAsia" w:hAnsi="Times New Roman" w:cstheme="minorBidi"/>
          <w:sz w:val="24"/>
          <w:szCs w:val="24"/>
        </w:rPr>
        <w:t xml:space="preserve"> поголовья птицы всех возрастов (+18,1% до 593 470 голов).</w:t>
      </w:r>
    </w:p>
    <w:p w:rsidR="003D29EE" w:rsidRPr="00864AD0" w:rsidRDefault="003D29EE" w:rsidP="003D29EE">
      <w:pPr>
        <w:spacing w:after="0" w:line="240" w:lineRule="auto"/>
        <w:ind w:firstLine="708"/>
        <w:jc w:val="center"/>
        <w:rPr>
          <w:rFonts w:ascii="Times New Roman" w:eastAsia="Calibri" w:hAnsi="Times New Roman" w:cstheme="minorBidi"/>
          <w:b/>
        </w:rPr>
      </w:pPr>
      <w:r w:rsidRPr="00864AD0">
        <w:rPr>
          <w:rFonts w:ascii="Times New Roman" w:eastAsia="Calibri" w:hAnsi="Times New Roman" w:cstheme="minorBidi"/>
          <w:b/>
        </w:rPr>
        <w:t xml:space="preserve">Структура поголовья основных видов скота и птицы </w:t>
      </w:r>
    </w:p>
    <w:p w:rsidR="003D29EE" w:rsidRPr="00864AD0" w:rsidRDefault="003D29EE" w:rsidP="003D29EE">
      <w:pPr>
        <w:spacing w:after="0" w:line="240" w:lineRule="auto"/>
        <w:ind w:firstLine="708"/>
        <w:jc w:val="center"/>
        <w:rPr>
          <w:rFonts w:ascii="Times New Roman" w:eastAsia="Calibri" w:hAnsi="Times New Roman" w:cstheme="minorBidi"/>
          <w:b/>
        </w:rPr>
      </w:pPr>
      <w:r w:rsidRPr="00864AD0">
        <w:rPr>
          <w:rFonts w:ascii="Times New Roman" w:eastAsia="Calibri" w:hAnsi="Times New Roman" w:cstheme="minorBidi"/>
          <w:b/>
        </w:rPr>
        <w:t xml:space="preserve">по всем категориям хозяйств </w:t>
      </w:r>
      <w:r w:rsidRPr="00864AD0">
        <w:rPr>
          <w:rFonts w:ascii="Times New Roman" w:eastAsia="Calibri" w:hAnsi="Times New Roman" w:cstheme="minorBidi"/>
        </w:rPr>
        <w:t>(по данным ветеринарной службы),</w:t>
      </w:r>
    </w:p>
    <w:p w:rsidR="003D29EE" w:rsidRPr="00864AD0" w:rsidRDefault="003D29EE" w:rsidP="003D29EE">
      <w:pPr>
        <w:spacing w:after="0" w:line="240" w:lineRule="auto"/>
        <w:ind w:firstLine="708"/>
        <w:jc w:val="center"/>
        <w:rPr>
          <w:rFonts w:ascii="Times New Roman" w:eastAsia="Calibri" w:hAnsi="Times New Roman" w:cstheme="minorBidi"/>
          <w:b/>
        </w:rPr>
      </w:pPr>
      <w:r w:rsidRPr="00864AD0">
        <w:rPr>
          <w:rFonts w:ascii="Times New Roman" w:eastAsia="Calibri" w:hAnsi="Times New Roman" w:cstheme="minorBidi"/>
          <w:b/>
        </w:rPr>
        <w:t>в процентах</w:t>
      </w:r>
    </w:p>
    <w:p w:rsidR="003D29EE" w:rsidRPr="00864AD0" w:rsidRDefault="003D29EE" w:rsidP="003D29EE">
      <w:pPr>
        <w:spacing w:after="0" w:line="240" w:lineRule="auto"/>
        <w:jc w:val="both"/>
        <w:rPr>
          <w:rFonts w:ascii="Times New Roman" w:eastAsia="Calibri" w:hAnsi="Times New Roman" w:cstheme="minorBidi"/>
          <w:sz w:val="24"/>
          <w:szCs w:val="24"/>
        </w:rPr>
      </w:pPr>
      <w:r w:rsidRPr="00864AD0">
        <w:rPr>
          <w:rFonts w:ascii="Times New Roman" w:eastAsia="Calibri" w:hAnsi="Times New Roman" w:cstheme="minorBidi"/>
          <w:noProof/>
          <w:sz w:val="24"/>
          <w:szCs w:val="24"/>
        </w:rPr>
        <w:drawing>
          <wp:inline distT="0" distB="0" distL="0" distR="0">
            <wp:extent cx="3108960" cy="2051437"/>
            <wp:effectExtent l="0" t="0" r="0" b="0"/>
            <wp:docPr id="7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64AD0">
        <w:rPr>
          <w:rFonts w:ascii="Times New Roman" w:eastAsia="Calibri" w:hAnsi="Times New Roman" w:cstheme="minorBidi"/>
          <w:noProof/>
          <w:sz w:val="24"/>
          <w:szCs w:val="24"/>
        </w:rPr>
        <w:drawing>
          <wp:inline distT="0" distB="0" distL="0" distR="0">
            <wp:extent cx="2973788" cy="1963972"/>
            <wp:effectExtent l="0" t="0" r="0" b="0"/>
            <wp:docPr id="7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29EE" w:rsidRPr="00864AD0" w:rsidRDefault="003D29EE" w:rsidP="003D29EE">
      <w:pPr>
        <w:spacing w:after="0" w:line="240" w:lineRule="auto"/>
        <w:ind w:firstLine="708"/>
        <w:jc w:val="both"/>
        <w:rPr>
          <w:rFonts w:ascii="Times New Roman" w:eastAsia="Calibri" w:hAnsi="Times New Roman" w:cstheme="minorBidi"/>
          <w:sz w:val="24"/>
          <w:szCs w:val="24"/>
        </w:rPr>
      </w:pPr>
      <w:r w:rsidRPr="00864AD0">
        <w:rPr>
          <w:rFonts w:ascii="Times New Roman" w:eastAsia="Calibri" w:hAnsi="Times New Roman" w:cstheme="minorBidi"/>
          <w:sz w:val="24"/>
          <w:szCs w:val="24"/>
        </w:rPr>
        <w:t>Основное поголовье животных сосредоточено в хозяйствах населения, доля</w:t>
      </w:r>
      <w:r>
        <w:rPr>
          <w:rFonts w:ascii="Times New Roman" w:eastAsia="Calibri" w:hAnsi="Times New Roman" w:cstheme="minorBidi"/>
          <w:sz w:val="24"/>
          <w:szCs w:val="24"/>
        </w:rPr>
        <w:t xml:space="preserve"> которых</w:t>
      </w:r>
      <w:r w:rsidRPr="00864AD0">
        <w:rPr>
          <w:rFonts w:ascii="Times New Roman" w:eastAsia="Calibri" w:hAnsi="Times New Roman" w:cstheme="minorBidi"/>
          <w:sz w:val="24"/>
          <w:szCs w:val="24"/>
        </w:rPr>
        <w:t xml:space="preserve"> в совокупном показателе КРС на 1 июля 2017 года составляет 62,3% (на 1 июля 2016 года – 61,3%), свиней – 38,0% (на 1 июля 2016 года – 44,2%), овец и коз – 64,2% (на 1 июля        2016 года – 70,1%), птицы – 47,8% (на 1 июля 2016 года – 30,6%).</w:t>
      </w:r>
    </w:p>
    <w:p w:rsidR="003D29EE" w:rsidRPr="00864AD0" w:rsidRDefault="003D29EE" w:rsidP="003D29EE">
      <w:pPr>
        <w:tabs>
          <w:tab w:val="left" w:pos="8647"/>
        </w:tabs>
        <w:spacing w:after="0" w:line="240" w:lineRule="auto"/>
        <w:jc w:val="both"/>
        <w:rPr>
          <w:rFonts w:ascii="Times New Roman" w:eastAsiaTheme="minorEastAsia" w:hAnsi="Times New Roman" w:cstheme="minorBidi"/>
          <w:sz w:val="24"/>
          <w:szCs w:val="24"/>
        </w:rPr>
      </w:pPr>
      <w:r w:rsidRPr="00864AD0">
        <w:rPr>
          <w:rFonts w:ascii="Times New Roman" w:eastAsiaTheme="minorEastAsia" w:hAnsi="Times New Roman" w:cstheme="minorBidi"/>
          <w:noProof/>
          <w:sz w:val="24"/>
          <w:szCs w:val="24"/>
        </w:rPr>
        <w:lastRenderedPageBreak/>
        <w:drawing>
          <wp:inline distT="0" distB="0" distL="0" distR="0">
            <wp:extent cx="6195060" cy="3017520"/>
            <wp:effectExtent l="0" t="0" r="0" b="0"/>
            <wp:docPr id="7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29EE" w:rsidRPr="00864AD0" w:rsidRDefault="003D29EE" w:rsidP="003D29EE">
      <w:pPr>
        <w:tabs>
          <w:tab w:val="left" w:pos="8647"/>
        </w:tabs>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В </w:t>
      </w:r>
      <w:r w:rsidRPr="00864AD0">
        <w:rPr>
          <w:rFonts w:ascii="Times New Roman" w:eastAsiaTheme="minorEastAsia" w:hAnsi="Times New Roman" w:cstheme="minorBidi"/>
          <w:sz w:val="24"/>
          <w:szCs w:val="24"/>
          <w:lang w:val="en-US"/>
        </w:rPr>
        <w:t>I</w:t>
      </w:r>
      <w:r w:rsidRPr="00864AD0">
        <w:rPr>
          <w:rFonts w:ascii="Times New Roman" w:eastAsiaTheme="minorEastAsia" w:hAnsi="Times New Roman" w:cstheme="minorBidi"/>
          <w:sz w:val="24"/>
          <w:szCs w:val="24"/>
        </w:rPr>
        <w:t xml:space="preserve"> полугодии 2017 года в хозяйствах всех категорий (без учета хозяйств населения), несмотря на снижение поголовья коров, отмечалось увеличение производства молока (+1,8%) за счет повышения продуктивности коров молочного стада на 11,3% </w:t>
      </w:r>
      <w:r w:rsidRPr="00864AD0">
        <w:rPr>
          <w:rFonts w:ascii="Times New Roman" w:eastAsia="Calibri" w:hAnsi="Times New Roman" w:cstheme="minorBidi"/>
          <w:sz w:val="24"/>
          <w:szCs w:val="24"/>
        </w:rPr>
        <w:t xml:space="preserve">(среднесуточный надой на одну корову </w:t>
      </w:r>
      <w:r>
        <w:rPr>
          <w:rFonts w:ascii="Times New Roman" w:eastAsia="Calibri" w:hAnsi="Times New Roman" w:cstheme="minorBidi"/>
          <w:sz w:val="24"/>
          <w:szCs w:val="24"/>
        </w:rPr>
        <w:t>вырос с 9,7 кг до</w:t>
      </w:r>
      <w:r w:rsidRPr="00864AD0">
        <w:rPr>
          <w:rFonts w:ascii="Times New Roman" w:eastAsia="Calibri" w:hAnsi="Times New Roman" w:cstheme="minorBidi"/>
          <w:sz w:val="24"/>
          <w:szCs w:val="24"/>
        </w:rPr>
        <w:t xml:space="preserve"> 10,8 кг)</w:t>
      </w:r>
      <w:r w:rsidRPr="00864AD0">
        <w:rPr>
          <w:rFonts w:ascii="Times New Roman" w:eastAsiaTheme="minorEastAsia" w:hAnsi="Times New Roman" w:cstheme="minorBidi"/>
          <w:sz w:val="24"/>
          <w:szCs w:val="24"/>
        </w:rPr>
        <w:t xml:space="preserve">. Вместе с тем при снижении средней яйценоскости на 51,4% </w:t>
      </w:r>
      <w:r w:rsidRPr="00864AD0">
        <w:rPr>
          <w:rFonts w:ascii="Times New Roman" w:eastAsia="Calibri" w:hAnsi="Times New Roman" w:cstheme="minorBidi"/>
          <w:sz w:val="24"/>
          <w:szCs w:val="24"/>
        </w:rPr>
        <w:t xml:space="preserve">(51 шт. яиц в расчете на одну курицу–несушку против </w:t>
      </w:r>
      <w:r>
        <w:rPr>
          <w:rFonts w:ascii="Times New Roman" w:eastAsia="Calibri" w:hAnsi="Times New Roman" w:cstheme="minorBidi"/>
          <w:sz w:val="24"/>
          <w:szCs w:val="24"/>
        </w:rPr>
        <w:br/>
      </w:r>
      <w:r w:rsidRPr="00864AD0">
        <w:rPr>
          <w:rFonts w:ascii="Times New Roman" w:eastAsia="Calibri" w:hAnsi="Times New Roman" w:cstheme="minorBidi"/>
          <w:sz w:val="24"/>
          <w:szCs w:val="24"/>
        </w:rPr>
        <w:t>105 шт. в январе-июне 2016 года),</w:t>
      </w:r>
      <w:r w:rsidRPr="00864AD0">
        <w:rPr>
          <w:rFonts w:ascii="Times New Roman" w:eastAsiaTheme="minorEastAsia" w:hAnsi="Times New Roman" w:cstheme="minorBidi"/>
          <w:sz w:val="24"/>
          <w:szCs w:val="24"/>
        </w:rPr>
        <w:t xml:space="preserve"> наблюдалось снижение производства яиц куриных на 23,2%. Объем реализации скота и птицы на убой (в живом весе) сократился на 9,8%.</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b/>
          <w:i/>
          <w:sz w:val="24"/>
          <w:szCs w:val="24"/>
        </w:rPr>
        <w:t>Мелиоративный комплекс.</w:t>
      </w:r>
      <w:r w:rsidRPr="00864AD0">
        <w:rPr>
          <w:rFonts w:ascii="Times New Roman" w:eastAsiaTheme="minorEastAsia" w:hAnsi="Times New Roman" w:cstheme="minorBidi"/>
          <w:sz w:val="24"/>
          <w:szCs w:val="24"/>
        </w:rPr>
        <w:t xml:space="preserve"> В условиях рискованного земледелия и учащающихся периодов засухи повышается значимость мелиоративного комплекса</w:t>
      </w:r>
      <w:r>
        <w:rPr>
          <w:rFonts w:ascii="Times New Roman" w:eastAsiaTheme="minorEastAsia" w:hAnsi="Times New Roman" w:cstheme="minorBidi"/>
          <w:sz w:val="24"/>
          <w:szCs w:val="24"/>
        </w:rPr>
        <w:t xml:space="preserve">, </w:t>
      </w:r>
      <w:r w:rsidRPr="00864AD0">
        <w:rPr>
          <w:rFonts w:ascii="Times New Roman" w:eastAsiaTheme="minorEastAsia" w:hAnsi="Times New Roman" w:cstheme="minorBidi"/>
          <w:sz w:val="24"/>
          <w:szCs w:val="24"/>
        </w:rPr>
        <w:t>цель</w:t>
      </w:r>
      <w:r>
        <w:rPr>
          <w:rFonts w:ascii="Times New Roman" w:eastAsiaTheme="minorEastAsia" w:hAnsi="Times New Roman" w:cstheme="minorBidi"/>
          <w:sz w:val="24"/>
          <w:szCs w:val="24"/>
        </w:rPr>
        <w:t xml:space="preserve"> которого создание</w:t>
      </w:r>
      <w:r w:rsidRPr="00864AD0">
        <w:rPr>
          <w:rFonts w:ascii="Times New Roman" w:eastAsiaTheme="minorEastAsia" w:hAnsi="Times New Roman" w:cstheme="minorBidi"/>
          <w:sz w:val="24"/>
          <w:szCs w:val="24"/>
        </w:rPr>
        <w:t xml:space="preserve"> условий для увеличения производства сельскохозяйственной продукции. При финансовой поддержке Российской Федерации в 2017 году начата реализация программы «Реконструкция, восстановление и развитие оросительных систем, задействованных в структуре АПК Приднестровской Молдавской Республики», состоящая из трех этапов и рассчитанная на период 2017-2021 годы. В рамках первого этапа данной инвестиционной программы предполагается освоить инвестиций в размере 2,4 </w:t>
      </w:r>
      <w:proofErr w:type="spellStart"/>
      <w:r w:rsidRPr="00864AD0">
        <w:rPr>
          <w:rFonts w:ascii="Times New Roman" w:eastAsiaTheme="minorEastAsia" w:hAnsi="Times New Roman" w:cstheme="minorBidi"/>
          <w:sz w:val="24"/>
          <w:szCs w:val="24"/>
        </w:rPr>
        <w:t>млрд</w:t>
      </w:r>
      <w:proofErr w:type="spellEnd"/>
      <w:r w:rsidRPr="00864AD0">
        <w:rPr>
          <w:rFonts w:ascii="Times New Roman" w:eastAsiaTheme="minorEastAsia" w:hAnsi="Times New Roman" w:cstheme="minorBidi"/>
          <w:sz w:val="24"/>
          <w:szCs w:val="24"/>
        </w:rPr>
        <w:t xml:space="preserve"> руб. РФ. В связи с принятием решения о дополнительной финансовой помощи для развития мелиоративного комплекса Приднестровской Молдавской Республики в объеме 6,5 </w:t>
      </w:r>
      <w:proofErr w:type="spellStart"/>
      <w:r w:rsidRPr="00864AD0">
        <w:rPr>
          <w:rFonts w:ascii="Times New Roman" w:eastAsiaTheme="minorEastAsia" w:hAnsi="Times New Roman" w:cstheme="minorBidi"/>
          <w:sz w:val="24"/>
          <w:szCs w:val="24"/>
        </w:rPr>
        <w:t>млрд</w:t>
      </w:r>
      <w:proofErr w:type="spellEnd"/>
      <w:r w:rsidRPr="00864AD0">
        <w:rPr>
          <w:rFonts w:ascii="Times New Roman" w:eastAsiaTheme="minorEastAsia" w:hAnsi="Times New Roman" w:cstheme="minorBidi"/>
          <w:sz w:val="24"/>
          <w:szCs w:val="24"/>
        </w:rPr>
        <w:t xml:space="preserve"> руб. РФ, на втором и третьем этапах будет дополнительно введено в эксплуатацию 39 тыс. га, что в целом позволит приостановить выбытие и провести реконструкцию оросительных систем на площади 67,6 тыс. га. </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На 2017 год хозяйствами</w:t>
      </w:r>
      <w:r>
        <w:rPr>
          <w:rFonts w:ascii="Times New Roman" w:eastAsiaTheme="minorEastAsia" w:hAnsi="Times New Roman" w:cstheme="minorBidi"/>
          <w:sz w:val="24"/>
          <w:szCs w:val="24"/>
        </w:rPr>
        <w:t>-</w:t>
      </w:r>
      <w:r w:rsidRPr="00864AD0">
        <w:rPr>
          <w:rFonts w:ascii="Times New Roman" w:eastAsiaTheme="minorEastAsia" w:hAnsi="Times New Roman" w:cstheme="minorBidi"/>
          <w:sz w:val="24"/>
          <w:szCs w:val="24"/>
        </w:rPr>
        <w:t>водопользователями заключено 67 Договоров с                    ГУ «Приднестровские оросительные системы» на подачу воды на цели орошения, планируемая площадь орошения составит 12,6 тыс. га. Для обеспечения полива в объемах, предусмотренных заключенными договорами по оказанию услуг на цели орошения, проведены мероприятия по ремонту и обследованию технического состояния водозаборных сооружений, в рамках которых были подготовлены 46 насосных станций.</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p>
    <w:p w:rsidR="003D29EE" w:rsidRPr="00864AD0" w:rsidRDefault="003D29EE" w:rsidP="003D29EE">
      <w:pPr>
        <w:tabs>
          <w:tab w:val="left" w:pos="8647"/>
        </w:tabs>
        <w:spacing w:after="0" w:line="240" w:lineRule="auto"/>
        <w:ind w:firstLine="709"/>
        <w:jc w:val="both"/>
        <w:rPr>
          <w:rFonts w:ascii="Times New Roman" w:eastAsiaTheme="minorEastAsia" w:hAnsi="Times New Roman" w:cstheme="minorBidi"/>
          <w:b/>
          <w:i/>
          <w:sz w:val="24"/>
          <w:szCs w:val="24"/>
        </w:rPr>
      </w:pPr>
      <w:r w:rsidRPr="00864AD0">
        <w:rPr>
          <w:rFonts w:ascii="Times New Roman" w:eastAsiaTheme="minorEastAsia" w:hAnsi="Times New Roman" w:cstheme="minorBidi"/>
          <w:b/>
          <w:i/>
          <w:sz w:val="24"/>
          <w:szCs w:val="24"/>
        </w:rPr>
        <w:t>Инвестиционные вложения в развитие АПК</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В рамках реализации инвестиционной программы «Реконструкция, восстановление и развитие оросительных систем, задействованных в структуре агропромышленного комплекса Приднестровской Молдавской Республики» инвестировано 32 </w:t>
      </w:r>
      <w:proofErr w:type="spellStart"/>
      <w:r w:rsidRPr="00864AD0">
        <w:rPr>
          <w:rFonts w:ascii="Times New Roman" w:eastAsiaTheme="minorEastAsia" w:hAnsi="Times New Roman" w:cstheme="minorBidi"/>
          <w:sz w:val="24"/>
          <w:szCs w:val="24"/>
        </w:rPr>
        <w:t>млн</w:t>
      </w:r>
      <w:proofErr w:type="spellEnd"/>
      <w:r w:rsidRPr="00864AD0">
        <w:rPr>
          <w:rFonts w:ascii="Times New Roman" w:eastAsiaTheme="minorEastAsia" w:hAnsi="Times New Roman" w:cstheme="minorBidi"/>
          <w:sz w:val="24"/>
          <w:szCs w:val="24"/>
        </w:rPr>
        <w:t xml:space="preserve"> руб. РФ, которые направлены на подготовку проектно-сметной документации по </w:t>
      </w:r>
      <w:proofErr w:type="spellStart"/>
      <w:r w:rsidRPr="00864AD0">
        <w:rPr>
          <w:rFonts w:ascii="Times New Roman" w:eastAsiaTheme="minorEastAsia" w:hAnsi="Times New Roman" w:cstheme="minorBidi"/>
          <w:sz w:val="24"/>
          <w:szCs w:val="24"/>
        </w:rPr>
        <w:t>Строенецкой</w:t>
      </w:r>
      <w:proofErr w:type="spellEnd"/>
      <w:r w:rsidRPr="00864AD0">
        <w:rPr>
          <w:rFonts w:ascii="Times New Roman" w:eastAsiaTheme="minorEastAsia" w:hAnsi="Times New Roman" w:cstheme="minorBidi"/>
          <w:sz w:val="24"/>
          <w:szCs w:val="24"/>
        </w:rPr>
        <w:t xml:space="preserve"> и </w:t>
      </w:r>
      <w:proofErr w:type="spellStart"/>
      <w:r w:rsidRPr="00864AD0">
        <w:rPr>
          <w:rFonts w:ascii="Times New Roman" w:eastAsiaTheme="minorEastAsia" w:hAnsi="Times New Roman" w:cstheme="minorBidi"/>
          <w:sz w:val="24"/>
          <w:szCs w:val="24"/>
        </w:rPr>
        <w:t>Рыбницкой</w:t>
      </w:r>
      <w:proofErr w:type="spellEnd"/>
      <w:r w:rsidRPr="00864AD0">
        <w:rPr>
          <w:rFonts w:ascii="Times New Roman" w:eastAsiaTheme="minorEastAsia" w:hAnsi="Times New Roman" w:cstheme="minorBidi"/>
          <w:sz w:val="24"/>
          <w:szCs w:val="24"/>
        </w:rPr>
        <w:t xml:space="preserve"> оросительным системам. Средства освоены проектными организациями Российской Федерации в пределах выделенных объемов.</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В целях стимулирования рационального использования земель, а также повышения эффективности экономической политики государства в сфере землепользования в </w:t>
      </w:r>
      <w:r w:rsidR="008B4A6C">
        <w:rPr>
          <w:rFonts w:ascii="Times New Roman" w:eastAsiaTheme="minorEastAsia" w:hAnsi="Times New Roman" w:cstheme="minorBidi"/>
          <w:sz w:val="24"/>
          <w:szCs w:val="24"/>
        </w:rPr>
        <w:t xml:space="preserve">             </w:t>
      </w:r>
      <w:r w:rsidRPr="00864AD0">
        <w:rPr>
          <w:rFonts w:ascii="Times New Roman" w:eastAsiaTheme="minorEastAsia" w:hAnsi="Times New Roman" w:cstheme="minorBidi"/>
          <w:sz w:val="24"/>
          <w:szCs w:val="24"/>
        </w:rPr>
        <w:lastRenderedPageBreak/>
        <w:t xml:space="preserve">январе-июне 2017 года продолжилось заключение Соглашений об инвестиционных обязательствах хозяйствующих субъектов при предоставлении им земель сельскохозяйственного назначения в пользование (аренду). Всего в I полугодии 2017 года инвестиционными соглашениями и договорами охвачено </w:t>
      </w:r>
      <w:r w:rsidRPr="00864AD0">
        <w:rPr>
          <w:rFonts w:ascii="Times New Roman" w:eastAsiaTheme="minorEastAsia" w:hAnsi="Times New Roman" w:cstheme="minorBidi"/>
          <w:bCs/>
          <w:sz w:val="24"/>
          <w:szCs w:val="24"/>
        </w:rPr>
        <w:t>5,5</w:t>
      </w:r>
      <w:r w:rsidRPr="00864AD0">
        <w:rPr>
          <w:rFonts w:ascii="Times New Roman" w:eastAsiaTheme="minorEastAsia" w:hAnsi="Times New Roman" w:cstheme="minorBidi"/>
          <w:bCs/>
        </w:rPr>
        <w:t xml:space="preserve"> тыс. га</w:t>
      </w:r>
      <w:r w:rsidRPr="00864AD0">
        <w:rPr>
          <w:rFonts w:ascii="Times New Roman" w:eastAsiaTheme="minorEastAsia" w:hAnsi="Times New Roman" w:cstheme="minorBidi"/>
          <w:sz w:val="24"/>
          <w:szCs w:val="24"/>
        </w:rPr>
        <w:t xml:space="preserve"> земель сельскохозяйственного назначения. Общая сумма предполагаемых инвестиций, согласно заключенным соглашениям и договорам долгосрочного пользования, составляет </w:t>
      </w:r>
      <w:r w:rsidRPr="00864AD0">
        <w:rPr>
          <w:rFonts w:ascii="Times New Roman" w:eastAsiaTheme="minorEastAsia" w:hAnsi="Times New Roman" w:cstheme="minorBidi"/>
          <w:bCs/>
          <w:sz w:val="24"/>
          <w:szCs w:val="24"/>
        </w:rPr>
        <w:t>893,9</w:t>
      </w:r>
      <w:r w:rsidRPr="00864AD0">
        <w:rPr>
          <w:rFonts w:ascii="Times New Roman" w:eastAsiaTheme="minorEastAsia" w:hAnsi="Times New Roman" w:cstheme="minorBidi"/>
          <w:sz w:val="24"/>
          <w:szCs w:val="24"/>
        </w:rPr>
        <w:t xml:space="preserve"> тыс. руб., из них в сельскохозяйственное производство - 500 тыс. руб., в инфраструктуру села - 393,9 тыс. руб. При этом договорами-соглашениями с государственными администрациями предусмотрены обязательства по инвестированию средств по 87 организациям (КХП), охватывающим площадь 5,2 тыс. га, все инвестиции планируется направить в инфраструктуру сел.</w:t>
      </w:r>
    </w:p>
    <w:p w:rsidR="003D29EE" w:rsidRPr="00864AD0" w:rsidRDefault="003D29EE" w:rsidP="003D29EE">
      <w:pPr>
        <w:spacing w:after="0" w:line="240" w:lineRule="auto"/>
        <w:ind w:firstLine="709"/>
        <w:jc w:val="both"/>
        <w:rPr>
          <w:rFonts w:ascii="Times New Roman" w:hAnsi="Times New Roman"/>
          <w:sz w:val="24"/>
          <w:szCs w:val="24"/>
        </w:rPr>
      </w:pPr>
      <w:r w:rsidRPr="00864AD0">
        <w:rPr>
          <w:rFonts w:ascii="Times New Roman" w:hAnsi="Times New Roman"/>
          <w:sz w:val="24"/>
          <w:szCs w:val="24"/>
        </w:rPr>
        <w:t>В текущих условиях</w:t>
      </w:r>
      <w:r w:rsidRPr="00864AD0">
        <w:rPr>
          <w:rFonts w:ascii="Times New Roman" w:eastAsiaTheme="minorEastAsia" w:hAnsi="Times New Roman" w:cstheme="minorBidi"/>
          <w:sz w:val="24"/>
          <w:szCs w:val="24"/>
        </w:rPr>
        <w:t xml:space="preserve"> на развитие и обновление основных фондов (в части новых и приобретенных по импорту основных средств) сельскохозяйственными организациями всех форм собственности (без субъектов малого предпринимательства) было направлено            41,1 </w:t>
      </w:r>
      <w:proofErr w:type="spellStart"/>
      <w:r w:rsidRPr="00864AD0">
        <w:rPr>
          <w:rFonts w:ascii="Times New Roman" w:eastAsiaTheme="minorEastAsia" w:hAnsi="Times New Roman" w:cstheme="minorBidi"/>
          <w:sz w:val="24"/>
          <w:szCs w:val="24"/>
        </w:rPr>
        <w:t>млн</w:t>
      </w:r>
      <w:proofErr w:type="spellEnd"/>
      <w:r w:rsidRPr="00864AD0">
        <w:rPr>
          <w:rFonts w:ascii="Times New Roman" w:eastAsiaTheme="minorEastAsia" w:hAnsi="Times New Roman" w:cstheme="minorBidi"/>
          <w:sz w:val="24"/>
          <w:szCs w:val="24"/>
        </w:rPr>
        <w:t xml:space="preserve"> руб., что составляет 15,4% от общего объема инвестиций в основной капитал и на 19,5% больше, чем в аналогичном периоде минувшего года.</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p>
    <w:p w:rsidR="003D29EE" w:rsidRPr="00864AD0" w:rsidRDefault="003D29EE" w:rsidP="003D29EE">
      <w:pPr>
        <w:spacing w:after="0" w:line="240" w:lineRule="auto"/>
        <w:ind w:firstLine="708"/>
        <w:jc w:val="both"/>
        <w:rPr>
          <w:rFonts w:ascii="Times New Roman" w:eastAsiaTheme="minorEastAsia" w:hAnsi="Times New Roman" w:cstheme="minorBidi"/>
          <w:b/>
          <w:i/>
          <w:sz w:val="24"/>
          <w:szCs w:val="24"/>
        </w:rPr>
      </w:pPr>
      <w:r w:rsidRPr="00864AD0">
        <w:rPr>
          <w:rFonts w:ascii="Times New Roman" w:eastAsiaTheme="minorEastAsia" w:hAnsi="Times New Roman" w:cstheme="minorBidi"/>
          <w:b/>
          <w:i/>
          <w:sz w:val="24"/>
          <w:szCs w:val="24"/>
        </w:rPr>
        <w:t>Государственная поддержка хозяйствующим субъектам АПК</w:t>
      </w:r>
    </w:p>
    <w:p w:rsidR="003D29EE" w:rsidRPr="00864AD0" w:rsidRDefault="003D29EE" w:rsidP="003D29EE">
      <w:pPr>
        <w:tabs>
          <w:tab w:val="left" w:pos="709"/>
        </w:tabs>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В первом полугодии 2017 года продолжилось кредитование хозяйствующих субъектов агропромышленного комплекса республики из средств помощи, полученной от Российской Федерации в 2008 и 2011 годах, кредитными организациями через Фонд государственного резерва Приднестровской Молдавской Республики. Наблюдательным советом Фонда государственного резерва Приднестровской Молдавской Республики было принято решение о выделении хозяйствующим субъектам агропромышленного комплекса республики беспроцентных займов (кредитов) в сумме 124,1 </w:t>
      </w:r>
      <w:proofErr w:type="spellStart"/>
      <w:r w:rsidRPr="00864AD0">
        <w:rPr>
          <w:rFonts w:ascii="Times New Roman" w:eastAsiaTheme="minorEastAsia" w:hAnsi="Times New Roman" w:cstheme="minorBidi"/>
          <w:sz w:val="24"/>
          <w:szCs w:val="24"/>
        </w:rPr>
        <w:t>млн</w:t>
      </w:r>
      <w:proofErr w:type="spellEnd"/>
      <w:r w:rsidRPr="00864AD0">
        <w:rPr>
          <w:rFonts w:ascii="Times New Roman" w:eastAsiaTheme="minorEastAsia" w:hAnsi="Times New Roman" w:cstheme="minorBidi"/>
          <w:sz w:val="24"/>
          <w:szCs w:val="24"/>
        </w:rPr>
        <w:t xml:space="preserve"> руб. РФ против               62,1 </w:t>
      </w:r>
      <w:proofErr w:type="spellStart"/>
      <w:r w:rsidRPr="00864AD0">
        <w:rPr>
          <w:rFonts w:ascii="Times New Roman" w:eastAsiaTheme="minorEastAsia" w:hAnsi="Times New Roman" w:cstheme="minorBidi"/>
          <w:sz w:val="24"/>
          <w:szCs w:val="24"/>
        </w:rPr>
        <w:t>млн</w:t>
      </w:r>
      <w:proofErr w:type="spellEnd"/>
      <w:r w:rsidRPr="00864AD0">
        <w:rPr>
          <w:rFonts w:ascii="Times New Roman" w:eastAsiaTheme="minorEastAsia" w:hAnsi="Times New Roman" w:cstheme="minorBidi"/>
          <w:sz w:val="24"/>
          <w:szCs w:val="24"/>
        </w:rPr>
        <w:t xml:space="preserve"> руб. РФ в первом полугодии 2016 года. Кредитование осуществлялось в разрезе следующих направлений:</w:t>
      </w:r>
    </w:p>
    <w:p w:rsidR="003D29EE" w:rsidRPr="00864AD0" w:rsidRDefault="003D29EE" w:rsidP="003D29EE">
      <w:pPr>
        <w:numPr>
          <w:ilvl w:val="0"/>
          <w:numId w:val="8"/>
        </w:numPr>
        <w:tabs>
          <w:tab w:val="left" w:pos="0"/>
          <w:tab w:val="left" w:pos="709"/>
          <w:tab w:val="left" w:pos="851"/>
          <w:tab w:val="left" w:pos="993"/>
        </w:tabs>
        <w:spacing w:after="0" w:line="240" w:lineRule="auto"/>
        <w:ind w:left="0" w:firstLine="709"/>
        <w:contextualSpacing/>
        <w:jc w:val="both"/>
        <w:rPr>
          <w:rFonts w:ascii="Times New Roman" w:hAnsi="Times New Roman"/>
          <w:sz w:val="24"/>
          <w:szCs w:val="24"/>
        </w:rPr>
      </w:pPr>
      <w:r w:rsidRPr="00864AD0">
        <w:rPr>
          <w:rFonts w:ascii="Times New Roman" w:hAnsi="Times New Roman"/>
          <w:sz w:val="24"/>
          <w:szCs w:val="24"/>
        </w:rPr>
        <w:t>Приобретение сельскохозяйственной техники – 53,8 </w:t>
      </w:r>
      <w:proofErr w:type="spellStart"/>
      <w:r w:rsidRPr="00864AD0">
        <w:rPr>
          <w:rFonts w:ascii="Times New Roman" w:hAnsi="Times New Roman"/>
          <w:sz w:val="24"/>
          <w:szCs w:val="24"/>
        </w:rPr>
        <w:t>млн</w:t>
      </w:r>
      <w:proofErr w:type="spellEnd"/>
      <w:r w:rsidRPr="00864AD0">
        <w:rPr>
          <w:rFonts w:ascii="Times New Roman" w:hAnsi="Times New Roman"/>
          <w:sz w:val="24"/>
          <w:szCs w:val="24"/>
        </w:rPr>
        <w:t> руб. РФ;</w:t>
      </w:r>
    </w:p>
    <w:p w:rsidR="003D29EE" w:rsidRPr="00864AD0" w:rsidRDefault="003D29EE" w:rsidP="003D29EE">
      <w:pPr>
        <w:numPr>
          <w:ilvl w:val="0"/>
          <w:numId w:val="8"/>
        </w:numPr>
        <w:tabs>
          <w:tab w:val="left" w:pos="0"/>
          <w:tab w:val="left" w:pos="709"/>
          <w:tab w:val="left" w:pos="851"/>
          <w:tab w:val="left" w:pos="993"/>
        </w:tabs>
        <w:spacing w:after="0" w:line="240" w:lineRule="auto"/>
        <w:ind w:left="0" w:firstLine="709"/>
        <w:contextualSpacing/>
        <w:jc w:val="both"/>
        <w:rPr>
          <w:rFonts w:ascii="Times New Roman" w:hAnsi="Times New Roman"/>
          <w:sz w:val="24"/>
          <w:szCs w:val="24"/>
        </w:rPr>
      </w:pPr>
      <w:r w:rsidRPr="00864AD0">
        <w:rPr>
          <w:rFonts w:ascii="Times New Roman" w:hAnsi="Times New Roman"/>
          <w:sz w:val="24"/>
          <w:szCs w:val="24"/>
        </w:rPr>
        <w:t xml:space="preserve">Приобретение племенных коров – 20 </w:t>
      </w:r>
      <w:proofErr w:type="spellStart"/>
      <w:r w:rsidRPr="00864AD0">
        <w:rPr>
          <w:rFonts w:ascii="Times New Roman" w:hAnsi="Times New Roman"/>
          <w:sz w:val="24"/>
          <w:szCs w:val="24"/>
        </w:rPr>
        <w:t>млн</w:t>
      </w:r>
      <w:proofErr w:type="spellEnd"/>
      <w:r w:rsidRPr="00864AD0">
        <w:rPr>
          <w:rFonts w:ascii="Times New Roman" w:hAnsi="Times New Roman"/>
          <w:sz w:val="24"/>
          <w:szCs w:val="24"/>
        </w:rPr>
        <w:t> руб. РФ;</w:t>
      </w:r>
    </w:p>
    <w:p w:rsidR="003D29EE" w:rsidRPr="00864AD0" w:rsidRDefault="003D29EE" w:rsidP="003D29EE">
      <w:pPr>
        <w:numPr>
          <w:ilvl w:val="0"/>
          <w:numId w:val="8"/>
        </w:numPr>
        <w:tabs>
          <w:tab w:val="left" w:pos="0"/>
          <w:tab w:val="left" w:pos="709"/>
          <w:tab w:val="left" w:pos="851"/>
          <w:tab w:val="left" w:pos="993"/>
        </w:tabs>
        <w:spacing w:after="0" w:line="240" w:lineRule="auto"/>
        <w:ind w:left="0" w:firstLine="709"/>
        <w:contextualSpacing/>
        <w:jc w:val="both"/>
        <w:rPr>
          <w:rFonts w:ascii="Times New Roman" w:hAnsi="Times New Roman"/>
          <w:sz w:val="24"/>
          <w:szCs w:val="24"/>
        </w:rPr>
      </w:pPr>
      <w:r w:rsidRPr="00864AD0">
        <w:rPr>
          <w:rFonts w:ascii="Times New Roman" w:hAnsi="Times New Roman"/>
          <w:sz w:val="24"/>
          <w:szCs w:val="24"/>
        </w:rPr>
        <w:t xml:space="preserve">Строительство овощехранилища – 19,8 </w:t>
      </w:r>
      <w:proofErr w:type="spellStart"/>
      <w:r w:rsidRPr="00864AD0">
        <w:rPr>
          <w:rFonts w:ascii="Times New Roman" w:hAnsi="Times New Roman"/>
          <w:sz w:val="24"/>
          <w:szCs w:val="24"/>
        </w:rPr>
        <w:t>млн</w:t>
      </w:r>
      <w:proofErr w:type="spellEnd"/>
      <w:r w:rsidRPr="00864AD0">
        <w:rPr>
          <w:rFonts w:ascii="Times New Roman" w:hAnsi="Times New Roman"/>
          <w:sz w:val="24"/>
          <w:szCs w:val="24"/>
        </w:rPr>
        <w:t> руб. РФ;</w:t>
      </w:r>
    </w:p>
    <w:p w:rsidR="003D29EE" w:rsidRPr="00864AD0" w:rsidRDefault="003D29EE" w:rsidP="003D29EE">
      <w:pPr>
        <w:numPr>
          <w:ilvl w:val="0"/>
          <w:numId w:val="8"/>
        </w:numPr>
        <w:tabs>
          <w:tab w:val="left" w:pos="0"/>
          <w:tab w:val="left" w:pos="709"/>
          <w:tab w:val="left" w:pos="851"/>
          <w:tab w:val="left" w:pos="993"/>
        </w:tabs>
        <w:spacing w:after="0" w:line="240" w:lineRule="auto"/>
        <w:ind w:left="0" w:firstLine="709"/>
        <w:contextualSpacing/>
        <w:jc w:val="both"/>
        <w:rPr>
          <w:rFonts w:ascii="Times New Roman" w:hAnsi="Times New Roman"/>
          <w:sz w:val="24"/>
          <w:szCs w:val="24"/>
        </w:rPr>
      </w:pPr>
      <w:r w:rsidRPr="00864AD0">
        <w:rPr>
          <w:rFonts w:ascii="Times New Roman" w:hAnsi="Times New Roman"/>
          <w:sz w:val="24"/>
          <w:szCs w:val="24"/>
        </w:rPr>
        <w:t xml:space="preserve">Приобретение оборудования для переработки сельскохозяйственной продукции – 30,5 </w:t>
      </w:r>
      <w:proofErr w:type="spellStart"/>
      <w:r w:rsidRPr="00864AD0">
        <w:rPr>
          <w:rFonts w:ascii="Times New Roman" w:hAnsi="Times New Roman"/>
          <w:sz w:val="24"/>
          <w:szCs w:val="24"/>
        </w:rPr>
        <w:t>млн</w:t>
      </w:r>
      <w:proofErr w:type="spellEnd"/>
      <w:r w:rsidRPr="00864AD0">
        <w:rPr>
          <w:rFonts w:ascii="Times New Roman" w:hAnsi="Times New Roman"/>
          <w:sz w:val="24"/>
          <w:szCs w:val="24"/>
        </w:rPr>
        <w:t> руб. РФ.</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Кроме того, на развитие личного подсобного хозяйства физическим лицам выделено 5,2 </w:t>
      </w:r>
      <w:proofErr w:type="spellStart"/>
      <w:r w:rsidRPr="00864AD0">
        <w:rPr>
          <w:rFonts w:ascii="Times New Roman" w:eastAsiaTheme="minorEastAsia" w:hAnsi="Times New Roman" w:cstheme="minorBidi"/>
          <w:sz w:val="24"/>
          <w:szCs w:val="24"/>
        </w:rPr>
        <w:t>млн</w:t>
      </w:r>
      <w:proofErr w:type="spellEnd"/>
      <w:r w:rsidRPr="00864AD0">
        <w:rPr>
          <w:rFonts w:ascii="Times New Roman" w:eastAsiaTheme="minorEastAsia" w:hAnsi="Times New Roman" w:cstheme="minorBidi"/>
          <w:sz w:val="24"/>
          <w:szCs w:val="24"/>
        </w:rPr>
        <w:t xml:space="preserve"> руб. ПМР (в январе-июне 2016 года – 6,1 </w:t>
      </w:r>
      <w:proofErr w:type="spellStart"/>
      <w:r w:rsidRPr="00864AD0">
        <w:rPr>
          <w:rFonts w:ascii="Times New Roman" w:eastAsiaTheme="minorEastAsia" w:hAnsi="Times New Roman" w:cstheme="minorBidi"/>
          <w:sz w:val="24"/>
          <w:szCs w:val="24"/>
        </w:rPr>
        <w:t>млн</w:t>
      </w:r>
      <w:proofErr w:type="spellEnd"/>
      <w:r w:rsidRPr="00864AD0">
        <w:rPr>
          <w:rFonts w:ascii="Times New Roman" w:eastAsiaTheme="minorEastAsia" w:hAnsi="Times New Roman" w:cstheme="minorBidi"/>
          <w:sz w:val="24"/>
          <w:szCs w:val="24"/>
        </w:rPr>
        <w:t xml:space="preserve"> руб. ПМР).</w:t>
      </w:r>
    </w:p>
    <w:p w:rsidR="003D29EE" w:rsidRPr="00864AD0" w:rsidRDefault="003D29EE" w:rsidP="003D29EE">
      <w:pPr>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В целях поддержки производителей и переработчиков животноводческой продукции для них были установлены льготные тарифы на услуги по газоснабжению и электроэнергетики. </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Оказание поддержки сельскохозяйственным предприятиям также выражается в мерах, способствующих снижению себестоимости произведенной продукции, в частности в:</w:t>
      </w:r>
    </w:p>
    <w:p w:rsidR="003D29EE" w:rsidRPr="00864AD0" w:rsidRDefault="003D29EE" w:rsidP="003D29EE">
      <w:pPr>
        <w:spacing w:after="0" w:line="240" w:lineRule="auto"/>
        <w:ind w:firstLine="708"/>
        <w:jc w:val="both"/>
        <w:rPr>
          <w:rFonts w:ascii="Times New Roman" w:hAnsi="Times New Roman"/>
          <w:sz w:val="24"/>
          <w:szCs w:val="24"/>
        </w:rPr>
      </w:pPr>
      <w:r w:rsidRPr="00864AD0">
        <w:rPr>
          <w:rFonts w:ascii="Times New Roman" w:hAnsi="Times New Roman"/>
          <w:sz w:val="24"/>
          <w:szCs w:val="24"/>
        </w:rPr>
        <w:t>- установлении льготного тарифа на оказание услуги по подаче поливной воды на орошение: 70 копеек за один метр кубический и без оплаты в засушливый период (в засуху);</w:t>
      </w:r>
    </w:p>
    <w:p w:rsidR="003D29EE" w:rsidRPr="00864AD0" w:rsidRDefault="003D29EE" w:rsidP="003D29EE">
      <w:pPr>
        <w:spacing w:after="0" w:line="240" w:lineRule="auto"/>
        <w:ind w:firstLine="708"/>
        <w:jc w:val="both"/>
        <w:rPr>
          <w:rFonts w:ascii="Times New Roman" w:hAnsi="Times New Roman"/>
          <w:sz w:val="24"/>
          <w:szCs w:val="24"/>
        </w:rPr>
      </w:pPr>
      <w:r w:rsidRPr="00864AD0">
        <w:rPr>
          <w:rFonts w:ascii="Times New Roman" w:hAnsi="Times New Roman"/>
          <w:sz w:val="24"/>
          <w:szCs w:val="24"/>
        </w:rPr>
        <w:t>- снижении таможенных пошлин и их обнулении на номенклатуру товаров для сельскохозяйственного производства – тракторов, сельскохозяйственных машин и механизмов;</w:t>
      </w:r>
    </w:p>
    <w:p w:rsidR="003D29EE" w:rsidRPr="00864AD0" w:rsidRDefault="003D29EE" w:rsidP="003D29EE">
      <w:pPr>
        <w:spacing w:after="0" w:line="240" w:lineRule="auto"/>
        <w:ind w:firstLine="708"/>
        <w:jc w:val="both"/>
        <w:rPr>
          <w:rFonts w:ascii="Times New Roman" w:hAnsi="Times New Roman"/>
          <w:sz w:val="24"/>
          <w:szCs w:val="24"/>
        </w:rPr>
      </w:pPr>
      <w:r w:rsidRPr="00864AD0">
        <w:rPr>
          <w:rFonts w:ascii="Times New Roman" w:hAnsi="Times New Roman"/>
          <w:sz w:val="24"/>
          <w:szCs w:val="24"/>
        </w:rPr>
        <w:t>- упрощении оформления товаров, используемых в технологическом процессе: семян, удобрений, посадочного материала, средств защиты растений.</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В целях государственной поддержки крестьянских (фермерских хозяйств) в 2017 году возобновлено предоставление бюджетных кредитов по финансированию расходов на приобретение:</w:t>
      </w:r>
    </w:p>
    <w:p w:rsidR="003D29EE" w:rsidRPr="00864AD0" w:rsidRDefault="003D29EE" w:rsidP="003D29EE">
      <w:pPr>
        <w:spacing w:after="0" w:line="240" w:lineRule="auto"/>
        <w:ind w:firstLine="708"/>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xml:space="preserve">- горюче – смазочных материалов; </w:t>
      </w:r>
    </w:p>
    <w:p w:rsidR="003D29EE" w:rsidRPr="00864AD0" w:rsidRDefault="003D29EE" w:rsidP="003D29EE">
      <w:pPr>
        <w:tabs>
          <w:tab w:val="left" w:pos="709"/>
        </w:tabs>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семенного и посадочного материалов;</w:t>
      </w:r>
    </w:p>
    <w:p w:rsidR="003D29EE" w:rsidRPr="00864AD0" w:rsidRDefault="003D29EE" w:rsidP="003D29EE">
      <w:pPr>
        <w:tabs>
          <w:tab w:val="left" w:pos="709"/>
        </w:tabs>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 удобрений и пестицидов.</w:t>
      </w:r>
    </w:p>
    <w:p w:rsidR="003D29EE" w:rsidRPr="00864AD0" w:rsidRDefault="003D29EE" w:rsidP="003D29EE">
      <w:pPr>
        <w:tabs>
          <w:tab w:val="left" w:pos="709"/>
        </w:tabs>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lastRenderedPageBreak/>
        <w:t>Кроме того, организации, имеющие в пользовании (аренде) земли сельскохозяйственного назначения, могут применять льготную форму налогообложения в виде фиксированного сельскохозяйственного налога на долгосрочную перспективу.</w:t>
      </w:r>
    </w:p>
    <w:p w:rsidR="003D29EE" w:rsidRPr="00864AD0" w:rsidRDefault="003D29EE" w:rsidP="003D29EE">
      <w:pPr>
        <w:tabs>
          <w:tab w:val="left" w:pos="709"/>
        </w:tabs>
        <w:spacing w:after="0" w:line="240" w:lineRule="auto"/>
        <w:ind w:firstLine="709"/>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В первом полугодии текущего года продолжали действовать льготы по налогообложению земель, занятых молодыми садами, виноградниками и многолетними насаждениями, требующими раскорчевки, а также льготы по уплате земельного налога для вновь образуемых крестьянских (фермерских) хозяйств.</w:t>
      </w:r>
    </w:p>
    <w:p w:rsidR="003D29EE" w:rsidRPr="00864AD0" w:rsidRDefault="003D29EE" w:rsidP="003D29EE">
      <w:pPr>
        <w:shd w:val="clear" w:color="auto" w:fill="FFFFFF"/>
        <w:autoSpaceDE w:val="0"/>
        <w:autoSpaceDN w:val="0"/>
        <w:adjustRightInd w:val="0"/>
        <w:spacing w:after="0" w:line="240" w:lineRule="auto"/>
        <w:ind w:firstLine="709"/>
        <w:contextualSpacing/>
        <w:jc w:val="both"/>
        <w:rPr>
          <w:rFonts w:ascii="Times New Roman" w:eastAsiaTheme="minorEastAsia" w:hAnsi="Times New Roman" w:cstheme="minorBidi"/>
          <w:sz w:val="24"/>
          <w:szCs w:val="24"/>
        </w:rPr>
      </w:pPr>
      <w:r w:rsidRPr="00864AD0">
        <w:rPr>
          <w:rFonts w:ascii="Times New Roman" w:eastAsiaTheme="minorEastAsia" w:hAnsi="Times New Roman" w:cstheme="minorBidi"/>
          <w:sz w:val="24"/>
          <w:szCs w:val="24"/>
        </w:rPr>
        <w:t>В целом в агропромышленном комплексе республики наметились положительные тенденции в развитии. Благодаря применению в растениеводческой отрасли современных методов обработки почвы, внедрению интенсивных и ресурсосберегающих технологий, использованию высокоурожайных и элитных сортов, восстановлению систем орошения, отдельным сельхозпроизводителям удается получать стабильно высокие показатели как по урожайности, так и по валовому сбору. При этом общая ситуация в животноводческой отрасли остаётся по-прежнему сложной. Состояние отрасли требует принятия мер государственной поддержки в долгосрочной перспективе.</w:t>
      </w:r>
    </w:p>
    <w:p w:rsidR="003D29EE" w:rsidRDefault="003D29EE" w:rsidP="00335844">
      <w:pPr>
        <w:spacing w:after="0" w:line="240" w:lineRule="auto"/>
        <w:ind w:firstLine="720"/>
        <w:jc w:val="both"/>
        <w:rPr>
          <w:rFonts w:ascii="Times New Roman" w:hAnsi="Times New Roman"/>
          <w:b/>
          <w:sz w:val="24"/>
          <w:szCs w:val="24"/>
        </w:rPr>
      </w:pPr>
    </w:p>
    <w:p w:rsidR="00146BB8" w:rsidRPr="007F6F7C" w:rsidRDefault="00146BB8" w:rsidP="00146BB8">
      <w:pPr>
        <w:spacing w:after="0" w:line="240" w:lineRule="auto"/>
        <w:ind w:firstLine="709"/>
        <w:rPr>
          <w:rFonts w:ascii="Times New Roman" w:hAnsi="Times New Roman"/>
          <w:b/>
          <w:sz w:val="24"/>
          <w:szCs w:val="24"/>
        </w:rPr>
      </w:pPr>
      <w:r w:rsidRPr="007F6F7C">
        <w:rPr>
          <w:rFonts w:ascii="Times New Roman" w:hAnsi="Times New Roman"/>
          <w:b/>
          <w:sz w:val="24"/>
          <w:szCs w:val="24"/>
        </w:rPr>
        <w:t>Транспорт</w:t>
      </w:r>
    </w:p>
    <w:p w:rsidR="00146BB8" w:rsidRPr="007F6F7C" w:rsidRDefault="00146BB8" w:rsidP="00146BB8">
      <w:pPr>
        <w:spacing w:after="0" w:line="240" w:lineRule="auto"/>
        <w:ind w:firstLine="709"/>
        <w:rPr>
          <w:rFonts w:ascii="Times New Roman" w:hAnsi="Times New Roman"/>
          <w:b/>
          <w:sz w:val="24"/>
          <w:szCs w:val="24"/>
        </w:rPr>
      </w:pPr>
    </w:p>
    <w:p w:rsidR="00146BB8" w:rsidRPr="004B4617" w:rsidRDefault="00146BB8" w:rsidP="00146BB8">
      <w:pPr>
        <w:spacing w:after="0" w:line="240" w:lineRule="auto"/>
        <w:ind w:firstLine="709"/>
        <w:jc w:val="both"/>
        <w:rPr>
          <w:rFonts w:ascii="Times New Roman" w:hAnsi="Times New Roman"/>
          <w:sz w:val="24"/>
          <w:szCs w:val="24"/>
        </w:rPr>
      </w:pPr>
      <w:proofErr w:type="spellStart"/>
      <w:r w:rsidRPr="007F6F7C">
        <w:rPr>
          <w:rFonts w:ascii="Times New Roman" w:hAnsi="Times New Roman"/>
          <w:sz w:val="24"/>
          <w:szCs w:val="24"/>
        </w:rPr>
        <w:t>Разновекторная</w:t>
      </w:r>
      <w:proofErr w:type="spellEnd"/>
      <w:r w:rsidRPr="007F6F7C">
        <w:rPr>
          <w:rFonts w:ascii="Times New Roman" w:hAnsi="Times New Roman"/>
          <w:sz w:val="24"/>
          <w:szCs w:val="24"/>
        </w:rPr>
        <w:t xml:space="preserve"> динамика</w:t>
      </w:r>
      <w:r>
        <w:rPr>
          <w:rFonts w:ascii="Times New Roman" w:hAnsi="Times New Roman"/>
          <w:sz w:val="24"/>
          <w:szCs w:val="24"/>
        </w:rPr>
        <w:t xml:space="preserve"> показателей, характеризующих работу</w:t>
      </w:r>
      <w:r w:rsidRPr="007F6F7C">
        <w:rPr>
          <w:rFonts w:ascii="Times New Roman" w:hAnsi="Times New Roman"/>
          <w:sz w:val="24"/>
          <w:szCs w:val="24"/>
        </w:rPr>
        <w:t xml:space="preserve"> отраслей реального сектора экономики, ограничения и </w:t>
      </w:r>
      <w:r w:rsidRPr="004B4617">
        <w:rPr>
          <w:rFonts w:ascii="Times New Roman" w:hAnsi="Times New Roman"/>
          <w:sz w:val="24"/>
          <w:szCs w:val="24"/>
        </w:rPr>
        <w:t xml:space="preserve">барьеры при осуществлении внешнеэкономической деятельности хозяйствующими субъектами республики, </w:t>
      </w:r>
      <w:r w:rsidRPr="004B4617">
        <w:rPr>
          <w:rFonts w:ascii="Times New Roman" w:hAnsi="Times New Roman"/>
          <w:color w:val="000000"/>
          <w:sz w:val="24"/>
          <w:szCs w:val="24"/>
          <w:shd w:val="clear" w:color="auto" w:fill="FFFFFF"/>
        </w:rPr>
        <w:t>рост уровня автомобилизации населения</w:t>
      </w:r>
      <w:r w:rsidRPr="004B4617">
        <w:rPr>
          <w:rFonts w:ascii="Times New Roman" w:hAnsi="Times New Roman"/>
          <w:sz w:val="24"/>
          <w:szCs w:val="24"/>
        </w:rPr>
        <w:t xml:space="preserve">, </w:t>
      </w:r>
      <w:r w:rsidRPr="004B4617">
        <w:rPr>
          <w:rFonts w:ascii="Times New Roman" w:hAnsi="Times New Roman"/>
          <w:color w:val="000000"/>
          <w:sz w:val="24"/>
          <w:szCs w:val="24"/>
          <w:shd w:val="clear" w:color="auto" w:fill="FFFFFF"/>
        </w:rPr>
        <w:t>недостаток средств на о</w:t>
      </w:r>
      <w:r>
        <w:rPr>
          <w:rFonts w:ascii="Times New Roman" w:hAnsi="Times New Roman"/>
          <w:sz w:val="24"/>
          <w:szCs w:val="24"/>
        </w:rPr>
        <w:t>бновление основных фондов</w:t>
      </w:r>
      <w:r w:rsidRPr="004B4617">
        <w:rPr>
          <w:rFonts w:ascii="Times New Roman" w:hAnsi="Times New Roman"/>
          <w:sz w:val="24"/>
          <w:szCs w:val="24"/>
        </w:rPr>
        <w:t xml:space="preserve">, оказывают влияние на результаты финансово-хозяйственной деятельности </w:t>
      </w:r>
      <w:r>
        <w:rPr>
          <w:rFonts w:ascii="Times New Roman" w:hAnsi="Times New Roman"/>
          <w:sz w:val="24"/>
          <w:szCs w:val="24"/>
        </w:rPr>
        <w:t xml:space="preserve">транспортных </w:t>
      </w:r>
      <w:r w:rsidRPr="004B4617">
        <w:rPr>
          <w:rFonts w:ascii="Times New Roman" w:hAnsi="Times New Roman"/>
          <w:sz w:val="24"/>
          <w:szCs w:val="24"/>
        </w:rPr>
        <w:t>организаций.</w:t>
      </w:r>
    </w:p>
    <w:p w:rsidR="00146BB8" w:rsidRPr="007F6F7C" w:rsidRDefault="00146BB8" w:rsidP="00146BB8">
      <w:pPr>
        <w:spacing w:after="0" w:line="240" w:lineRule="auto"/>
        <w:ind w:firstLine="709"/>
        <w:jc w:val="both"/>
        <w:rPr>
          <w:rFonts w:ascii="Times New Roman" w:hAnsi="Times New Roman"/>
          <w:sz w:val="24"/>
          <w:szCs w:val="24"/>
        </w:rPr>
      </w:pPr>
      <w:r w:rsidRPr="004B4617">
        <w:rPr>
          <w:rFonts w:ascii="Times New Roman" w:hAnsi="Times New Roman"/>
          <w:sz w:val="24"/>
          <w:szCs w:val="24"/>
        </w:rPr>
        <w:t xml:space="preserve">Показатели деятельности организаций </w:t>
      </w:r>
      <w:r w:rsidRPr="004B4617">
        <w:rPr>
          <w:rFonts w:ascii="Times New Roman" w:hAnsi="Times New Roman"/>
          <w:b/>
          <w:i/>
          <w:sz w:val="24"/>
          <w:szCs w:val="24"/>
        </w:rPr>
        <w:t>грузового автомобильного</w:t>
      </w:r>
      <w:r w:rsidRPr="007F6F7C">
        <w:rPr>
          <w:rFonts w:ascii="Times New Roman" w:hAnsi="Times New Roman"/>
          <w:b/>
          <w:i/>
          <w:sz w:val="24"/>
          <w:szCs w:val="24"/>
        </w:rPr>
        <w:t xml:space="preserve"> транспорта </w:t>
      </w:r>
      <w:r w:rsidRPr="007F6F7C">
        <w:rPr>
          <w:rFonts w:ascii="Times New Roman" w:hAnsi="Times New Roman"/>
          <w:sz w:val="24"/>
          <w:szCs w:val="24"/>
        </w:rPr>
        <w:t xml:space="preserve">в             январе-июне 2017 года на фоне действия </w:t>
      </w:r>
      <w:r>
        <w:rPr>
          <w:rFonts w:ascii="Times New Roman" w:hAnsi="Times New Roman"/>
          <w:sz w:val="24"/>
          <w:szCs w:val="24"/>
        </w:rPr>
        <w:t>различных</w:t>
      </w:r>
      <w:r w:rsidRPr="007F6F7C">
        <w:rPr>
          <w:rFonts w:ascii="Times New Roman" w:hAnsi="Times New Roman"/>
          <w:sz w:val="24"/>
          <w:szCs w:val="24"/>
        </w:rPr>
        <w:t xml:space="preserve"> ограничений и барьеров при </w:t>
      </w:r>
      <w:r>
        <w:rPr>
          <w:rFonts w:ascii="Times New Roman" w:hAnsi="Times New Roman"/>
          <w:sz w:val="24"/>
          <w:szCs w:val="24"/>
        </w:rPr>
        <w:t>реализации ВЭД</w:t>
      </w:r>
      <w:r w:rsidRPr="007F6F7C">
        <w:rPr>
          <w:rFonts w:ascii="Times New Roman" w:hAnsi="Times New Roman"/>
          <w:sz w:val="24"/>
          <w:szCs w:val="24"/>
        </w:rPr>
        <w:t>, трудностей с представлением со стороны Республики Молдова разрешительных документов на осуществление международных грузовых перевозок, демонстрир</w:t>
      </w:r>
      <w:r>
        <w:rPr>
          <w:rFonts w:ascii="Times New Roman" w:hAnsi="Times New Roman"/>
          <w:sz w:val="24"/>
          <w:szCs w:val="24"/>
        </w:rPr>
        <w:t>овали</w:t>
      </w:r>
      <w:r w:rsidRPr="007F6F7C">
        <w:rPr>
          <w:rFonts w:ascii="Times New Roman" w:hAnsi="Times New Roman"/>
          <w:sz w:val="24"/>
          <w:szCs w:val="24"/>
        </w:rPr>
        <w:t xml:space="preserve"> преимущественно понижательную динамику. Грузооборот по автотранспортным организациям общего пользования на фоне снижения общего объема перевезенных грузов автомобильным транспортом на 45,8% до 430,9 тыс. тонн и роста средней</w:t>
      </w:r>
      <w:r w:rsidRPr="007F6F7C">
        <w:rPr>
          <w:rFonts w:ascii="Times New Roman" w:hAnsi="Times New Roman"/>
          <w:spacing w:val="3"/>
          <w:sz w:val="24"/>
          <w:szCs w:val="24"/>
        </w:rPr>
        <w:t xml:space="preserve"> дальности перевозки 1 тонны груза на 15,9% до 10,2</w:t>
      </w:r>
      <w:r>
        <w:rPr>
          <w:rFonts w:ascii="Times New Roman" w:hAnsi="Times New Roman"/>
          <w:spacing w:val="3"/>
          <w:sz w:val="24"/>
          <w:szCs w:val="24"/>
        </w:rPr>
        <w:t xml:space="preserve"> км</w:t>
      </w:r>
      <w:r w:rsidRPr="007F6F7C">
        <w:rPr>
          <w:rFonts w:ascii="Times New Roman" w:hAnsi="Times New Roman"/>
          <w:spacing w:val="3"/>
          <w:sz w:val="24"/>
          <w:szCs w:val="24"/>
        </w:rPr>
        <w:t xml:space="preserve"> сократился на 37,6%, составив </w:t>
      </w:r>
      <w:r>
        <w:rPr>
          <w:rFonts w:ascii="Times New Roman" w:hAnsi="Times New Roman"/>
          <w:spacing w:val="3"/>
          <w:sz w:val="24"/>
          <w:szCs w:val="24"/>
        </w:rPr>
        <w:br/>
      </w:r>
      <w:r w:rsidRPr="007F6F7C">
        <w:rPr>
          <w:rFonts w:ascii="Times New Roman" w:hAnsi="Times New Roman"/>
          <w:spacing w:val="3"/>
          <w:sz w:val="24"/>
          <w:szCs w:val="24"/>
        </w:rPr>
        <w:t>4 388,1 тыс. т-км.</w:t>
      </w:r>
    </w:p>
    <w:p w:rsidR="00146BB8"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 xml:space="preserve">Доходы от оказания услуг автомобильным транспортом </w:t>
      </w:r>
      <w:r>
        <w:rPr>
          <w:rFonts w:ascii="Times New Roman" w:hAnsi="Times New Roman"/>
          <w:sz w:val="24"/>
          <w:szCs w:val="24"/>
        </w:rPr>
        <w:t>уменьшились</w:t>
      </w:r>
      <w:r w:rsidRPr="007F6F7C">
        <w:rPr>
          <w:rFonts w:ascii="Times New Roman" w:hAnsi="Times New Roman"/>
          <w:sz w:val="24"/>
          <w:szCs w:val="24"/>
        </w:rPr>
        <w:t xml:space="preserve"> на 20,3% </w:t>
      </w:r>
      <w:r>
        <w:rPr>
          <w:rFonts w:ascii="Times New Roman" w:hAnsi="Times New Roman"/>
          <w:sz w:val="24"/>
          <w:szCs w:val="24"/>
        </w:rPr>
        <w:t>до</w:t>
      </w:r>
      <w:r w:rsidRPr="007F6F7C">
        <w:rPr>
          <w:rFonts w:ascii="Times New Roman" w:hAnsi="Times New Roman"/>
          <w:sz w:val="24"/>
          <w:szCs w:val="24"/>
        </w:rPr>
        <w:t xml:space="preserve"> 8 762,8 тыс. руб., что обусловлено снижением общего объема перевезенных грузов.</w:t>
      </w:r>
    </w:p>
    <w:p w:rsidR="00146BB8" w:rsidRPr="007F6F7C" w:rsidRDefault="00146BB8" w:rsidP="00146BB8">
      <w:pPr>
        <w:spacing w:after="0" w:line="240" w:lineRule="auto"/>
        <w:ind w:firstLine="709"/>
        <w:jc w:val="right"/>
        <w:rPr>
          <w:rFonts w:ascii="Times New Roman" w:hAnsi="Times New Roman"/>
          <w:spacing w:val="3"/>
          <w:sz w:val="24"/>
          <w:szCs w:val="24"/>
        </w:rPr>
      </w:pPr>
      <w:r w:rsidRPr="007F6F7C">
        <w:rPr>
          <w:rFonts w:ascii="Times New Roman" w:hAnsi="Times New Roman"/>
          <w:spacing w:val="3"/>
          <w:sz w:val="24"/>
          <w:szCs w:val="24"/>
        </w:rPr>
        <w:t>Таблица №</w:t>
      </w:r>
      <w:r w:rsidR="00091304">
        <w:rPr>
          <w:rFonts w:ascii="Times New Roman" w:hAnsi="Times New Roman"/>
          <w:spacing w:val="3"/>
          <w:sz w:val="24"/>
          <w:szCs w:val="24"/>
        </w:rPr>
        <w:t>3</w:t>
      </w:r>
    </w:p>
    <w:p w:rsidR="00146BB8" w:rsidRPr="007F6F7C" w:rsidRDefault="00146BB8" w:rsidP="00146BB8">
      <w:pPr>
        <w:spacing w:after="0" w:line="240" w:lineRule="auto"/>
        <w:jc w:val="center"/>
        <w:rPr>
          <w:rFonts w:ascii="Times New Roman" w:hAnsi="Times New Roman"/>
          <w:b/>
          <w:sz w:val="24"/>
          <w:szCs w:val="24"/>
        </w:rPr>
      </w:pPr>
      <w:r w:rsidRPr="007F6F7C">
        <w:rPr>
          <w:rFonts w:ascii="Times New Roman" w:hAnsi="Times New Roman"/>
          <w:b/>
          <w:sz w:val="24"/>
          <w:szCs w:val="24"/>
        </w:rPr>
        <w:t>Показатели работы грузового транспорта общего пользования</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9"/>
        <w:gridCol w:w="1368"/>
        <w:gridCol w:w="1156"/>
        <w:gridCol w:w="1300"/>
        <w:gridCol w:w="1301"/>
      </w:tblGrid>
      <w:tr w:rsidR="00146BB8" w:rsidRPr="007F6F7C" w:rsidTr="006A3EF7">
        <w:trPr>
          <w:trHeight w:val="522"/>
        </w:trPr>
        <w:tc>
          <w:tcPr>
            <w:tcW w:w="4269"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Показатели</w:t>
            </w:r>
          </w:p>
        </w:tc>
        <w:tc>
          <w:tcPr>
            <w:tcW w:w="1368"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 xml:space="preserve">Ед. </w:t>
            </w:r>
            <w:proofErr w:type="spellStart"/>
            <w:r w:rsidRPr="007F6F7C">
              <w:rPr>
                <w:rFonts w:ascii="Times New Roman" w:hAnsi="Times New Roman"/>
                <w:b/>
              </w:rPr>
              <w:t>изм</w:t>
            </w:r>
            <w:proofErr w:type="spellEnd"/>
            <w:r w:rsidRPr="007F6F7C">
              <w:rPr>
                <w:rFonts w:ascii="Times New Roman" w:hAnsi="Times New Roman"/>
                <w:b/>
              </w:rPr>
              <w:t>.</w:t>
            </w:r>
          </w:p>
        </w:tc>
        <w:tc>
          <w:tcPr>
            <w:tcW w:w="1156"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Январь-июнь</w:t>
            </w:r>
          </w:p>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2016 г.</w:t>
            </w:r>
          </w:p>
        </w:tc>
        <w:tc>
          <w:tcPr>
            <w:tcW w:w="1300"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Январь-июнь</w:t>
            </w:r>
          </w:p>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2017 г.</w:t>
            </w:r>
          </w:p>
        </w:tc>
        <w:tc>
          <w:tcPr>
            <w:tcW w:w="1301" w:type="dxa"/>
            <w:vAlign w:val="center"/>
          </w:tcPr>
          <w:p w:rsidR="00146BB8" w:rsidRPr="007F6F7C" w:rsidRDefault="00146BB8" w:rsidP="006A3EF7">
            <w:pPr>
              <w:spacing w:after="0" w:line="240" w:lineRule="auto"/>
              <w:ind w:left="-108" w:right="-51"/>
              <w:jc w:val="center"/>
              <w:rPr>
                <w:rFonts w:ascii="Times New Roman" w:hAnsi="Times New Roman"/>
                <w:b/>
                <w:i/>
              </w:rPr>
            </w:pPr>
            <w:r w:rsidRPr="007F6F7C">
              <w:rPr>
                <w:rFonts w:ascii="Times New Roman" w:hAnsi="Times New Roman"/>
                <w:b/>
                <w:i/>
              </w:rPr>
              <w:t>2017 г. в % к</w:t>
            </w:r>
          </w:p>
          <w:p w:rsidR="00146BB8" w:rsidRPr="007F6F7C" w:rsidRDefault="00146BB8" w:rsidP="006A3EF7">
            <w:pPr>
              <w:spacing w:after="0" w:line="240" w:lineRule="auto"/>
              <w:ind w:left="-108" w:right="-51"/>
              <w:jc w:val="center"/>
              <w:rPr>
                <w:rFonts w:ascii="Times New Roman" w:hAnsi="Times New Roman"/>
                <w:b/>
                <w:i/>
              </w:rPr>
            </w:pPr>
            <w:r w:rsidRPr="007F6F7C">
              <w:rPr>
                <w:rFonts w:ascii="Times New Roman" w:hAnsi="Times New Roman"/>
                <w:b/>
                <w:i/>
              </w:rPr>
              <w:t>2016 г.</w:t>
            </w:r>
          </w:p>
        </w:tc>
      </w:tr>
      <w:tr w:rsidR="00146BB8" w:rsidRPr="007F6F7C" w:rsidTr="006A3EF7">
        <w:trPr>
          <w:trHeight w:val="286"/>
        </w:trPr>
        <w:tc>
          <w:tcPr>
            <w:tcW w:w="4269" w:type="dxa"/>
            <w:vAlign w:val="center"/>
          </w:tcPr>
          <w:p w:rsidR="00146BB8" w:rsidRPr="007F6F7C" w:rsidRDefault="00146BB8" w:rsidP="006A3EF7">
            <w:pPr>
              <w:spacing w:after="0" w:line="240" w:lineRule="auto"/>
              <w:rPr>
                <w:rFonts w:ascii="Times New Roman" w:hAnsi="Times New Roman"/>
                <w:vertAlign w:val="superscript"/>
              </w:rPr>
            </w:pPr>
            <w:r w:rsidRPr="007F6F7C">
              <w:rPr>
                <w:rFonts w:ascii="Times New Roman" w:hAnsi="Times New Roman"/>
                <w:b/>
              </w:rPr>
              <w:t>Объем перевезенных грузов</w:t>
            </w:r>
          </w:p>
        </w:tc>
        <w:tc>
          <w:tcPr>
            <w:tcW w:w="1368"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тыс. т</w:t>
            </w:r>
          </w:p>
        </w:tc>
        <w:tc>
          <w:tcPr>
            <w:tcW w:w="1156"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794,5</w:t>
            </w:r>
          </w:p>
        </w:tc>
        <w:tc>
          <w:tcPr>
            <w:tcW w:w="1300"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430,9</w:t>
            </w:r>
          </w:p>
        </w:tc>
        <w:tc>
          <w:tcPr>
            <w:tcW w:w="1301" w:type="dxa"/>
            <w:vAlign w:val="center"/>
          </w:tcPr>
          <w:p w:rsidR="00146BB8" w:rsidRPr="007F6F7C" w:rsidRDefault="00146BB8" w:rsidP="006A3EF7">
            <w:pPr>
              <w:spacing w:after="0" w:line="240" w:lineRule="auto"/>
              <w:ind w:left="-108" w:right="-51"/>
              <w:jc w:val="center"/>
              <w:rPr>
                <w:rFonts w:ascii="Times New Roman" w:hAnsi="Times New Roman"/>
                <w:i/>
              </w:rPr>
            </w:pPr>
            <w:r w:rsidRPr="007F6F7C">
              <w:rPr>
                <w:rFonts w:ascii="Times New Roman" w:hAnsi="Times New Roman"/>
                <w:i/>
              </w:rPr>
              <w:t>54,2</w:t>
            </w:r>
          </w:p>
        </w:tc>
      </w:tr>
      <w:tr w:rsidR="00146BB8" w:rsidRPr="007F6F7C" w:rsidTr="006A3EF7">
        <w:trPr>
          <w:trHeight w:val="334"/>
        </w:trPr>
        <w:tc>
          <w:tcPr>
            <w:tcW w:w="4269" w:type="dxa"/>
            <w:vAlign w:val="center"/>
          </w:tcPr>
          <w:p w:rsidR="00146BB8" w:rsidRPr="007F6F7C" w:rsidRDefault="00146BB8" w:rsidP="006A3EF7">
            <w:pPr>
              <w:spacing w:after="0" w:line="240" w:lineRule="auto"/>
              <w:rPr>
                <w:rFonts w:ascii="Times New Roman" w:hAnsi="Times New Roman"/>
              </w:rPr>
            </w:pPr>
            <w:r w:rsidRPr="007F6F7C">
              <w:rPr>
                <w:rFonts w:ascii="Times New Roman" w:hAnsi="Times New Roman"/>
                <w:b/>
              </w:rPr>
              <w:t>Грузооборот</w:t>
            </w:r>
          </w:p>
        </w:tc>
        <w:tc>
          <w:tcPr>
            <w:tcW w:w="1368"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тыс. т-км</w:t>
            </w:r>
          </w:p>
        </w:tc>
        <w:tc>
          <w:tcPr>
            <w:tcW w:w="1156"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7 027,3</w:t>
            </w:r>
          </w:p>
        </w:tc>
        <w:tc>
          <w:tcPr>
            <w:tcW w:w="1300" w:type="dxa"/>
            <w:vAlign w:val="center"/>
          </w:tcPr>
          <w:p w:rsidR="00146BB8" w:rsidRPr="007F6F7C" w:rsidRDefault="00146BB8" w:rsidP="006A3EF7">
            <w:pPr>
              <w:spacing w:after="0" w:line="240" w:lineRule="auto"/>
              <w:ind w:right="113"/>
              <w:jc w:val="center"/>
              <w:rPr>
                <w:rFonts w:ascii="Times New Roman" w:hAnsi="Times New Roman"/>
                <w:lang w:val="en-US"/>
              </w:rPr>
            </w:pPr>
            <w:r w:rsidRPr="007F6F7C">
              <w:rPr>
                <w:rFonts w:ascii="Times New Roman" w:hAnsi="Times New Roman"/>
              </w:rPr>
              <w:t>4 388,1</w:t>
            </w:r>
          </w:p>
        </w:tc>
        <w:tc>
          <w:tcPr>
            <w:tcW w:w="1301" w:type="dxa"/>
            <w:vAlign w:val="center"/>
          </w:tcPr>
          <w:p w:rsidR="00146BB8" w:rsidRPr="007F6F7C" w:rsidRDefault="00146BB8" w:rsidP="006A3EF7">
            <w:pPr>
              <w:spacing w:after="0" w:line="240" w:lineRule="auto"/>
              <w:ind w:left="-108" w:right="-51"/>
              <w:jc w:val="center"/>
              <w:rPr>
                <w:rFonts w:ascii="Times New Roman" w:hAnsi="Times New Roman"/>
                <w:i/>
                <w:lang w:val="en-US"/>
              </w:rPr>
            </w:pPr>
            <w:r w:rsidRPr="007F6F7C">
              <w:rPr>
                <w:rFonts w:ascii="Times New Roman" w:hAnsi="Times New Roman"/>
                <w:i/>
              </w:rPr>
              <w:t>62,4</w:t>
            </w:r>
          </w:p>
        </w:tc>
      </w:tr>
      <w:tr w:rsidR="00146BB8" w:rsidRPr="007F6F7C" w:rsidTr="006A3EF7">
        <w:trPr>
          <w:trHeight w:val="325"/>
        </w:trPr>
        <w:tc>
          <w:tcPr>
            <w:tcW w:w="4269" w:type="dxa"/>
            <w:vAlign w:val="center"/>
          </w:tcPr>
          <w:p w:rsidR="00146BB8" w:rsidRPr="007F6F7C" w:rsidRDefault="00146BB8" w:rsidP="006A3EF7">
            <w:pPr>
              <w:spacing w:after="0" w:line="240" w:lineRule="auto"/>
              <w:rPr>
                <w:rFonts w:ascii="Times New Roman" w:hAnsi="Times New Roman"/>
                <w:b/>
              </w:rPr>
            </w:pPr>
            <w:r w:rsidRPr="007F6F7C">
              <w:rPr>
                <w:rFonts w:ascii="Times New Roman" w:hAnsi="Times New Roman"/>
                <w:b/>
              </w:rPr>
              <w:t>Средняя дальность перевозки 1 т груза</w:t>
            </w:r>
          </w:p>
        </w:tc>
        <w:tc>
          <w:tcPr>
            <w:tcW w:w="1368"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км</w:t>
            </w:r>
          </w:p>
        </w:tc>
        <w:tc>
          <w:tcPr>
            <w:tcW w:w="1156" w:type="dxa"/>
            <w:vAlign w:val="center"/>
          </w:tcPr>
          <w:p w:rsidR="00146BB8" w:rsidRPr="007F6F7C" w:rsidRDefault="00146BB8" w:rsidP="006A3EF7">
            <w:pPr>
              <w:spacing w:after="0" w:line="240" w:lineRule="auto"/>
              <w:ind w:right="113"/>
              <w:jc w:val="center"/>
              <w:rPr>
                <w:rFonts w:ascii="Times New Roman" w:hAnsi="Times New Roman"/>
                <w:lang w:val="en-US"/>
              </w:rPr>
            </w:pPr>
            <w:r w:rsidRPr="007F6F7C">
              <w:rPr>
                <w:rFonts w:ascii="Times New Roman" w:hAnsi="Times New Roman"/>
              </w:rPr>
              <w:t>8,8</w:t>
            </w:r>
          </w:p>
        </w:tc>
        <w:tc>
          <w:tcPr>
            <w:tcW w:w="1300" w:type="dxa"/>
            <w:vAlign w:val="center"/>
          </w:tcPr>
          <w:p w:rsidR="00146BB8" w:rsidRPr="007F6F7C" w:rsidRDefault="00146BB8" w:rsidP="006A3EF7">
            <w:pPr>
              <w:spacing w:after="0" w:line="240" w:lineRule="auto"/>
              <w:ind w:right="113"/>
              <w:jc w:val="center"/>
              <w:rPr>
                <w:rFonts w:ascii="Times New Roman" w:hAnsi="Times New Roman"/>
                <w:lang w:val="en-US"/>
              </w:rPr>
            </w:pPr>
            <w:r w:rsidRPr="007F6F7C">
              <w:rPr>
                <w:rFonts w:ascii="Times New Roman" w:hAnsi="Times New Roman"/>
              </w:rPr>
              <w:t>10,2</w:t>
            </w:r>
          </w:p>
        </w:tc>
        <w:tc>
          <w:tcPr>
            <w:tcW w:w="1301" w:type="dxa"/>
            <w:vAlign w:val="center"/>
          </w:tcPr>
          <w:p w:rsidR="00146BB8" w:rsidRPr="007F6F7C" w:rsidRDefault="00146BB8" w:rsidP="006A3EF7">
            <w:pPr>
              <w:spacing w:after="0" w:line="240" w:lineRule="auto"/>
              <w:ind w:left="-108" w:right="-51"/>
              <w:jc w:val="center"/>
              <w:rPr>
                <w:rFonts w:ascii="Times New Roman" w:hAnsi="Times New Roman"/>
                <w:i/>
              </w:rPr>
            </w:pPr>
            <w:r w:rsidRPr="007F6F7C">
              <w:rPr>
                <w:rFonts w:ascii="Times New Roman" w:hAnsi="Times New Roman"/>
                <w:i/>
              </w:rPr>
              <w:t>115,9</w:t>
            </w:r>
          </w:p>
        </w:tc>
      </w:tr>
      <w:tr w:rsidR="00146BB8" w:rsidRPr="007F6F7C" w:rsidTr="006A3EF7">
        <w:trPr>
          <w:trHeight w:val="325"/>
        </w:trPr>
        <w:tc>
          <w:tcPr>
            <w:tcW w:w="4269" w:type="dxa"/>
            <w:vAlign w:val="center"/>
          </w:tcPr>
          <w:p w:rsidR="00146BB8" w:rsidRPr="007F6F7C" w:rsidRDefault="00146BB8" w:rsidP="006A3EF7">
            <w:pPr>
              <w:spacing w:after="0" w:line="240" w:lineRule="auto"/>
              <w:rPr>
                <w:rFonts w:ascii="Times New Roman" w:hAnsi="Times New Roman"/>
                <w:lang w:val="en-US"/>
              </w:rPr>
            </w:pPr>
            <w:r w:rsidRPr="007F6F7C">
              <w:rPr>
                <w:rFonts w:ascii="Times New Roman" w:hAnsi="Times New Roman"/>
                <w:b/>
              </w:rPr>
              <w:t>Наличие грузовых автомобилей*</w:t>
            </w:r>
          </w:p>
        </w:tc>
        <w:tc>
          <w:tcPr>
            <w:tcW w:w="1368"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ед.</w:t>
            </w:r>
          </w:p>
        </w:tc>
        <w:tc>
          <w:tcPr>
            <w:tcW w:w="1156" w:type="dxa"/>
            <w:vAlign w:val="center"/>
          </w:tcPr>
          <w:p w:rsidR="00146BB8" w:rsidRPr="007F6F7C" w:rsidRDefault="00146BB8" w:rsidP="006A3EF7">
            <w:pPr>
              <w:spacing w:after="0" w:line="240" w:lineRule="auto"/>
              <w:ind w:right="113"/>
              <w:jc w:val="center"/>
              <w:rPr>
                <w:rFonts w:ascii="Times New Roman" w:hAnsi="Times New Roman"/>
                <w:lang w:val="en-US"/>
              </w:rPr>
            </w:pPr>
            <w:r w:rsidRPr="007F6F7C">
              <w:rPr>
                <w:rFonts w:ascii="Times New Roman" w:hAnsi="Times New Roman"/>
              </w:rPr>
              <w:t>72</w:t>
            </w:r>
          </w:p>
        </w:tc>
        <w:tc>
          <w:tcPr>
            <w:tcW w:w="1300"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89</w:t>
            </w:r>
          </w:p>
        </w:tc>
        <w:tc>
          <w:tcPr>
            <w:tcW w:w="1301" w:type="dxa"/>
            <w:vAlign w:val="center"/>
          </w:tcPr>
          <w:p w:rsidR="00146BB8" w:rsidRPr="007F6F7C" w:rsidRDefault="00146BB8" w:rsidP="006A3EF7">
            <w:pPr>
              <w:spacing w:after="0" w:line="240" w:lineRule="auto"/>
              <w:ind w:left="-108" w:right="-51"/>
              <w:jc w:val="center"/>
              <w:rPr>
                <w:rFonts w:ascii="Times New Roman" w:hAnsi="Times New Roman"/>
                <w:i/>
              </w:rPr>
            </w:pPr>
            <w:r w:rsidRPr="007F6F7C">
              <w:rPr>
                <w:rFonts w:ascii="Times New Roman" w:hAnsi="Times New Roman"/>
                <w:i/>
              </w:rPr>
              <w:t>123,6</w:t>
            </w:r>
          </w:p>
        </w:tc>
      </w:tr>
      <w:tr w:rsidR="00146BB8" w:rsidRPr="007F6F7C" w:rsidTr="006A3EF7">
        <w:trPr>
          <w:trHeight w:val="251"/>
        </w:trPr>
        <w:tc>
          <w:tcPr>
            <w:tcW w:w="4269" w:type="dxa"/>
            <w:vAlign w:val="center"/>
          </w:tcPr>
          <w:p w:rsidR="00146BB8" w:rsidRPr="007F6F7C" w:rsidRDefault="00146BB8" w:rsidP="006A3EF7">
            <w:pPr>
              <w:spacing w:after="0" w:line="240" w:lineRule="auto"/>
              <w:rPr>
                <w:rFonts w:ascii="Times New Roman" w:hAnsi="Times New Roman"/>
              </w:rPr>
            </w:pPr>
            <w:r w:rsidRPr="007F6F7C">
              <w:rPr>
                <w:rFonts w:ascii="Times New Roman" w:hAnsi="Times New Roman"/>
                <w:b/>
              </w:rPr>
              <w:t>Доход от доставки грузов</w:t>
            </w:r>
          </w:p>
        </w:tc>
        <w:tc>
          <w:tcPr>
            <w:tcW w:w="1368"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тыс. руб.</w:t>
            </w:r>
          </w:p>
        </w:tc>
        <w:tc>
          <w:tcPr>
            <w:tcW w:w="1156" w:type="dxa"/>
            <w:vAlign w:val="center"/>
          </w:tcPr>
          <w:p w:rsidR="00146BB8" w:rsidRPr="007F6F7C" w:rsidRDefault="00146BB8" w:rsidP="006A3EF7">
            <w:pPr>
              <w:spacing w:after="0" w:line="240" w:lineRule="auto"/>
              <w:ind w:right="113"/>
              <w:jc w:val="center"/>
              <w:rPr>
                <w:rFonts w:ascii="Times New Roman" w:hAnsi="Times New Roman"/>
                <w:lang w:val="en-US"/>
              </w:rPr>
            </w:pPr>
            <w:r w:rsidRPr="007F6F7C">
              <w:rPr>
                <w:rFonts w:ascii="Times New Roman" w:hAnsi="Times New Roman"/>
              </w:rPr>
              <w:t>10 998,5</w:t>
            </w:r>
          </w:p>
        </w:tc>
        <w:tc>
          <w:tcPr>
            <w:tcW w:w="1300" w:type="dxa"/>
            <w:vAlign w:val="center"/>
          </w:tcPr>
          <w:p w:rsidR="00146BB8" w:rsidRPr="007F6F7C" w:rsidRDefault="00146BB8" w:rsidP="006A3EF7">
            <w:pPr>
              <w:spacing w:after="0" w:line="240" w:lineRule="auto"/>
              <w:ind w:right="113"/>
              <w:jc w:val="center"/>
              <w:rPr>
                <w:rFonts w:ascii="Times New Roman" w:hAnsi="Times New Roman"/>
                <w:lang w:val="en-US"/>
              </w:rPr>
            </w:pPr>
            <w:r w:rsidRPr="007F6F7C">
              <w:rPr>
                <w:rFonts w:ascii="Times New Roman" w:hAnsi="Times New Roman"/>
              </w:rPr>
              <w:t>8 762,8</w:t>
            </w:r>
          </w:p>
        </w:tc>
        <w:tc>
          <w:tcPr>
            <w:tcW w:w="1301" w:type="dxa"/>
            <w:vAlign w:val="center"/>
          </w:tcPr>
          <w:p w:rsidR="00146BB8" w:rsidRPr="007F6F7C" w:rsidRDefault="00146BB8" w:rsidP="006A3EF7">
            <w:pPr>
              <w:spacing w:after="0" w:line="240" w:lineRule="auto"/>
              <w:ind w:left="-108" w:right="-51"/>
              <w:jc w:val="center"/>
              <w:rPr>
                <w:rFonts w:ascii="Times New Roman" w:hAnsi="Times New Roman"/>
                <w:i/>
                <w:lang w:val="en-US"/>
              </w:rPr>
            </w:pPr>
            <w:r w:rsidRPr="007F6F7C">
              <w:rPr>
                <w:rFonts w:ascii="Times New Roman" w:hAnsi="Times New Roman"/>
                <w:i/>
              </w:rPr>
              <w:t>79,7</w:t>
            </w:r>
          </w:p>
        </w:tc>
      </w:tr>
    </w:tbl>
    <w:p w:rsidR="00146BB8" w:rsidRPr="007F6F7C" w:rsidRDefault="00146BB8" w:rsidP="00146BB8">
      <w:pPr>
        <w:pStyle w:val="a6"/>
        <w:spacing w:after="0" w:line="240" w:lineRule="auto"/>
        <w:ind w:left="709"/>
        <w:jc w:val="both"/>
        <w:rPr>
          <w:rFonts w:ascii="Times New Roman" w:hAnsi="Times New Roman"/>
          <w:sz w:val="20"/>
          <w:szCs w:val="20"/>
        </w:rPr>
      </w:pPr>
      <w:r w:rsidRPr="007F6F7C">
        <w:rPr>
          <w:rFonts w:ascii="Times New Roman" w:hAnsi="Times New Roman"/>
          <w:sz w:val="20"/>
          <w:szCs w:val="20"/>
        </w:rPr>
        <w:t>* - без учета субъектов малого предпринимательства</w:t>
      </w:r>
    </w:p>
    <w:p w:rsidR="00146BB8" w:rsidRPr="007F6F7C" w:rsidRDefault="00146BB8" w:rsidP="00146BB8">
      <w:pPr>
        <w:spacing w:after="0" w:line="240" w:lineRule="auto"/>
        <w:ind w:firstLine="709"/>
        <w:jc w:val="both"/>
        <w:rPr>
          <w:rFonts w:ascii="Times New Roman" w:hAnsi="Times New Roman"/>
          <w:spacing w:val="3"/>
          <w:sz w:val="24"/>
          <w:szCs w:val="24"/>
        </w:rPr>
      </w:pPr>
    </w:p>
    <w:p w:rsidR="00146BB8" w:rsidRPr="007F6F7C" w:rsidRDefault="00146BB8" w:rsidP="00146BB8">
      <w:pPr>
        <w:spacing w:after="0" w:line="240" w:lineRule="auto"/>
        <w:ind w:firstLine="709"/>
        <w:jc w:val="both"/>
        <w:rPr>
          <w:rFonts w:ascii="Times New Roman" w:hAnsi="Times New Roman"/>
          <w:spacing w:val="4"/>
          <w:sz w:val="24"/>
          <w:szCs w:val="24"/>
        </w:rPr>
      </w:pPr>
      <w:r w:rsidRPr="007F6F7C">
        <w:rPr>
          <w:rFonts w:ascii="Times New Roman" w:hAnsi="Times New Roman"/>
          <w:spacing w:val="4"/>
          <w:sz w:val="24"/>
          <w:szCs w:val="24"/>
        </w:rPr>
        <w:t xml:space="preserve">Основные показатели работы </w:t>
      </w:r>
      <w:r w:rsidRPr="007F6F7C">
        <w:rPr>
          <w:rFonts w:ascii="Times New Roman" w:hAnsi="Times New Roman"/>
          <w:b/>
          <w:i/>
          <w:spacing w:val="4"/>
          <w:sz w:val="24"/>
          <w:szCs w:val="24"/>
        </w:rPr>
        <w:t>автомобильного транспорта общего пользования</w:t>
      </w:r>
      <w:r w:rsidRPr="007F6F7C">
        <w:rPr>
          <w:rFonts w:ascii="Times New Roman" w:hAnsi="Times New Roman"/>
          <w:spacing w:val="4"/>
          <w:sz w:val="24"/>
          <w:szCs w:val="24"/>
        </w:rPr>
        <w:t xml:space="preserve"> в рассматриваемом периоде в целом демонстрир</w:t>
      </w:r>
      <w:r>
        <w:rPr>
          <w:rFonts w:ascii="Times New Roman" w:hAnsi="Times New Roman"/>
          <w:spacing w:val="4"/>
          <w:sz w:val="24"/>
          <w:szCs w:val="24"/>
        </w:rPr>
        <w:t>овали повышательную динамику</w:t>
      </w:r>
      <w:r w:rsidRPr="007F6F7C">
        <w:rPr>
          <w:rFonts w:ascii="Times New Roman" w:hAnsi="Times New Roman"/>
          <w:spacing w:val="4"/>
          <w:sz w:val="24"/>
          <w:szCs w:val="24"/>
        </w:rPr>
        <w:t xml:space="preserve">, что в совокупности с ростом пассажиропотока, </w:t>
      </w:r>
      <w:r>
        <w:rPr>
          <w:rFonts w:ascii="Times New Roman" w:hAnsi="Times New Roman"/>
          <w:spacing w:val="4"/>
          <w:sz w:val="24"/>
          <w:szCs w:val="24"/>
        </w:rPr>
        <w:t xml:space="preserve">отчасти </w:t>
      </w:r>
      <w:r w:rsidRPr="007F6F7C">
        <w:rPr>
          <w:rFonts w:ascii="Times New Roman" w:hAnsi="Times New Roman"/>
          <w:spacing w:val="4"/>
          <w:sz w:val="24"/>
          <w:szCs w:val="24"/>
        </w:rPr>
        <w:t>обусловлено понижением стоимости патента на предоставление услуг по перевозке пассажиров</w:t>
      </w:r>
      <w:r w:rsidRPr="007F6F7C">
        <w:rPr>
          <w:rFonts w:ascii="Times New Roman" w:hAnsi="Times New Roman"/>
          <w:sz w:val="24"/>
          <w:szCs w:val="24"/>
        </w:rPr>
        <w:t xml:space="preserve">. </w:t>
      </w:r>
      <w:r>
        <w:rPr>
          <w:rFonts w:ascii="Times New Roman" w:hAnsi="Times New Roman"/>
          <w:sz w:val="24"/>
          <w:szCs w:val="24"/>
        </w:rPr>
        <w:t xml:space="preserve">В отчётном периоде </w:t>
      </w:r>
      <w:r w:rsidRPr="007F6F7C">
        <w:rPr>
          <w:rFonts w:ascii="Times New Roman" w:hAnsi="Times New Roman"/>
          <w:spacing w:val="4"/>
          <w:sz w:val="24"/>
          <w:szCs w:val="24"/>
        </w:rPr>
        <w:t xml:space="preserve">автоперевозчиками региона, специализирующимися на предоставлении услуг физическим лицам, перевезено 12,7 </w:t>
      </w:r>
      <w:proofErr w:type="spellStart"/>
      <w:proofErr w:type="gramStart"/>
      <w:r w:rsidRPr="007F6F7C">
        <w:rPr>
          <w:rFonts w:ascii="Times New Roman" w:hAnsi="Times New Roman"/>
          <w:spacing w:val="4"/>
          <w:sz w:val="24"/>
          <w:szCs w:val="24"/>
        </w:rPr>
        <w:t>млн</w:t>
      </w:r>
      <w:proofErr w:type="spellEnd"/>
      <w:proofErr w:type="gramEnd"/>
      <w:r w:rsidRPr="007F6F7C">
        <w:rPr>
          <w:rFonts w:ascii="Times New Roman" w:hAnsi="Times New Roman"/>
          <w:spacing w:val="4"/>
          <w:sz w:val="24"/>
          <w:szCs w:val="24"/>
        </w:rPr>
        <w:t xml:space="preserve"> пассажиров, что на 24,4% выше уровня января-июня </w:t>
      </w:r>
      <w:r w:rsidR="00067B57">
        <w:rPr>
          <w:rFonts w:ascii="Times New Roman" w:hAnsi="Times New Roman"/>
          <w:spacing w:val="4"/>
          <w:sz w:val="24"/>
          <w:szCs w:val="24"/>
        </w:rPr>
        <w:t xml:space="preserve">               </w:t>
      </w:r>
      <w:r w:rsidRPr="007F6F7C">
        <w:rPr>
          <w:rFonts w:ascii="Times New Roman" w:hAnsi="Times New Roman"/>
          <w:spacing w:val="4"/>
          <w:sz w:val="24"/>
          <w:szCs w:val="24"/>
        </w:rPr>
        <w:t>2016 года.</w:t>
      </w:r>
      <w:r w:rsidR="00067B57">
        <w:rPr>
          <w:rFonts w:ascii="Times New Roman" w:hAnsi="Times New Roman"/>
          <w:spacing w:val="4"/>
          <w:sz w:val="24"/>
          <w:szCs w:val="24"/>
        </w:rPr>
        <w:t xml:space="preserve"> </w:t>
      </w:r>
      <w:r>
        <w:rPr>
          <w:rFonts w:ascii="Times New Roman" w:hAnsi="Times New Roman"/>
          <w:sz w:val="24"/>
          <w:szCs w:val="24"/>
        </w:rPr>
        <w:t>В то же время</w:t>
      </w:r>
      <w:r w:rsidRPr="007F6F7C">
        <w:rPr>
          <w:rFonts w:ascii="Times New Roman" w:hAnsi="Times New Roman"/>
          <w:sz w:val="24"/>
          <w:szCs w:val="24"/>
        </w:rPr>
        <w:t xml:space="preserve"> следует отметить, что </w:t>
      </w:r>
      <w:r>
        <w:rPr>
          <w:rFonts w:ascii="Times New Roman" w:hAnsi="Times New Roman"/>
          <w:sz w:val="24"/>
          <w:szCs w:val="24"/>
        </w:rPr>
        <w:t>существенное влияние</w:t>
      </w:r>
      <w:r w:rsidRPr="007F6F7C">
        <w:rPr>
          <w:rFonts w:ascii="Times New Roman" w:hAnsi="Times New Roman"/>
          <w:sz w:val="24"/>
          <w:szCs w:val="24"/>
        </w:rPr>
        <w:t xml:space="preserve"> на деятельност</w:t>
      </w:r>
      <w:r>
        <w:rPr>
          <w:rFonts w:ascii="Times New Roman" w:hAnsi="Times New Roman"/>
          <w:sz w:val="24"/>
          <w:szCs w:val="24"/>
        </w:rPr>
        <w:t>ь</w:t>
      </w:r>
      <w:r w:rsidRPr="007F6F7C">
        <w:rPr>
          <w:rFonts w:ascii="Times New Roman" w:hAnsi="Times New Roman"/>
          <w:sz w:val="24"/>
          <w:szCs w:val="24"/>
        </w:rPr>
        <w:t xml:space="preserve"> предприятий перевозчиков </w:t>
      </w:r>
      <w:r>
        <w:rPr>
          <w:rFonts w:ascii="Times New Roman" w:hAnsi="Times New Roman"/>
          <w:sz w:val="24"/>
          <w:szCs w:val="24"/>
        </w:rPr>
        <w:t xml:space="preserve">оказывают более низкие тарифы </w:t>
      </w:r>
      <w:r w:rsidRPr="007F6F7C">
        <w:rPr>
          <w:rFonts w:ascii="Times New Roman" w:hAnsi="Times New Roman"/>
          <w:sz w:val="24"/>
          <w:szCs w:val="24"/>
        </w:rPr>
        <w:t xml:space="preserve">на перевозку пассажиров </w:t>
      </w:r>
      <w:r w:rsidRPr="007F6F7C">
        <w:rPr>
          <w:rFonts w:ascii="Times New Roman" w:hAnsi="Times New Roman"/>
          <w:sz w:val="24"/>
          <w:szCs w:val="24"/>
        </w:rPr>
        <w:lastRenderedPageBreak/>
        <w:t>автомобильным транспортом общего пользования в Республике Молдова и Украине</w:t>
      </w:r>
      <w:r>
        <w:rPr>
          <w:rFonts w:ascii="Times New Roman" w:hAnsi="Times New Roman"/>
          <w:sz w:val="24"/>
          <w:szCs w:val="24"/>
        </w:rPr>
        <w:t xml:space="preserve">. Так, </w:t>
      </w:r>
      <w:r w:rsidRPr="007F6F7C">
        <w:rPr>
          <w:rFonts w:ascii="Times New Roman" w:hAnsi="Times New Roman"/>
          <w:sz w:val="24"/>
          <w:szCs w:val="24"/>
        </w:rPr>
        <w:t xml:space="preserve">в пригородном сообщении </w:t>
      </w:r>
      <w:r>
        <w:rPr>
          <w:rFonts w:ascii="Times New Roman" w:hAnsi="Times New Roman"/>
          <w:sz w:val="24"/>
          <w:szCs w:val="24"/>
        </w:rPr>
        <w:t xml:space="preserve">отечественные </w:t>
      </w:r>
      <w:r w:rsidRPr="007F6F7C">
        <w:rPr>
          <w:rFonts w:ascii="Times New Roman" w:hAnsi="Times New Roman"/>
          <w:sz w:val="24"/>
          <w:szCs w:val="24"/>
        </w:rPr>
        <w:t xml:space="preserve">тарифы выше на </w:t>
      </w:r>
      <w:r>
        <w:rPr>
          <w:rFonts w:ascii="Times New Roman" w:hAnsi="Times New Roman"/>
          <w:sz w:val="24"/>
          <w:szCs w:val="24"/>
        </w:rPr>
        <w:t>4</w:t>
      </w:r>
      <w:r w:rsidRPr="007F6F7C">
        <w:rPr>
          <w:rFonts w:ascii="Times New Roman" w:hAnsi="Times New Roman"/>
          <w:sz w:val="24"/>
          <w:szCs w:val="24"/>
        </w:rPr>
        <w:t>3% и</w:t>
      </w:r>
      <w:r>
        <w:rPr>
          <w:rFonts w:ascii="Times New Roman" w:hAnsi="Times New Roman"/>
          <w:sz w:val="24"/>
          <w:szCs w:val="24"/>
        </w:rPr>
        <w:t xml:space="preserve"> в</w:t>
      </w:r>
      <w:r w:rsidRPr="007F6F7C">
        <w:rPr>
          <w:rFonts w:ascii="Times New Roman" w:hAnsi="Times New Roman"/>
          <w:sz w:val="24"/>
          <w:szCs w:val="24"/>
        </w:rPr>
        <w:t xml:space="preserve"> 2,4 раза соответственно</w:t>
      </w:r>
      <w:r>
        <w:rPr>
          <w:rFonts w:ascii="Times New Roman" w:hAnsi="Times New Roman"/>
          <w:sz w:val="24"/>
          <w:szCs w:val="24"/>
        </w:rPr>
        <w:t xml:space="preserve">, </w:t>
      </w:r>
      <w:r w:rsidRPr="007F6F7C">
        <w:rPr>
          <w:rFonts w:ascii="Times New Roman" w:hAnsi="Times New Roman"/>
          <w:sz w:val="24"/>
          <w:szCs w:val="24"/>
        </w:rPr>
        <w:t>в междугородном сообщении</w:t>
      </w:r>
      <w:r>
        <w:rPr>
          <w:rFonts w:ascii="Times New Roman" w:hAnsi="Times New Roman"/>
          <w:sz w:val="24"/>
          <w:szCs w:val="24"/>
        </w:rPr>
        <w:t xml:space="preserve">– </w:t>
      </w:r>
      <w:r w:rsidRPr="007F6F7C">
        <w:rPr>
          <w:rFonts w:ascii="Times New Roman" w:hAnsi="Times New Roman"/>
          <w:sz w:val="24"/>
          <w:szCs w:val="24"/>
        </w:rPr>
        <w:t xml:space="preserve">на </w:t>
      </w:r>
      <w:r>
        <w:rPr>
          <w:rFonts w:ascii="Times New Roman" w:hAnsi="Times New Roman"/>
          <w:sz w:val="24"/>
          <w:szCs w:val="24"/>
        </w:rPr>
        <w:t>2</w:t>
      </w:r>
      <w:r w:rsidRPr="007F6F7C">
        <w:rPr>
          <w:rFonts w:ascii="Times New Roman" w:hAnsi="Times New Roman"/>
          <w:sz w:val="24"/>
          <w:szCs w:val="24"/>
        </w:rPr>
        <w:t xml:space="preserve">3% и в 2,1 раза. </w:t>
      </w:r>
    </w:p>
    <w:p w:rsidR="00146BB8" w:rsidRDefault="00146BB8" w:rsidP="00146BB8">
      <w:pPr>
        <w:spacing w:after="0" w:line="240" w:lineRule="auto"/>
        <w:ind w:firstLine="709"/>
        <w:jc w:val="both"/>
        <w:rPr>
          <w:rFonts w:ascii="Times New Roman" w:hAnsi="Times New Roman"/>
          <w:spacing w:val="2"/>
          <w:sz w:val="24"/>
          <w:szCs w:val="24"/>
        </w:rPr>
      </w:pPr>
      <w:r w:rsidRPr="007F6F7C">
        <w:rPr>
          <w:rFonts w:ascii="Times New Roman" w:hAnsi="Times New Roman"/>
          <w:spacing w:val="3"/>
          <w:sz w:val="24"/>
          <w:szCs w:val="24"/>
        </w:rPr>
        <w:t>На фоне роста пассажиропотока</w:t>
      </w:r>
      <w:r>
        <w:rPr>
          <w:rFonts w:ascii="Times New Roman" w:hAnsi="Times New Roman"/>
          <w:spacing w:val="3"/>
          <w:sz w:val="24"/>
          <w:szCs w:val="24"/>
        </w:rPr>
        <w:t xml:space="preserve"> (</w:t>
      </w:r>
      <w:r w:rsidRPr="007F6F7C">
        <w:rPr>
          <w:rFonts w:ascii="Times New Roman" w:hAnsi="Times New Roman"/>
          <w:spacing w:val="3"/>
          <w:sz w:val="24"/>
          <w:szCs w:val="24"/>
        </w:rPr>
        <w:t xml:space="preserve">+24,4%), и сокращения средней дальности поездки одного пассажира </w:t>
      </w:r>
      <w:r>
        <w:rPr>
          <w:rFonts w:ascii="Times New Roman" w:hAnsi="Times New Roman"/>
          <w:spacing w:val="3"/>
          <w:sz w:val="24"/>
          <w:szCs w:val="24"/>
        </w:rPr>
        <w:t>(-</w:t>
      </w:r>
      <w:r w:rsidRPr="007F6F7C">
        <w:rPr>
          <w:rFonts w:ascii="Times New Roman" w:hAnsi="Times New Roman"/>
          <w:spacing w:val="3"/>
          <w:sz w:val="24"/>
          <w:szCs w:val="24"/>
        </w:rPr>
        <w:t xml:space="preserve">8,8%) </w:t>
      </w:r>
      <w:r w:rsidRPr="007F6F7C">
        <w:rPr>
          <w:rFonts w:ascii="Times New Roman" w:hAnsi="Times New Roman"/>
          <w:spacing w:val="4"/>
          <w:sz w:val="24"/>
          <w:szCs w:val="24"/>
        </w:rPr>
        <w:t xml:space="preserve">пассажирооборот в </w:t>
      </w:r>
      <w:r w:rsidRPr="007F6F7C">
        <w:rPr>
          <w:rFonts w:ascii="Times New Roman" w:hAnsi="Times New Roman"/>
          <w:spacing w:val="4"/>
          <w:sz w:val="24"/>
          <w:szCs w:val="24"/>
          <w:lang w:val="en-US"/>
        </w:rPr>
        <w:t>I</w:t>
      </w:r>
      <w:r w:rsidRPr="007F6F7C">
        <w:rPr>
          <w:rFonts w:ascii="Times New Roman" w:hAnsi="Times New Roman"/>
          <w:spacing w:val="4"/>
          <w:sz w:val="24"/>
          <w:szCs w:val="24"/>
        </w:rPr>
        <w:t xml:space="preserve"> полугодии 2017 году увеличился по сравнению с аналогичным периодом 2016 года на 13,3% и составил 104,9 </w:t>
      </w:r>
      <w:proofErr w:type="spellStart"/>
      <w:r>
        <w:rPr>
          <w:rFonts w:ascii="Times New Roman" w:hAnsi="Times New Roman"/>
          <w:spacing w:val="4"/>
          <w:sz w:val="24"/>
          <w:szCs w:val="24"/>
        </w:rPr>
        <w:t>млн</w:t>
      </w:r>
      <w:proofErr w:type="spellEnd"/>
      <w:r>
        <w:rPr>
          <w:rFonts w:ascii="Times New Roman" w:hAnsi="Times New Roman"/>
          <w:spacing w:val="4"/>
          <w:sz w:val="24"/>
          <w:szCs w:val="24"/>
        </w:rPr>
        <w:t xml:space="preserve"> </w:t>
      </w:r>
      <w:proofErr w:type="spellStart"/>
      <w:r>
        <w:rPr>
          <w:rFonts w:ascii="Times New Roman" w:hAnsi="Times New Roman"/>
          <w:spacing w:val="4"/>
          <w:sz w:val="24"/>
          <w:szCs w:val="24"/>
        </w:rPr>
        <w:t>пассажиро</w:t>
      </w:r>
      <w:proofErr w:type="spellEnd"/>
      <w:r>
        <w:rPr>
          <w:rFonts w:ascii="Times New Roman" w:hAnsi="Times New Roman"/>
          <w:spacing w:val="4"/>
          <w:sz w:val="24"/>
          <w:szCs w:val="24"/>
        </w:rPr>
        <w:t>–</w:t>
      </w:r>
      <w:r w:rsidRPr="007F6F7C">
        <w:rPr>
          <w:rFonts w:ascii="Times New Roman" w:hAnsi="Times New Roman"/>
          <w:spacing w:val="4"/>
          <w:sz w:val="24"/>
          <w:szCs w:val="24"/>
        </w:rPr>
        <w:t>километров</w:t>
      </w:r>
      <w:r w:rsidRPr="007F6F7C">
        <w:rPr>
          <w:rFonts w:ascii="Times New Roman" w:hAnsi="Times New Roman"/>
          <w:spacing w:val="3"/>
          <w:sz w:val="24"/>
          <w:szCs w:val="24"/>
        </w:rPr>
        <w:t>. При этом, доходы организаций пассажирского автотранспорта в рассматриваемом периоде</w:t>
      </w:r>
      <w:r w:rsidR="00067B57">
        <w:rPr>
          <w:rFonts w:ascii="Times New Roman" w:hAnsi="Times New Roman"/>
          <w:spacing w:val="3"/>
          <w:sz w:val="24"/>
          <w:szCs w:val="24"/>
        </w:rPr>
        <w:t xml:space="preserve"> </w:t>
      </w:r>
      <w:r>
        <w:rPr>
          <w:rFonts w:ascii="Times New Roman" w:hAnsi="Times New Roman"/>
          <w:spacing w:val="2"/>
          <w:sz w:val="24"/>
          <w:szCs w:val="24"/>
        </w:rPr>
        <w:t xml:space="preserve">выросли на 20,6%и сложились </w:t>
      </w:r>
      <w:r w:rsidRPr="007F6F7C">
        <w:rPr>
          <w:rFonts w:ascii="Times New Roman" w:hAnsi="Times New Roman"/>
          <w:spacing w:val="2"/>
          <w:sz w:val="24"/>
          <w:szCs w:val="24"/>
        </w:rPr>
        <w:t>в сумме 63,5</w:t>
      </w:r>
      <w:r>
        <w:rPr>
          <w:rFonts w:ascii="Times New Roman" w:hAnsi="Times New Roman"/>
          <w:spacing w:val="3"/>
          <w:sz w:val="24"/>
          <w:szCs w:val="24"/>
        </w:rPr>
        <w:t xml:space="preserve"> </w:t>
      </w:r>
      <w:proofErr w:type="spellStart"/>
      <w:proofErr w:type="gramStart"/>
      <w:r>
        <w:rPr>
          <w:rFonts w:ascii="Times New Roman" w:hAnsi="Times New Roman"/>
          <w:spacing w:val="3"/>
          <w:sz w:val="24"/>
          <w:szCs w:val="24"/>
        </w:rPr>
        <w:t>млн</w:t>
      </w:r>
      <w:proofErr w:type="spellEnd"/>
      <w:proofErr w:type="gramEnd"/>
      <w:r w:rsidRPr="007F6F7C">
        <w:rPr>
          <w:rFonts w:ascii="Times New Roman" w:hAnsi="Times New Roman"/>
          <w:spacing w:val="3"/>
          <w:sz w:val="24"/>
          <w:szCs w:val="24"/>
        </w:rPr>
        <w:t xml:space="preserve"> руб</w:t>
      </w:r>
      <w:r w:rsidRPr="007F6F7C">
        <w:rPr>
          <w:rFonts w:ascii="Times New Roman" w:hAnsi="Times New Roman"/>
          <w:spacing w:val="2"/>
          <w:sz w:val="24"/>
          <w:szCs w:val="24"/>
        </w:rPr>
        <w:t>.</w:t>
      </w:r>
    </w:p>
    <w:p w:rsidR="00146BB8" w:rsidRPr="007F6F7C" w:rsidRDefault="00146BB8" w:rsidP="00146BB8">
      <w:pPr>
        <w:spacing w:after="0" w:line="240" w:lineRule="auto"/>
        <w:ind w:firstLine="709"/>
        <w:jc w:val="right"/>
        <w:rPr>
          <w:rFonts w:ascii="Times New Roman" w:hAnsi="Times New Roman"/>
          <w:spacing w:val="2"/>
          <w:sz w:val="24"/>
          <w:szCs w:val="24"/>
        </w:rPr>
      </w:pPr>
      <w:r w:rsidRPr="007F6F7C">
        <w:rPr>
          <w:rFonts w:ascii="Times New Roman" w:hAnsi="Times New Roman"/>
          <w:spacing w:val="2"/>
          <w:sz w:val="24"/>
          <w:szCs w:val="24"/>
        </w:rPr>
        <w:t>Таблица №</w:t>
      </w:r>
      <w:r w:rsidR="00091304">
        <w:rPr>
          <w:rFonts w:ascii="Times New Roman" w:hAnsi="Times New Roman"/>
          <w:spacing w:val="2"/>
          <w:sz w:val="24"/>
          <w:szCs w:val="24"/>
        </w:rPr>
        <w:t>4</w:t>
      </w:r>
    </w:p>
    <w:p w:rsidR="00146BB8" w:rsidRPr="007F6F7C" w:rsidRDefault="00146BB8" w:rsidP="00146BB8">
      <w:pPr>
        <w:spacing w:after="0" w:line="240" w:lineRule="auto"/>
        <w:jc w:val="center"/>
        <w:rPr>
          <w:rFonts w:ascii="Times New Roman" w:hAnsi="Times New Roman"/>
          <w:b/>
          <w:sz w:val="24"/>
          <w:szCs w:val="24"/>
        </w:rPr>
      </w:pPr>
      <w:r w:rsidRPr="007F6F7C">
        <w:rPr>
          <w:rFonts w:ascii="Times New Roman" w:hAnsi="Times New Roman"/>
          <w:b/>
          <w:sz w:val="24"/>
          <w:szCs w:val="24"/>
        </w:rPr>
        <w:t xml:space="preserve">Показатели работы пассажирского автотранспорта </w:t>
      </w:r>
    </w:p>
    <w:p w:rsidR="00146BB8" w:rsidRPr="007F6F7C" w:rsidRDefault="00146BB8" w:rsidP="00146BB8">
      <w:pPr>
        <w:spacing w:after="0" w:line="240" w:lineRule="auto"/>
        <w:jc w:val="center"/>
        <w:rPr>
          <w:rFonts w:ascii="Times New Roman" w:hAnsi="Times New Roman"/>
          <w:b/>
          <w:sz w:val="24"/>
          <w:szCs w:val="24"/>
        </w:rPr>
      </w:pPr>
      <w:r w:rsidRPr="007F6F7C">
        <w:rPr>
          <w:rFonts w:ascii="Times New Roman" w:hAnsi="Times New Roman"/>
          <w:b/>
          <w:sz w:val="24"/>
          <w:szCs w:val="24"/>
        </w:rPr>
        <w:t>общего пользования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1440"/>
        <w:gridCol w:w="1260"/>
        <w:gridCol w:w="1260"/>
        <w:gridCol w:w="1294"/>
      </w:tblGrid>
      <w:tr w:rsidR="00146BB8" w:rsidRPr="007F6F7C" w:rsidTr="006A3EF7">
        <w:tc>
          <w:tcPr>
            <w:tcW w:w="3960"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Показатели</w:t>
            </w:r>
          </w:p>
        </w:tc>
        <w:tc>
          <w:tcPr>
            <w:tcW w:w="1440"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 xml:space="preserve">Ед. </w:t>
            </w:r>
            <w:proofErr w:type="spellStart"/>
            <w:r w:rsidRPr="007F6F7C">
              <w:rPr>
                <w:rFonts w:ascii="Times New Roman" w:hAnsi="Times New Roman"/>
                <w:b/>
              </w:rPr>
              <w:t>изм</w:t>
            </w:r>
            <w:proofErr w:type="spellEnd"/>
            <w:r w:rsidRPr="007F6F7C">
              <w:rPr>
                <w:rFonts w:ascii="Times New Roman" w:hAnsi="Times New Roman"/>
                <w:b/>
              </w:rPr>
              <w:t>.</w:t>
            </w:r>
          </w:p>
        </w:tc>
        <w:tc>
          <w:tcPr>
            <w:tcW w:w="1260"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Январь-июнь</w:t>
            </w:r>
          </w:p>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2016 г.</w:t>
            </w:r>
          </w:p>
        </w:tc>
        <w:tc>
          <w:tcPr>
            <w:tcW w:w="1260" w:type="dxa"/>
            <w:vAlign w:val="center"/>
          </w:tcPr>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Январь-июнь</w:t>
            </w:r>
          </w:p>
          <w:p w:rsidR="00146BB8" w:rsidRPr="007F6F7C" w:rsidRDefault="00146BB8" w:rsidP="006A3EF7">
            <w:pPr>
              <w:spacing w:after="0" w:line="240" w:lineRule="auto"/>
              <w:jc w:val="center"/>
              <w:rPr>
                <w:rFonts w:ascii="Times New Roman" w:hAnsi="Times New Roman"/>
                <w:b/>
              </w:rPr>
            </w:pPr>
            <w:r w:rsidRPr="007F6F7C">
              <w:rPr>
                <w:rFonts w:ascii="Times New Roman" w:hAnsi="Times New Roman"/>
                <w:b/>
              </w:rPr>
              <w:t>2017 г.</w:t>
            </w:r>
          </w:p>
        </w:tc>
        <w:tc>
          <w:tcPr>
            <w:tcW w:w="1294" w:type="dxa"/>
            <w:vAlign w:val="center"/>
          </w:tcPr>
          <w:p w:rsidR="00146BB8" w:rsidRPr="007F6F7C" w:rsidRDefault="00146BB8" w:rsidP="006A3EF7">
            <w:pPr>
              <w:spacing w:after="0" w:line="240" w:lineRule="auto"/>
              <w:ind w:left="-108" w:right="-51"/>
              <w:jc w:val="center"/>
              <w:rPr>
                <w:rFonts w:ascii="Times New Roman" w:hAnsi="Times New Roman"/>
                <w:b/>
                <w:i/>
              </w:rPr>
            </w:pPr>
            <w:r w:rsidRPr="007F6F7C">
              <w:rPr>
                <w:rFonts w:ascii="Times New Roman" w:hAnsi="Times New Roman"/>
                <w:b/>
                <w:i/>
              </w:rPr>
              <w:t>2017 г. в % к</w:t>
            </w:r>
          </w:p>
          <w:p w:rsidR="00146BB8" w:rsidRPr="007F6F7C" w:rsidRDefault="00146BB8" w:rsidP="006A3EF7">
            <w:pPr>
              <w:spacing w:after="0" w:line="240" w:lineRule="auto"/>
              <w:ind w:left="-108" w:right="-51"/>
              <w:jc w:val="center"/>
              <w:rPr>
                <w:rFonts w:ascii="Times New Roman" w:hAnsi="Times New Roman"/>
                <w:b/>
                <w:i/>
              </w:rPr>
            </w:pPr>
            <w:r w:rsidRPr="007F6F7C">
              <w:rPr>
                <w:rFonts w:ascii="Times New Roman" w:hAnsi="Times New Roman"/>
                <w:b/>
                <w:i/>
              </w:rPr>
              <w:t>2016 г.</w:t>
            </w:r>
          </w:p>
        </w:tc>
      </w:tr>
      <w:tr w:rsidR="00146BB8" w:rsidRPr="007F6F7C" w:rsidTr="006A3EF7">
        <w:trPr>
          <w:trHeight w:val="163"/>
        </w:trPr>
        <w:tc>
          <w:tcPr>
            <w:tcW w:w="3960" w:type="dxa"/>
          </w:tcPr>
          <w:p w:rsidR="00146BB8" w:rsidRPr="007F6F7C" w:rsidRDefault="00146BB8" w:rsidP="006A3EF7">
            <w:pPr>
              <w:spacing w:after="0" w:line="240" w:lineRule="auto"/>
              <w:rPr>
                <w:rFonts w:ascii="Times New Roman" w:hAnsi="Times New Roman"/>
                <w:vertAlign w:val="superscript"/>
              </w:rPr>
            </w:pPr>
            <w:r w:rsidRPr="007F6F7C">
              <w:rPr>
                <w:rFonts w:ascii="Times New Roman" w:hAnsi="Times New Roman"/>
                <w:b/>
              </w:rPr>
              <w:t>Перевезено пассажиров</w:t>
            </w:r>
          </w:p>
        </w:tc>
        <w:tc>
          <w:tcPr>
            <w:tcW w:w="1440"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тыс. чел.</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10 178,1</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12 658,4</w:t>
            </w:r>
          </w:p>
        </w:tc>
        <w:tc>
          <w:tcPr>
            <w:tcW w:w="1294" w:type="dxa"/>
            <w:vAlign w:val="center"/>
          </w:tcPr>
          <w:p w:rsidR="00146BB8" w:rsidRPr="007F6F7C" w:rsidRDefault="00146BB8" w:rsidP="006A3EF7">
            <w:pPr>
              <w:spacing w:after="0" w:line="240" w:lineRule="auto"/>
              <w:ind w:right="113"/>
              <w:jc w:val="right"/>
              <w:rPr>
                <w:rFonts w:ascii="Times New Roman" w:hAnsi="Times New Roman"/>
                <w:i/>
              </w:rPr>
            </w:pPr>
            <w:r w:rsidRPr="007F6F7C">
              <w:rPr>
                <w:rFonts w:ascii="Times New Roman" w:hAnsi="Times New Roman"/>
                <w:i/>
              </w:rPr>
              <w:t>124,4</w:t>
            </w:r>
          </w:p>
        </w:tc>
      </w:tr>
      <w:tr w:rsidR="00146BB8" w:rsidRPr="007F6F7C" w:rsidTr="006A3EF7">
        <w:tc>
          <w:tcPr>
            <w:tcW w:w="3960" w:type="dxa"/>
          </w:tcPr>
          <w:p w:rsidR="00146BB8" w:rsidRPr="007F6F7C" w:rsidRDefault="00146BB8" w:rsidP="006A3EF7">
            <w:pPr>
              <w:spacing w:after="0" w:line="240" w:lineRule="auto"/>
              <w:rPr>
                <w:rFonts w:ascii="Times New Roman" w:hAnsi="Times New Roman"/>
              </w:rPr>
            </w:pPr>
            <w:r w:rsidRPr="007F6F7C">
              <w:rPr>
                <w:rFonts w:ascii="Times New Roman" w:hAnsi="Times New Roman"/>
                <w:b/>
              </w:rPr>
              <w:t>Пассажирооборот</w:t>
            </w:r>
          </w:p>
        </w:tc>
        <w:tc>
          <w:tcPr>
            <w:tcW w:w="1440" w:type="dxa"/>
            <w:vAlign w:val="center"/>
          </w:tcPr>
          <w:p w:rsidR="00146BB8" w:rsidRPr="007F6F7C" w:rsidRDefault="00146BB8" w:rsidP="006A3EF7">
            <w:pPr>
              <w:spacing w:after="0" w:line="240" w:lineRule="auto"/>
              <w:ind w:left="-108" w:right="-108"/>
              <w:jc w:val="center"/>
              <w:rPr>
                <w:rFonts w:ascii="Times New Roman" w:hAnsi="Times New Roman"/>
              </w:rPr>
            </w:pPr>
            <w:r w:rsidRPr="007F6F7C">
              <w:rPr>
                <w:rFonts w:ascii="Times New Roman" w:hAnsi="Times New Roman"/>
              </w:rPr>
              <w:t>тыс. пас - км</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92 556,6</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104 858,4</w:t>
            </w:r>
          </w:p>
        </w:tc>
        <w:tc>
          <w:tcPr>
            <w:tcW w:w="1294" w:type="dxa"/>
            <w:vAlign w:val="center"/>
          </w:tcPr>
          <w:p w:rsidR="00146BB8" w:rsidRPr="007F6F7C" w:rsidRDefault="00146BB8" w:rsidP="006A3EF7">
            <w:pPr>
              <w:spacing w:after="0" w:line="240" w:lineRule="auto"/>
              <w:ind w:right="113"/>
              <w:jc w:val="right"/>
              <w:rPr>
                <w:rFonts w:ascii="Times New Roman" w:hAnsi="Times New Roman"/>
                <w:i/>
              </w:rPr>
            </w:pPr>
            <w:r w:rsidRPr="007F6F7C">
              <w:rPr>
                <w:rFonts w:ascii="Times New Roman" w:hAnsi="Times New Roman"/>
                <w:i/>
              </w:rPr>
              <w:t>113,3</w:t>
            </w:r>
          </w:p>
        </w:tc>
      </w:tr>
      <w:tr w:rsidR="00146BB8" w:rsidRPr="007F6F7C" w:rsidTr="006A3EF7">
        <w:tc>
          <w:tcPr>
            <w:tcW w:w="3960" w:type="dxa"/>
          </w:tcPr>
          <w:p w:rsidR="00146BB8" w:rsidRPr="007F6F7C" w:rsidRDefault="00146BB8" w:rsidP="006A3EF7">
            <w:pPr>
              <w:spacing w:after="0" w:line="240" w:lineRule="auto"/>
              <w:rPr>
                <w:rFonts w:ascii="Times New Roman" w:hAnsi="Times New Roman"/>
                <w:vertAlign w:val="superscript"/>
              </w:rPr>
            </w:pPr>
            <w:r w:rsidRPr="007F6F7C">
              <w:rPr>
                <w:rFonts w:ascii="Times New Roman" w:hAnsi="Times New Roman"/>
                <w:b/>
              </w:rPr>
              <w:t>Средняя дальность поездки одного пассажира</w:t>
            </w:r>
          </w:p>
        </w:tc>
        <w:tc>
          <w:tcPr>
            <w:tcW w:w="1440"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км</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9,1</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8,3</w:t>
            </w:r>
          </w:p>
        </w:tc>
        <w:tc>
          <w:tcPr>
            <w:tcW w:w="1294" w:type="dxa"/>
            <w:vAlign w:val="center"/>
          </w:tcPr>
          <w:p w:rsidR="00146BB8" w:rsidRPr="007F6F7C" w:rsidRDefault="00146BB8" w:rsidP="006A3EF7">
            <w:pPr>
              <w:spacing w:after="0" w:line="240" w:lineRule="auto"/>
              <w:ind w:right="113"/>
              <w:jc w:val="right"/>
              <w:rPr>
                <w:rFonts w:ascii="Times New Roman" w:hAnsi="Times New Roman"/>
                <w:i/>
              </w:rPr>
            </w:pPr>
            <w:r w:rsidRPr="007F6F7C">
              <w:rPr>
                <w:rFonts w:ascii="Times New Roman" w:hAnsi="Times New Roman"/>
                <w:i/>
              </w:rPr>
              <w:t>91,2</w:t>
            </w:r>
          </w:p>
        </w:tc>
      </w:tr>
      <w:tr w:rsidR="00146BB8" w:rsidRPr="007F6F7C" w:rsidTr="006A3EF7">
        <w:tc>
          <w:tcPr>
            <w:tcW w:w="3960" w:type="dxa"/>
            <w:vAlign w:val="center"/>
          </w:tcPr>
          <w:p w:rsidR="00146BB8" w:rsidRPr="007F6F7C" w:rsidRDefault="00146BB8" w:rsidP="006A3EF7">
            <w:pPr>
              <w:spacing w:after="0" w:line="240" w:lineRule="auto"/>
              <w:rPr>
                <w:rFonts w:ascii="Times New Roman" w:hAnsi="Times New Roman"/>
                <w:b/>
              </w:rPr>
            </w:pPr>
            <w:r w:rsidRPr="007F6F7C">
              <w:rPr>
                <w:rFonts w:ascii="Times New Roman" w:hAnsi="Times New Roman"/>
                <w:b/>
              </w:rPr>
              <w:t>Наличие автобусов (включая маршрутные такси)*</w:t>
            </w:r>
          </w:p>
        </w:tc>
        <w:tc>
          <w:tcPr>
            <w:tcW w:w="1440"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ед.</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275</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280</w:t>
            </w:r>
          </w:p>
        </w:tc>
        <w:tc>
          <w:tcPr>
            <w:tcW w:w="1294" w:type="dxa"/>
            <w:vAlign w:val="center"/>
          </w:tcPr>
          <w:p w:rsidR="00146BB8" w:rsidRPr="007F6F7C" w:rsidRDefault="00146BB8" w:rsidP="006A3EF7">
            <w:pPr>
              <w:spacing w:after="0" w:line="240" w:lineRule="auto"/>
              <w:ind w:right="113"/>
              <w:jc w:val="right"/>
              <w:rPr>
                <w:rFonts w:ascii="Times New Roman" w:hAnsi="Times New Roman"/>
                <w:i/>
              </w:rPr>
            </w:pPr>
            <w:r w:rsidRPr="007F6F7C">
              <w:rPr>
                <w:rFonts w:ascii="Times New Roman" w:hAnsi="Times New Roman"/>
                <w:i/>
              </w:rPr>
              <w:t>101,8</w:t>
            </w:r>
          </w:p>
        </w:tc>
      </w:tr>
      <w:tr w:rsidR="00146BB8" w:rsidRPr="007F6F7C" w:rsidTr="006A3EF7">
        <w:tc>
          <w:tcPr>
            <w:tcW w:w="3960" w:type="dxa"/>
          </w:tcPr>
          <w:p w:rsidR="00146BB8" w:rsidRPr="007F6F7C" w:rsidRDefault="00146BB8" w:rsidP="006A3EF7">
            <w:pPr>
              <w:spacing w:after="0" w:line="240" w:lineRule="auto"/>
              <w:rPr>
                <w:rFonts w:ascii="Times New Roman" w:hAnsi="Times New Roman"/>
                <w:vertAlign w:val="superscript"/>
              </w:rPr>
            </w:pPr>
            <w:r w:rsidRPr="007F6F7C">
              <w:rPr>
                <w:rFonts w:ascii="Times New Roman" w:hAnsi="Times New Roman"/>
                <w:b/>
              </w:rPr>
              <w:t>Доходы от перевозки пассажиров автобусами и легковыми такси</w:t>
            </w:r>
          </w:p>
        </w:tc>
        <w:tc>
          <w:tcPr>
            <w:tcW w:w="1440" w:type="dxa"/>
            <w:vAlign w:val="center"/>
          </w:tcPr>
          <w:p w:rsidR="00146BB8" w:rsidRPr="007F6F7C" w:rsidRDefault="00146BB8" w:rsidP="006A3EF7">
            <w:pPr>
              <w:spacing w:after="0" w:line="240" w:lineRule="auto"/>
              <w:ind w:right="113"/>
              <w:jc w:val="center"/>
              <w:rPr>
                <w:rFonts w:ascii="Times New Roman" w:hAnsi="Times New Roman"/>
              </w:rPr>
            </w:pPr>
            <w:r w:rsidRPr="007F6F7C">
              <w:rPr>
                <w:rFonts w:ascii="Times New Roman" w:hAnsi="Times New Roman"/>
              </w:rPr>
              <w:t>тыс. руб.</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52 648,4</w:t>
            </w:r>
          </w:p>
        </w:tc>
        <w:tc>
          <w:tcPr>
            <w:tcW w:w="1260" w:type="dxa"/>
            <w:vAlign w:val="center"/>
          </w:tcPr>
          <w:p w:rsidR="00146BB8" w:rsidRPr="007F6F7C" w:rsidRDefault="00146BB8" w:rsidP="006A3EF7">
            <w:pPr>
              <w:spacing w:after="0" w:line="240" w:lineRule="auto"/>
              <w:ind w:right="113"/>
              <w:jc w:val="right"/>
              <w:rPr>
                <w:rFonts w:ascii="Times New Roman" w:hAnsi="Times New Roman"/>
              </w:rPr>
            </w:pPr>
            <w:r w:rsidRPr="007F6F7C">
              <w:rPr>
                <w:rFonts w:ascii="Times New Roman" w:hAnsi="Times New Roman"/>
              </w:rPr>
              <w:t>63 499,8</w:t>
            </w:r>
          </w:p>
        </w:tc>
        <w:tc>
          <w:tcPr>
            <w:tcW w:w="1294" w:type="dxa"/>
            <w:vAlign w:val="center"/>
          </w:tcPr>
          <w:p w:rsidR="00146BB8" w:rsidRPr="007F6F7C" w:rsidRDefault="00146BB8" w:rsidP="006A3EF7">
            <w:pPr>
              <w:spacing w:after="0" w:line="240" w:lineRule="auto"/>
              <w:ind w:right="113"/>
              <w:jc w:val="right"/>
              <w:rPr>
                <w:rFonts w:ascii="Times New Roman" w:hAnsi="Times New Roman"/>
                <w:i/>
              </w:rPr>
            </w:pPr>
            <w:r w:rsidRPr="007F6F7C">
              <w:rPr>
                <w:rFonts w:ascii="Times New Roman" w:hAnsi="Times New Roman"/>
                <w:i/>
              </w:rPr>
              <w:t>120,6</w:t>
            </w:r>
          </w:p>
        </w:tc>
      </w:tr>
    </w:tbl>
    <w:p w:rsidR="00146BB8" w:rsidRPr="007F6F7C" w:rsidRDefault="00146BB8" w:rsidP="00146BB8">
      <w:pPr>
        <w:pStyle w:val="a6"/>
        <w:spacing w:after="0" w:line="240" w:lineRule="auto"/>
        <w:ind w:left="709"/>
        <w:jc w:val="both"/>
        <w:rPr>
          <w:rFonts w:ascii="Times New Roman" w:hAnsi="Times New Roman"/>
          <w:sz w:val="20"/>
          <w:szCs w:val="20"/>
        </w:rPr>
      </w:pPr>
      <w:r w:rsidRPr="007F6F7C">
        <w:rPr>
          <w:rFonts w:ascii="Times New Roman" w:hAnsi="Times New Roman"/>
          <w:sz w:val="20"/>
          <w:szCs w:val="20"/>
        </w:rPr>
        <w:t>* - без учета субъектов малого предпринимательства</w:t>
      </w:r>
    </w:p>
    <w:p w:rsidR="00146BB8" w:rsidRPr="007F6F7C" w:rsidRDefault="00146BB8" w:rsidP="00146BB8">
      <w:pPr>
        <w:spacing w:after="0" w:line="240" w:lineRule="auto"/>
        <w:ind w:firstLine="709"/>
        <w:jc w:val="both"/>
        <w:rPr>
          <w:rFonts w:ascii="Times New Roman" w:hAnsi="Times New Roman"/>
          <w:sz w:val="20"/>
          <w:szCs w:val="20"/>
        </w:rPr>
      </w:pP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 xml:space="preserve">В </w:t>
      </w:r>
      <w:r w:rsidRPr="007F6F7C">
        <w:rPr>
          <w:rFonts w:ascii="Times New Roman" w:hAnsi="Times New Roman"/>
          <w:sz w:val="24"/>
          <w:szCs w:val="24"/>
          <w:lang w:val="en-US"/>
        </w:rPr>
        <w:t>I</w:t>
      </w:r>
      <w:r w:rsidRPr="007F6F7C">
        <w:rPr>
          <w:rFonts w:ascii="Times New Roman" w:hAnsi="Times New Roman"/>
          <w:sz w:val="24"/>
          <w:szCs w:val="24"/>
        </w:rPr>
        <w:t xml:space="preserve"> полугодии 2017 года </w:t>
      </w:r>
      <w:r w:rsidRPr="007F6F7C">
        <w:rPr>
          <w:rFonts w:ascii="Times New Roman" w:hAnsi="Times New Roman"/>
          <w:b/>
          <w:i/>
          <w:sz w:val="24"/>
          <w:szCs w:val="24"/>
        </w:rPr>
        <w:t xml:space="preserve">электрическим транспортом, </w:t>
      </w:r>
      <w:r w:rsidRPr="007F6F7C">
        <w:rPr>
          <w:rFonts w:ascii="Times New Roman" w:hAnsi="Times New Roman"/>
          <w:sz w:val="24"/>
          <w:szCs w:val="24"/>
        </w:rPr>
        <w:t>действующим в двух городах республики (Тирасполь, Бендеры), перевезено 8,2</w:t>
      </w:r>
      <w:r>
        <w:rPr>
          <w:rFonts w:ascii="Times New Roman" w:hAnsi="Times New Roman"/>
          <w:sz w:val="24"/>
          <w:szCs w:val="24"/>
        </w:rPr>
        <w:t xml:space="preserve"> </w:t>
      </w:r>
      <w:proofErr w:type="spellStart"/>
      <w:r>
        <w:rPr>
          <w:rFonts w:ascii="Times New Roman" w:hAnsi="Times New Roman"/>
          <w:sz w:val="24"/>
          <w:szCs w:val="24"/>
        </w:rPr>
        <w:t>млн</w:t>
      </w:r>
      <w:proofErr w:type="spellEnd"/>
      <w:r w:rsidRPr="007F6F7C">
        <w:rPr>
          <w:rFonts w:ascii="Times New Roman" w:hAnsi="Times New Roman"/>
          <w:sz w:val="24"/>
          <w:szCs w:val="24"/>
        </w:rPr>
        <w:t xml:space="preserve"> пассажиров, что на 7,1% больше уровня января-июня 2016 года.</w:t>
      </w:r>
    </w:p>
    <w:p w:rsidR="00146BB8" w:rsidRPr="007F6F7C" w:rsidRDefault="00146BB8" w:rsidP="00146BB8">
      <w:pPr>
        <w:spacing w:after="0" w:line="240" w:lineRule="auto"/>
        <w:ind w:firstLine="709"/>
        <w:jc w:val="both"/>
        <w:rPr>
          <w:rFonts w:ascii="Times New Roman" w:hAnsi="Times New Roman"/>
          <w:spacing w:val="2"/>
          <w:sz w:val="24"/>
          <w:szCs w:val="24"/>
        </w:rPr>
      </w:pPr>
      <w:r w:rsidRPr="007F6F7C">
        <w:rPr>
          <w:rFonts w:ascii="Times New Roman" w:hAnsi="Times New Roman"/>
          <w:spacing w:val="2"/>
          <w:sz w:val="24"/>
          <w:szCs w:val="24"/>
        </w:rPr>
        <w:t xml:space="preserve">На фоне роста пассажиропотока отмечается увеличение пассажирооборота электрического транспорта по отношению к уровню января-июня 2016 года на 6,9% до </w:t>
      </w:r>
      <w:r w:rsidR="00067B57">
        <w:rPr>
          <w:rFonts w:ascii="Times New Roman" w:hAnsi="Times New Roman"/>
          <w:spacing w:val="2"/>
          <w:sz w:val="24"/>
          <w:szCs w:val="24"/>
        </w:rPr>
        <w:t xml:space="preserve">     </w:t>
      </w:r>
      <w:r w:rsidRPr="007F6F7C">
        <w:rPr>
          <w:rFonts w:ascii="Times New Roman" w:hAnsi="Times New Roman"/>
          <w:spacing w:val="2"/>
          <w:sz w:val="24"/>
          <w:szCs w:val="24"/>
        </w:rPr>
        <w:t>83,8</w:t>
      </w:r>
      <w:r>
        <w:rPr>
          <w:rFonts w:ascii="Times New Roman" w:hAnsi="Times New Roman"/>
          <w:spacing w:val="2"/>
          <w:sz w:val="24"/>
          <w:szCs w:val="24"/>
        </w:rPr>
        <w:t xml:space="preserve"> </w:t>
      </w:r>
      <w:proofErr w:type="spellStart"/>
      <w:proofErr w:type="gramStart"/>
      <w:r>
        <w:rPr>
          <w:rFonts w:ascii="Times New Roman" w:hAnsi="Times New Roman"/>
          <w:spacing w:val="2"/>
          <w:sz w:val="24"/>
          <w:szCs w:val="24"/>
        </w:rPr>
        <w:t>млн</w:t>
      </w:r>
      <w:proofErr w:type="spellEnd"/>
      <w:proofErr w:type="gramEnd"/>
      <w:r w:rsidR="00067B57">
        <w:rPr>
          <w:rFonts w:ascii="Times New Roman" w:hAnsi="Times New Roman"/>
          <w:spacing w:val="2"/>
          <w:sz w:val="24"/>
          <w:szCs w:val="24"/>
        </w:rPr>
        <w:t xml:space="preserve"> </w:t>
      </w:r>
      <w:proofErr w:type="spellStart"/>
      <w:r w:rsidRPr="007F6F7C">
        <w:rPr>
          <w:rFonts w:ascii="Times New Roman" w:hAnsi="Times New Roman"/>
          <w:spacing w:val="2"/>
          <w:sz w:val="24"/>
          <w:szCs w:val="24"/>
        </w:rPr>
        <w:t>пассажиро</w:t>
      </w:r>
      <w:proofErr w:type="spellEnd"/>
      <w:r w:rsidRPr="007F6F7C">
        <w:rPr>
          <w:rFonts w:ascii="Times New Roman" w:hAnsi="Times New Roman"/>
          <w:spacing w:val="2"/>
          <w:sz w:val="24"/>
          <w:szCs w:val="24"/>
        </w:rPr>
        <w:t xml:space="preserve">–километров. При этом доходы троллейбусных парков </w:t>
      </w:r>
      <w:r w:rsidRPr="007F6F7C">
        <w:rPr>
          <w:rFonts w:ascii="Times New Roman" w:hAnsi="Times New Roman"/>
          <w:sz w:val="24"/>
          <w:szCs w:val="24"/>
        </w:rPr>
        <w:t xml:space="preserve">от перевозки пассажиров и багажа </w:t>
      </w:r>
      <w:r w:rsidRPr="007F6F7C">
        <w:rPr>
          <w:rFonts w:ascii="Times New Roman" w:hAnsi="Times New Roman"/>
          <w:spacing w:val="2"/>
          <w:sz w:val="24"/>
          <w:szCs w:val="24"/>
        </w:rPr>
        <w:t>(включая трансферты на покрытие потерь от предоставления льгот), на фоне расширения предоставляемых льгот</w:t>
      </w:r>
      <w:r>
        <w:rPr>
          <w:rFonts w:ascii="Times New Roman" w:hAnsi="Times New Roman"/>
          <w:spacing w:val="2"/>
          <w:sz w:val="24"/>
          <w:szCs w:val="24"/>
        </w:rPr>
        <w:t xml:space="preserve">, </w:t>
      </w:r>
      <w:r w:rsidRPr="007F6F7C">
        <w:rPr>
          <w:rFonts w:ascii="Times New Roman" w:hAnsi="Times New Roman"/>
          <w:spacing w:val="2"/>
          <w:sz w:val="24"/>
          <w:szCs w:val="24"/>
        </w:rPr>
        <w:t>сократились на 9,4%</w:t>
      </w:r>
      <w:r>
        <w:rPr>
          <w:rFonts w:ascii="Times New Roman" w:hAnsi="Times New Roman"/>
          <w:spacing w:val="2"/>
          <w:sz w:val="24"/>
          <w:szCs w:val="24"/>
        </w:rPr>
        <w:t xml:space="preserve"> до </w:t>
      </w:r>
      <w:r w:rsidRPr="007F6F7C">
        <w:rPr>
          <w:rFonts w:ascii="Times New Roman" w:hAnsi="Times New Roman"/>
          <w:spacing w:val="2"/>
          <w:sz w:val="24"/>
          <w:szCs w:val="24"/>
        </w:rPr>
        <w:t xml:space="preserve">15,8 </w:t>
      </w:r>
      <w:proofErr w:type="spellStart"/>
      <w:r w:rsidRPr="007F6F7C">
        <w:rPr>
          <w:rFonts w:ascii="Times New Roman" w:hAnsi="Times New Roman"/>
          <w:spacing w:val="2"/>
          <w:sz w:val="24"/>
          <w:szCs w:val="24"/>
        </w:rPr>
        <w:t>млн</w:t>
      </w:r>
      <w:proofErr w:type="spellEnd"/>
      <w:r w:rsidRPr="007F6F7C">
        <w:rPr>
          <w:rFonts w:ascii="Times New Roman" w:hAnsi="Times New Roman"/>
          <w:spacing w:val="2"/>
          <w:sz w:val="24"/>
          <w:szCs w:val="24"/>
        </w:rPr>
        <w:t xml:space="preserve"> руб</w:t>
      </w:r>
      <w:r>
        <w:rPr>
          <w:rFonts w:ascii="Times New Roman" w:hAnsi="Times New Roman"/>
          <w:spacing w:val="2"/>
          <w:sz w:val="24"/>
          <w:szCs w:val="24"/>
        </w:rPr>
        <w:t>.</w:t>
      </w:r>
      <w:r w:rsidRPr="007F6F7C">
        <w:rPr>
          <w:rFonts w:ascii="Times New Roman" w:hAnsi="Times New Roman"/>
          <w:spacing w:val="2"/>
          <w:sz w:val="24"/>
          <w:szCs w:val="24"/>
        </w:rPr>
        <w:t xml:space="preserve"> в стоимостном выражении.</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b/>
          <w:i/>
          <w:sz w:val="24"/>
          <w:szCs w:val="24"/>
        </w:rPr>
        <w:t>Железнодорожный транспорт</w:t>
      </w:r>
      <w:r w:rsidRPr="007F6F7C">
        <w:rPr>
          <w:rFonts w:ascii="Times New Roman" w:hAnsi="Times New Roman"/>
          <w:sz w:val="24"/>
          <w:szCs w:val="24"/>
        </w:rPr>
        <w:t xml:space="preserve"> республики представлен ГУКП «Приднестровская железная дорога».</w:t>
      </w:r>
    </w:p>
    <w:p w:rsidR="00146BB8" w:rsidRPr="007F6F7C" w:rsidRDefault="00146BB8" w:rsidP="00146BB8">
      <w:pPr>
        <w:tabs>
          <w:tab w:val="left" w:pos="1080"/>
          <w:tab w:val="left" w:pos="1260"/>
        </w:tabs>
        <w:spacing w:after="0" w:line="240" w:lineRule="auto"/>
        <w:ind w:firstLine="709"/>
        <w:jc w:val="both"/>
        <w:rPr>
          <w:rFonts w:ascii="Times New Roman" w:hAnsi="Times New Roman"/>
          <w:spacing w:val="1"/>
          <w:sz w:val="24"/>
          <w:szCs w:val="24"/>
        </w:rPr>
      </w:pPr>
      <w:r w:rsidRPr="007F6F7C">
        <w:rPr>
          <w:rFonts w:ascii="Times New Roman" w:hAnsi="Times New Roman"/>
          <w:spacing w:val="1"/>
          <w:sz w:val="24"/>
          <w:szCs w:val="24"/>
        </w:rPr>
        <w:t>На фоне увеличения объемов перевозок грузов в прямом и местном сообщении на 6,6% и транзита на 12,4% общий объем грузовых перевозок на ГУКП «Приднестровская железная дорога» в январе-июне 2017 года вырос на 11,0% и составил 1 265,8 тыс. тонн.</w:t>
      </w:r>
    </w:p>
    <w:p w:rsidR="00146BB8" w:rsidRPr="007F6F7C" w:rsidRDefault="00146BB8" w:rsidP="00146BB8">
      <w:pPr>
        <w:tabs>
          <w:tab w:val="left" w:pos="1080"/>
          <w:tab w:val="left" w:pos="1260"/>
        </w:tabs>
        <w:spacing w:after="0" w:line="240" w:lineRule="auto"/>
        <w:ind w:firstLine="709"/>
        <w:jc w:val="both"/>
        <w:rPr>
          <w:rFonts w:ascii="Times New Roman" w:hAnsi="Times New Roman"/>
          <w:spacing w:val="1"/>
          <w:sz w:val="24"/>
          <w:szCs w:val="24"/>
        </w:rPr>
      </w:pPr>
      <w:r w:rsidRPr="007F6F7C">
        <w:rPr>
          <w:rFonts w:ascii="Times New Roman" w:hAnsi="Times New Roman"/>
          <w:spacing w:val="1"/>
          <w:sz w:val="24"/>
          <w:szCs w:val="24"/>
        </w:rPr>
        <w:t>Сложившаяся в экономике ситуация, в совокупности с рядом внешних факторов оказывают непосредственное влияние как на формируемую транспортную логистику, так и на основополагающие параметры рынка труда. Так</w:t>
      </w:r>
      <w:r>
        <w:rPr>
          <w:rFonts w:ascii="Times New Roman" w:hAnsi="Times New Roman"/>
          <w:spacing w:val="1"/>
          <w:sz w:val="24"/>
          <w:szCs w:val="24"/>
        </w:rPr>
        <w:t>,</w:t>
      </w:r>
      <w:r w:rsidRPr="007F6F7C">
        <w:rPr>
          <w:rFonts w:ascii="Times New Roman" w:hAnsi="Times New Roman"/>
          <w:spacing w:val="1"/>
          <w:sz w:val="24"/>
          <w:szCs w:val="24"/>
        </w:rPr>
        <w:t xml:space="preserve"> количество обслуженных в </w:t>
      </w:r>
      <w:r w:rsidRPr="007F6F7C">
        <w:rPr>
          <w:rFonts w:ascii="Times New Roman" w:hAnsi="Times New Roman"/>
          <w:spacing w:val="1"/>
          <w:sz w:val="24"/>
          <w:szCs w:val="24"/>
          <w:lang w:val="en-US"/>
        </w:rPr>
        <w:t>I</w:t>
      </w:r>
      <w:r w:rsidRPr="007F6F7C">
        <w:rPr>
          <w:rFonts w:ascii="Times New Roman" w:hAnsi="Times New Roman"/>
          <w:spacing w:val="1"/>
          <w:sz w:val="24"/>
          <w:szCs w:val="24"/>
        </w:rPr>
        <w:t xml:space="preserve"> полугодии 2017 года пассажиров снизилось на 8,8% и составило 8,3 тыс. человек. Однако следует отметить, что рост стоимости билетов на железнодорожный транспорт компенсировал снижение пассажиропотока, обеспечив прирост доходов от оказания услуг пассажирам в рассматриваемом периоде на 5,0% </w:t>
      </w:r>
      <w:r>
        <w:rPr>
          <w:rFonts w:ascii="Times New Roman" w:hAnsi="Times New Roman"/>
          <w:spacing w:val="1"/>
          <w:sz w:val="24"/>
          <w:szCs w:val="24"/>
        </w:rPr>
        <w:t>до</w:t>
      </w:r>
      <w:r w:rsidRPr="007F6F7C">
        <w:rPr>
          <w:rFonts w:ascii="Times New Roman" w:hAnsi="Times New Roman"/>
          <w:spacing w:val="1"/>
          <w:sz w:val="24"/>
          <w:szCs w:val="24"/>
        </w:rPr>
        <w:t xml:space="preserve"> 349,9 тыс. руб</w:t>
      </w:r>
      <w:r>
        <w:rPr>
          <w:rFonts w:ascii="Times New Roman" w:hAnsi="Times New Roman"/>
          <w:spacing w:val="1"/>
          <w:sz w:val="24"/>
          <w:szCs w:val="24"/>
        </w:rPr>
        <w:t>.</w:t>
      </w:r>
      <w:r w:rsidRPr="007F6F7C">
        <w:rPr>
          <w:rFonts w:ascii="Times New Roman" w:hAnsi="Times New Roman"/>
          <w:spacing w:val="1"/>
          <w:sz w:val="24"/>
          <w:szCs w:val="24"/>
        </w:rPr>
        <w:t xml:space="preserve"> в стоимостном выражении. Общий объем реализованных предприятием услуг в январе-июне 2017 года в денежном выражении составил 27 420,6 тыс. руб., что на 19,7% выше </w:t>
      </w:r>
      <w:r>
        <w:rPr>
          <w:rFonts w:ascii="Times New Roman" w:hAnsi="Times New Roman"/>
          <w:spacing w:val="1"/>
          <w:sz w:val="24"/>
          <w:szCs w:val="24"/>
        </w:rPr>
        <w:t xml:space="preserve">базисного </w:t>
      </w:r>
      <w:r w:rsidRPr="007F6F7C">
        <w:rPr>
          <w:rFonts w:ascii="Times New Roman" w:hAnsi="Times New Roman"/>
          <w:spacing w:val="1"/>
          <w:sz w:val="24"/>
          <w:szCs w:val="24"/>
        </w:rPr>
        <w:t>уровня.</w:t>
      </w:r>
    </w:p>
    <w:p w:rsidR="00146BB8" w:rsidRPr="007F6F7C" w:rsidRDefault="00146BB8" w:rsidP="00146BB8">
      <w:pPr>
        <w:spacing w:after="0" w:line="240" w:lineRule="auto"/>
        <w:ind w:firstLine="709"/>
        <w:jc w:val="both"/>
        <w:rPr>
          <w:rFonts w:ascii="Times New Roman" w:hAnsi="Times New Roman"/>
          <w:spacing w:val="1"/>
          <w:sz w:val="24"/>
          <w:szCs w:val="24"/>
        </w:rPr>
      </w:pPr>
      <w:r w:rsidRPr="007F6F7C">
        <w:rPr>
          <w:rFonts w:ascii="Times New Roman" w:hAnsi="Times New Roman"/>
          <w:sz w:val="24"/>
          <w:szCs w:val="24"/>
        </w:rPr>
        <w:t xml:space="preserve">По итогам I полугодия 2017 года </w:t>
      </w:r>
      <w:r w:rsidRPr="007F6F7C">
        <w:rPr>
          <w:rFonts w:ascii="Times New Roman" w:hAnsi="Times New Roman"/>
          <w:spacing w:val="1"/>
          <w:sz w:val="24"/>
          <w:szCs w:val="24"/>
        </w:rPr>
        <w:t xml:space="preserve">после уплаты налогов ГУКП «Приднестровская железная дорога» получен отрицательный финансовый результат. При этом, следует отметить сокращение величины чистого убытка относительно аналогичного </w:t>
      </w:r>
      <w:r>
        <w:rPr>
          <w:rFonts w:ascii="Times New Roman" w:hAnsi="Times New Roman"/>
          <w:spacing w:val="1"/>
          <w:sz w:val="24"/>
          <w:szCs w:val="24"/>
        </w:rPr>
        <w:t>показателя</w:t>
      </w:r>
      <w:r w:rsidR="00067B57">
        <w:rPr>
          <w:rFonts w:ascii="Times New Roman" w:hAnsi="Times New Roman"/>
          <w:spacing w:val="1"/>
          <w:sz w:val="24"/>
          <w:szCs w:val="24"/>
        </w:rPr>
        <w:t xml:space="preserve">  </w:t>
      </w:r>
      <w:r w:rsidRPr="007F6F7C">
        <w:rPr>
          <w:rFonts w:ascii="Times New Roman" w:hAnsi="Times New Roman"/>
          <w:spacing w:val="1"/>
          <w:sz w:val="24"/>
          <w:szCs w:val="24"/>
        </w:rPr>
        <w:t>2016 года на 77,5%, что стало результатом сокращения величины затрат на 1 рубль реализованной продукции, а также роста производительности труда.</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b/>
          <w:bCs/>
          <w:i/>
          <w:sz w:val="24"/>
          <w:szCs w:val="24"/>
        </w:rPr>
        <w:t>Внутренний водный (речной) транспорт</w:t>
      </w:r>
      <w:r w:rsidRPr="007F6F7C">
        <w:rPr>
          <w:rFonts w:ascii="Times New Roman" w:hAnsi="Times New Roman"/>
          <w:sz w:val="24"/>
          <w:szCs w:val="24"/>
        </w:rPr>
        <w:t xml:space="preserve"> республики представлен </w:t>
      </w:r>
      <w:proofErr w:type="spellStart"/>
      <w:r w:rsidRPr="007F6F7C">
        <w:rPr>
          <w:rFonts w:ascii="Times New Roman" w:hAnsi="Times New Roman"/>
          <w:sz w:val="24"/>
          <w:szCs w:val="24"/>
        </w:rPr>
        <w:t>Рыбницким</w:t>
      </w:r>
      <w:proofErr w:type="spellEnd"/>
      <w:r w:rsidRPr="007F6F7C">
        <w:rPr>
          <w:rFonts w:ascii="Times New Roman" w:hAnsi="Times New Roman"/>
          <w:sz w:val="24"/>
          <w:szCs w:val="24"/>
        </w:rPr>
        <w:t xml:space="preserve"> и Бендерским речными портами.</w:t>
      </w:r>
      <w:r w:rsidR="00067B57">
        <w:rPr>
          <w:rFonts w:ascii="Times New Roman" w:hAnsi="Times New Roman"/>
          <w:sz w:val="24"/>
          <w:szCs w:val="24"/>
        </w:rPr>
        <w:t xml:space="preserve"> </w:t>
      </w:r>
      <w:r w:rsidRPr="007F6F7C">
        <w:rPr>
          <w:rFonts w:ascii="Times New Roman" w:hAnsi="Times New Roman"/>
          <w:sz w:val="24"/>
          <w:szCs w:val="24"/>
        </w:rPr>
        <w:t xml:space="preserve">Несмотря на рост объема реализации песчано-гравийной смеси на 78,6%, доходы от услуг плавучего крана отсутствуют ввиду транспонирования </w:t>
      </w:r>
      <w:r w:rsidRPr="007F6F7C">
        <w:rPr>
          <w:rFonts w:ascii="Times New Roman" w:hAnsi="Times New Roman"/>
          <w:sz w:val="24"/>
          <w:szCs w:val="24"/>
        </w:rPr>
        <w:lastRenderedPageBreak/>
        <w:t xml:space="preserve">государственного заказа по очистке Набережной р. Днестр в </w:t>
      </w:r>
      <w:proofErr w:type="gramStart"/>
      <w:r w:rsidRPr="007F6F7C">
        <w:rPr>
          <w:rFonts w:ascii="Times New Roman" w:hAnsi="Times New Roman"/>
          <w:sz w:val="24"/>
          <w:szCs w:val="24"/>
        </w:rPr>
        <w:t>г</w:t>
      </w:r>
      <w:proofErr w:type="gramEnd"/>
      <w:r w:rsidRPr="007F6F7C">
        <w:rPr>
          <w:rFonts w:ascii="Times New Roman" w:hAnsi="Times New Roman"/>
          <w:sz w:val="24"/>
          <w:szCs w:val="24"/>
        </w:rPr>
        <w:t xml:space="preserve">. Рыбница на следующий год, что связано со сложной экономической ситуацией. Данные обстоятельства обусловили формирование на «ОАО </w:t>
      </w:r>
      <w:proofErr w:type="spellStart"/>
      <w:r w:rsidRPr="007F6F7C">
        <w:rPr>
          <w:rFonts w:ascii="Times New Roman" w:hAnsi="Times New Roman"/>
          <w:sz w:val="24"/>
          <w:szCs w:val="24"/>
        </w:rPr>
        <w:t>Рыбницкий</w:t>
      </w:r>
      <w:proofErr w:type="spellEnd"/>
      <w:r w:rsidRPr="007F6F7C">
        <w:rPr>
          <w:rFonts w:ascii="Times New Roman" w:hAnsi="Times New Roman"/>
          <w:sz w:val="24"/>
          <w:szCs w:val="24"/>
        </w:rPr>
        <w:t xml:space="preserve"> речной порт» по итогам I полугодия 2017 года отрицательного финансового рез</w:t>
      </w:r>
      <w:r w:rsidR="00067B57">
        <w:rPr>
          <w:rFonts w:ascii="Times New Roman" w:hAnsi="Times New Roman"/>
          <w:sz w:val="24"/>
          <w:szCs w:val="24"/>
        </w:rPr>
        <w:t>ультата после уплаты налогов (-</w:t>
      </w:r>
      <w:r w:rsidRPr="007F6F7C">
        <w:rPr>
          <w:rFonts w:ascii="Times New Roman" w:hAnsi="Times New Roman"/>
          <w:sz w:val="24"/>
          <w:szCs w:val="24"/>
        </w:rPr>
        <w:t>91,2 тыс. руб.).</w:t>
      </w:r>
    </w:p>
    <w:p w:rsidR="00146BB8" w:rsidRPr="007F6F7C" w:rsidRDefault="00146BB8" w:rsidP="00146BB8">
      <w:pPr>
        <w:spacing w:after="0" w:line="240" w:lineRule="auto"/>
        <w:ind w:firstLine="709"/>
        <w:jc w:val="both"/>
        <w:rPr>
          <w:rFonts w:ascii="Times New Roman" w:hAnsi="Times New Roman"/>
          <w:spacing w:val="1"/>
          <w:sz w:val="24"/>
          <w:szCs w:val="24"/>
        </w:rPr>
      </w:pPr>
      <w:r w:rsidRPr="007F6F7C">
        <w:rPr>
          <w:rFonts w:ascii="Times New Roman" w:hAnsi="Times New Roman"/>
          <w:sz w:val="24"/>
          <w:szCs w:val="24"/>
        </w:rPr>
        <w:t xml:space="preserve">На ОАО «Бендерский речной порт» отмечена отрицательная динамика доходов от реализации песчано-гравийной смеси </w:t>
      </w:r>
      <w:r>
        <w:rPr>
          <w:rFonts w:ascii="Times New Roman" w:hAnsi="Times New Roman"/>
          <w:sz w:val="24"/>
          <w:szCs w:val="24"/>
        </w:rPr>
        <w:t>(-</w:t>
      </w:r>
      <w:r w:rsidRPr="007F6F7C">
        <w:rPr>
          <w:rFonts w:ascii="Times New Roman" w:hAnsi="Times New Roman"/>
          <w:sz w:val="24"/>
          <w:szCs w:val="24"/>
        </w:rPr>
        <w:t>37,3%), сформировавшая в структуре выручки предприятия в январе-июне 2017 года 97,2% (против 76,3%</w:t>
      </w:r>
      <w:r>
        <w:rPr>
          <w:rFonts w:ascii="Times New Roman" w:hAnsi="Times New Roman"/>
          <w:sz w:val="24"/>
          <w:szCs w:val="24"/>
        </w:rPr>
        <w:t xml:space="preserve">). Снижение объема доходов </w:t>
      </w:r>
      <w:r w:rsidRPr="007F6F7C">
        <w:rPr>
          <w:rFonts w:ascii="Times New Roman" w:hAnsi="Times New Roman"/>
          <w:sz w:val="24"/>
          <w:szCs w:val="24"/>
        </w:rPr>
        <w:t>по основным видам деятельности предприятия обусловило отрицательное значение финансового результата до налогообложения в размере 360,7 тыс. руб.</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Наиболее значимыми негативными факторами, оказывающими влияние на результаты работы предприятий речного транспорта, являются:</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 пробелы в нормативно-правовой базе, регламентирующей деятельность в области внутреннего водного транспорта;</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 xml:space="preserve">- </w:t>
      </w:r>
      <w:proofErr w:type="spellStart"/>
      <w:r w:rsidRPr="007F6F7C">
        <w:rPr>
          <w:rFonts w:ascii="Times New Roman" w:hAnsi="Times New Roman"/>
          <w:sz w:val="24"/>
          <w:szCs w:val="24"/>
        </w:rPr>
        <w:t>неурегулированность</w:t>
      </w:r>
      <w:proofErr w:type="spellEnd"/>
      <w:r w:rsidRPr="007F6F7C">
        <w:rPr>
          <w:rFonts w:ascii="Times New Roman" w:hAnsi="Times New Roman"/>
          <w:sz w:val="24"/>
          <w:szCs w:val="24"/>
        </w:rPr>
        <w:t xml:space="preserve"> межгосударственных отношений в сфере грузовых перевозок водным транспортом, а также таможенного оформления грузов, что непосредственно отражается на финансовом состоянии хозяйствующих субъектов;</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 снижение пассажиропотока и падение спроса на прогулочные катания по реке;</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 навигационная обстановка водных путей находится в критической ситуации, а именно, в настоящее время протяженность эксплуатируемых водных путей на р. Днестр сократилась до 170 км.</w:t>
      </w:r>
    </w:p>
    <w:p w:rsidR="00146BB8" w:rsidRPr="007F6F7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pacing w:val="6"/>
          <w:sz w:val="24"/>
          <w:szCs w:val="24"/>
        </w:rPr>
        <w:t xml:space="preserve">Принимая во внимание сложившуюся в транспортной сфере республики ситуацию, </w:t>
      </w:r>
      <w:r w:rsidRPr="007F6F7C">
        <w:rPr>
          <w:rFonts w:ascii="Times New Roman" w:hAnsi="Times New Roman"/>
          <w:b/>
          <w:i/>
          <w:spacing w:val="6"/>
          <w:sz w:val="24"/>
          <w:szCs w:val="24"/>
        </w:rPr>
        <w:t>государственная политика в области координации и развития транспорта</w:t>
      </w:r>
      <w:r w:rsidR="00067B57">
        <w:rPr>
          <w:rFonts w:ascii="Times New Roman" w:hAnsi="Times New Roman"/>
          <w:b/>
          <w:i/>
          <w:spacing w:val="6"/>
          <w:sz w:val="24"/>
          <w:szCs w:val="24"/>
        </w:rPr>
        <w:t xml:space="preserve"> </w:t>
      </w:r>
      <w:r w:rsidRPr="007F6F7C">
        <w:rPr>
          <w:rFonts w:ascii="Times New Roman" w:hAnsi="Times New Roman"/>
          <w:sz w:val="24"/>
          <w:szCs w:val="24"/>
        </w:rPr>
        <w:t>была</w:t>
      </w:r>
      <w:r w:rsidRPr="007F6F7C">
        <w:rPr>
          <w:rFonts w:ascii="Times New Roman" w:hAnsi="Times New Roman"/>
          <w:spacing w:val="6"/>
          <w:sz w:val="24"/>
          <w:szCs w:val="24"/>
        </w:rPr>
        <w:t xml:space="preserve"> направлена на </w:t>
      </w:r>
      <w:r w:rsidRPr="007F6F7C">
        <w:rPr>
          <w:rFonts w:ascii="Times New Roman" w:hAnsi="Times New Roman"/>
          <w:sz w:val="24"/>
          <w:szCs w:val="24"/>
        </w:rPr>
        <w:t>улучшение качества обслуживания пассажиров, поддержание парка машин и оборудования в надлежащем состоянии, а также на рациональное использование средств республиканского бюджета при финансировании льготных категорий граждан</w:t>
      </w:r>
      <w:r w:rsidRPr="007F6F7C">
        <w:rPr>
          <w:rFonts w:ascii="Times New Roman" w:hAnsi="Times New Roman"/>
          <w:spacing w:val="6"/>
          <w:sz w:val="24"/>
          <w:szCs w:val="24"/>
        </w:rPr>
        <w:t>.</w:t>
      </w:r>
      <w:r w:rsidRPr="007F6F7C">
        <w:rPr>
          <w:rFonts w:ascii="Times New Roman" w:hAnsi="Times New Roman"/>
          <w:sz w:val="24"/>
          <w:szCs w:val="24"/>
        </w:rPr>
        <w:t xml:space="preserve"> В целях проведения контроля корректности предоставления транспортными организациями сумм потерь от перевозки льготных категорий граждан, представляемых к возмещению из Республиканского бюджета, Министерством промышленности и регионального развития проводится аналитический учет информации об объемах оказанных услуг организациями-перевозчиками.</w:t>
      </w:r>
    </w:p>
    <w:p w:rsidR="00146BB8" w:rsidRPr="00DB04CC" w:rsidRDefault="00146BB8" w:rsidP="00146BB8">
      <w:pPr>
        <w:spacing w:after="0" w:line="240" w:lineRule="auto"/>
        <w:ind w:firstLine="709"/>
        <w:jc w:val="both"/>
        <w:rPr>
          <w:rFonts w:ascii="Times New Roman" w:hAnsi="Times New Roman"/>
          <w:sz w:val="24"/>
          <w:szCs w:val="24"/>
        </w:rPr>
      </w:pPr>
      <w:r w:rsidRPr="007F6F7C">
        <w:rPr>
          <w:rFonts w:ascii="Times New Roman" w:hAnsi="Times New Roman"/>
          <w:sz w:val="24"/>
          <w:szCs w:val="24"/>
        </w:rPr>
        <w:t xml:space="preserve">Таким образом, ряд сложностей, связанных с высоким тарифом на перевозку </w:t>
      </w:r>
      <w:r w:rsidRPr="00A31161">
        <w:rPr>
          <w:rFonts w:ascii="Times New Roman" w:hAnsi="Times New Roman"/>
          <w:sz w:val="24"/>
          <w:szCs w:val="24"/>
        </w:rPr>
        <w:t xml:space="preserve">пассажиров транспортом общего пользования в сравнении с </w:t>
      </w:r>
      <w:r w:rsidRPr="006E2BBC">
        <w:rPr>
          <w:rFonts w:ascii="Times New Roman" w:hAnsi="Times New Roman"/>
          <w:sz w:val="24"/>
          <w:szCs w:val="24"/>
        </w:rPr>
        <w:t xml:space="preserve">Республикой Молдова и Украиной, </w:t>
      </w:r>
      <w:r w:rsidRPr="006E2BBC">
        <w:rPr>
          <w:rFonts w:ascii="Times New Roman" w:hAnsi="Times New Roman"/>
          <w:bCs/>
          <w:sz w:val="24"/>
          <w:szCs w:val="24"/>
          <w:shd w:val="clear" w:color="auto" w:fill="FFFFFF"/>
        </w:rPr>
        <w:t>сложности построения маршрутов перевозки</w:t>
      </w:r>
      <w:r w:rsidRPr="006E2BBC">
        <w:rPr>
          <w:rFonts w:ascii="Times New Roman" w:hAnsi="Times New Roman"/>
          <w:sz w:val="24"/>
          <w:szCs w:val="24"/>
        </w:rPr>
        <w:t xml:space="preserve">, </w:t>
      </w:r>
      <w:r w:rsidRPr="006E2BBC">
        <w:rPr>
          <w:rStyle w:val="syntaxerr"/>
          <w:rFonts w:ascii="Times New Roman" w:hAnsi="Times New Roman"/>
          <w:bCs/>
          <w:sz w:val="24"/>
          <w:szCs w:val="24"/>
          <w:shd w:val="clear" w:color="auto" w:fill="FFFFFF"/>
        </w:rPr>
        <w:t>недогруз</w:t>
      </w:r>
      <w:r w:rsidR="0072732C">
        <w:rPr>
          <w:rStyle w:val="syntaxerr"/>
          <w:rFonts w:ascii="Times New Roman" w:hAnsi="Times New Roman"/>
          <w:bCs/>
          <w:sz w:val="24"/>
          <w:szCs w:val="24"/>
          <w:shd w:val="clear" w:color="auto" w:fill="FFFFFF"/>
        </w:rPr>
        <w:t xml:space="preserve"> </w:t>
      </w:r>
      <w:r w:rsidRPr="006E2BBC">
        <w:rPr>
          <w:rFonts w:ascii="Times New Roman" w:hAnsi="Times New Roman"/>
          <w:bCs/>
          <w:sz w:val="24"/>
          <w:szCs w:val="24"/>
          <w:shd w:val="clear" w:color="auto" w:fill="FFFFFF"/>
        </w:rPr>
        <w:t xml:space="preserve">подвижного состава, а также отсутствие слаженности в организации взаимодействия различных видов транспорта </w:t>
      </w:r>
      <w:r w:rsidRPr="006E2BBC">
        <w:rPr>
          <w:rFonts w:ascii="Times New Roman" w:hAnsi="Times New Roman"/>
          <w:sz w:val="24"/>
          <w:szCs w:val="24"/>
        </w:rPr>
        <w:t>оказ</w:t>
      </w:r>
      <w:r>
        <w:rPr>
          <w:rFonts w:ascii="Times New Roman" w:hAnsi="Times New Roman"/>
          <w:sz w:val="24"/>
          <w:szCs w:val="24"/>
        </w:rPr>
        <w:t>ыва</w:t>
      </w:r>
      <w:r w:rsidRPr="006E2BBC">
        <w:rPr>
          <w:rFonts w:ascii="Times New Roman" w:hAnsi="Times New Roman"/>
          <w:sz w:val="24"/>
          <w:szCs w:val="24"/>
        </w:rPr>
        <w:t>ли определяющее влияние на развитие транспортной отрасли в</w:t>
      </w:r>
      <w:r>
        <w:rPr>
          <w:rFonts w:ascii="Times New Roman" w:hAnsi="Times New Roman"/>
          <w:sz w:val="24"/>
          <w:szCs w:val="24"/>
        </w:rPr>
        <w:t xml:space="preserve"> отчетном периоде</w:t>
      </w:r>
      <w:r w:rsidRPr="007F6F7C">
        <w:rPr>
          <w:rFonts w:ascii="Times New Roman" w:hAnsi="Times New Roman"/>
          <w:sz w:val="24"/>
          <w:szCs w:val="24"/>
        </w:rPr>
        <w:t>.</w:t>
      </w:r>
    </w:p>
    <w:p w:rsidR="00146BB8" w:rsidRPr="0080737A" w:rsidRDefault="00146BB8" w:rsidP="00146BB8">
      <w:pPr>
        <w:shd w:val="clear" w:color="auto" w:fill="FFFFFF"/>
        <w:spacing w:after="0" w:line="240" w:lineRule="auto"/>
        <w:ind w:firstLine="709"/>
        <w:jc w:val="both"/>
        <w:rPr>
          <w:rFonts w:ascii="Times New Roman" w:hAnsi="Times New Roman"/>
          <w:sz w:val="24"/>
          <w:szCs w:val="24"/>
        </w:rPr>
      </w:pPr>
    </w:p>
    <w:p w:rsidR="00146BB8" w:rsidRDefault="00146BB8" w:rsidP="00146BB8">
      <w:pPr>
        <w:widowControl w:val="0"/>
        <w:autoSpaceDE w:val="0"/>
        <w:autoSpaceDN w:val="0"/>
        <w:adjustRightInd w:val="0"/>
        <w:spacing w:after="0" w:line="240" w:lineRule="auto"/>
        <w:ind w:firstLine="709"/>
        <w:jc w:val="both"/>
        <w:rPr>
          <w:rFonts w:ascii="Times New Roman" w:hAnsi="Times New Roman"/>
          <w:b/>
          <w:sz w:val="24"/>
          <w:szCs w:val="24"/>
        </w:rPr>
      </w:pPr>
      <w:r w:rsidRPr="0080737A">
        <w:rPr>
          <w:rFonts w:ascii="Times New Roman" w:hAnsi="Times New Roman"/>
          <w:b/>
          <w:sz w:val="24"/>
          <w:szCs w:val="24"/>
        </w:rPr>
        <w:t>Связь</w:t>
      </w:r>
    </w:p>
    <w:p w:rsidR="00146BB8" w:rsidRPr="0080737A" w:rsidRDefault="00146BB8" w:rsidP="00146BB8">
      <w:pPr>
        <w:pStyle w:val="ae"/>
        <w:ind w:firstLine="709"/>
        <w:jc w:val="left"/>
        <w:rPr>
          <w:b/>
          <w:sz w:val="24"/>
          <w:szCs w:val="24"/>
        </w:rPr>
      </w:pPr>
    </w:p>
    <w:p w:rsidR="00146BB8" w:rsidRDefault="00146BB8" w:rsidP="00146BB8">
      <w:pPr>
        <w:spacing w:after="0" w:line="240" w:lineRule="auto"/>
        <w:ind w:firstLine="709"/>
        <w:jc w:val="both"/>
        <w:rPr>
          <w:rFonts w:ascii="Times New Roman" w:hAnsi="Times New Roman"/>
          <w:sz w:val="24"/>
          <w:szCs w:val="24"/>
        </w:rPr>
      </w:pPr>
      <w:proofErr w:type="gramStart"/>
      <w:r w:rsidRPr="004C5915">
        <w:rPr>
          <w:rFonts w:ascii="Times New Roman" w:hAnsi="Times New Roman"/>
          <w:sz w:val="24"/>
          <w:szCs w:val="24"/>
        </w:rPr>
        <w:t xml:space="preserve">В январе-июне </w:t>
      </w:r>
      <w:r>
        <w:rPr>
          <w:rFonts w:ascii="Times New Roman" w:hAnsi="Times New Roman"/>
          <w:sz w:val="24"/>
          <w:szCs w:val="24"/>
        </w:rPr>
        <w:t>текущего</w:t>
      </w:r>
      <w:r w:rsidRPr="004C5915">
        <w:rPr>
          <w:rFonts w:ascii="Times New Roman" w:hAnsi="Times New Roman"/>
          <w:sz w:val="24"/>
          <w:szCs w:val="24"/>
        </w:rPr>
        <w:t xml:space="preserve"> года </w:t>
      </w:r>
      <w:r>
        <w:rPr>
          <w:rFonts w:ascii="Times New Roman" w:hAnsi="Times New Roman"/>
          <w:sz w:val="24"/>
          <w:szCs w:val="24"/>
        </w:rPr>
        <w:t xml:space="preserve">сохраняющаяся сложная экономическая ситуация, усиление негативного воздействия ряда </w:t>
      </w:r>
      <w:r w:rsidRPr="004C5915">
        <w:rPr>
          <w:rFonts w:ascii="Times New Roman" w:hAnsi="Times New Roman"/>
          <w:sz w:val="24"/>
          <w:szCs w:val="24"/>
        </w:rPr>
        <w:t>внешних</w:t>
      </w:r>
      <w:r w:rsidR="0072732C">
        <w:rPr>
          <w:rFonts w:ascii="Times New Roman" w:hAnsi="Times New Roman"/>
          <w:sz w:val="24"/>
          <w:szCs w:val="24"/>
        </w:rPr>
        <w:t xml:space="preserve"> </w:t>
      </w:r>
      <w:r w:rsidRPr="004C5915">
        <w:rPr>
          <w:rFonts w:ascii="Times New Roman" w:hAnsi="Times New Roman"/>
          <w:sz w:val="24"/>
          <w:szCs w:val="24"/>
        </w:rPr>
        <w:t xml:space="preserve">факторов, влияющих на развитие и деловую активность хозяйствующих субъектов республики, </w:t>
      </w:r>
      <w:r>
        <w:rPr>
          <w:rFonts w:ascii="Times New Roman" w:hAnsi="Times New Roman"/>
          <w:sz w:val="24"/>
          <w:szCs w:val="24"/>
        </w:rPr>
        <w:t>отразились и</w:t>
      </w:r>
      <w:r w:rsidRPr="004C5915">
        <w:rPr>
          <w:rFonts w:ascii="Times New Roman" w:hAnsi="Times New Roman"/>
          <w:sz w:val="24"/>
          <w:szCs w:val="24"/>
        </w:rPr>
        <w:t xml:space="preserve"> на динамике </w:t>
      </w:r>
      <w:r>
        <w:rPr>
          <w:rFonts w:ascii="Times New Roman" w:hAnsi="Times New Roman"/>
          <w:sz w:val="24"/>
          <w:szCs w:val="24"/>
        </w:rPr>
        <w:t xml:space="preserve">показателей одной из наиболее активно </w:t>
      </w:r>
      <w:r w:rsidRPr="0080737A">
        <w:rPr>
          <w:rFonts w:ascii="Times New Roman" w:hAnsi="Times New Roman"/>
          <w:sz w:val="24"/>
          <w:szCs w:val="24"/>
        </w:rPr>
        <w:t>развивающ</w:t>
      </w:r>
      <w:r>
        <w:rPr>
          <w:rFonts w:ascii="Times New Roman" w:hAnsi="Times New Roman"/>
          <w:sz w:val="24"/>
          <w:szCs w:val="24"/>
        </w:rPr>
        <w:t xml:space="preserve">ейся </w:t>
      </w:r>
      <w:r w:rsidRPr="0080737A">
        <w:rPr>
          <w:rFonts w:ascii="Times New Roman" w:hAnsi="Times New Roman"/>
          <w:sz w:val="24"/>
          <w:szCs w:val="24"/>
        </w:rPr>
        <w:t>отрасл</w:t>
      </w:r>
      <w:r>
        <w:rPr>
          <w:rFonts w:ascii="Times New Roman" w:hAnsi="Times New Roman"/>
          <w:sz w:val="24"/>
          <w:szCs w:val="24"/>
        </w:rPr>
        <w:t>ей</w:t>
      </w:r>
      <w:r w:rsidRPr="0080737A">
        <w:rPr>
          <w:rFonts w:ascii="Times New Roman" w:hAnsi="Times New Roman"/>
          <w:sz w:val="24"/>
          <w:szCs w:val="24"/>
        </w:rPr>
        <w:t xml:space="preserve"> экономики</w:t>
      </w:r>
      <w:r>
        <w:rPr>
          <w:rFonts w:ascii="Times New Roman" w:hAnsi="Times New Roman"/>
          <w:sz w:val="24"/>
          <w:szCs w:val="24"/>
        </w:rPr>
        <w:t xml:space="preserve"> Приднестровья – связи.</w:t>
      </w:r>
      <w:proofErr w:type="gramEnd"/>
    </w:p>
    <w:p w:rsidR="00146BB8" w:rsidRPr="0080737A" w:rsidRDefault="00146BB8" w:rsidP="00146BB8">
      <w:pPr>
        <w:spacing w:after="0" w:line="240" w:lineRule="auto"/>
        <w:ind w:firstLine="709"/>
        <w:jc w:val="both"/>
        <w:rPr>
          <w:rFonts w:ascii="Times New Roman" w:hAnsi="Times New Roman"/>
          <w:sz w:val="24"/>
          <w:szCs w:val="24"/>
        </w:rPr>
      </w:pPr>
      <w:r>
        <w:rPr>
          <w:rFonts w:ascii="Times New Roman" w:hAnsi="Times New Roman"/>
          <w:sz w:val="24"/>
          <w:szCs w:val="24"/>
        </w:rPr>
        <w:t>Так, в I полугодии текущего года д</w:t>
      </w:r>
      <w:r w:rsidRPr="0080737A">
        <w:rPr>
          <w:rFonts w:ascii="Times New Roman" w:hAnsi="Times New Roman"/>
          <w:sz w:val="24"/>
          <w:szCs w:val="24"/>
        </w:rPr>
        <w:t xml:space="preserve">оход от основной деятельности, полученный </w:t>
      </w:r>
      <w:r>
        <w:rPr>
          <w:rFonts w:ascii="Times New Roman" w:hAnsi="Times New Roman"/>
          <w:sz w:val="24"/>
          <w:szCs w:val="24"/>
        </w:rPr>
        <w:t>ключевыми</w:t>
      </w:r>
      <w:r w:rsidRPr="0080737A">
        <w:rPr>
          <w:rFonts w:ascii="Times New Roman" w:hAnsi="Times New Roman"/>
          <w:sz w:val="24"/>
          <w:szCs w:val="24"/>
        </w:rPr>
        <w:t xml:space="preserve"> представителями отрасли (без субъектов малого предпринимательства)</w:t>
      </w:r>
      <w:r>
        <w:rPr>
          <w:rFonts w:ascii="Times New Roman" w:hAnsi="Times New Roman"/>
          <w:sz w:val="24"/>
          <w:szCs w:val="24"/>
        </w:rPr>
        <w:t xml:space="preserve"> снизился на 0,5% до 353,2 </w:t>
      </w:r>
      <w:proofErr w:type="spellStart"/>
      <w:proofErr w:type="gramStart"/>
      <w:r w:rsidRPr="0080737A">
        <w:rPr>
          <w:rFonts w:ascii="Times New Roman" w:hAnsi="Times New Roman"/>
          <w:sz w:val="24"/>
          <w:szCs w:val="24"/>
        </w:rPr>
        <w:t>млн</w:t>
      </w:r>
      <w:proofErr w:type="spellEnd"/>
      <w:proofErr w:type="gramEnd"/>
      <w:r w:rsidRPr="0080737A">
        <w:rPr>
          <w:rFonts w:ascii="Times New Roman" w:hAnsi="Times New Roman"/>
          <w:sz w:val="24"/>
          <w:szCs w:val="24"/>
        </w:rPr>
        <w:t xml:space="preserve"> руб. </w:t>
      </w:r>
      <w:r>
        <w:rPr>
          <w:rFonts w:ascii="Times New Roman" w:hAnsi="Times New Roman"/>
          <w:sz w:val="24"/>
          <w:szCs w:val="24"/>
        </w:rPr>
        <w:t>Наибольшая</w:t>
      </w:r>
      <w:r w:rsidRPr="0080737A">
        <w:rPr>
          <w:rFonts w:ascii="Times New Roman" w:hAnsi="Times New Roman"/>
          <w:sz w:val="24"/>
          <w:szCs w:val="24"/>
        </w:rPr>
        <w:t xml:space="preserve"> доля полученной прибыли приходи</w:t>
      </w:r>
      <w:r>
        <w:rPr>
          <w:rFonts w:ascii="Times New Roman" w:hAnsi="Times New Roman"/>
          <w:sz w:val="24"/>
          <w:szCs w:val="24"/>
        </w:rPr>
        <w:t>лась</w:t>
      </w:r>
      <w:r w:rsidRPr="0080737A">
        <w:rPr>
          <w:rFonts w:ascii="Times New Roman" w:hAnsi="Times New Roman"/>
          <w:sz w:val="24"/>
          <w:szCs w:val="24"/>
        </w:rPr>
        <w:t xml:space="preserve"> на услуги электросвязи (телекоммуникации) - 99,3%</w:t>
      </w:r>
      <w:r>
        <w:rPr>
          <w:rFonts w:ascii="Times New Roman" w:hAnsi="Times New Roman"/>
          <w:sz w:val="24"/>
          <w:szCs w:val="24"/>
        </w:rPr>
        <w:t>,</w:t>
      </w:r>
      <w:r w:rsidRPr="0080737A">
        <w:rPr>
          <w:rFonts w:ascii="Times New Roman" w:hAnsi="Times New Roman"/>
          <w:sz w:val="24"/>
          <w:szCs w:val="24"/>
        </w:rPr>
        <w:t xml:space="preserve"> или </w:t>
      </w:r>
      <w:r>
        <w:rPr>
          <w:rFonts w:ascii="Times New Roman" w:hAnsi="Times New Roman"/>
          <w:sz w:val="24"/>
          <w:szCs w:val="24"/>
        </w:rPr>
        <w:t xml:space="preserve">350,6 </w:t>
      </w:r>
      <w:proofErr w:type="spellStart"/>
      <w:r w:rsidRPr="0080737A">
        <w:rPr>
          <w:rFonts w:ascii="Times New Roman" w:hAnsi="Times New Roman"/>
          <w:sz w:val="24"/>
          <w:szCs w:val="24"/>
        </w:rPr>
        <w:t>млн</w:t>
      </w:r>
      <w:proofErr w:type="spellEnd"/>
      <w:r w:rsidRPr="0080737A">
        <w:rPr>
          <w:rFonts w:ascii="Times New Roman" w:hAnsi="Times New Roman"/>
          <w:sz w:val="24"/>
          <w:szCs w:val="24"/>
        </w:rPr>
        <w:t xml:space="preserve"> руб., доходы от услуг предоставления почтовой связи состав</w:t>
      </w:r>
      <w:r>
        <w:rPr>
          <w:rFonts w:ascii="Times New Roman" w:hAnsi="Times New Roman"/>
          <w:sz w:val="24"/>
          <w:szCs w:val="24"/>
        </w:rPr>
        <w:t>или</w:t>
      </w:r>
      <w:r w:rsidRPr="0080737A">
        <w:rPr>
          <w:rFonts w:ascii="Times New Roman" w:hAnsi="Times New Roman"/>
          <w:sz w:val="24"/>
          <w:szCs w:val="24"/>
        </w:rPr>
        <w:t xml:space="preserve"> 0,7%</w:t>
      </w:r>
      <w:r>
        <w:rPr>
          <w:rFonts w:ascii="Times New Roman" w:hAnsi="Times New Roman"/>
          <w:sz w:val="24"/>
          <w:szCs w:val="24"/>
        </w:rPr>
        <w:t>,</w:t>
      </w:r>
      <w:r w:rsidRPr="0080737A">
        <w:rPr>
          <w:rFonts w:ascii="Times New Roman" w:hAnsi="Times New Roman"/>
          <w:sz w:val="24"/>
          <w:szCs w:val="24"/>
        </w:rPr>
        <w:t xml:space="preserve"> или 2,6</w:t>
      </w:r>
      <w:r w:rsidR="0072732C">
        <w:rPr>
          <w:rFonts w:ascii="Times New Roman" w:hAnsi="Times New Roman"/>
          <w:sz w:val="24"/>
          <w:szCs w:val="24"/>
        </w:rPr>
        <w:t xml:space="preserve"> </w:t>
      </w:r>
      <w:proofErr w:type="spellStart"/>
      <w:r w:rsidRPr="0080737A">
        <w:rPr>
          <w:rFonts w:ascii="Times New Roman" w:hAnsi="Times New Roman"/>
          <w:sz w:val="24"/>
          <w:szCs w:val="24"/>
        </w:rPr>
        <w:t>млн</w:t>
      </w:r>
      <w:proofErr w:type="spellEnd"/>
      <w:r w:rsidRPr="0080737A">
        <w:rPr>
          <w:rFonts w:ascii="Times New Roman" w:hAnsi="Times New Roman"/>
          <w:sz w:val="24"/>
          <w:szCs w:val="24"/>
        </w:rPr>
        <w:t xml:space="preserve"> руб.</w:t>
      </w:r>
    </w:p>
    <w:p w:rsidR="00146BB8" w:rsidRPr="0080737A" w:rsidRDefault="00146BB8" w:rsidP="00146BB8">
      <w:pPr>
        <w:spacing w:after="0" w:line="240" w:lineRule="auto"/>
        <w:ind w:firstLine="709"/>
        <w:jc w:val="both"/>
        <w:rPr>
          <w:rFonts w:ascii="Times New Roman" w:hAnsi="Times New Roman"/>
          <w:sz w:val="24"/>
          <w:szCs w:val="24"/>
        </w:rPr>
      </w:pPr>
      <w:r>
        <w:rPr>
          <w:rFonts w:ascii="Times New Roman" w:hAnsi="Times New Roman"/>
          <w:sz w:val="24"/>
          <w:szCs w:val="24"/>
        </w:rPr>
        <w:t>С</w:t>
      </w:r>
      <w:r w:rsidRPr="0080737A">
        <w:rPr>
          <w:rFonts w:ascii="Times New Roman" w:hAnsi="Times New Roman"/>
          <w:sz w:val="24"/>
          <w:szCs w:val="24"/>
        </w:rPr>
        <w:t xml:space="preserve">нижение совокупной величины доходов от предоставления услуг телекоммуникаций </w:t>
      </w:r>
      <w:r>
        <w:rPr>
          <w:rFonts w:ascii="Times New Roman" w:hAnsi="Times New Roman"/>
          <w:sz w:val="24"/>
          <w:szCs w:val="24"/>
        </w:rPr>
        <w:t>вызвано</w:t>
      </w:r>
      <w:r w:rsidRPr="0080737A">
        <w:rPr>
          <w:rFonts w:ascii="Times New Roman" w:hAnsi="Times New Roman"/>
          <w:sz w:val="24"/>
          <w:szCs w:val="24"/>
        </w:rPr>
        <w:t xml:space="preserve"> уменьшение</w:t>
      </w:r>
      <w:r>
        <w:rPr>
          <w:rFonts w:ascii="Times New Roman" w:hAnsi="Times New Roman"/>
          <w:sz w:val="24"/>
          <w:szCs w:val="24"/>
        </w:rPr>
        <w:t>м</w:t>
      </w:r>
      <w:r w:rsidRPr="0080737A">
        <w:rPr>
          <w:rFonts w:ascii="Times New Roman" w:hAnsi="Times New Roman"/>
          <w:sz w:val="24"/>
          <w:szCs w:val="24"/>
        </w:rPr>
        <w:t xml:space="preserve"> суммы доходов по таким </w:t>
      </w:r>
      <w:proofErr w:type="spellStart"/>
      <w:r w:rsidRPr="0080737A">
        <w:rPr>
          <w:rFonts w:ascii="Times New Roman" w:hAnsi="Times New Roman"/>
          <w:sz w:val="24"/>
          <w:szCs w:val="24"/>
        </w:rPr>
        <w:t>подотраслям</w:t>
      </w:r>
      <w:proofErr w:type="spellEnd"/>
      <w:r w:rsidRPr="0080737A">
        <w:rPr>
          <w:rFonts w:ascii="Times New Roman" w:hAnsi="Times New Roman"/>
          <w:sz w:val="24"/>
          <w:szCs w:val="24"/>
        </w:rPr>
        <w:t xml:space="preserve"> электросвязи как: фиксированная связь (-</w:t>
      </w:r>
      <w:r>
        <w:rPr>
          <w:rFonts w:ascii="Times New Roman" w:hAnsi="Times New Roman"/>
          <w:sz w:val="24"/>
          <w:szCs w:val="24"/>
        </w:rPr>
        <w:t>6,7</w:t>
      </w:r>
      <w:r w:rsidRPr="0080737A">
        <w:rPr>
          <w:rFonts w:ascii="Times New Roman" w:hAnsi="Times New Roman"/>
          <w:sz w:val="24"/>
          <w:szCs w:val="24"/>
        </w:rPr>
        <w:t>%) и мобильная связь (-</w:t>
      </w:r>
      <w:r>
        <w:rPr>
          <w:rFonts w:ascii="Times New Roman" w:hAnsi="Times New Roman"/>
          <w:sz w:val="24"/>
          <w:szCs w:val="24"/>
        </w:rPr>
        <w:t>10,9</w:t>
      </w:r>
      <w:r w:rsidRPr="0080737A">
        <w:rPr>
          <w:rFonts w:ascii="Times New Roman" w:hAnsi="Times New Roman"/>
          <w:sz w:val="24"/>
          <w:szCs w:val="24"/>
        </w:rPr>
        <w:t xml:space="preserve">%). По остальным </w:t>
      </w:r>
      <w:proofErr w:type="spellStart"/>
      <w:r w:rsidRPr="0080737A">
        <w:rPr>
          <w:rFonts w:ascii="Times New Roman" w:hAnsi="Times New Roman"/>
          <w:sz w:val="24"/>
          <w:szCs w:val="24"/>
        </w:rPr>
        <w:t>подотраслям</w:t>
      </w:r>
      <w:proofErr w:type="spellEnd"/>
      <w:r w:rsidRPr="0080737A">
        <w:rPr>
          <w:rFonts w:ascii="Times New Roman" w:hAnsi="Times New Roman"/>
          <w:sz w:val="24"/>
          <w:szCs w:val="24"/>
        </w:rPr>
        <w:t xml:space="preserve"> зафиксирован прирост: передача данных и доступ к глобальной сети Интернет (+</w:t>
      </w:r>
      <w:r>
        <w:rPr>
          <w:rFonts w:ascii="Times New Roman" w:hAnsi="Times New Roman"/>
          <w:sz w:val="24"/>
          <w:szCs w:val="24"/>
        </w:rPr>
        <w:t>12,5</w:t>
      </w:r>
      <w:r w:rsidRPr="0080737A">
        <w:rPr>
          <w:rFonts w:ascii="Times New Roman" w:hAnsi="Times New Roman"/>
          <w:sz w:val="24"/>
          <w:szCs w:val="24"/>
        </w:rPr>
        <w:t>%), телевизионное вещание (+</w:t>
      </w:r>
      <w:r>
        <w:rPr>
          <w:rFonts w:ascii="Times New Roman" w:hAnsi="Times New Roman"/>
          <w:sz w:val="24"/>
          <w:szCs w:val="24"/>
        </w:rPr>
        <w:t>8,3</w:t>
      </w:r>
      <w:r w:rsidRPr="0080737A">
        <w:rPr>
          <w:rFonts w:ascii="Times New Roman" w:hAnsi="Times New Roman"/>
          <w:sz w:val="24"/>
          <w:szCs w:val="24"/>
        </w:rPr>
        <w:t>%), радиовещание (+</w:t>
      </w:r>
      <w:r>
        <w:rPr>
          <w:rFonts w:ascii="Times New Roman" w:hAnsi="Times New Roman"/>
          <w:sz w:val="24"/>
          <w:szCs w:val="24"/>
        </w:rPr>
        <w:t>24,5</w:t>
      </w:r>
      <w:r w:rsidRPr="0080737A">
        <w:rPr>
          <w:rFonts w:ascii="Times New Roman" w:hAnsi="Times New Roman"/>
          <w:sz w:val="24"/>
          <w:szCs w:val="24"/>
        </w:rPr>
        <w:t>%), телеграфная связь (+</w:t>
      </w:r>
      <w:r>
        <w:rPr>
          <w:rFonts w:ascii="Times New Roman" w:hAnsi="Times New Roman"/>
          <w:sz w:val="24"/>
          <w:szCs w:val="24"/>
        </w:rPr>
        <w:t>15,0</w:t>
      </w:r>
      <w:r w:rsidRPr="0080737A">
        <w:rPr>
          <w:rFonts w:ascii="Times New Roman" w:hAnsi="Times New Roman"/>
          <w:sz w:val="24"/>
          <w:szCs w:val="24"/>
        </w:rPr>
        <w:t>%).</w:t>
      </w:r>
    </w:p>
    <w:p w:rsidR="00146BB8" w:rsidRPr="0080737A" w:rsidRDefault="00146BB8" w:rsidP="00146BB8">
      <w:pPr>
        <w:spacing w:after="0" w:line="240" w:lineRule="auto"/>
        <w:ind w:left="-993" w:right="-568"/>
        <w:jc w:val="center"/>
        <w:rPr>
          <w:rFonts w:ascii="Times New Roman" w:hAnsi="Times New Roman"/>
          <w:sz w:val="24"/>
          <w:szCs w:val="24"/>
        </w:rPr>
      </w:pPr>
      <w:r w:rsidRPr="0080737A">
        <w:rPr>
          <w:rFonts w:ascii="Times New Roman" w:hAnsi="Times New Roman"/>
          <w:noProof/>
          <w:sz w:val="24"/>
          <w:szCs w:val="24"/>
        </w:rPr>
        <w:lastRenderedPageBreak/>
        <w:drawing>
          <wp:inline distT="0" distB="0" distL="0" distR="0">
            <wp:extent cx="7019925" cy="3000375"/>
            <wp:effectExtent l="0" t="0" r="0" b="0"/>
            <wp:docPr id="8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6BB8" w:rsidRDefault="00146BB8" w:rsidP="00146BB8">
      <w:pPr>
        <w:spacing w:after="0" w:line="240" w:lineRule="auto"/>
        <w:ind w:right="-1" w:firstLine="709"/>
        <w:jc w:val="both"/>
        <w:rPr>
          <w:rFonts w:ascii="Times New Roman" w:hAnsi="Times New Roman"/>
          <w:sz w:val="24"/>
          <w:szCs w:val="24"/>
        </w:rPr>
      </w:pPr>
    </w:p>
    <w:p w:rsidR="00146BB8" w:rsidRPr="0080737A" w:rsidRDefault="00146BB8" w:rsidP="00146BB8">
      <w:pPr>
        <w:spacing w:after="0" w:line="240" w:lineRule="auto"/>
        <w:ind w:right="-1" w:firstLine="709"/>
        <w:jc w:val="both"/>
        <w:rPr>
          <w:rFonts w:ascii="Times New Roman" w:hAnsi="Times New Roman"/>
          <w:bCs/>
          <w:sz w:val="24"/>
          <w:szCs w:val="24"/>
        </w:rPr>
      </w:pPr>
      <w:r>
        <w:rPr>
          <w:rFonts w:ascii="Times New Roman" w:hAnsi="Times New Roman"/>
          <w:sz w:val="24"/>
          <w:szCs w:val="24"/>
        </w:rPr>
        <w:t>Необходимо отметить, что в структуре электросвязи наблюдаются структурные изменения, вызванные активным</w:t>
      </w:r>
      <w:r w:rsidRPr="0080737A">
        <w:rPr>
          <w:rFonts w:ascii="Times New Roman" w:hAnsi="Times New Roman"/>
          <w:sz w:val="24"/>
          <w:szCs w:val="24"/>
        </w:rPr>
        <w:t xml:space="preserve"> потребительски</w:t>
      </w:r>
      <w:r>
        <w:rPr>
          <w:rFonts w:ascii="Times New Roman" w:hAnsi="Times New Roman"/>
          <w:sz w:val="24"/>
          <w:szCs w:val="24"/>
        </w:rPr>
        <w:t>м</w:t>
      </w:r>
      <w:r w:rsidRPr="0080737A">
        <w:rPr>
          <w:rFonts w:ascii="Times New Roman" w:hAnsi="Times New Roman"/>
          <w:sz w:val="24"/>
          <w:szCs w:val="24"/>
        </w:rPr>
        <w:t xml:space="preserve"> спрос</w:t>
      </w:r>
      <w:r>
        <w:rPr>
          <w:rFonts w:ascii="Times New Roman" w:hAnsi="Times New Roman"/>
          <w:sz w:val="24"/>
          <w:szCs w:val="24"/>
        </w:rPr>
        <w:t xml:space="preserve">ом на </w:t>
      </w:r>
      <w:r w:rsidRPr="0080737A">
        <w:rPr>
          <w:rFonts w:ascii="Times New Roman" w:hAnsi="Times New Roman"/>
          <w:sz w:val="24"/>
          <w:szCs w:val="24"/>
        </w:rPr>
        <w:t>высокотехнологичны</w:t>
      </w:r>
      <w:r>
        <w:rPr>
          <w:rFonts w:ascii="Times New Roman" w:hAnsi="Times New Roman"/>
          <w:sz w:val="24"/>
          <w:szCs w:val="24"/>
        </w:rPr>
        <w:t xml:space="preserve">е </w:t>
      </w:r>
      <w:r w:rsidRPr="0080737A">
        <w:rPr>
          <w:rFonts w:ascii="Times New Roman" w:hAnsi="Times New Roman"/>
          <w:sz w:val="24"/>
          <w:szCs w:val="24"/>
        </w:rPr>
        <w:t>услуг</w:t>
      </w:r>
      <w:r>
        <w:rPr>
          <w:rFonts w:ascii="Times New Roman" w:hAnsi="Times New Roman"/>
          <w:sz w:val="24"/>
          <w:szCs w:val="24"/>
        </w:rPr>
        <w:t>и</w:t>
      </w:r>
      <w:r w:rsidRPr="0080737A">
        <w:rPr>
          <w:rFonts w:ascii="Times New Roman" w:hAnsi="Times New Roman"/>
          <w:sz w:val="24"/>
          <w:szCs w:val="24"/>
        </w:rPr>
        <w:t xml:space="preserve"> на базе IP технологий</w:t>
      </w:r>
      <w:r>
        <w:rPr>
          <w:rFonts w:ascii="Times New Roman" w:hAnsi="Times New Roman"/>
          <w:sz w:val="24"/>
          <w:szCs w:val="24"/>
        </w:rPr>
        <w:t>. Данный факт обусловил</w:t>
      </w:r>
      <w:r w:rsidRPr="0080737A">
        <w:rPr>
          <w:rFonts w:ascii="Times New Roman" w:hAnsi="Times New Roman"/>
          <w:sz w:val="24"/>
          <w:szCs w:val="24"/>
        </w:rPr>
        <w:t xml:space="preserve"> сокращени</w:t>
      </w:r>
      <w:r>
        <w:rPr>
          <w:rFonts w:ascii="Times New Roman" w:hAnsi="Times New Roman"/>
          <w:sz w:val="24"/>
          <w:szCs w:val="24"/>
        </w:rPr>
        <w:t>е</w:t>
      </w:r>
      <w:r w:rsidRPr="0080737A">
        <w:rPr>
          <w:rFonts w:ascii="Times New Roman" w:hAnsi="Times New Roman"/>
          <w:sz w:val="24"/>
          <w:szCs w:val="24"/>
        </w:rPr>
        <w:t xml:space="preserve"> количества зарегистрированных абонентов </w:t>
      </w:r>
      <w:r w:rsidRPr="0080737A">
        <w:rPr>
          <w:rFonts w:ascii="Times New Roman" w:hAnsi="Times New Roman"/>
          <w:sz w:val="24"/>
          <w:szCs w:val="24"/>
          <w:u w:val="single"/>
        </w:rPr>
        <w:t xml:space="preserve">фиксированной </w:t>
      </w:r>
      <w:r>
        <w:rPr>
          <w:rFonts w:ascii="Times New Roman" w:hAnsi="Times New Roman"/>
          <w:sz w:val="24"/>
          <w:szCs w:val="24"/>
          <w:u w:val="single"/>
        </w:rPr>
        <w:t xml:space="preserve">телефонной </w:t>
      </w:r>
      <w:r w:rsidRPr="0080737A">
        <w:rPr>
          <w:rFonts w:ascii="Times New Roman" w:hAnsi="Times New Roman"/>
          <w:sz w:val="24"/>
          <w:szCs w:val="24"/>
          <w:u w:val="single"/>
        </w:rPr>
        <w:t>связи</w:t>
      </w:r>
      <w:r w:rsidRPr="00146BB8">
        <w:rPr>
          <w:rFonts w:ascii="Times New Roman" w:hAnsi="Times New Roman"/>
          <w:sz w:val="24"/>
          <w:szCs w:val="24"/>
        </w:rPr>
        <w:t xml:space="preserve"> до</w:t>
      </w:r>
      <w:r>
        <w:rPr>
          <w:rFonts w:ascii="Times New Roman" w:hAnsi="Times New Roman"/>
          <w:sz w:val="24"/>
          <w:szCs w:val="24"/>
        </w:rPr>
        <w:t xml:space="preserve"> 185 754 против 190 318 в </w:t>
      </w:r>
      <w:r w:rsidRPr="004919A6">
        <w:rPr>
          <w:rFonts w:ascii="Times New Roman" w:hAnsi="Times New Roman"/>
          <w:sz w:val="24"/>
          <w:szCs w:val="24"/>
          <w:lang w:val="en-US"/>
        </w:rPr>
        <w:t>I</w:t>
      </w:r>
      <w:r w:rsidRPr="004919A6">
        <w:rPr>
          <w:rFonts w:ascii="Times New Roman" w:hAnsi="Times New Roman"/>
          <w:sz w:val="24"/>
          <w:szCs w:val="24"/>
        </w:rPr>
        <w:t xml:space="preserve"> полугодии </w:t>
      </w:r>
      <w:r w:rsidR="0072732C">
        <w:rPr>
          <w:rFonts w:ascii="Times New Roman" w:hAnsi="Times New Roman"/>
          <w:sz w:val="24"/>
          <w:szCs w:val="24"/>
        </w:rPr>
        <w:t xml:space="preserve">             </w:t>
      </w:r>
      <w:r w:rsidRPr="004919A6">
        <w:rPr>
          <w:rFonts w:ascii="Times New Roman" w:hAnsi="Times New Roman"/>
          <w:sz w:val="24"/>
          <w:szCs w:val="24"/>
        </w:rPr>
        <w:t>2016 года. И</w:t>
      </w:r>
      <w:r w:rsidRPr="004919A6">
        <w:rPr>
          <w:rFonts w:ascii="Times New Roman" w:hAnsi="Times New Roman"/>
          <w:bCs/>
          <w:sz w:val="24"/>
          <w:szCs w:val="24"/>
        </w:rPr>
        <w:t>з общего количества зарегистрированных в январе-июне 2017 года телефонных аппаратов большая часть приходится на физические лица (91,5%) – 169</w:t>
      </w:r>
      <w:r>
        <w:rPr>
          <w:rFonts w:ascii="Times New Roman" w:hAnsi="Times New Roman"/>
          <w:bCs/>
          <w:sz w:val="24"/>
          <w:szCs w:val="24"/>
        </w:rPr>
        <w:t> </w:t>
      </w:r>
      <w:r w:rsidRPr="004919A6">
        <w:rPr>
          <w:rFonts w:ascii="Times New Roman" w:hAnsi="Times New Roman"/>
          <w:bCs/>
          <w:sz w:val="24"/>
          <w:szCs w:val="24"/>
        </w:rPr>
        <w:t>955</w:t>
      </w:r>
      <w:r>
        <w:rPr>
          <w:rFonts w:ascii="Times New Roman" w:hAnsi="Times New Roman"/>
          <w:bCs/>
          <w:sz w:val="24"/>
          <w:szCs w:val="24"/>
        </w:rPr>
        <w:t xml:space="preserve"> ед.</w:t>
      </w:r>
      <w:r w:rsidRPr="004919A6">
        <w:rPr>
          <w:rFonts w:ascii="Times New Roman" w:hAnsi="Times New Roman"/>
          <w:bCs/>
          <w:sz w:val="24"/>
          <w:szCs w:val="24"/>
        </w:rPr>
        <w:t xml:space="preserve">, на юридические лица (8,5%) -15 799 </w:t>
      </w:r>
      <w:r>
        <w:rPr>
          <w:rFonts w:ascii="Times New Roman" w:hAnsi="Times New Roman"/>
          <w:bCs/>
          <w:sz w:val="24"/>
          <w:szCs w:val="24"/>
        </w:rPr>
        <w:t>ед</w:t>
      </w:r>
      <w:r w:rsidRPr="004919A6">
        <w:rPr>
          <w:rFonts w:ascii="Times New Roman" w:hAnsi="Times New Roman"/>
          <w:bCs/>
          <w:sz w:val="24"/>
          <w:szCs w:val="24"/>
        </w:rPr>
        <w:t>.</w:t>
      </w:r>
    </w:p>
    <w:p w:rsidR="00146BB8" w:rsidRPr="0080737A" w:rsidRDefault="00146BB8" w:rsidP="00146BB8">
      <w:pPr>
        <w:spacing w:after="0" w:line="240" w:lineRule="auto"/>
        <w:ind w:firstLine="709"/>
        <w:contextualSpacing/>
        <w:jc w:val="both"/>
        <w:rPr>
          <w:rFonts w:ascii="Times New Roman" w:hAnsi="Times New Roman"/>
          <w:sz w:val="24"/>
          <w:szCs w:val="24"/>
        </w:rPr>
      </w:pPr>
      <w:r w:rsidRPr="009C6B6C">
        <w:rPr>
          <w:rFonts w:ascii="Times New Roman" w:hAnsi="Times New Roman"/>
          <w:sz w:val="24"/>
          <w:szCs w:val="24"/>
        </w:rPr>
        <w:t>В голосовом исходящем</w:t>
      </w:r>
      <w:r w:rsidRPr="0080737A">
        <w:rPr>
          <w:rFonts w:ascii="Times New Roman" w:hAnsi="Times New Roman"/>
          <w:sz w:val="24"/>
          <w:szCs w:val="24"/>
        </w:rPr>
        <w:t xml:space="preserve"> трафике фиксированной связи наибольший удельный вес принадлежит трафику </w:t>
      </w:r>
      <w:r>
        <w:rPr>
          <w:rFonts w:ascii="Times New Roman" w:hAnsi="Times New Roman"/>
          <w:sz w:val="24"/>
          <w:szCs w:val="24"/>
        </w:rPr>
        <w:t xml:space="preserve">к </w:t>
      </w:r>
      <w:r w:rsidRPr="0080737A">
        <w:rPr>
          <w:rFonts w:ascii="Times New Roman" w:hAnsi="Times New Roman"/>
          <w:sz w:val="24"/>
          <w:szCs w:val="24"/>
        </w:rPr>
        <w:t>фиксированны</w:t>
      </w:r>
      <w:r>
        <w:rPr>
          <w:rFonts w:ascii="Times New Roman" w:hAnsi="Times New Roman"/>
          <w:sz w:val="24"/>
          <w:szCs w:val="24"/>
        </w:rPr>
        <w:t>м</w:t>
      </w:r>
      <w:r w:rsidRPr="0080737A">
        <w:rPr>
          <w:rFonts w:ascii="Times New Roman" w:hAnsi="Times New Roman"/>
          <w:sz w:val="24"/>
          <w:szCs w:val="24"/>
        </w:rPr>
        <w:t xml:space="preserve"> местны</w:t>
      </w:r>
      <w:r>
        <w:rPr>
          <w:rFonts w:ascii="Times New Roman" w:hAnsi="Times New Roman"/>
          <w:sz w:val="24"/>
          <w:szCs w:val="24"/>
        </w:rPr>
        <w:t>м</w:t>
      </w:r>
      <w:r w:rsidRPr="0080737A">
        <w:rPr>
          <w:rFonts w:ascii="Times New Roman" w:hAnsi="Times New Roman"/>
          <w:sz w:val="24"/>
          <w:szCs w:val="24"/>
        </w:rPr>
        <w:t xml:space="preserve"> сет</w:t>
      </w:r>
      <w:r>
        <w:rPr>
          <w:rFonts w:ascii="Times New Roman" w:hAnsi="Times New Roman"/>
          <w:sz w:val="24"/>
          <w:szCs w:val="24"/>
        </w:rPr>
        <w:t>ям</w:t>
      </w:r>
      <w:r w:rsidRPr="0080737A">
        <w:rPr>
          <w:rFonts w:ascii="Times New Roman" w:hAnsi="Times New Roman"/>
          <w:sz w:val="24"/>
          <w:szCs w:val="24"/>
        </w:rPr>
        <w:t xml:space="preserve"> - 74,</w:t>
      </w:r>
      <w:r>
        <w:rPr>
          <w:rFonts w:ascii="Times New Roman" w:hAnsi="Times New Roman"/>
          <w:sz w:val="24"/>
          <w:szCs w:val="24"/>
        </w:rPr>
        <w:t>2</w:t>
      </w:r>
      <w:r w:rsidRPr="0080737A">
        <w:rPr>
          <w:rFonts w:ascii="Times New Roman" w:hAnsi="Times New Roman"/>
          <w:sz w:val="24"/>
          <w:szCs w:val="24"/>
        </w:rPr>
        <w:t xml:space="preserve">%, соединения с абонентами сотовой мобильной связью составляют </w:t>
      </w:r>
      <w:r>
        <w:rPr>
          <w:rFonts w:ascii="Times New Roman" w:hAnsi="Times New Roman"/>
          <w:sz w:val="24"/>
          <w:szCs w:val="24"/>
        </w:rPr>
        <w:t>16,3</w:t>
      </w:r>
      <w:r w:rsidRPr="0080737A">
        <w:rPr>
          <w:rFonts w:ascii="Times New Roman" w:hAnsi="Times New Roman"/>
          <w:sz w:val="24"/>
          <w:szCs w:val="24"/>
        </w:rPr>
        <w:t>%, трафик к междугородным и международным сетям составляет 6,0% и 3,</w:t>
      </w:r>
      <w:r>
        <w:rPr>
          <w:rFonts w:ascii="Times New Roman" w:hAnsi="Times New Roman"/>
          <w:sz w:val="24"/>
          <w:szCs w:val="24"/>
        </w:rPr>
        <w:t>5</w:t>
      </w:r>
      <w:r w:rsidRPr="0080737A">
        <w:rPr>
          <w:rFonts w:ascii="Times New Roman" w:hAnsi="Times New Roman"/>
          <w:sz w:val="24"/>
          <w:szCs w:val="24"/>
        </w:rPr>
        <w:t>%соответственно.</w:t>
      </w:r>
    </w:p>
    <w:p w:rsidR="00146BB8" w:rsidRPr="0080737A" w:rsidRDefault="00146BB8" w:rsidP="00146BB8">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В рассматриваемом периоде </w:t>
      </w:r>
      <w:r>
        <w:rPr>
          <w:rFonts w:ascii="Times New Roman" w:hAnsi="Times New Roman"/>
          <w:sz w:val="24"/>
          <w:szCs w:val="24"/>
        </w:rPr>
        <w:t xml:space="preserve">исходящий трафик в фиксированных сетях снизился на 5,3%, составив 145 073,4 тыс. минут. Международные и междугородные телефонные соединения абонентов местной телефонной сети уменьшились на 16,2% и 5,5% соответственно, и составляют 5 038,4 и 8 746,1 тыс. минут. </w:t>
      </w:r>
      <w:r w:rsidRPr="0080737A">
        <w:rPr>
          <w:rFonts w:ascii="Times New Roman" w:hAnsi="Times New Roman"/>
          <w:sz w:val="24"/>
          <w:szCs w:val="24"/>
        </w:rPr>
        <w:t xml:space="preserve">Продолжительность </w:t>
      </w:r>
      <w:r>
        <w:rPr>
          <w:rFonts w:ascii="Times New Roman" w:hAnsi="Times New Roman"/>
          <w:sz w:val="24"/>
          <w:szCs w:val="24"/>
        </w:rPr>
        <w:t xml:space="preserve">соединений между абонентами местной телефонной связью составила 107 708,1 тыс. минут, что на 5,6% ниже уровня января-июня 2016 года. </w:t>
      </w:r>
      <w:r w:rsidRPr="0080737A">
        <w:rPr>
          <w:rFonts w:ascii="Times New Roman" w:hAnsi="Times New Roman"/>
          <w:sz w:val="24"/>
          <w:szCs w:val="24"/>
        </w:rPr>
        <w:t>Количество исходящих местных телефонных соединений с абонентами сети сотовой мобильной связи уменьшилось на 1,</w:t>
      </w:r>
      <w:r>
        <w:rPr>
          <w:rFonts w:ascii="Times New Roman" w:hAnsi="Times New Roman"/>
          <w:sz w:val="24"/>
          <w:szCs w:val="24"/>
        </w:rPr>
        <w:t>1</w:t>
      </w:r>
      <w:r w:rsidRPr="0080737A">
        <w:rPr>
          <w:rFonts w:ascii="Times New Roman" w:hAnsi="Times New Roman"/>
          <w:sz w:val="24"/>
          <w:szCs w:val="24"/>
        </w:rPr>
        <w:t xml:space="preserve">% и составило </w:t>
      </w:r>
      <w:r>
        <w:rPr>
          <w:rFonts w:ascii="Times New Roman" w:hAnsi="Times New Roman"/>
          <w:sz w:val="24"/>
          <w:szCs w:val="24"/>
        </w:rPr>
        <w:t>23 580,8</w:t>
      </w:r>
      <w:r w:rsidRPr="0080737A">
        <w:rPr>
          <w:rFonts w:ascii="Times New Roman" w:hAnsi="Times New Roman"/>
          <w:sz w:val="24"/>
          <w:szCs w:val="24"/>
        </w:rPr>
        <w:t xml:space="preserve"> тыс. соединений. </w:t>
      </w:r>
    </w:p>
    <w:p w:rsidR="00146BB8" w:rsidRPr="0080737A" w:rsidRDefault="00146BB8" w:rsidP="00146BB8">
      <w:pPr>
        <w:spacing w:after="0" w:line="240" w:lineRule="auto"/>
        <w:ind w:firstLine="709"/>
        <w:jc w:val="both"/>
        <w:rPr>
          <w:rFonts w:ascii="Times New Roman" w:hAnsi="Times New Roman"/>
          <w:sz w:val="24"/>
          <w:szCs w:val="24"/>
        </w:rPr>
      </w:pPr>
      <w:r>
        <w:rPr>
          <w:rFonts w:ascii="Times New Roman" w:hAnsi="Times New Roman"/>
          <w:bCs/>
          <w:sz w:val="24"/>
          <w:szCs w:val="24"/>
        </w:rPr>
        <w:t>В январе-июне 2017 года отмечен прирост ч</w:t>
      </w:r>
      <w:r w:rsidRPr="0080737A">
        <w:rPr>
          <w:rFonts w:ascii="Times New Roman" w:hAnsi="Times New Roman"/>
          <w:bCs/>
          <w:sz w:val="24"/>
          <w:szCs w:val="24"/>
        </w:rPr>
        <w:t>исл</w:t>
      </w:r>
      <w:r>
        <w:rPr>
          <w:rFonts w:ascii="Times New Roman" w:hAnsi="Times New Roman"/>
          <w:bCs/>
          <w:sz w:val="24"/>
          <w:szCs w:val="24"/>
        </w:rPr>
        <w:t>а</w:t>
      </w:r>
      <w:r w:rsidRPr="0080737A">
        <w:rPr>
          <w:rFonts w:ascii="Times New Roman" w:hAnsi="Times New Roman"/>
          <w:bCs/>
          <w:sz w:val="24"/>
          <w:szCs w:val="24"/>
        </w:rPr>
        <w:t xml:space="preserve"> абонентов </w:t>
      </w:r>
      <w:r w:rsidRPr="00763CA3">
        <w:rPr>
          <w:rFonts w:ascii="Times New Roman" w:hAnsi="Times New Roman"/>
          <w:bCs/>
          <w:sz w:val="24"/>
          <w:szCs w:val="24"/>
          <w:u w:val="single"/>
        </w:rPr>
        <w:t>мобильной сотовой связи</w:t>
      </w:r>
      <w:r w:rsidR="0072732C">
        <w:rPr>
          <w:rFonts w:ascii="Times New Roman" w:hAnsi="Times New Roman"/>
          <w:bCs/>
          <w:sz w:val="24"/>
          <w:szCs w:val="24"/>
          <w:u w:val="single"/>
        </w:rPr>
        <w:t xml:space="preserve"> </w:t>
      </w:r>
      <w:r>
        <w:rPr>
          <w:rFonts w:ascii="Times New Roman" w:hAnsi="Times New Roman"/>
          <w:bCs/>
          <w:sz w:val="24"/>
          <w:szCs w:val="24"/>
        </w:rPr>
        <w:t xml:space="preserve">к сопоставимому уровню прошлого года </w:t>
      </w:r>
      <w:r w:rsidRPr="00763CA3">
        <w:rPr>
          <w:rFonts w:ascii="Times New Roman" w:hAnsi="Times New Roman"/>
          <w:bCs/>
          <w:sz w:val="24"/>
          <w:szCs w:val="24"/>
        </w:rPr>
        <w:t xml:space="preserve">на </w:t>
      </w:r>
      <w:r>
        <w:rPr>
          <w:rFonts w:ascii="Times New Roman" w:hAnsi="Times New Roman"/>
          <w:bCs/>
          <w:sz w:val="24"/>
          <w:szCs w:val="24"/>
        </w:rPr>
        <w:t>6 279 (+1,9%) до 333 937 абонентов.</w:t>
      </w:r>
      <w:r w:rsidRPr="0080737A">
        <w:rPr>
          <w:rFonts w:ascii="Times New Roman" w:hAnsi="Times New Roman"/>
          <w:bCs/>
          <w:sz w:val="24"/>
          <w:szCs w:val="24"/>
        </w:rPr>
        <w:t xml:space="preserve"> О</w:t>
      </w:r>
      <w:r w:rsidRPr="0080737A">
        <w:rPr>
          <w:rFonts w:ascii="Times New Roman" w:hAnsi="Times New Roman"/>
          <w:sz w:val="24"/>
          <w:szCs w:val="24"/>
        </w:rPr>
        <w:t xml:space="preserve">бщий объем исходящего голосового трафика в мобильных сетях </w:t>
      </w:r>
      <w:r>
        <w:rPr>
          <w:rFonts w:ascii="Times New Roman" w:hAnsi="Times New Roman"/>
          <w:sz w:val="24"/>
          <w:szCs w:val="24"/>
        </w:rPr>
        <w:t xml:space="preserve">остался на уровне 2016 года и </w:t>
      </w:r>
      <w:r w:rsidRPr="0080737A">
        <w:rPr>
          <w:rFonts w:ascii="Times New Roman" w:hAnsi="Times New Roman"/>
          <w:sz w:val="24"/>
          <w:szCs w:val="24"/>
        </w:rPr>
        <w:t xml:space="preserve">составил </w:t>
      </w:r>
      <w:r>
        <w:rPr>
          <w:rFonts w:ascii="Times New Roman" w:hAnsi="Times New Roman"/>
          <w:sz w:val="24"/>
          <w:szCs w:val="24"/>
        </w:rPr>
        <w:t>169 663,4</w:t>
      </w:r>
      <w:r w:rsidRPr="0080737A">
        <w:rPr>
          <w:rFonts w:ascii="Times New Roman" w:hAnsi="Times New Roman"/>
          <w:sz w:val="24"/>
          <w:szCs w:val="24"/>
        </w:rPr>
        <w:t xml:space="preserve"> тыс. минут (</w:t>
      </w:r>
      <w:r>
        <w:rPr>
          <w:rFonts w:ascii="Times New Roman" w:hAnsi="Times New Roman"/>
          <w:sz w:val="24"/>
          <w:szCs w:val="24"/>
        </w:rPr>
        <w:t>2 827,7</w:t>
      </w:r>
      <w:r w:rsidRPr="0080737A">
        <w:rPr>
          <w:rFonts w:ascii="Times New Roman" w:hAnsi="Times New Roman"/>
          <w:sz w:val="24"/>
          <w:szCs w:val="24"/>
        </w:rPr>
        <w:t xml:space="preserve"> тыс. часов)</w:t>
      </w:r>
      <w:r>
        <w:rPr>
          <w:rFonts w:ascii="Times New Roman" w:hAnsi="Times New Roman"/>
          <w:sz w:val="24"/>
          <w:szCs w:val="24"/>
        </w:rPr>
        <w:t xml:space="preserve">. </w:t>
      </w:r>
      <w:r w:rsidRPr="00C944C9">
        <w:rPr>
          <w:rFonts w:ascii="Times New Roman" w:hAnsi="Times New Roman"/>
          <w:sz w:val="24"/>
          <w:szCs w:val="24"/>
        </w:rPr>
        <w:t>Среднемесячное количество исходящих минут, потребленных одним пользователем в мобильных сетях (показатель MОU), составляет 85 минут, из общего количества п</w:t>
      </w:r>
      <w:r w:rsidRPr="0080737A">
        <w:rPr>
          <w:rFonts w:ascii="Times New Roman" w:hAnsi="Times New Roman"/>
          <w:sz w:val="24"/>
          <w:szCs w:val="24"/>
        </w:rPr>
        <w:t xml:space="preserve">отребленных минут одним пользователем в мобильных сетях по территории </w:t>
      </w:r>
      <w:r>
        <w:rPr>
          <w:rFonts w:ascii="Times New Roman" w:hAnsi="Times New Roman"/>
          <w:sz w:val="24"/>
          <w:szCs w:val="24"/>
        </w:rPr>
        <w:t>р</w:t>
      </w:r>
      <w:r w:rsidRPr="0080737A">
        <w:rPr>
          <w:rFonts w:ascii="Times New Roman" w:hAnsi="Times New Roman"/>
          <w:sz w:val="24"/>
          <w:szCs w:val="24"/>
        </w:rPr>
        <w:t xml:space="preserve">еспублики составляет </w:t>
      </w:r>
      <w:r>
        <w:rPr>
          <w:rFonts w:ascii="Times New Roman" w:hAnsi="Times New Roman"/>
          <w:sz w:val="24"/>
          <w:szCs w:val="24"/>
        </w:rPr>
        <w:t>82 минуты</w:t>
      </w:r>
      <w:r w:rsidRPr="0080737A">
        <w:rPr>
          <w:rFonts w:ascii="Times New Roman" w:hAnsi="Times New Roman"/>
          <w:sz w:val="24"/>
          <w:szCs w:val="24"/>
        </w:rPr>
        <w:t xml:space="preserve">. </w:t>
      </w:r>
    </w:p>
    <w:p w:rsidR="00146BB8" w:rsidRPr="0080737A" w:rsidRDefault="00146BB8" w:rsidP="00146BB8">
      <w:pPr>
        <w:spacing w:after="0" w:line="240" w:lineRule="auto"/>
        <w:ind w:firstLine="709"/>
        <w:jc w:val="both"/>
        <w:rPr>
          <w:rFonts w:ascii="Times New Roman" w:hAnsi="Times New Roman"/>
          <w:sz w:val="24"/>
          <w:szCs w:val="24"/>
        </w:rPr>
      </w:pPr>
      <w:r w:rsidRPr="0080737A">
        <w:rPr>
          <w:rFonts w:ascii="Times New Roman" w:hAnsi="Times New Roman"/>
          <w:sz w:val="24"/>
          <w:szCs w:val="24"/>
        </w:rPr>
        <w:t>Для абонентов сотовой мобильной связи обеспечена услуга международного роуминга более чем с 200 странами, также предоставлена возможность высокоскоростного доступа к глобальной сети Интернет, услуги мобильного телевидения.</w:t>
      </w:r>
    </w:p>
    <w:p w:rsidR="00146BB8" w:rsidRDefault="00146BB8" w:rsidP="00146BB8">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Построение на всей территории Приднестровья </w:t>
      </w:r>
      <w:proofErr w:type="spellStart"/>
      <w:r w:rsidRPr="0080737A">
        <w:rPr>
          <w:rFonts w:ascii="Times New Roman" w:hAnsi="Times New Roman"/>
          <w:sz w:val="24"/>
          <w:szCs w:val="24"/>
        </w:rPr>
        <w:t>мультисервисной</w:t>
      </w:r>
      <w:proofErr w:type="spellEnd"/>
      <w:r w:rsidRPr="0080737A">
        <w:rPr>
          <w:rFonts w:ascii="Times New Roman" w:hAnsi="Times New Roman"/>
          <w:sz w:val="24"/>
          <w:szCs w:val="24"/>
        </w:rPr>
        <w:t xml:space="preserve"> транспортной высокоскоростной сети на базе технологии IP, позволяющей передавать трафик любого типа, </w:t>
      </w:r>
      <w:r>
        <w:rPr>
          <w:rFonts w:ascii="Times New Roman" w:hAnsi="Times New Roman"/>
          <w:sz w:val="24"/>
          <w:szCs w:val="24"/>
        </w:rPr>
        <w:t>позволило</w:t>
      </w:r>
      <w:r w:rsidRPr="0080737A">
        <w:rPr>
          <w:rFonts w:ascii="Times New Roman" w:hAnsi="Times New Roman"/>
          <w:sz w:val="24"/>
          <w:szCs w:val="24"/>
        </w:rPr>
        <w:t xml:space="preserve"> операторам электросвязи обеспечить широкополосный доступ в Интернет, </w:t>
      </w:r>
      <w:r>
        <w:rPr>
          <w:rFonts w:ascii="Times New Roman" w:hAnsi="Times New Roman"/>
          <w:sz w:val="24"/>
          <w:szCs w:val="24"/>
        </w:rPr>
        <w:t xml:space="preserve">внедрить комплекс </w:t>
      </w:r>
      <w:proofErr w:type="spellStart"/>
      <w:r>
        <w:rPr>
          <w:rFonts w:ascii="Times New Roman" w:hAnsi="Times New Roman"/>
          <w:sz w:val="24"/>
          <w:szCs w:val="24"/>
        </w:rPr>
        <w:t>мультимедийных</w:t>
      </w:r>
      <w:proofErr w:type="spellEnd"/>
      <w:r>
        <w:rPr>
          <w:rFonts w:ascii="Times New Roman" w:hAnsi="Times New Roman"/>
          <w:sz w:val="24"/>
          <w:szCs w:val="24"/>
        </w:rPr>
        <w:t xml:space="preserve"> услуг, включающий </w:t>
      </w:r>
      <w:r w:rsidRPr="0080737A">
        <w:rPr>
          <w:rFonts w:ascii="Times New Roman" w:hAnsi="Times New Roman"/>
          <w:sz w:val="24"/>
          <w:szCs w:val="24"/>
        </w:rPr>
        <w:t>радиовещание, доступ к информационным серверам, аудио архивам</w:t>
      </w:r>
      <w:r>
        <w:rPr>
          <w:rFonts w:ascii="Times New Roman" w:hAnsi="Times New Roman"/>
          <w:sz w:val="24"/>
          <w:szCs w:val="24"/>
        </w:rPr>
        <w:t>. Ч</w:t>
      </w:r>
      <w:r w:rsidRPr="0080737A">
        <w:rPr>
          <w:rFonts w:ascii="Times New Roman" w:hAnsi="Times New Roman"/>
          <w:sz w:val="24"/>
          <w:szCs w:val="24"/>
        </w:rPr>
        <w:t xml:space="preserve">исленность абонентов, подключенных к </w:t>
      </w:r>
      <w:r w:rsidRPr="0080737A">
        <w:rPr>
          <w:rFonts w:ascii="Times New Roman" w:hAnsi="Times New Roman"/>
          <w:sz w:val="24"/>
          <w:szCs w:val="24"/>
          <w:u w:val="single"/>
        </w:rPr>
        <w:t>глобальной сети Интернет</w:t>
      </w:r>
      <w:r w:rsidRPr="0080737A">
        <w:rPr>
          <w:rFonts w:ascii="Times New Roman" w:hAnsi="Times New Roman"/>
          <w:sz w:val="24"/>
          <w:szCs w:val="24"/>
        </w:rPr>
        <w:t xml:space="preserve"> (кроме сетей мобильной связи)</w:t>
      </w:r>
      <w:r>
        <w:rPr>
          <w:rFonts w:ascii="Times New Roman" w:hAnsi="Times New Roman"/>
          <w:sz w:val="24"/>
          <w:szCs w:val="24"/>
        </w:rPr>
        <w:t>,</w:t>
      </w:r>
      <w:r w:rsidR="0072732C">
        <w:rPr>
          <w:rFonts w:ascii="Times New Roman" w:hAnsi="Times New Roman"/>
          <w:sz w:val="24"/>
          <w:szCs w:val="24"/>
        </w:rPr>
        <w:t xml:space="preserve"> </w:t>
      </w:r>
      <w:r>
        <w:rPr>
          <w:rFonts w:ascii="Times New Roman" w:hAnsi="Times New Roman"/>
          <w:sz w:val="24"/>
          <w:szCs w:val="24"/>
        </w:rPr>
        <w:t xml:space="preserve">в отчетном периоде </w:t>
      </w:r>
      <w:r w:rsidRPr="0080737A">
        <w:rPr>
          <w:rFonts w:ascii="Times New Roman" w:hAnsi="Times New Roman"/>
          <w:sz w:val="24"/>
          <w:szCs w:val="24"/>
        </w:rPr>
        <w:t xml:space="preserve">составила </w:t>
      </w:r>
      <w:r>
        <w:rPr>
          <w:rFonts w:ascii="Times New Roman" w:hAnsi="Times New Roman"/>
          <w:sz w:val="24"/>
          <w:szCs w:val="24"/>
        </w:rPr>
        <w:t>118 335</w:t>
      </w:r>
      <w:r w:rsidRPr="0080737A">
        <w:rPr>
          <w:rFonts w:ascii="Times New Roman" w:hAnsi="Times New Roman"/>
          <w:sz w:val="24"/>
          <w:szCs w:val="24"/>
        </w:rPr>
        <w:t xml:space="preserve"> абонентов, из которых: 97,</w:t>
      </w:r>
      <w:r>
        <w:rPr>
          <w:rFonts w:ascii="Times New Roman" w:hAnsi="Times New Roman"/>
          <w:sz w:val="24"/>
          <w:szCs w:val="24"/>
        </w:rPr>
        <w:t>7</w:t>
      </w:r>
      <w:r w:rsidRPr="0080737A">
        <w:rPr>
          <w:rFonts w:ascii="Times New Roman" w:hAnsi="Times New Roman"/>
          <w:sz w:val="24"/>
          <w:szCs w:val="24"/>
        </w:rPr>
        <w:t xml:space="preserve">% </w:t>
      </w:r>
      <w:r>
        <w:rPr>
          <w:rFonts w:ascii="Times New Roman" w:hAnsi="Times New Roman"/>
          <w:sz w:val="24"/>
          <w:szCs w:val="24"/>
        </w:rPr>
        <w:t>(115 578</w:t>
      </w:r>
      <w:r w:rsidRPr="0080737A">
        <w:rPr>
          <w:rFonts w:ascii="Times New Roman" w:hAnsi="Times New Roman"/>
          <w:sz w:val="24"/>
          <w:szCs w:val="24"/>
        </w:rPr>
        <w:t xml:space="preserve"> абонентов</w:t>
      </w:r>
      <w:r>
        <w:rPr>
          <w:rFonts w:ascii="Times New Roman" w:hAnsi="Times New Roman"/>
          <w:sz w:val="24"/>
          <w:szCs w:val="24"/>
        </w:rPr>
        <w:t>)</w:t>
      </w:r>
      <w:r w:rsidRPr="0080737A">
        <w:rPr>
          <w:rFonts w:ascii="Times New Roman" w:hAnsi="Times New Roman"/>
          <w:sz w:val="24"/>
          <w:szCs w:val="24"/>
        </w:rPr>
        <w:t xml:space="preserve"> физические лица, а </w:t>
      </w:r>
      <w:r>
        <w:rPr>
          <w:rFonts w:ascii="Times New Roman" w:hAnsi="Times New Roman"/>
          <w:sz w:val="24"/>
          <w:szCs w:val="24"/>
        </w:rPr>
        <w:t>2,3</w:t>
      </w:r>
      <w:r w:rsidRPr="0080737A">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t>(2 757</w:t>
      </w:r>
      <w:r w:rsidRPr="0080737A">
        <w:rPr>
          <w:rFonts w:ascii="Times New Roman" w:hAnsi="Times New Roman"/>
          <w:sz w:val="24"/>
          <w:szCs w:val="24"/>
        </w:rPr>
        <w:t xml:space="preserve"> абонент</w:t>
      </w:r>
      <w:r>
        <w:rPr>
          <w:rFonts w:ascii="Times New Roman" w:hAnsi="Times New Roman"/>
          <w:sz w:val="24"/>
          <w:szCs w:val="24"/>
        </w:rPr>
        <w:t>ов)</w:t>
      </w:r>
      <w:r w:rsidRPr="0080737A">
        <w:rPr>
          <w:rFonts w:ascii="Times New Roman" w:hAnsi="Times New Roman"/>
          <w:sz w:val="24"/>
          <w:szCs w:val="24"/>
        </w:rPr>
        <w:t xml:space="preserve"> – юридические лица. Для юридических лиц предоставлена возможность оптимизировать структуры своих компьютерных сетей, объединив свои филиалы на основе существующей инфраструктуры и сетей передачи </w:t>
      </w:r>
      <w:r>
        <w:rPr>
          <w:rFonts w:ascii="Times New Roman" w:hAnsi="Times New Roman"/>
          <w:sz w:val="24"/>
          <w:szCs w:val="24"/>
        </w:rPr>
        <w:t>данных операторов электросвязи.</w:t>
      </w:r>
    </w:p>
    <w:p w:rsidR="00146BB8" w:rsidRPr="0080737A" w:rsidRDefault="00146BB8" w:rsidP="00146BB8">
      <w:pPr>
        <w:spacing w:after="0" w:line="240" w:lineRule="auto"/>
        <w:ind w:firstLine="709"/>
        <w:jc w:val="both"/>
        <w:rPr>
          <w:rFonts w:ascii="Times New Roman" w:hAnsi="Times New Roman"/>
          <w:sz w:val="24"/>
          <w:szCs w:val="24"/>
        </w:rPr>
      </w:pPr>
    </w:p>
    <w:p w:rsidR="00146BB8" w:rsidRDefault="00146BB8" w:rsidP="00146BB8">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Единый п</w:t>
      </w:r>
      <w:r w:rsidRPr="0080737A">
        <w:rPr>
          <w:rFonts w:ascii="Times New Roman" w:hAnsi="Times New Roman"/>
          <w:sz w:val="24"/>
          <w:szCs w:val="24"/>
        </w:rPr>
        <w:t xml:space="preserve">роизводственно-технологический комплекс технических и транспортных средств, обеспечивающий прием, обработку, перевозку, доставку (вручение) почтовых отправлений, а также осуществляющий переводы денежных средств, представлен государственным унитарным предприятием </w:t>
      </w:r>
      <w:r w:rsidRPr="0080737A">
        <w:rPr>
          <w:rFonts w:ascii="Times New Roman" w:hAnsi="Times New Roman"/>
          <w:sz w:val="24"/>
          <w:szCs w:val="24"/>
          <w:u w:val="single"/>
        </w:rPr>
        <w:t>почтовой связи</w:t>
      </w:r>
      <w:r w:rsidRPr="0080737A">
        <w:rPr>
          <w:rFonts w:ascii="Times New Roman" w:hAnsi="Times New Roman"/>
          <w:sz w:val="24"/>
          <w:szCs w:val="24"/>
        </w:rPr>
        <w:t xml:space="preserve"> ГУП «Почта Приднестровья» (в состав которого входят 6 дочерних предприятий)</w:t>
      </w:r>
      <w:r>
        <w:rPr>
          <w:rFonts w:ascii="Times New Roman" w:hAnsi="Times New Roman"/>
          <w:sz w:val="24"/>
          <w:szCs w:val="24"/>
        </w:rPr>
        <w:t>.</w:t>
      </w:r>
      <w:r w:rsidR="0072732C">
        <w:rPr>
          <w:rFonts w:ascii="Times New Roman" w:hAnsi="Times New Roman"/>
          <w:sz w:val="24"/>
          <w:szCs w:val="24"/>
        </w:rPr>
        <w:t xml:space="preserve"> </w:t>
      </w:r>
      <w:r>
        <w:rPr>
          <w:rFonts w:ascii="Times New Roman" w:hAnsi="Times New Roman"/>
          <w:sz w:val="24"/>
          <w:szCs w:val="24"/>
        </w:rPr>
        <w:t>Т</w:t>
      </w:r>
      <w:r w:rsidRPr="0080737A">
        <w:rPr>
          <w:rFonts w:ascii="Times New Roman" w:hAnsi="Times New Roman"/>
          <w:sz w:val="24"/>
          <w:szCs w:val="24"/>
        </w:rPr>
        <w:t xml:space="preserve">акже </w:t>
      </w:r>
      <w:r>
        <w:rPr>
          <w:rFonts w:ascii="Times New Roman" w:hAnsi="Times New Roman"/>
          <w:sz w:val="24"/>
          <w:szCs w:val="24"/>
        </w:rPr>
        <w:t xml:space="preserve">в данной сфере осуществляют деятельность </w:t>
      </w:r>
      <w:r w:rsidRPr="0080737A">
        <w:rPr>
          <w:rFonts w:ascii="Times New Roman" w:hAnsi="Times New Roman"/>
          <w:sz w:val="24"/>
          <w:szCs w:val="24"/>
        </w:rPr>
        <w:t>предприятия негосударственной формы собственности: ООО «СПН», ООО</w:t>
      </w:r>
      <w:r>
        <w:rPr>
          <w:rFonts w:ascii="Times New Roman" w:hAnsi="Times New Roman"/>
          <w:sz w:val="24"/>
          <w:szCs w:val="24"/>
        </w:rPr>
        <w:t> </w:t>
      </w:r>
      <w:r w:rsidRPr="0080737A">
        <w:rPr>
          <w:rFonts w:ascii="Times New Roman" w:hAnsi="Times New Roman"/>
          <w:sz w:val="24"/>
          <w:szCs w:val="24"/>
        </w:rPr>
        <w:t>«</w:t>
      </w:r>
      <w:proofErr w:type="spellStart"/>
      <w:r w:rsidRPr="0080737A">
        <w:rPr>
          <w:rFonts w:ascii="Times New Roman" w:hAnsi="Times New Roman"/>
          <w:sz w:val="24"/>
          <w:szCs w:val="24"/>
        </w:rPr>
        <w:t>Деливири</w:t>
      </w:r>
      <w:proofErr w:type="spellEnd"/>
      <w:r w:rsidRPr="0080737A">
        <w:rPr>
          <w:rFonts w:ascii="Times New Roman" w:hAnsi="Times New Roman"/>
          <w:sz w:val="24"/>
          <w:szCs w:val="24"/>
        </w:rPr>
        <w:t xml:space="preserve"> Интернет </w:t>
      </w:r>
      <w:proofErr w:type="spellStart"/>
      <w:r w:rsidRPr="0080737A">
        <w:rPr>
          <w:rFonts w:ascii="Times New Roman" w:hAnsi="Times New Roman"/>
          <w:sz w:val="24"/>
          <w:szCs w:val="24"/>
        </w:rPr>
        <w:t>Парсел</w:t>
      </w:r>
      <w:proofErr w:type="spellEnd"/>
      <w:r w:rsidRPr="0080737A">
        <w:rPr>
          <w:rFonts w:ascii="Times New Roman" w:hAnsi="Times New Roman"/>
          <w:sz w:val="24"/>
          <w:szCs w:val="24"/>
        </w:rPr>
        <w:t>», ООО «</w:t>
      </w:r>
      <w:proofErr w:type="spellStart"/>
      <w:r w:rsidRPr="0080737A">
        <w:rPr>
          <w:rFonts w:ascii="Times New Roman" w:hAnsi="Times New Roman"/>
          <w:sz w:val="24"/>
          <w:szCs w:val="24"/>
        </w:rPr>
        <w:t>Авиаэкспресс</w:t>
      </w:r>
      <w:proofErr w:type="spellEnd"/>
      <w:r w:rsidRPr="0080737A">
        <w:rPr>
          <w:rFonts w:ascii="Times New Roman" w:hAnsi="Times New Roman"/>
          <w:sz w:val="24"/>
          <w:szCs w:val="24"/>
        </w:rPr>
        <w:t>».</w:t>
      </w:r>
    </w:p>
    <w:p w:rsidR="00146BB8" w:rsidRDefault="00146BB8" w:rsidP="00146BB8">
      <w:pPr>
        <w:spacing w:after="0" w:line="240" w:lineRule="auto"/>
        <w:ind w:firstLine="709"/>
        <w:jc w:val="both"/>
        <w:rPr>
          <w:rFonts w:ascii="Times New Roman" w:hAnsi="Times New Roman"/>
          <w:sz w:val="24"/>
          <w:szCs w:val="24"/>
        </w:rPr>
      </w:pPr>
      <w:r w:rsidRPr="001133A2">
        <w:rPr>
          <w:rFonts w:ascii="Times New Roman" w:hAnsi="Times New Roman"/>
          <w:sz w:val="24"/>
          <w:szCs w:val="24"/>
        </w:rPr>
        <w:t xml:space="preserve">Суммарная величина доходов организаций почтовой связи (без учета стоимости товаров по цене поставщика), включающая в себя как доходы от основной, так и от непрофильной и торговой деятельности, в январе-июне 2017 года снизилась на 8,9%, составив 4 626,6 тыс. руб. </w:t>
      </w:r>
    </w:p>
    <w:p w:rsidR="00146BB8" w:rsidRDefault="00146BB8" w:rsidP="00146BB8">
      <w:pPr>
        <w:spacing w:after="0" w:line="240" w:lineRule="auto"/>
        <w:ind w:firstLine="709"/>
        <w:jc w:val="both"/>
        <w:rPr>
          <w:rFonts w:ascii="Times New Roman" w:hAnsi="Times New Roman"/>
          <w:sz w:val="24"/>
          <w:szCs w:val="24"/>
        </w:rPr>
      </w:pPr>
      <w:r w:rsidRPr="00280226">
        <w:rPr>
          <w:rFonts w:ascii="Times New Roman" w:hAnsi="Times New Roman"/>
          <w:sz w:val="24"/>
          <w:szCs w:val="24"/>
        </w:rPr>
        <w:t>При этом сохранение тарифов на пересылку по всем видам услуг почтовой связи на уровне января-июня минувшего года,</w:t>
      </w:r>
      <w:r>
        <w:rPr>
          <w:rFonts w:ascii="Times New Roman" w:hAnsi="Times New Roman"/>
          <w:sz w:val="24"/>
          <w:szCs w:val="24"/>
        </w:rPr>
        <w:t xml:space="preserve"> а также увеличение объема исходящего почтового обмена по некоторым видам отправлений, обусловили прирост совокупной величины </w:t>
      </w:r>
      <w:r w:rsidRPr="001133A2">
        <w:rPr>
          <w:rFonts w:ascii="Times New Roman" w:hAnsi="Times New Roman"/>
          <w:sz w:val="24"/>
          <w:szCs w:val="24"/>
          <w:u w:val="single"/>
        </w:rPr>
        <w:t>доходов</w:t>
      </w:r>
      <w:r>
        <w:rPr>
          <w:rFonts w:ascii="Times New Roman" w:hAnsi="Times New Roman"/>
          <w:sz w:val="24"/>
          <w:szCs w:val="24"/>
          <w:u w:val="single"/>
        </w:rPr>
        <w:t>,</w:t>
      </w:r>
      <w:r w:rsidRPr="001133A2">
        <w:rPr>
          <w:rFonts w:ascii="Times New Roman" w:hAnsi="Times New Roman"/>
          <w:sz w:val="24"/>
          <w:szCs w:val="24"/>
          <w:u w:val="single"/>
        </w:rPr>
        <w:t xml:space="preserve"> полученных от основной деятельности</w:t>
      </w:r>
      <w:r>
        <w:rPr>
          <w:rFonts w:ascii="Times New Roman" w:hAnsi="Times New Roman"/>
          <w:sz w:val="24"/>
          <w:szCs w:val="24"/>
          <w:u w:val="single"/>
        </w:rPr>
        <w:t>,</w:t>
      </w:r>
      <w:r w:rsidRPr="00136AB8">
        <w:rPr>
          <w:rFonts w:ascii="Times New Roman" w:hAnsi="Times New Roman"/>
          <w:sz w:val="24"/>
          <w:szCs w:val="24"/>
        </w:rPr>
        <w:t xml:space="preserve"> государственны</w:t>
      </w:r>
      <w:r>
        <w:rPr>
          <w:rFonts w:ascii="Times New Roman" w:hAnsi="Times New Roman"/>
          <w:sz w:val="24"/>
          <w:szCs w:val="24"/>
        </w:rPr>
        <w:t>х</w:t>
      </w:r>
      <w:r w:rsidRPr="00136AB8">
        <w:rPr>
          <w:rFonts w:ascii="Times New Roman" w:hAnsi="Times New Roman"/>
          <w:sz w:val="24"/>
          <w:szCs w:val="24"/>
        </w:rPr>
        <w:t xml:space="preserve"> предприяти</w:t>
      </w:r>
      <w:r>
        <w:rPr>
          <w:rFonts w:ascii="Times New Roman" w:hAnsi="Times New Roman"/>
          <w:sz w:val="24"/>
          <w:szCs w:val="24"/>
        </w:rPr>
        <w:t>й</w:t>
      </w:r>
      <w:r w:rsidRPr="00136AB8">
        <w:rPr>
          <w:rFonts w:ascii="Times New Roman" w:hAnsi="Times New Roman"/>
          <w:sz w:val="24"/>
          <w:szCs w:val="24"/>
        </w:rPr>
        <w:t xml:space="preserve"> почтовой связи</w:t>
      </w:r>
      <w:r w:rsidR="0072732C">
        <w:rPr>
          <w:rFonts w:ascii="Times New Roman" w:hAnsi="Times New Roman"/>
          <w:sz w:val="24"/>
          <w:szCs w:val="24"/>
        </w:rPr>
        <w:t xml:space="preserve"> </w:t>
      </w:r>
      <w:r w:rsidRPr="00136AB8">
        <w:rPr>
          <w:rFonts w:ascii="Times New Roman" w:hAnsi="Times New Roman"/>
          <w:sz w:val="24"/>
          <w:szCs w:val="24"/>
        </w:rPr>
        <w:t>на 1,7 %</w:t>
      </w:r>
      <w:r>
        <w:rPr>
          <w:rFonts w:ascii="Times New Roman" w:hAnsi="Times New Roman"/>
          <w:sz w:val="24"/>
          <w:szCs w:val="24"/>
        </w:rPr>
        <w:t xml:space="preserve"> до </w:t>
      </w:r>
      <w:r w:rsidRPr="00136AB8">
        <w:rPr>
          <w:rFonts w:ascii="Times New Roman" w:hAnsi="Times New Roman"/>
          <w:sz w:val="24"/>
          <w:szCs w:val="24"/>
        </w:rPr>
        <w:t>2 597,7 тыс. руб.</w:t>
      </w:r>
    </w:p>
    <w:p w:rsidR="00146BB8" w:rsidRDefault="00146BB8" w:rsidP="00146BB8">
      <w:pPr>
        <w:spacing w:after="0" w:line="240" w:lineRule="auto"/>
        <w:ind w:firstLine="709"/>
        <w:jc w:val="both"/>
        <w:rPr>
          <w:rFonts w:ascii="Times New Roman" w:hAnsi="Times New Roman"/>
          <w:sz w:val="24"/>
          <w:szCs w:val="24"/>
        </w:rPr>
      </w:pPr>
      <w:r w:rsidRPr="00280226">
        <w:rPr>
          <w:rFonts w:ascii="Times New Roman" w:hAnsi="Times New Roman"/>
          <w:sz w:val="24"/>
          <w:szCs w:val="24"/>
        </w:rPr>
        <w:t xml:space="preserve">Увеличение </w:t>
      </w:r>
      <w:r>
        <w:rPr>
          <w:rFonts w:ascii="Times New Roman" w:hAnsi="Times New Roman"/>
          <w:sz w:val="24"/>
          <w:szCs w:val="24"/>
        </w:rPr>
        <w:t>доходов от основной деятельности наблюдалось по таким видам услуг как:</w:t>
      </w:r>
    </w:p>
    <w:p w:rsidR="00146BB8" w:rsidRDefault="00146BB8" w:rsidP="00146BB8">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прием и отправление денежных переводов – на 10,9% до 146,0 тыс. руб.;</w:t>
      </w:r>
    </w:p>
    <w:p w:rsidR="00146BB8" w:rsidRDefault="00146BB8" w:rsidP="00146BB8">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280226">
        <w:rPr>
          <w:rFonts w:ascii="Times New Roman" w:hAnsi="Times New Roman"/>
          <w:sz w:val="24"/>
          <w:szCs w:val="24"/>
        </w:rPr>
        <w:t xml:space="preserve">отправление ускоренной почты </w:t>
      </w:r>
      <w:r w:rsidRPr="00280226">
        <w:rPr>
          <w:rFonts w:ascii="Times New Roman" w:hAnsi="Times New Roman"/>
          <w:sz w:val="24"/>
          <w:szCs w:val="24"/>
          <w:lang w:val="en-US"/>
        </w:rPr>
        <w:t>EMS</w:t>
      </w:r>
      <w:r w:rsidRPr="00280226">
        <w:rPr>
          <w:rFonts w:ascii="Times New Roman" w:hAnsi="Times New Roman"/>
          <w:sz w:val="24"/>
          <w:szCs w:val="24"/>
        </w:rPr>
        <w:t xml:space="preserve"> – на </w:t>
      </w:r>
      <w:r>
        <w:rPr>
          <w:rFonts w:ascii="Times New Roman" w:hAnsi="Times New Roman"/>
          <w:sz w:val="24"/>
          <w:szCs w:val="24"/>
        </w:rPr>
        <w:t>31,5</w:t>
      </w:r>
      <w:r w:rsidRPr="00280226">
        <w:rPr>
          <w:rFonts w:ascii="Times New Roman" w:hAnsi="Times New Roman"/>
          <w:sz w:val="24"/>
          <w:szCs w:val="24"/>
        </w:rPr>
        <w:t xml:space="preserve">% до </w:t>
      </w:r>
      <w:r>
        <w:rPr>
          <w:rFonts w:ascii="Times New Roman" w:hAnsi="Times New Roman"/>
          <w:sz w:val="24"/>
          <w:szCs w:val="24"/>
        </w:rPr>
        <w:t>12,1</w:t>
      </w:r>
      <w:r w:rsidRPr="00280226">
        <w:rPr>
          <w:rFonts w:ascii="Times New Roman" w:hAnsi="Times New Roman"/>
          <w:sz w:val="24"/>
          <w:szCs w:val="24"/>
        </w:rPr>
        <w:t xml:space="preserve"> тыс. руб.;</w:t>
      </w:r>
    </w:p>
    <w:p w:rsidR="00146BB8" w:rsidRDefault="00146BB8" w:rsidP="00146BB8">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подписка и распространение периодических изданий – на 12,0% до 876,2 тыс. руб.;</w:t>
      </w:r>
    </w:p>
    <w:p w:rsidR="00146BB8" w:rsidRDefault="00146BB8" w:rsidP="00146BB8">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proofErr w:type="spellStart"/>
      <w:r>
        <w:rPr>
          <w:rFonts w:ascii="Times New Roman" w:hAnsi="Times New Roman"/>
          <w:sz w:val="24"/>
          <w:szCs w:val="24"/>
        </w:rPr>
        <w:t>спецсвязь</w:t>
      </w:r>
      <w:proofErr w:type="spellEnd"/>
      <w:r>
        <w:rPr>
          <w:rFonts w:ascii="Times New Roman" w:hAnsi="Times New Roman"/>
          <w:sz w:val="24"/>
          <w:szCs w:val="24"/>
        </w:rPr>
        <w:t xml:space="preserve"> – на 15,3% до 49,0 тыс. руб.;</w:t>
      </w:r>
    </w:p>
    <w:p w:rsidR="00146BB8" w:rsidRDefault="00146BB8" w:rsidP="00146BB8">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прочие доходы – на 50,0% до 270,5 тыс. руб.</w:t>
      </w:r>
    </w:p>
    <w:p w:rsidR="00146BB8" w:rsidRPr="0080737A" w:rsidRDefault="00146BB8" w:rsidP="00146BB8">
      <w:pPr>
        <w:spacing w:after="0" w:line="240" w:lineRule="auto"/>
        <w:ind w:firstLine="709"/>
        <w:jc w:val="both"/>
        <w:rPr>
          <w:rFonts w:ascii="Times New Roman" w:hAnsi="Times New Roman"/>
          <w:sz w:val="24"/>
          <w:szCs w:val="24"/>
        </w:rPr>
      </w:pPr>
    </w:p>
    <w:p w:rsidR="00146BB8" w:rsidRPr="0080737A" w:rsidRDefault="00146BB8" w:rsidP="00146BB8">
      <w:pPr>
        <w:spacing w:after="0" w:line="240" w:lineRule="auto"/>
        <w:ind w:left="-284"/>
        <w:jc w:val="center"/>
        <w:rPr>
          <w:rFonts w:ascii="Times New Roman" w:hAnsi="Times New Roman"/>
          <w:sz w:val="24"/>
          <w:szCs w:val="24"/>
        </w:rPr>
      </w:pPr>
      <w:r w:rsidRPr="0080737A">
        <w:rPr>
          <w:rFonts w:ascii="Times New Roman" w:hAnsi="Times New Roman"/>
          <w:noProof/>
          <w:sz w:val="28"/>
          <w:szCs w:val="28"/>
        </w:rPr>
        <w:drawing>
          <wp:inline distT="0" distB="0" distL="0" distR="0">
            <wp:extent cx="6200775" cy="1981200"/>
            <wp:effectExtent l="19050" t="0" r="0" b="0"/>
            <wp:docPr id="8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6BB8" w:rsidRDefault="00146BB8" w:rsidP="00146BB8">
      <w:pPr>
        <w:tabs>
          <w:tab w:val="left" w:pos="1134"/>
        </w:tabs>
        <w:spacing w:after="0" w:line="240" w:lineRule="auto"/>
        <w:ind w:firstLine="709"/>
        <w:contextualSpacing/>
        <w:jc w:val="both"/>
        <w:rPr>
          <w:rFonts w:ascii="Times New Roman" w:hAnsi="Times New Roman"/>
          <w:sz w:val="24"/>
          <w:szCs w:val="24"/>
        </w:rPr>
      </w:pPr>
    </w:p>
    <w:p w:rsidR="00146BB8" w:rsidRDefault="00146BB8" w:rsidP="00146BB8">
      <w:pPr>
        <w:tabs>
          <w:tab w:val="left" w:pos="1134"/>
        </w:tabs>
        <w:spacing w:after="0" w:line="240" w:lineRule="auto"/>
        <w:ind w:firstLine="709"/>
        <w:contextualSpacing/>
        <w:jc w:val="both"/>
        <w:rPr>
          <w:rFonts w:ascii="Times New Roman" w:hAnsi="Times New Roman"/>
          <w:sz w:val="24"/>
          <w:szCs w:val="24"/>
        </w:rPr>
      </w:pPr>
      <w:r w:rsidRPr="001133A2">
        <w:rPr>
          <w:rFonts w:ascii="Times New Roman" w:hAnsi="Times New Roman"/>
          <w:sz w:val="24"/>
          <w:szCs w:val="24"/>
          <w:u w:val="single"/>
        </w:rPr>
        <w:t>Доходы от непрофильной деятельности</w:t>
      </w:r>
      <w:r w:rsidRPr="0080737A">
        <w:rPr>
          <w:rFonts w:ascii="Times New Roman" w:hAnsi="Times New Roman"/>
          <w:sz w:val="24"/>
          <w:szCs w:val="24"/>
        </w:rPr>
        <w:t xml:space="preserve"> (прием коммунальных платежей, платежей за оказание услуг связи, ксерокопирование) </w:t>
      </w:r>
      <w:r>
        <w:rPr>
          <w:rFonts w:ascii="Times New Roman" w:hAnsi="Times New Roman"/>
          <w:sz w:val="24"/>
          <w:szCs w:val="24"/>
        </w:rPr>
        <w:t xml:space="preserve">сократились </w:t>
      </w:r>
      <w:r w:rsidRPr="0080737A">
        <w:rPr>
          <w:rFonts w:ascii="Times New Roman" w:hAnsi="Times New Roman"/>
          <w:sz w:val="24"/>
          <w:szCs w:val="24"/>
        </w:rPr>
        <w:t xml:space="preserve">на </w:t>
      </w:r>
      <w:r>
        <w:rPr>
          <w:rFonts w:ascii="Times New Roman" w:hAnsi="Times New Roman"/>
          <w:sz w:val="24"/>
          <w:szCs w:val="24"/>
        </w:rPr>
        <w:t>22,5</w:t>
      </w:r>
      <w:r w:rsidRPr="0080737A">
        <w:rPr>
          <w:rFonts w:ascii="Times New Roman" w:hAnsi="Times New Roman"/>
          <w:sz w:val="24"/>
          <w:szCs w:val="24"/>
        </w:rPr>
        <w:t>%до 1</w:t>
      </w:r>
      <w:r>
        <w:rPr>
          <w:rFonts w:ascii="Times New Roman" w:hAnsi="Times New Roman"/>
          <w:sz w:val="24"/>
          <w:szCs w:val="24"/>
        </w:rPr>
        <w:t> 368,9</w:t>
      </w:r>
      <w:r w:rsidRPr="0080737A">
        <w:rPr>
          <w:rFonts w:ascii="Times New Roman" w:hAnsi="Times New Roman"/>
          <w:sz w:val="24"/>
          <w:szCs w:val="24"/>
        </w:rPr>
        <w:t xml:space="preserve"> тыс. руб.</w:t>
      </w:r>
      <w:r>
        <w:rPr>
          <w:rFonts w:ascii="Times New Roman" w:hAnsi="Times New Roman"/>
          <w:sz w:val="24"/>
          <w:szCs w:val="24"/>
        </w:rPr>
        <w:t xml:space="preserve"> Это связано с переходом части клиентов на систему платежей через интернет-банк, а также из-за возможности оплаты коммунальных платежей льготной категорией граждан через кассы банков без оплаты комиссионного вознаграждения.</w:t>
      </w:r>
    </w:p>
    <w:p w:rsidR="00146BB8" w:rsidRDefault="00146BB8" w:rsidP="00146BB8">
      <w:pPr>
        <w:tabs>
          <w:tab w:val="left" w:pos="1134"/>
        </w:tabs>
        <w:spacing w:after="0" w:line="240" w:lineRule="auto"/>
        <w:ind w:firstLine="709"/>
        <w:contextualSpacing/>
        <w:jc w:val="both"/>
        <w:rPr>
          <w:rFonts w:ascii="Times New Roman" w:hAnsi="Times New Roman"/>
          <w:sz w:val="24"/>
          <w:szCs w:val="24"/>
        </w:rPr>
      </w:pPr>
      <w:r>
        <w:rPr>
          <w:rFonts w:ascii="Times New Roman" w:hAnsi="Times New Roman"/>
          <w:sz w:val="24"/>
          <w:szCs w:val="24"/>
          <w:u w:val="single"/>
        </w:rPr>
        <w:t>Объем д</w:t>
      </w:r>
      <w:r w:rsidRPr="004D6CAA">
        <w:rPr>
          <w:rFonts w:ascii="Times New Roman" w:hAnsi="Times New Roman"/>
          <w:sz w:val="24"/>
          <w:szCs w:val="24"/>
          <w:u w:val="single"/>
        </w:rPr>
        <w:t>оход</w:t>
      </w:r>
      <w:r>
        <w:rPr>
          <w:rFonts w:ascii="Times New Roman" w:hAnsi="Times New Roman"/>
          <w:sz w:val="24"/>
          <w:szCs w:val="24"/>
          <w:u w:val="single"/>
        </w:rPr>
        <w:t>ов</w:t>
      </w:r>
      <w:r w:rsidRPr="004D6CAA">
        <w:rPr>
          <w:rFonts w:ascii="Times New Roman" w:hAnsi="Times New Roman"/>
          <w:sz w:val="24"/>
          <w:szCs w:val="24"/>
          <w:u w:val="single"/>
        </w:rPr>
        <w:t xml:space="preserve"> от торговой деятельности</w:t>
      </w:r>
      <w:r w:rsidRPr="00146BB8">
        <w:rPr>
          <w:rFonts w:ascii="Times New Roman" w:hAnsi="Times New Roman"/>
          <w:sz w:val="24"/>
          <w:szCs w:val="24"/>
        </w:rPr>
        <w:t xml:space="preserve"> снизился</w:t>
      </w:r>
      <w:r>
        <w:rPr>
          <w:rFonts w:ascii="Times New Roman" w:hAnsi="Times New Roman"/>
          <w:sz w:val="24"/>
          <w:szCs w:val="24"/>
        </w:rPr>
        <w:t xml:space="preserve"> на 12,6% и сложился в размере 659,9 </w:t>
      </w:r>
      <w:r w:rsidRPr="0080737A">
        <w:rPr>
          <w:rFonts w:ascii="Times New Roman" w:hAnsi="Times New Roman"/>
          <w:sz w:val="24"/>
          <w:szCs w:val="24"/>
        </w:rPr>
        <w:t>тыс. руб</w:t>
      </w:r>
      <w:r>
        <w:rPr>
          <w:rFonts w:ascii="Times New Roman" w:hAnsi="Times New Roman"/>
          <w:sz w:val="24"/>
          <w:szCs w:val="24"/>
        </w:rPr>
        <w:t>.</w:t>
      </w:r>
    </w:p>
    <w:p w:rsidR="00146BB8" w:rsidRPr="0080737A" w:rsidRDefault="00146BB8" w:rsidP="00146BB8">
      <w:pPr>
        <w:spacing w:after="0" w:line="240" w:lineRule="auto"/>
        <w:ind w:firstLine="709"/>
        <w:contextualSpacing/>
        <w:jc w:val="both"/>
        <w:rPr>
          <w:rFonts w:ascii="Times New Roman" w:hAnsi="Times New Roman"/>
          <w:sz w:val="24"/>
          <w:szCs w:val="24"/>
        </w:rPr>
      </w:pPr>
      <w:r w:rsidRPr="0080737A">
        <w:rPr>
          <w:rFonts w:ascii="Times New Roman" w:hAnsi="Times New Roman"/>
          <w:sz w:val="24"/>
          <w:szCs w:val="24"/>
        </w:rPr>
        <w:t xml:space="preserve">Также дополнительным источником пополнения оборотных средств являются </w:t>
      </w:r>
      <w:r w:rsidRPr="004D6CAA">
        <w:rPr>
          <w:rFonts w:ascii="Times New Roman" w:hAnsi="Times New Roman"/>
          <w:sz w:val="24"/>
          <w:szCs w:val="24"/>
          <w:u w:val="single"/>
        </w:rPr>
        <w:t>доходы от сдачи имущества в аренду</w:t>
      </w:r>
      <w:r>
        <w:rPr>
          <w:rFonts w:ascii="Times New Roman" w:hAnsi="Times New Roman"/>
          <w:sz w:val="24"/>
          <w:szCs w:val="24"/>
        </w:rPr>
        <w:t xml:space="preserve">, </w:t>
      </w:r>
      <w:r w:rsidRPr="0080737A">
        <w:rPr>
          <w:rFonts w:ascii="Times New Roman" w:hAnsi="Times New Roman"/>
          <w:sz w:val="24"/>
          <w:szCs w:val="24"/>
        </w:rPr>
        <w:t>суммарная величина которых за I полугодие 201</w:t>
      </w:r>
      <w:r>
        <w:rPr>
          <w:rFonts w:ascii="Times New Roman" w:hAnsi="Times New Roman"/>
          <w:sz w:val="24"/>
          <w:szCs w:val="24"/>
        </w:rPr>
        <w:t>7</w:t>
      </w:r>
      <w:r w:rsidRPr="0080737A">
        <w:rPr>
          <w:rFonts w:ascii="Times New Roman" w:hAnsi="Times New Roman"/>
          <w:sz w:val="24"/>
          <w:szCs w:val="24"/>
        </w:rPr>
        <w:t xml:space="preserve"> года </w:t>
      </w:r>
      <w:r>
        <w:rPr>
          <w:rFonts w:ascii="Times New Roman" w:hAnsi="Times New Roman"/>
          <w:sz w:val="24"/>
          <w:szCs w:val="24"/>
        </w:rPr>
        <w:t>сократилась на 65,0% до 61,0 тыс. руб., что объясняется введенными изменениями подхода к расчету арендных платежей и величины нормативов при зачислении дохода от аренды.</w:t>
      </w:r>
    </w:p>
    <w:p w:rsidR="00146BB8" w:rsidRPr="00264E75" w:rsidRDefault="00146BB8" w:rsidP="00146BB8">
      <w:pPr>
        <w:spacing w:after="0" w:line="240" w:lineRule="auto"/>
        <w:ind w:firstLine="709"/>
        <w:jc w:val="both"/>
        <w:rPr>
          <w:rFonts w:ascii="Times New Roman" w:hAnsi="Times New Roman"/>
          <w:sz w:val="24"/>
          <w:szCs w:val="24"/>
        </w:rPr>
      </w:pPr>
      <w:r w:rsidRPr="00264E75">
        <w:rPr>
          <w:rFonts w:ascii="Times New Roman" w:hAnsi="Times New Roman"/>
          <w:sz w:val="24"/>
          <w:szCs w:val="24"/>
        </w:rPr>
        <w:t xml:space="preserve">В </w:t>
      </w:r>
      <w:r w:rsidRPr="00264E75">
        <w:rPr>
          <w:rFonts w:ascii="Times New Roman" w:hAnsi="Times New Roman"/>
          <w:sz w:val="24"/>
          <w:szCs w:val="24"/>
          <w:lang w:val="en-US"/>
        </w:rPr>
        <w:t>I</w:t>
      </w:r>
      <w:r w:rsidRPr="00264E75">
        <w:rPr>
          <w:rFonts w:ascii="Times New Roman" w:hAnsi="Times New Roman"/>
          <w:sz w:val="24"/>
          <w:szCs w:val="24"/>
        </w:rPr>
        <w:t xml:space="preserve"> полугодии 2017 года текущие затраты государственных предприятий почтовой связи по основным видам деятельности </w:t>
      </w:r>
      <w:r>
        <w:rPr>
          <w:rFonts w:ascii="Times New Roman" w:hAnsi="Times New Roman"/>
          <w:sz w:val="24"/>
          <w:szCs w:val="24"/>
        </w:rPr>
        <w:t xml:space="preserve">уменьшились на 3,4% и </w:t>
      </w:r>
      <w:r w:rsidRPr="00264E75">
        <w:rPr>
          <w:rFonts w:ascii="Times New Roman" w:hAnsi="Times New Roman"/>
          <w:sz w:val="24"/>
          <w:szCs w:val="24"/>
        </w:rPr>
        <w:t xml:space="preserve">составили 11 456,0 тыс. руб. </w:t>
      </w:r>
    </w:p>
    <w:p w:rsidR="00146BB8" w:rsidRPr="0080737A" w:rsidRDefault="00146BB8" w:rsidP="00146BB8">
      <w:pPr>
        <w:spacing w:after="0" w:line="240" w:lineRule="auto"/>
        <w:ind w:firstLine="709"/>
        <w:jc w:val="both"/>
        <w:rPr>
          <w:rFonts w:ascii="Times New Roman" w:hAnsi="Times New Roman"/>
          <w:sz w:val="24"/>
          <w:szCs w:val="24"/>
        </w:rPr>
      </w:pPr>
      <w:r w:rsidRPr="00264E75">
        <w:rPr>
          <w:rFonts w:ascii="Times New Roman" w:hAnsi="Times New Roman"/>
          <w:sz w:val="24"/>
          <w:szCs w:val="24"/>
        </w:rPr>
        <w:lastRenderedPageBreak/>
        <w:t>В структуре текущих</w:t>
      </w:r>
      <w:r w:rsidRPr="0080737A">
        <w:rPr>
          <w:rFonts w:ascii="Times New Roman" w:hAnsi="Times New Roman"/>
          <w:sz w:val="24"/>
          <w:szCs w:val="24"/>
        </w:rPr>
        <w:t xml:space="preserve"> расходов </w:t>
      </w:r>
      <w:r>
        <w:rPr>
          <w:rFonts w:ascii="Times New Roman" w:hAnsi="Times New Roman"/>
          <w:sz w:val="24"/>
          <w:szCs w:val="24"/>
        </w:rPr>
        <w:t>81,5</w:t>
      </w:r>
      <w:r w:rsidRPr="0080737A">
        <w:rPr>
          <w:rFonts w:ascii="Times New Roman" w:hAnsi="Times New Roman"/>
          <w:sz w:val="24"/>
          <w:szCs w:val="24"/>
        </w:rPr>
        <w:t>%</w:t>
      </w:r>
      <w:r>
        <w:rPr>
          <w:rFonts w:ascii="Times New Roman" w:hAnsi="Times New Roman"/>
          <w:sz w:val="24"/>
          <w:szCs w:val="24"/>
        </w:rPr>
        <w:t>,</w:t>
      </w:r>
      <w:r w:rsidRPr="0080737A">
        <w:rPr>
          <w:rFonts w:ascii="Times New Roman" w:hAnsi="Times New Roman"/>
          <w:sz w:val="24"/>
          <w:szCs w:val="24"/>
        </w:rPr>
        <w:t xml:space="preserve"> или </w:t>
      </w:r>
      <w:r>
        <w:rPr>
          <w:rFonts w:ascii="Times New Roman" w:hAnsi="Times New Roman"/>
          <w:sz w:val="24"/>
          <w:szCs w:val="24"/>
        </w:rPr>
        <w:t>9 331,0</w:t>
      </w:r>
      <w:r w:rsidRPr="0080737A">
        <w:rPr>
          <w:rFonts w:ascii="Times New Roman" w:hAnsi="Times New Roman"/>
          <w:sz w:val="24"/>
          <w:szCs w:val="24"/>
        </w:rPr>
        <w:t xml:space="preserve"> тыс. руб.</w:t>
      </w:r>
      <w:r>
        <w:rPr>
          <w:rFonts w:ascii="Times New Roman" w:hAnsi="Times New Roman"/>
          <w:sz w:val="24"/>
          <w:szCs w:val="24"/>
        </w:rPr>
        <w:t xml:space="preserve">, </w:t>
      </w:r>
      <w:r w:rsidRPr="0080737A">
        <w:rPr>
          <w:rFonts w:ascii="Times New Roman" w:hAnsi="Times New Roman"/>
          <w:sz w:val="24"/>
          <w:szCs w:val="24"/>
        </w:rPr>
        <w:t xml:space="preserve">пришлось на оплату труда работников и уплату единого социального налога (ЕСН), абсолютная величина которых снизилась на </w:t>
      </w:r>
      <w:r>
        <w:rPr>
          <w:rFonts w:ascii="Times New Roman" w:hAnsi="Times New Roman"/>
          <w:sz w:val="24"/>
          <w:szCs w:val="24"/>
        </w:rPr>
        <w:t>5</w:t>
      </w:r>
      <w:r w:rsidRPr="006413DE">
        <w:rPr>
          <w:rFonts w:ascii="Times New Roman" w:hAnsi="Times New Roman"/>
          <w:sz w:val="24"/>
          <w:szCs w:val="24"/>
        </w:rPr>
        <w:t>,6% в связи с сокращением численности персонала.</w:t>
      </w:r>
    </w:p>
    <w:p w:rsidR="00146BB8" w:rsidRPr="0080737A" w:rsidRDefault="00146BB8" w:rsidP="00146BB8">
      <w:pPr>
        <w:spacing w:after="0" w:line="240" w:lineRule="auto"/>
        <w:ind w:firstLine="709"/>
        <w:jc w:val="both"/>
        <w:rPr>
          <w:rFonts w:ascii="Times New Roman" w:hAnsi="Times New Roman"/>
          <w:sz w:val="24"/>
          <w:szCs w:val="24"/>
        </w:rPr>
      </w:pPr>
      <w:r>
        <w:rPr>
          <w:rFonts w:ascii="Times New Roman" w:hAnsi="Times New Roman"/>
          <w:sz w:val="24"/>
          <w:szCs w:val="24"/>
        </w:rPr>
        <w:t>Размер</w:t>
      </w:r>
      <w:r w:rsidRPr="0080737A">
        <w:rPr>
          <w:rFonts w:ascii="Times New Roman" w:hAnsi="Times New Roman"/>
          <w:sz w:val="24"/>
          <w:szCs w:val="24"/>
        </w:rPr>
        <w:t xml:space="preserve"> кредиторской задолженности </w:t>
      </w:r>
      <w:r>
        <w:rPr>
          <w:rFonts w:ascii="Times New Roman" w:hAnsi="Times New Roman"/>
          <w:sz w:val="24"/>
          <w:szCs w:val="24"/>
        </w:rPr>
        <w:t>составил</w:t>
      </w:r>
      <w:r w:rsidR="0072732C">
        <w:rPr>
          <w:rFonts w:ascii="Times New Roman" w:hAnsi="Times New Roman"/>
          <w:sz w:val="24"/>
          <w:szCs w:val="24"/>
        </w:rPr>
        <w:t xml:space="preserve"> </w:t>
      </w:r>
      <w:r>
        <w:rPr>
          <w:rFonts w:ascii="Times New Roman" w:hAnsi="Times New Roman"/>
          <w:sz w:val="24"/>
          <w:szCs w:val="24"/>
        </w:rPr>
        <w:t>5 450,2</w:t>
      </w:r>
      <w:r w:rsidRPr="0080737A">
        <w:rPr>
          <w:rFonts w:ascii="Times New Roman" w:hAnsi="Times New Roman"/>
          <w:sz w:val="24"/>
          <w:szCs w:val="24"/>
        </w:rPr>
        <w:t xml:space="preserve"> тыс. руб.</w:t>
      </w:r>
      <w:r>
        <w:rPr>
          <w:rFonts w:ascii="Times New Roman" w:hAnsi="Times New Roman"/>
          <w:sz w:val="24"/>
          <w:szCs w:val="24"/>
        </w:rPr>
        <w:t xml:space="preserve">, что </w:t>
      </w:r>
      <w:r w:rsidRPr="0080737A">
        <w:rPr>
          <w:rFonts w:ascii="Times New Roman" w:hAnsi="Times New Roman"/>
          <w:sz w:val="24"/>
          <w:szCs w:val="24"/>
        </w:rPr>
        <w:t xml:space="preserve">на </w:t>
      </w:r>
      <w:r>
        <w:rPr>
          <w:rFonts w:ascii="Times New Roman" w:hAnsi="Times New Roman"/>
          <w:sz w:val="24"/>
          <w:szCs w:val="24"/>
        </w:rPr>
        <w:t>9,9</w:t>
      </w:r>
      <w:r w:rsidRPr="0080737A">
        <w:rPr>
          <w:rFonts w:ascii="Times New Roman" w:hAnsi="Times New Roman"/>
          <w:sz w:val="24"/>
          <w:szCs w:val="24"/>
        </w:rPr>
        <w:t xml:space="preserve">% </w:t>
      </w:r>
      <w:r>
        <w:rPr>
          <w:rFonts w:ascii="Times New Roman" w:hAnsi="Times New Roman"/>
          <w:sz w:val="24"/>
          <w:szCs w:val="24"/>
        </w:rPr>
        <w:t>ниже уровня шести месяцев 2016 года. К</w:t>
      </w:r>
      <w:r w:rsidRPr="0080737A">
        <w:rPr>
          <w:rFonts w:ascii="Times New Roman" w:hAnsi="Times New Roman"/>
          <w:sz w:val="24"/>
          <w:szCs w:val="24"/>
        </w:rPr>
        <w:t xml:space="preserve">редиторская задолженность </w:t>
      </w:r>
      <w:r>
        <w:rPr>
          <w:rFonts w:ascii="Times New Roman" w:hAnsi="Times New Roman"/>
          <w:sz w:val="24"/>
          <w:szCs w:val="24"/>
        </w:rPr>
        <w:t xml:space="preserve">по состоянию на </w:t>
      </w:r>
      <w:r w:rsidRPr="0080737A">
        <w:rPr>
          <w:rFonts w:ascii="Times New Roman" w:hAnsi="Times New Roman"/>
          <w:sz w:val="24"/>
          <w:szCs w:val="24"/>
        </w:rPr>
        <w:t>1 июля 201</w:t>
      </w:r>
      <w:r>
        <w:rPr>
          <w:rFonts w:ascii="Times New Roman" w:hAnsi="Times New Roman"/>
          <w:sz w:val="24"/>
          <w:szCs w:val="24"/>
        </w:rPr>
        <w:t>7 </w:t>
      </w:r>
      <w:r w:rsidRPr="0080737A">
        <w:rPr>
          <w:rFonts w:ascii="Times New Roman" w:hAnsi="Times New Roman"/>
          <w:sz w:val="24"/>
          <w:szCs w:val="24"/>
        </w:rPr>
        <w:t xml:space="preserve">года по оплате труда и единому социальному налогу после предоставления дотаций из республиканского бюджета в </w:t>
      </w:r>
      <w:r>
        <w:rPr>
          <w:rFonts w:ascii="Times New Roman" w:hAnsi="Times New Roman"/>
          <w:sz w:val="24"/>
          <w:szCs w:val="24"/>
        </w:rPr>
        <w:t>размере</w:t>
      </w:r>
      <w:r w:rsidR="0072732C">
        <w:rPr>
          <w:rFonts w:ascii="Times New Roman" w:hAnsi="Times New Roman"/>
          <w:sz w:val="24"/>
          <w:szCs w:val="24"/>
        </w:rPr>
        <w:t xml:space="preserve"> </w:t>
      </w:r>
      <w:r>
        <w:rPr>
          <w:rFonts w:ascii="Times New Roman" w:hAnsi="Times New Roman"/>
          <w:sz w:val="24"/>
          <w:szCs w:val="24"/>
        </w:rPr>
        <w:t>9 248,0</w:t>
      </w:r>
      <w:r w:rsidRPr="0080737A">
        <w:rPr>
          <w:rFonts w:ascii="Times New Roman" w:hAnsi="Times New Roman"/>
          <w:sz w:val="24"/>
          <w:szCs w:val="24"/>
        </w:rPr>
        <w:t xml:space="preserve"> тыс. руб. составила 1</w:t>
      </w:r>
      <w:r>
        <w:rPr>
          <w:rFonts w:ascii="Times New Roman" w:hAnsi="Times New Roman"/>
          <w:sz w:val="24"/>
          <w:szCs w:val="24"/>
        </w:rPr>
        <w:t> 415,6</w:t>
      </w:r>
      <w:r w:rsidRPr="0080737A">
        <w:rPr>
          <w:rFonts w:ascii="Times New Roman" w:hAnsi="Times New Roman"/>
          <w:sz w:val="24"/>
          <w:szCs w:val="24"/>
        </w:rPr>
        <w:t xml:space="preserve"> тыс. руб. </w:t>
      </w:r>
    </w:p>
    <w:p w:rsidR="00146BB8" w:rsidRPr="0080737A" w:rsidRDefault="00146BB8" w:rsidP="00146BB8">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В целях повышения качества предоставляемых услуг на почтовых отделениях </w:t>
      </w:r>
      <w:r>
        <w:rPr>
          <w:rFonts w:ascii="Times New Roman" w:hAnsi="Times New Roman"/>
          <w:sz w:val="24"/>
          <w:szCs w:val="24"/>
        </w:rPr>
        <w:t>р</w:t>
      </w:r>
      <w:r w:rsidRPr="0080737A">
        <w:rPr>
          <w:rFonts w:ascii="Times New Roman" w:hAnsi="Times New Roman"/>
          <w:sz w:val="24"/>
          <w:szCs w:val="24"/>
        </w:rPr>
        <w:t xml:space="preserve">еспублики </w:t>
      </w:r>
      <w:r>
        <w:rPr>
          <w:rFonts w:ascii="Times New Roman" w:hAnsi="Times New Roman"/>
          <w:sz w:val="24"/>
          <w:szCs w:val="24"/>
        </w:rPr>
        <w:t xml:space="preserve">функционирует </w:t>
      </w:r>
      <w:r w:rsidRPr="0080737A">
        <w:rPr>
          <w:rFonts w:ascii="Times New Roman" w:hAnsi="Times New Roman"/>
          <w:sz w:val="24"/>
          <w:szCs w:val="24"/>
        </w:rPr>
        <w:t xml:space="preserve">электронная программа для считывания </w:t>
      </w:r>
      <w:proofErr w:type="spellStart"/>
      <w:r w:rsidRPr="0080737A">
        <w:rPr>
          <w:rFonts w:ascii="Times New Roman" w:hAnsi="Times New Roman"/>
          <w:sz w:val="24"/>
          <w:szCs w:val="24"/>
        </w:rPr>
        <w:t>штрих-кодов</w:t>
      </w:r>
      <w:proofErr w:type="spellEnd"/>
      <w:r w:rsidRPr="0080737A">
        <w:rPr>
          <w:rFonts w:ascii="Times New Roman" w:hAnsi="Times New Roman"/>
          <w:sz w:val="24"/>
          <w:szCs w:val="24"/>
        </w:rPr>
        <w:t xml:space="preserve">, позволяющая отслеживать местонахождение международных почтовых отправлений (входящих/исходящих) по </w:t>
      </w:r>
      <w:proofErr w:type="spellStart"/>
      <w:r w:rsidRPr="0080737A">
        <w:rPr>
          <w:rFonts w:ascii="Times New Roman" w:hAnsi="Times New Roman"/>
          <w:sz w:val="24"/>
          <w:szCs w:val="24"/>
        </w:rPr>
        <w:t>трек-кодам</w:t>
      </w:r>
      <w:proofErr w:type="spellEnd"/>
      <w:r w:rsidRPr="0080737A">
        <w:rPr>
          <w:rFonts w:ascii="Times New Roman" w:hAnsi="Times New Roman"/>
          <w:sz w:val="24"/>
          <w:szCs w:val="24"/>
        </w:rPr>
        <w:t>, которая размещается на официальном сайте ГУП «Почта Приднестровья».</w:t>
      </w:r>
      <w:r>
        <w:rPr>
          <w:rFonts w:ascii="Times New Roman" w:hAnsi="Times New Roman"/>
          <w:sz w:val="24"/>
          <w:szCs w:val="24"/>
        </w:rPr>
        <w:t xml:space="preserve"> Также проводится работа по внедрению банковских услуг по погашению кредитов и осуществлению мгновенных денежных переводов по Приднестровью.</w:t>
      </w:r>
    </w:p>
    <w:p w:rsidR="00146BB8" w:rsidRPr="0080737A" w:rsidRDefault="00146BB8" w:rsidP="00146BB8">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Финансовым результатом хозяйственной деятельности государственных предприятий почтовой связи является убыток, на покрытие которого из Республиканского бюджета выделяются дотации для компенсации убытков от предоставления универсальных услуг по тарифам, не покрывающим затраты на их производство. Однако размер дотаций покрывает только величину затрат по заработной плате. В связи с чем, одной из </w:t>
      </w:r>
      <w:r w:rsidRPr="0080737A">
        <w:rPr>
          <w:rFonts w:ascii="Times New Roman" w:hAnsi="Times New Roman"/>
          <w:sz w:val="24"/>
          <w:szCs w:val="24"/>
        </w:rPr>
        <w:t>основн</w:t>
      </w:r>
      <w:r>
        <w:rPr>
          <w:rFonts w:ascii="Times New Roman" w:hAnsi="Times New Roman"/>
          <w:sz w:val="24"/>
          <w:szCs w:val="24"/>
        </w:rPr>
        <w:t>ых</w:t>
      </w:r>
      <w:r w:rsidRPr="0080737A">
        <w:rPr>
          <w:rFonts w:ascii="Times New Roman" w:hAnsi="Times New Roman"/>
          <w:sz w:val="24"/>
          <w:szCs w:val="24"/>
        </w:rPr>
        <w:t xml:space="preserve"> проблем государственных предприятий почтовой связи по-прежнему остается отсутствие финансовых средств для осуществления необходимых работ по реконструкции и капитальному ремонту, приобретению автотранспорта и техническому перевооружению.</w:t>
      </w:r>
    </w:p>
    <w:p w:rsidR="00D16741" w:rsidRPr="00D16741" w:rsidRDefault="00D16741" w:rsidP="00D16741">
      <w:pPr>
        <w:shd w:val="clear" w:color="auto" w:fill="FFFFFF"/>
        <w:spacing w:after="0" w:line="240" w:lineRule="auto"/>
        <w:ind w:firstLine="709"/>
        <w:contextualSpacing/>
        <w:jc w:val="both"/>
        <w:rPr>
          <w:rFonts w:ascii="Times New Roman" w:hAnsi="Times New Roman"/>
          <w:sz w:val="24"/>
          <w:szCs w:val="24"/>
        </w:rPr>
      </w:pPr>
    </w:p>
    <w:p w:rsidR="00335844" w:rsidRPr="0080737A" w:rsidRDefault="00335844" w:rsidP="00335844">
      <w:pPr>
        <w:shd w:val="clear" w:color="auto" w:fill="FFFFFF"/>
        <w:spacing w:after="0" w:line="240" w:lineRule="auto"/>
        <w:ind w:firstLine="709"/>
        <w:jc w:val="both"/>
        <w:rPr>
          <w:rFonts w:ascii="Times New Roman" w:hAnsi="Times New Roman"/>
          <w:b/>
          <w:color w:val="000000"/>
          <w:sz w:val="24"/>
          <w:szCs w:val="24"/>
        </w:rPr>
      </w:pPr>
      <w:r w:rsidRPr="0080737A">
        <w:rPr>
          <w:rFonts w:ascii="Times New Roman" w:hAnsi="Times New Roman"/>
          <w:b/>
          <w:color w:val="000000"/>
          <w:sz w:val="24"/>
          <w:szCs w:val="24"/>
        </w:rPr>
        <w:t>Внешнеэкономическая деятельность</w:t>
      </w:r>
    </w:p>
    <w:p w:rsidR="003F5257" w:rsidRPr="0072732C" w:rsidRDefault="003F5257" w:rsidP="003F5257">
      <w:pPr>
        <w:shd w:val="clear" w:color="auto" w:fill="FFFFFF"/>
        <w:spacing w:after="0" w:line="240" w:lineRule="auto"/>
        <w:ind w:firstLine="709"/>
        <w:jc w:val="both"/>
        <w:rPr>
          <w:rFonts w:ascii="Times New Roman" w:hAnsi="Times New Roman"/>
          <w:sz w:val="24"/>
          <w:szCs w:val="24"/>
          <w:u w:val="single"/>
        </w:rPr>
      </w:pPr>
    </w:p>
    <w:p w:rsidR="003F5257" w:rsidRDefault="003F5257" w:rsidP="003F5257">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Внешнеторговая деятельность Приднестровской Молдавской Республики в I полугодии 2017 года характеризовалась</w:t>
      </w:r>
      <w:r w:rsidR="0072732C">
        <w:rPr>
          <w:rFonts w:ascii="Times New Roman" w:hAnsi="Times New Roman"/>
          <w:sz w:val="24"/>
          <w:szCs w:val="24"/>
        </w:rPr>
        <w:t xml:space="preserve"> </w:t>
      </w:r>
      <w:r>
        <w:rPr>
          <w:rFonts w:ascii="Times New Roman" w:hAnsi="Times New Roman"/>
          <w:sz w:val="24"/>
          <w:szCs w:val="24"/>
        </w:rPr>
        <w:t xml:space="preserve">понижательной динамикой совокупного внешнеторгового оборота, </w:t>
      </w:r>
      <w:r w:rsidR="006356FA">
        <w:rPr>
          <w:rFonts w:ascii="Times New Roman" w:hAnsi="Times New Roman"/>
          <w:sz w:val="24"/>
          <w:szCs w:val="24"/>
        </w:rPr>
        <w:t>в связи с</w:t>
      </w:r>
      <w:r>
        <w:rPr>
          <w:rFonts w:ascii="Times New Roman" w:hAnsi="Times New Roman"/>
          <w:sz w:val="24"/>
          <w:szCs w:val="24"/>
        </w:rPr>
        <w:t xml:space="preserve"> приостановкой </w:t>
      </w:r>
      <w:r w:rsidR="006356FA">
        <w:rPr>
          <w:rFonts w:ascii="Times New Roman" w:hAnsi="Times New Roman"/>
          <w:sz w:val="24"/>
          <w:szCs w:val="24"/>
        </w:rPr>
        <w:t xml:space="preserve">в апреле-мае </w:t>
      </w:r>
      <w:r w:rsidRPr="00806DE8">
        <w:rPr>
          <w:rFonts w:ascii="Times New Roman" w:hAnsi="Times New Roman"/>
          <w:sz w:val="24"/>
          <w:szCs w:val="24"/>
        </w:rPr>
        <w:t>поставок электроэнергии</w:t>
      </w:r>
      <w:r w:rsidR="0072732C">
        <w:rPr>
          <w:rFonts w:ascii="Times New Roman" w:hAnsi="Times New Roman"/>
          <w:sz w:val="24"/>
          <w:szCs w:val="24"/>
        </w:rPr>
        <w:t xml:space="preserve"> </w:t>
      </w:r>
      <w:r w:rsidRPr="00806DE8">
        <w:rPr>
          <w:rFonts w:ascii="Times New Roman" w:hAnsi="Times New Roman"/>
          <w:sz w:val="24"/>
          <w:szCs w:val="24"/>
        </w:rPr>
        <w:t>в Республику Молдова</w:t>
      </w:r>
      <w:r>
        <w:rPr>
          <w:rFonts w:ascii="Times New Roman" w:hAnsi="Times New Roman"/>
          <w:sz w:val="24"/>
          <w:szCs w:val="24"/>
        </w:rPr>
        <w:t xml:space="preserve">, а также сохраняющейся в начале года сложной ситуацией </w:t>
      </w:r>
      <w:r w:rsidRPr="00277748">
        <w:rPr>
          <w:rFonts w:ascii="Times New Roman" w:hAnsi="Times New Roman"/>
          <w:sz w:val="24"/>
          <w:szCs w:val="24"/>
        </w:rPr>
        <w:t>на</w:t>
      </w:r>
      <w:r w:rsidR="0072732C">
        <w:rPr>
          <w:rFonts w:ascii="Times New Roman" w:hAnsi="Times New Roman"/>
          <w:sz w:val="24"/>
          <w:szCs w:val="24"/>
        </w:rPr>
        <w:t xml:space="preserve"> </w:t>
      </w:r>
      <w:r w:rsidRPr="00277748">
        <w:rPr>
          <w:rFonts w:ascii="Times New Roman" w:hAnsi="Times New Roman"/>
          <w:sz w:val="24"/>
          <w:szCs w:val="24"/>
        </w:rPr>
        <w:t>внутреннем валютном рынке</w:t>
      </w:r>
      <w:r>
        <w:rPr>
          <w:rFonts w:ascii="Times New Roman" w:hAnsi="Times New Roman"/>
          <w:sz w:val="24"/>
          <w:szCs w:val="24"/>
        </w:rPr>
        <w:t xml:space="preserve">. При этом по ряду товарных групп наблюдался значительный прирост абсолютной величины экспортно-импортных операций, позволивший </w:t>
      </w:r>
      <w:r w:rsidR="004B6788">
        <w:rPr>
          <w:rFonts w:ascii="Times New Roman" w:hAnsi="Times New Roman"/>
          <w:sz w:val="24"/>
          <w:szCs w:val="24"/>
        </w:rPr>
        <w:t xml:space="preserve">во многом </w:t>
      </w:r>
      <w:r>
        <w:rPr>
          <w:rFonts w:ascii="Times New Roman" w:hAnsi="Times New Roman"/>
          <w:sz w:val="24"/>
          <w:szCs w:val="24"/>
        </w:rPr>
        <w:t>сбалансировать совокупные темпы отставания.</w:t>
      </w:r>
    </w:p>
    <w:p w:rsidR="003F5257" w:rsidRDefault="003F5257" w:rsidP="003F5257">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Так, по итогам </w:t>
      </w:r>
      <w:r w:rsidR="004B6788">
        <w:rPr>
          <w:rFonts w:ascii="Times New Roman" w:hAnsi="Times New Roman"/>
          <w:sz w:val="24"/>
          <w:szCs w:val="24"/>
        </w:rPr>
        <w:t>января-июня</w:t>
      </w:r>
      <w:r>
        <w:rPr>
          <w:rFonts w:ascii="Times New Roman" w:hAnsi="Times New Roman"/>
          <w:sz w:val="24"/>
          <w:szCs w:val="24"/>
        </w:rPr>
        <w:t xml:space="preserve"> о</w:t>
      </w:r>
      <w:r w:rsidRPr="00722D15">
        <w:rPr>
          <w:rFonts w:ascii="Times New Roman" w:hAnsi="Times New Roman"/>
          <w:sz w:val="24"/>
          <w:szCs w:val="24"/>
        </w:rPr>
        <w:t xml:space="preserve">бъем внешнеторгового оборота </w:t>
      </w:r>
      <w:r>
        <w:rPr>
          <w:rFonts w:ascii="Times New Roman" w:hAnsi="Times New Roman"/>
          <w:sz w:val="24"/>
          <w:szCs w:val="24"/>
        </w:rPr>
        <w:t>республики составил 700,2 </w:t>
      </w:r>
      <w:proofErr w:type="spellStart"/>
      <w:r>
        <w:rPr>
          <w:rFonts w:ascii="Times New Roman" w:hAnsi="Times New Roman"/>
          <w:sz w:val="24"/>
          <w:szCs w:val="24"/>
        </w:rPr>
        <w:t>млн</w:t>
      </w:r>
      <w:proofErr w:type="spellEnd"/>
      <w:r>
        <w:rPr>
          <w:rFonts w:ascii="Times New Roman" w:hAnsi="Times New Roman"/>
          <w:sz w:val="24"/>
          <w:szCs w:val="24"/>
          <w:lang w:val="en-US"/>
        </w:rPr>
        <w:t> </w:t>
      </w:r>
      <w:r>
        <w:rPr>
          <w:rFonts w:ascii="Times New Roman" w:hAnsi="Times New Roman"/>
          <w:sz w:val="24"/>
          <w:szCs w:val="24"/>
        </w:rPr>
        <w:t>долл.</w:t>
      </w:r>
      <w:r>
        <w:rPr>
          <w:rFonts w:ascii="Times New Roman" w:hAnsi="Times New Roman"/>
          <w:sz w:val="24"/>
          <w:szCs w:val="24"/>
          <w:lang w:val="en-US"/>
        </w:rPr>
        <w:t> </w:t>
      </w:r>
      <w:r>
        <w:rPr>
          <w:rFonts w:ascii="Times New Roman" w:hAnsi="Times New Roman"/>
          <w:sz w:val="24"/>
          <w:szCs w:val="24"/>
        </w:rPr>
        <w:t xml:space="preserve">США, что на 1,1% ниже сопоставимого уровня 2016 года. </w:t>
      </w:r>
      <w:r w:rsidR="004B6788">
        <w:rPr>
          <w:rFonts w:ascii="Times New Roman" w:hAnsi="Times New Roman"/>
          <w:sz w:val="24"/>
          <w:szCs w:val="24"/>
        </w:rPr>
        <w:t xml:space="preserve">Величина </w:t>
      </w:r>
      <w:r>
        <w:rPr>
          <w:rFonts w:ascii="Times New Roman" w:hAnsi="Times New Roman"/>
          <w:sz w:val="24"/>
          <w:szCs w:val="24"/>
        </w:rPr>
        <w:t>экспорта сложил</w:t>
      </w:r>
      <w:r w:rsidR="004B6788">
        <w:rPr>
          <w:rFonts w:ascii="Times New Roman" w:hAnsi="Times New Roman"/>
          <w:sz w:val="24"/>
          <w:szCs w:val="24"/>
        </w:rPr>
        <w:t>а</w:t>
      </w:r>
      <w:r>
        <w:rPr>
          <w:rFonts w:ascii="Times New Roman" w:hAnsi="Times New Roman"/>
          <w:sz w:val="24"/>
          <w:szCs w:val="24"/>
        </w:rPr>
        <w:t>с</w:t>
      </w:r>
      <w:r w:rsidR="004B6788">
        <w:rPr>
          <w:rFonts w:ascii="Times New Roman" w:hAnsi="Times New Roman"/>
          <w:sz w:val="24"/>
          <w:szCs w:val="24"/>
        </w:rPr>
        <w:t>ь</w:t>
      </w:r>
      <w:r>
        <w:rPr>
          <w:rFonts w:ascii="Times New Roman" w:hAnsi="Times New Roman"/>
          <w:sz w:val="24"/>
          <w:szCs w:val="24"/>
        </w:rPr>
        <w:t xml:space="preserve"> на отметке 252,4</w:t>
      </w:r>
      <w:r>
        <w:rPr>
          <w:rFonts w:ascii="Times New Roman" w:hAnsi="Times New Roman"/>
          <w:sz w:val="24"/>
          <w:szCs w:val="24"/>
          <w:lang w:val="en-US"/>
        </w:rPr>
        <w:t> </w:t>
      </w:r>
      <w:proofErr w:type="spellStart"/>
      <w:r>
        <w:rPr>
          <w:rFonts w:ascii="Times New Roman" w:hAnsi="Times New Roman"/>
          <w:sz w:val="24"/>
          <w:szCs w:val="24"/>
        </w:rPr>
        <w:t>млн</w:t>
      </w:r>
      <w:proofErr w:type="spellEnd"/>
      <w:r>
        <w:rPr>
          <w:rFonts w:ascii="Times New Roman" w:hAnsi="Times New Roman"/>
          <w:sz w:val="24"/>
          <w:szCs w:val="24"/>
        </w:rPr>
        <w:t xml:space="preserve"> долл. США (-2,4%)</w:t>
      </w:r>
      <w:r w:rsidR="004B6788">
        <w:rPr>
          <w:rFonts w:ascii="Times New Roman" w:hAnsi="Times New Roman"/>
          <w:sz w:val="24"/>
          <w:szCs w:val="24"/>
        </w:rPr>
        <w:t>,</w:t>
      </w:r>
      <w:r>
        <w:rPr>
          <w:rFonts w:ascii="Times New Roman" w:hAnsi="Times New Roman"/>
          <w:sz w:val="24"/>
          <w:szCs w:val="24"/>
        </w:rPr>
        <w:t xml:space="preserve"> импортные поставки сократились на 0,3%, составив 447,7 млн. долл. США. С</w:t>
      </w:r>
      <w:r w:rsidRPr="00722D15">
        <w:rPr>
          <w:rFonts w:ascii="Times New Roman" w:hAnsi="Times New Roman"/>
          <w:sz w:val="24"/>
          <w:szCs w:val="24"/>
        </w:rPr>
        <w:t xml:space="preserve">альдо внешнеторгового оборота </w:t>
      </w:r>
      <w:r w:rsidR="004B6788">
        <w:rPr>
          <w:rFonts w:ascii="Times New Roman" w:hAnsi="Times New Roman"/>
          <w:sz w:val="24"/>
          <w:szCs w:val="24"/>
        </w:rPr>
        <w:t>сформировалось</w:t>
      </w:r>
      <w:r>
        <w:rPr>
          <w:rFonts w:ascii="Times New Roman" w:hAnsi="Times New Roman"/>
          <w:sz w:val="24"/>
          <w:szCs w:val="24"/>
        </w:rPr>
        <w:t xml:space="preserve"> в размере -195,3 </w:t>
      </w:r>
      <w:proofErr w:type="spellStart"/>
      <w:proofErr w:type="gramStart"/>
      <w:r w:rsidRPr="00722D15">
        <w:rPr>
          <w:rFonts w:ascii="Times New Roman" w:hAnsi="Times New Roman"/>
          <w:sz w:val="24"/>
          <w:szCs w:val="24"/>
        </w:rPr>
        <w:t>млн</w:t>
      </w:r>
      <w:proofErr w:type="spellEnd"/>
      <w:proofErr w:type="gramEnd"/>
      <w:r>
        <w:rPr>
          <w:rFonts w:ascii="Times New Roman" w:hAnsi="Times New Roman"/>
          <w:sz w:val="24"/>
          <w:szCs w:val="24"/>
        </w:rPr>
        <w:t> </w:t>
      </w:r>
      <w:r w:rsidRPr="00722D15">
        <w:rPr>
          <w:rFonts w:ascii="Times New Roman" w:hAnsi="Times New Roman"/>
          <w:sz w:val="24"/>
          <w:szCs w:val="24"/>
        </w:rPr>
        <w:t>долл.</w:t>
      </w:r>
      <w:r>
        <w:rPr>
          <w:rFonts w:ascii="Times New Roman" w:hAnsi="Times New Roman"/>
          <w:sz w:val="24"/>
          <w:szCs w:val="24"/>
        </w:rPr>
        <w:t> США</w:t>
      </w:r>
      <w:r w:rsidR="0072732C">
        <w:rPr>
          <w:rFonts w:ascii="Times New Roman" w:hAnsi="Times New Roman"/>
          <w:sz w:val="24"/>
          <w:szCs w:val="24"/>
        </w:rPr>
        <w:t xml:space="preserve"> </w:t>
      </w:r>
      <w:r>
        <w:rPr>
          <w:rFonts w:ascii="Times New Roman" w:hAnsi="Times New Roman"/>
          <w:sz w:val="24"/>
          <w:szCs w:val="24"/>
        </w:rPr>
        <w:t>против -190,3 3 </w:t>
      </w:r>
      <w:proofErr w:type="spellStart"/>
      <w:r w:rsidRPr="00722D15">
        <w:rPr>
          <w:rFonts w:ascii="Times New Roman" w:hAnsi="Times New Roman"/>
          <w:sz w:val="24"/>
          <w:szCs w:val="24"/>
        </w:rPr>
        <w:t>млн</w:t>
      </w:r>
      <w:proofErr w:type="spellEnd"/>
      <w:r>
        <w:rPr>
          <w:rFonts w:ascii="Times New Roman" w:hAnsi="Times New Roman"/>
          <w:sz w:val="24"/>
          <w:szCs w:val="24"/>
        </w:rPr>
        <w:t> </w:t>
      </w:r>
      <w:r w:rsidRPr="00722D15">
        <w:rPr>
          <w:rFonts w:ascii="Times New Roman" w:hAnsi="Times New Roman"/>
          <w:sz w:val="24"/>
          <w:szCs w:val="24"/>
        </w:rPr>
        <w:t>долл.</w:t>
      </w:r>
      <w:r>
        <w:rPr>
          <w:rFonts w:ascii="Times New Roman" w:hAnsi="Times New Roman"/>
          <w:sz w:val="24"/>
          <w:szCs w:val="24"/>
        </w:rPr>
        <w:t> США январе-июне 2016 года.</w:t>
      </w:r>
    </w:p>
    <w:p w:rsidR="003F5257" w:rsidRDefault="003F5257" w:rsidP="003F5257">
      <w:pPr>
        <w:spacing w:after="0" w:line="240" w:lineRule="auto"/>
        <w:ind w:left="-426"/>
        <w:jc w:val="both"/>
        <w:rPr>
          <w:rFonts w:ascii="Times New Roman" w:hAnsi="Times New Roman"/>
          <w:sz w:val="24"/>
          <w:szCs w:val="24"/>
        </w:rPr>
      </w:pPr>
      <w:r w:rsidRPr="000A384B">
        <w:rPr>
          <w:rFonts w:ascii="Times New Roman" w:hAnsi="Times New Roman"/>
          <w:noProof/>
          <w:sz w:val="24"/>
          <w:szCs w:val="24"/>
        </w:rPr>
        <w:drawing>
          <wp:inline distT="0" distB="0" distL="0" distR="0">
            <wp:extent cx="6496050" cy="1981200"/>
            <wp:effectExtent l="1905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5257" w:rsidRDefault="003F5257" w:rsidP="003F5257">
      <w:pPr>
        <w:spacing w:after="0" w:line="240" w:lineRule="auto"/>
        <w:ind w:firstLine="709"/>
        <w:jc w:val="both"/>
        <w:rPr>
          <w:rFonts w:ascii="Times New Roman" w:hAnsi="Times New Roman"/>
          <w:sz w:val="24"/>
          <w:szCs w:val="24"/>
        </w:rPr>
      </w:pPr>
      <w:r>
        <w:rPr>
          <w:rFonts w:ascii="Times New Roman" w:hAnsi="Times New Roman"/>
          <w:sz w:val="24"/>
          <w:szCs w:val="24"/>
        </w:rPr>
        <w:t>Помесячная динамика</w:t>
      </w:r>
      <w:r w:rsidR="0072732C">
        <w:rPr>
          <w:rFonts w:ascii="Times New Roman" w:hAnsi="Times New Roman"/>
          <w:sz w:val="24"/>
          <w:szCs w:val="24"/>
        </w:rPr>
        <w:t xml:space="preserve"> </w:t>
      </w:r>
      <w:r>
        <w:rPr>
          <w:rFonts w:ascii="Times New Roman" w:hAnsi="Times New Roman"/>
          <w:sz w:val="24"/>
          <w:szCs w:val="24"/>
        </w:rPr>
        <w:t>внешнеторгового оборота характеризовалась сокращением объема внешнеторговых операций</w:t>
      </w:r>
      <w:r w:rsidR="0072732C">
        <w:rPr>
          <w:rFonts w:ascii="Times New Roman" w:hAnsi="Times New Roman"/>
          <w:sz w:val="24"/>
          <w:szCs w:val="24"/>
        </w:rPr>
        <w:t xml:space="preserve"> </w:t>
      </w:r>
      <w:r>
        <w:rPr>
          <w:rFonts w:ascii="Times New Roman" w:hAnsi="Times New Roman"/>
          <w:sz w:val="24"/>
          <w:szCs w:val="24"/>
        </w:rPr>
        <w:t xml:space="preserve">в июне текущего года по отношению к </w:t>
      </w:r>
      <w:r w:rsidRPr="000A384B">
        <w:rPr>
          <w:rFonts w:ascii="Times New Roman" w:hAnsi="Times New Roman"/>
          <w:sz w:val="24"/>
          <w:szCs w:val="24"/>
        </w:rPr>
        <w:t>уровн</w:t>
      </w:r>
      <w:r>
        <w:rPr>
          <w:rFonts w:ascii="Times New Roman" w:hAnsi="Times New Roman"/>
          <w:sz w:val="24"/>
          <w:szCs w:val="24"/>
        </w:rPr>
        <w:t>ю</w:t>
      </w:r>
      <w:r w:rsidR="00572688">
        <w:rPr>
          <w:rFonts w:ascii="Times New Roman" w:hAnsi="Times New Roman"/>
          <w:sz w:val="24"/>
          <w:szCs w:val="24"/>
        </w:rPr>
        <w:t xml:space="preserve"> </w:t>
      </w:r>
      <w:r>
        <w:rPr>
          <w:rFonts w:ascii="Times New Roman" w:hAnsi="Times New Roman"/>
          <w:sz w:val="24"/>
          <w:szCs w:val="24"/>
        </w:rPr>
        <w:t>мая на 0,8%, при этом экспорт</w:t>
      </w:r>
      <w:r w:rsidR="0072732C">
        <w:rPr>
          <w:rFonts w:ascii="Times New Roman" w:hAnsi="Times New Roman"/>
          <w:sz w:val="24"/>
          <w:szCs w:val="24"/>
        </w:rPr>
        <w:t xml:space="preserve"> </w:t>
      </w:r>
      <w:r>
        <w:rPr>
          <w:rFonts w:ascii="Times New Roman" w:hAnsi="Times New Roman"/>
          <w:sz w:val="24"/>
          <w:szCs w:val="24"/>
        </w:rPr>
        <w:t>возрос</w:t>
      </w:r>
      <w:r w:rsidR="0072732C">
        <w:rPr>
          <w:rFonts w:ascii="Times New Roman" w:hAnsi="Times New Roman"/>
          <w:sz w:val="24"/>
          <w:szCs w:val="24"/>
        </w:rPr>
        <w:t xml:space="preserve"> </w:t>
      </w:r>
      <w:r>
        <w:rPr>
          <w:rFonts w:ascii="Times New Roman" w:hAnsi="Times New Roman"/>
          <w:sz w:val="24"/>
          <w:szCs w:val="24"/>
        </w:rPr>
        <w:t>на 13,9%, импорт сократился на 8,8%.</w:t>
      </w:r>
    </w:p>
    <w:p w:rsidR="003F5257" w:rsidRDefault="003F5257" w:rsidP="003F5257">
      <w:pPr>
        <w:spacing w:after="0" w:line="240" w:lineRule="auto"/>
        <w:ind w:firstLine="709"/>
        <w:jc w:val="both"/>
        <w:rPr>
          <w:rFonts w:ascii="Times New Roman" w:hAnsi="Times New Roman"/>
          <w:sz w:val="24"/>
          <w:szCs w:val="24"/>
        </w:rPr>
      </w:pPr>
      <w:r>
        <w:rPr>
          <w:rFonts w:ascii="Times New Roman" w:hAnsi="Times New Roman"/>
          <w:sz w:val="24"/>
          <w:szCs w:val="24"/>
        </w:rPr>
        <w:t>На фоне п</w:t>
      </w:r>
      <w:r w:rsidRPr="00806DE8">
        <w:rPr>
          <w:rFonts w:ascii="Times New Roman" w:hAnsi="Times New Roman"/>
          <w:sz w:val="24"/>
          <w:szCs w:val="24"/>
        </w:rPr>
        <w:t>р</w:t>
      </w:r>
      <w:r>
        <w:rPr>
          <w:rFonts w:ascii="Times New Roman" w:hAnsi="Times New Roman"/>
          <w:sz w:val="24"/>
          <w:szCs w:val="24"/>
        </w:rPr>
        <w:t xml:space="preserve">иостановления </w:t>
      </w:r>
      <w:r w:rsidRPr="00806DE8">
        <w:rPr>
          <w:rFonts w:ascii="Times New Roman" w:hAnsi="Times New Roman"/>
          <w:sz w:val="24"/>
          <w:szCs w:val="24"/>
        </w:rPr>
        <w:t>поставок электроэнергии, вырабатываемой ЗАО</w:t>
      </w:r>
      <w:r>
        <w:rPr>
          <w:rFonts w:ascii="Times New Roman" w:hAnsi="Times New Roman"/>
          <w:sz w:val="24"/>
          <w:szCs w:val="24"/>
        </w:rPr>
        <w:t> </w:t>
      </w:r>
      <w:r w:rsidRPr="00806DE8">
        <w:rPr>
          <w:rFonts w:ascii="Times New Roman" w:hAnsi="Times New Roman"/>
          <w:sz w:val="24"/>
          <w:szCs w:val="24"/>
        </w:rPr>
        <w:t xml:space="preserve">«Молдавская ГРЭС», </w:t>
      </w:r>
      <w:r>
        <w:rPr>
          <w:rFonts w:ascii="Times New Roman" w:hAnsi="Times New Roman"/>
          <w:sz w:val="24"/>
          <w:szCs w:val="24"/>
        </w:rPr>
        <w:t>в товарной структуре экспорта в январе-июне 2017 года наблюдались</w:t>
      </w:r>
      <w:r w:rsidR="004B6788">
        <w:rPr>
          <w:rFonts w:ascii="Times New Roman" w:hAnsi="Times New Roman"/>
          <w:sz w:val="24"/>
          <w:szCs w:val="24"/>
        </w:rPr>
        <w:t xml:space="preserve"> следующие</w:t>
      </w:r>
      <w:r>
        <w:rPr>
          <w:rFonts w:ascii="Times New Roman" w:hAnsi="Times New Roman"/>
          <w:sz w:val="24"/>
          <w:szCs w:val="24"/>
        </w:rPr>
        <w:t xml:space="preserve"> структурные изменения. Так, объем топливно-энергетических товаров, занима</w:t>
      </w:r>
      <w:r w:rsidR="004B6788">
        <w:rPr>
          <w:rFonts w:ascii="Times New Roman" w:hAnsi="Times New Roman"/>
          <w:sz w:val="24"/>
          <w:szCs w:val="24"/>
        </w:rPr>
        <w:t>вш</w:t>
      </w:r>
      <w:r>
        <w:rPr>
          <w:rFonts w:ascii="Times New Roman" w:hAnsi="Times New Roman"/>
          <w:sz w:val="24"/>
          <w:szCs w:val="24"/>
        </w:rPr>
        <w:t xml:space="preserve">их на протяжении ряда лет лидирующую позицию, сократился к базовому </w:t>
      </w:r>
      <w:r>
        <w:rPr>
          <w:rFonts w:ascii="Times New Roman" w:hAnsi="Times New Roman"/>
          <w:sz w:val="24"/>
          <w:szCs w:val="24"/>
        </w:rPr>
        <w:lastRenderedPageBreak/>
        <w:t>уровню 2016 года</w:t>
      </w:r>
      <w:r w:rsidR="00572688">
        <w:rPr>
          <w:rFonts w:ascii="Times New Roman" w:hAnsi="Times New Roman"/>
          <w:sz w:val="24"/>
          <w:szCs w:val="24"/>
        </w:rPr>
        <w:t xml:space="preserve"> </w:t>
      </w:r>
      <w:r>
        <w:rPr>
          <w:rFonts w:ascii="Times New Roman" w:hAnsi="Times New Roman"/>
          <w:sz w:val="24"/>
          <w:szCs w:val="24"/>
        </w:rPr>
        <w:t xml:space="preserve">на 50,4%, что обусловило сужение долевого представительства данной статьи в товарной структуре экспорта на 17,5 </w:t>
      </w:r>
      <w:r w:rsidR="004B6788">
        <w:rPr>
          <w:rFonts w:ascii="Times New Roman" w:hAnsi="Times New Roman"/>
          <w:sz w:val="24"/>
          <w:szCs w:val="24"/>
        </w:rPr>
        <w:t>п.п.</w:t>
      </w:r>
      <w:r>
        <w:rPr>
          <w:rFonts w:ascii="Times New Roman" w:hAnsi="Times New Roman"/>
          <w:sz w:val="24"/>
          <w:szCs w:val="24"/>
        </w:rPr>
        <w:t xml:space="preserve"> с 35,6% до 18,1%.</w:t>
      </w:r>
    </w:p>
    <w:p w:rsidR="003F5257" w:rsidRPr="000A384B" w:rsidRDefault="003F5257" w:rsidP="003F5257">
      <w:pPr>
        <w:pStyle w:val="a4"/>
        <w:ind w:left="-284" w:firstLine="0"/>
        <w:jc w:val="center"/>
        <w:rPr>
          <w:b/>
        </w:rPr>
      </w:pPr>
      <w:r w:rsidRPr="000A384B">
        <w:rPr>
          <w:b/>
          <w:noProof/>
        </w:rPr>
        <w:drawing>
          <wp:inline distT="0" distB="0" distL="0" distR="0">
            <wp:extent cx="6200775" cy="2943225"/>
            <wp:effectExtent l="0" t="0" r="0" b="0"/>
            <wp:docPr id="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5257" w:rsidRDefault="003F5257" w:rsidP="003F5257">
      <w:pPr>
        <w:pStyle w:val="a4"/>
      </w:pPr>
      <w:r>
        <w:rPr>
          <w:szCs w:val="24"/>
        </w:rPr>
        <w:t xml:space="preserve">Наращивание производственной деятельности на ЗАО «Молдавский металлургический завод» позволило увеличить объемы экспортных поставок </w:t>
      </w:r>
      <w:r w:rsidRPr="00950176">
        <w:t>металл</w:t>
      </w:r>
      <w:r>
        <w:t>ов</w:t>
      </w:r>
      <w:r w:rsidRPr="00950176">
        <w:t xml:space="preserve"> и издели</w:t>
      </w:r>
      <w:r>
        <w:t>й</w:t>
      </w:r>
      <w:r w:rsidRPr="00950176">
        <w:t xml:space="preserve"> из них</w:t>
      </w:r>
      <w:r>
        <w:t xml:space="preserve"> на 30,1% с одновременным ростом удельного веса данной статьи в товарной структуре экспорта на 7,0 п.п. до 27,9%.</w:t>
      </w:r>
    </w:p>
    <w:p w:rsidR="003F5257" w:rsidRDefault="003F5257" w:rsidP="003F5257">
      <w:pPr>
        <w:pStyle w:val="a4"/>
      </w:pPr>
      <w:r w:rsidRPr="00AC2E39">
        <w:t xml:space="preserve">Увеличение экспорта текстильных материалов и одежды на </w:t>
      </w:r>
      <w:r>
        <w:t>10,6</w:t>
      </w:r>
      <w:r w:rsidRPr="00AC2E39">
        <w:t xml:space="preserve">% и на </w:t>
      </w:r>
      <w:r>
        <w:t>10,0</w:t>
      </w:r>
      <w:r w:rsidRPr="00AC2E39">
        <w:t xml:space="preserve">% соответственно, обеспечило прирост совокупной величины экспорта товаров легкой промышленности (текстильные материалы, одежда, текстильные изделия, обувь) </w:t>
      </w:r>
      <w:r>
        <w:t>на 3,7%. Долевое участие данной товарной группы расширилось на 1,3 п.п. до 21,7%.</w:t>
      </w:r>
    </w:p>
    <w:p w:rsidR="003F5257" w:rsidRDefault="003F5257" w:rsidP="003F5257">
      <w:pPr>
        <w:pStyle w:val="a4"/>
      </w:pPr>
      <w:r w:rsidRPr="00B52245">
        <w:t>В январе-</w:t>
      </w:r>
      <w:r>
        <w:t xml:space="preserve">июне </w:t>
      </w:r>
      <w:r w:rsidRPr="00B52245">
        <w:t xml:space="preserve">2017 года </w:t>
      </w:r>
      <w:r>
        <w:t xml:space="preserve">поставки за рубеж продовольственных товаров и сырья возросли в абсолютном выражении на 34,7%, в относительном – на 4,4 п.п. до 16,0%. </w:t>
      </w:r>
    </w:p>
    <w:p w:rsidR="003F5257" w:rsidRDefault="003F5257" w:rsidP="003F5257">
      <w:pPr>
        <w:pStyle w:val="a4"/>
      </w:pPr>
      <w:r>
        <w:t>Объем экспорта машиностроительной продукции в стоимостном выражении в рассматриваемом периоде прирос на 62,3% к прошлогоднему уровню, долевое участие в увеличилось на 2,7 п.п. до 6,7%.</w:t>
      </w:r>
    </w:p>
    <w:p w:rsidR="003F5257" w:rsidRDefault="003F5257" w:rsidP="003F5257">
      <w:pPr>
        <w:pStyle w:val="a4"/>
        <w:ind w:left="-284" w:firstLine="0"/>
      </w:pPr>
      <w:r w:rsidRPr="000A384B">
        <w:rPr>
          <w:noProof/>
        </w:rPr>
        <w:drawing>
          <wp:inline distT="0" distB="0" distL="0" distR="0">
            <wp:extent cx="6313336" cy="2751151"/>
            <wp:effectExtent l="19050" t="0" r="0" b="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5257" w:rsidRDefault="003F5257" w:rsidP="003F5257">
      <w:pPr>
        <w:pStyle w:val="a4"/>
      </w:pPr>
      <w:r>
        <w:t>О</w:t>
      </w:r>
      <w:r w:rsidRPr="000A384B">
        <w:t xml:space="preserve">сновными торговыми партнерами по экспортным </w:t>
      </w:r>
      <w:r>
        <w:t>операциям</w:t>
      </w:r>
      <w:r w:rsidR="00572688">
        <w:t xml:space="preserve"> </w:t>
      </w:r>
      <w:r>
        <w:t>являлись</w:t>
      </w:r>
      <w:r w:rsidR="00572688">
        <w:t xml:space="preserve"> </w:t>
      </w:r>
      <w:r>
        <w:t xml:space="preserve">представители </w:t>
      </w:r>
      <w:proofErr w:type="gramStart"/>
      <w:r>
        <w:t>из</w:t>
      </w:r>
      <w:proofErr w:type="gramEnd"/>
      <w:r>
        <w:t xml:space="preserve">: </w:t>
      </w:r>
      <w:proofErr w:type="gramStart"/>
      <w:r w:rsidRPr="000A384B">
        <w:t>Республик</w:t>
      </w:r>
      <w:r>
        <w:t>и</w:t>
      </w:r>
      <w:r w:rsidRPr="000A384B">
        <w:t xml:space="preserve"> Молдова (</w:t>
      </w:r>
      <w:r>
        <w:t>34,9</w:t>
      </w:r>
      <w:r w:rsidRPr="000A384B">
        <w:t xml:space="preserve">% совокупного экспорта, </w:t>
      </w:r>
      <w:r>
        <w:t>в стоимостном выражении сокращение на</w:t>
      </w:r>
      <w:r w:rsidR="00572688">
        <w:t xml:space="preserve"> </w:t>
      </w:r>
      <w:r>
        <w:t>24,4</w:t>
      </w:r>
      <w:r w:rsidRPr="000A384B">
        <w:t>%), Румыни</w:t>
      </w:r>
      <w:r>
        <w:t>и</w:t>
      </w:r>
      <w:r w:rsidRPr="000A384B">
        <w:t xml:space="preserve"> (</w:t>
      </w:r>
      <w:r>
        <w:t>14,6</w:t>
      </w:r>
      <w:r w:rsidRPr="000A384B">
        <w:t xml:space="preserve">%, </w:t>
      </w:r>
      <w:r>
        <w:t>-11,8</w:t>
      </w:r>
      <w:r w:rsidRPr="000A384B">
        <w:t xml:space="preserve">% к уровню января – </w:t>
      </w:r>
      <w:r>
        <w:t xml:space="preserve">июня </w:t>
      </w:r>
      <w:r w:rsidR="00572688">
        <w:t xml:space="preserve">             </w:t>
      </w:r>
      <w:r w:rsidRPr="000A384B">
        <w:t>201</w:t>
      </w:r>
      <w:r>
        <w:t>6</w:t>
      </w:r>
      <w:r w:rsidRPr="000A384B">
        <w:t xml:space="preserve"> года),</w:t>
      </w:r>
      <w:r w:rsidR="00572688">
        <w:t xml:space="preserve"> </w:t>
      </w:r>
      <w:r w:rsidRPr="000A384B">
        <w:t>Украин</w:t>
      </w:r>
      <w:r>
        <w:t>ы</w:t>
      </w:r>
      <w:r w:rsidRPr="000A384B">
        <w:t xml:space="preserve"> (</w:t>
      </w:r>
      <w:r>
        <w:t>14,3</w:t>
      </w:r>
      <w:r w:rsidRPr="000A384B">
        <w:t xml:space="preserve">%, </w:t>
      </w:r>
      <w:r>
        <w:t xml:space="preserve">+55,0% к уровню </w:t>
      </w:r>
      <w:r w:rsidRPr="000A384B">
        <w:t xml:space="preserve">января – </w:t>
      </w:r>
      <w:r>
        <w:t xml:space="preserve">июня </w:t>
      </w:r>
      <w:r w:rsidRPr="000A384B">
        <w:t>201</w:t>
      </w:r>
      <w:r>
        <w:t>6</w:t>
      </w:r>
      <w:r w:rsidRPr="000A384B">
        <w:t xml:space="preserve"> года)</w:t>
      </w:r>
      <w:r>
        <w:t xml:space="preserve">, </w:t>
      </w:r>
      <w:r w:rsidRPr="000A384B">
        <w:t>Российск</w:t>
      </w:r>
      <w:r>
        <w:t>ой</w:t>
      </w:r>
      <w:r w:rsidRPr="000A384B">
        <w:t xml:space="preserve"> Федераци</w:t>
      </w:r>
      <w:r>
        <w:t>и</w:t>
      </w:r>
      <w:r w:rsidRPr="000A384B">
        <w:t xml:space="preserve"> (</w:t>
      </w:r>
      <w:r>
        <w:t>12,0</w:t>
      </w:r>
      <w:r w:rsidRPr="000A384B">
        <w:t xml:space="preserve">%, </w:t>
      </w:r>
      <w:r>
        <w:t>+54,0</w:t>
      </w:r>
      <w:r w:rsidRPr="000A384B">
        <w:t xml:space="preserve">% к уровню января – </w:t>
      </w:r>
      <w:r>
        <w:t>июня</w:t>
      </w:r>
      <w:r w:rsidRPr="000A384B">
        <w:t xml:space="preserve"> 201</w:t>
      </w:r>
      <w:r>
        <w:t>6</w:t>
      </w:r>
      <w:r>
        <w:rPr>
          <w:lang w:val="en-US"/>
        </w:rPr>
        <w:t> </w:t>
      </w:r>
      <w:r w:rsidRPr="000A384B">
        <w:t>года),</w:t>
      </w:r>
      <w:r w:rsidR="00572688">
        <w:t xml:space="preserve"> </w:t>
      </w:r>
      <w:r w:rsidRPr="000A384B">
        <w:t>Итали</w:t>
      </w:r>
      <w:r>
        <w:t>и</w:t>
      </w:r>
      <w:r w:rsidRPr="000A384B">
        <w:t xml:space="preserve"> (</w:t>
      </w:r>
      <w:r>
        <w:t>7,</w:t>
      </w:r>
      <w:r w:rsidRPr="00CE3D36">
        <w:t>7</w:t>
      </w:r>
      <w:r w:rsidRPr="000A384B">
        <w:t xml:space="preserve">%, </w:t>
      </w:r>
      <w:r w:rsidRPr="00CE3D36">
        <w:t>+</w:t>
      </w:r>
      <w:r>
        <w:t>1,</w:t>
      </w:r>
      <w:r w:rsidRPr="00CE3D36">
        <w:t>7</w:t>
      </w:r>
      <w:r w:rsidRPr="000A384B">
        <w:t xml:space="preserve">% к уровню января – </w:t>
      </w:r>
      <w:r>
        <w:t>июня</w:t>
      </w:r>
      <w:r w:rsidRPr="000A384B">
        <w:t xml:space="preserve"> 201</w:t>
      </w:r>
      <w:r>
        <w:t>6</w:t>
      </w:r>
      <w:r w:rsidRPr="000A384B">
        <w:t xml:space="preserve"> года)</w:t>
      </w:r>
      <w:r>
        <w:t xml:space="preserve">, </w:t>
      </w:r>
      <w:r w:rsidRPr="000A384B">
        <w:t>Германи</w:t>
      </w:r>
      <w:r>
        <w:t>и</w:t>
      </w:r>
      <w:r w:rsidRPr="000A384B">
        <w:t xml:space="preserve"> (</w:t>
      </w:r>
      <w:r>
        <w:t>4,6</w:t>
      </w:r>
      <w:r w:rsidRPr="000A384B">
        <w:t>%, -</w:t>
      </w:r>
      <w:r>
        <w:t>28,8</w:t>
      </w:r>
      <w:r w:rsidRPr="000A384B">
        <w:t xml:space="preserve">% к </w:t>
      </w:r>
      <w:r>
        <w:t>уровню</w:t>
      </w:r>
      <w:r w:rsidRPr="000A384B">
        <w:t xml:space="preserve"> января – </w:t>
      </w:r>
      <w:r>
        <w:t>июня</w:t>
      </w:r>
      <w:r w:rsidR="00572688">
        <w:t xml:space="preserve">                 </w:t>
      </w:r>
      <w:r w:rsidRPr="000A384B">
        <w:t>201</w:t>
      </w:r>
      <w:r>
        <w:t>6</w:t>
      </w:r>
      <w:r w:rsidRPr="000A384B">
        <w:t xml:space="preserve"> года).</w:t>
      </w:r>
      <w:proofErr w:type="gramEnd"/>
    </w:p>
    <w:p w:rsidR="003F5257" w:rsidRDefault="003F5257" w:rsidP="003F5257">
      <w:pPr>
        <w:pStyle w:val="a4"/>
      </w:pPr>
      <w:r>
        <w:rPr>
          <w:szCs w:val="24"/>
        </w:rPr>
        <w:lastRenderedPageBreak/>
        <w:t xml:space="preserve">В </w:t>
      </w:r>
      <w:r>
        <w:rPr>
          <w:szCs w:val="24"/>
          <w:lang w:val="en-US"/>
        </w:rPr>
        <w:t>I</w:t>
      </w:r>
      <w:r>
        <w:rPr>
          <w:szCs w:val="24"/>
        </w:rPr>
        <w:t xml:space="preserve"> полугодии 2017 года динамика т</w:t>
      </w:r>
      <w:r w:rsidRPr="007A5F69">
        <w:rPr>
          <w:szCs w:val="24"/>
        </w:rPr>
        <w:t>оварн</w:t>
      </w:r>
      <w:r>
        <w:rPr>
          <w:szCs w:val="24"/>
        </w:rPr>
        <w:t>ой</w:t>
      </w:r>
      <w:r w:rsidRPr="007A5F69">
        <w:rPr>
          <w:szCs w:val="24"/>
        </w:rPr>
        <w:t xml:space="preserve"> структур</w:t>
      </w:r>
      <w:r>
        <w:rPr>
          <w:szCs w:val="24"/>
        </w:rPr>
        <w:t>ы</w:t>
      </w:r>
      <w:r w:rsidRPr="007A5F69">
        <w:rPr>
          <w:szCs w:val="24"/>
        </w:rPr>
        <w:t xml:space="preserve"> импорт</w:t>
      </w:r>
      <w:r>
        <w:rPr>
          <w:szCs w:val="24"/>
        </w:rPr>
        <w:t>а</w:t>
      </w:r>
      <w:r w:rsidR="00DA5448">
        <w:rPr>
          <w:szCs w:val="24"/>
        </w:rPr>
        <w:t xml:space="preserve"> </w:t>
      </w:r>
      <w:r>
        <w:rPr>
          <w:szCs w:val="24"/>
        </w:rPr>
        <w:t xml:space="preserve">характеризовалась приростом объема </w:t>
      </w:r>
      <w:r w:rsidR="004B6788">
        <w:rPr>
          <w:szCs w:val="24"/>
        </w:rPr>
        <w:t>ввозимой продукции</w:t>
      </w:r>
      <w:r>
        <w:rPr>
          <w:szCs w:val="24"/>
        </w:rPr>
        <w:t xml:space="preserve"> по большинству позиций. Однако</w:t>
      </w:r>
      <w:proofErr w:type="gramStart"/>
      <w:r>
        <w:rPr>
          <w:szCs w:val="24"/>
        </w:rPr>
        <w:t>,</w:t>
      </w:r>
      <w:proofErr w:type="gramEnd"/>
      <w:r>
        <w:rPr>
          <w:szCs w:val="24"/>
        </w:rPr>
        <w:t xml:space="preserve"> снижение </w:t>
      </w:r>
      <w:r w:rsidR="004B6788">
        <w:rPr>
          <w:szCs w:val="24"/>
        </w:rPr>
        <w:t>параметров</w:t>
      </w:r>
      <w:r>
        <w:rPr>
          <w:szCs w:val="24"/>
        </w:rPr>
        <w:t xml:space="preserve"> производственной деятельности на крупнейшем предприятии электроэнергетического комплекса привело к </w:t>
      </w:r>
      <w:r w:rsidRPr="00601CA8">
        <w:rPr>
          <w:szCs w:val="24"/>
        </w:rPr>
        <w:t>сокращени</w:t>
      </w:r>
      <w:r>
        <w:rPr>
          <w:szCs w:val="24"/>
        </w:rPr>
        <w:t>ю</w:t>
      </w:r>
      <w:r w:rsidR="00DA5448">
        <w:rPr>
          <w:szCs w:val="24"/>
        </w:rPr>
        <w:t xml:space="preserve"> </w:t>
      </w:r>
      <w:r>
        <w:rPr>
          <w:szCs w:val="24"/>
        </w:rPr>
        <w:t>импорта</w:t>
      </w:r>
      <w:r w:rsidRPr="00601CA8">
        <w:rPr>
          <w:szCs w:val="24"/>
        </w:rPr>
        <w:t xml:space="preserve"> топливно-энергетических товаров</w:t>
      </w:r>
      <w:r w:rsidR="00DA5448">
        <w:rPr>
          <w:szCs w:val="24"/>
        </w:rPr>
        <w:t xml:space="preserve"> </w:t>
      </w:r>
      <w:r w:rsidRPr="00601CA8">
        <w:rPr>
          <w:szCs w:val="24"/>
        </w:rPr>
        <w:t xml:space="preserve">на </w:t>
      </w:r>
      <w:r>
        <w:rPr>
          <w:szCs w:val="24"/>
        </w:rPr>
        <w:t>25,6</w:t>
      </w:r>
      <w:r w:rsidRPr="00601CA8">
        <w:rPr>
          <w:szCs w:val="24"/>
        </w:rPr>
        <w:t xml:space="preserve">% к базовому значению 2016 года, </w:t>
      </w:r>
      <w:r>
        <w:rPr>
          <w:szCs w:val="24"/>
        </w:rPr>
        <w:t xml:space="preserve">что обусловило </w:t>
      </w:r>
      <w:r w:rsidR="004B6788">
        <w:rPr>
          <w:szCs w:val="24"/>
        </w:rPr>
        <w:t>уменьшение</w:t>
      </w:r>
      <w:r w:rsidRPr="00601CA8">
        <w:rPr>
          <w:szCs w:val="24"/>
        </w:rPr>
        <w:t xml:space="preserve"> долево</w:t>
      </w:r>
      <w:r>
        <w:rPr>
          <w:szCs w:val="24"/>
        </w:rPr>
        <w:t>го</w:t>
      </w:r>
      <w:r w:rsidRPr="00601CA8">
        <w:rPr>
          <w:szCs w:val="24"/>
        </w:rPr>
        <w:t xml:space="preserve"> участи</w:t>
      </w:r>
      <w:r>
        <w:rPr>
          <w:szCs w:val="24"/>
        </w:rPr>
        <w:t>я</w:t>
      </w:r>
      <w:r w:rsidR="00DA5448">
        <w:rPr>
          <w:szCs w:val="24"/>
        </w:rPr>
        <w:t xml:space="preserve"> </w:t>
      </w:r>
      <w:r>
        <w:rPr>
          <w:szCs w:val="24"/>
        </w:rPr>
        <w:t xml:space="preserve">данной позиции </w:t>
      </w:r>
      <w:r w:rsidRPr="00601CA8">
        <w:rPr>
          <w:szCs w:val="24"/>
        </w:rPr>
        <w:t xml:space="preserve">в структуре импорта </w:t>
      </w:r>
      <w:r>
        <w:rPr>
          <w:szCs w:val="24"/>
        </w:rPr>
        <w:t xml:space="preserve">на 12,3 п.п. </w:t>
      </w:r>
      <w:r w:rsidRPr="00601CA8">
        <w:rPr>
          <w:szCs w:val="24"/>
        </w:rPr>
        <w:t xml:space="preserve">до </w:t>
      </w:r>
      <w:r>
        <w:rPr>
          <w:szCs w:val="24"/>
        </w:rPr>
        <w:t>36,0%</w:t>
      </w:r>
      <w:r w:rsidRPr="00601CA8">
        <w:rPr>
          <w:szCs w:val="24"/>
        </w:rPr>
        <w:t>.</w:t>
      </w:r>
    </w:p>
    <w:p w:rsidR="003F5257" w:rsidRDefault="003F5257" w:rsidP="003F5257">
      <w:pPr>
        <w:pStyle w:val="a4"/>
      </w:pPr>
      <w:r>
        <w:t xml:space="preserve">Объем ввозимых на территорию республики </w:t>
      </w:r>
      <w:r w:rsidRPr="000A384B">
        <w:t>продовольственны</w:t>
      </w:r>
      <w:r>
        <w:t>х</w:t>
      </w:r>
      <w:r w:rsidRPr="000A384B">
        <w:t xml:space="preserve"> товар</w:t>
      </w:r>
      <w:r>
        <w:t>ов</w:t>
      </w:r>
      <w:r w:rsidRPr="000A384B">
        <w:t xml:space="preserve"> (сырь</w:t>
      </w:r>
      <w:r>
        <w:t>я</w:t>
      </w:r>
      <w:r w:rsidRPr="000A384B">
        <w:t xml:space="preserve">) </w:t>
      </w:r>
      <w:r>
        <w:t>увеличился к уровню шести месяцев 2016 года на 23,7%, доля возросла на 2,7 п.п. до 13,6%.</w:t>
      </w:r>
    </w:p>
    <w:p w:rsidR="003F5257" w:rsidRPr="00F76F90" w:rsidRDefault="003F5257" w:rsidP="003F5257">
      <w:pPr>
        <w:pStyle w:val="a4"/>
      </w:pPr>
      <w:r>
        <w:t>В отчетном периоде импорт</w:t>
      </w:r>
      <w:r w:rsidRPr="00EB3CC9">
        <w:t xml:space="preserve"> металлов и изделий из них </w:t>
      </w:r>
      <w:r>
        <w:t>расширился на 92,6%,соответственно удельный вес достиг 12,8% (+6,2 п.п.).</w:t>
      </w:r>
    </w:p>
    <w:p w:rsidR="003F5257" w:rsidRDefault="003F5257" w:rsidP="003F5257">
      <w:pPr>
        <w:pStyle w:val="a4"/>
      </w:pPr>
      <w:r>
        <w:t>Ввоз на территорию республики</w:t>
      </w:r>
      <w:r w:rsidRPr="00DD68B6">
        <w:t xml:space="preserve"> машиностроительной продукции в </w:t>
      </w:r>
      <w:r>
        <w:t>абсолютном выражении</w:t>
      </w:r>
      <w:r w:rsidR="00DA5448">
        <w:t xml:space="preserve"> </w:t>
      </w:r>
      <w:r>
        <w:t xml:space="preserve">прирос </w:t>
      </w:r>
      <w:r w:rsidRPr="00DD68B6">
        <w:t xml:space="preserve">на </w:t>
      </w:r>
      <w:r>
        <w:t>15,7</w:t>
      </w:r>
      <w:r w:rsidRPr="00DD68B6">
        <w:t xml:space="preserve">%, </w:t>
      </w:r>
      <w:r>
        <w:t xml:space="preserve">а </w:t>
      </w:r>
      <w:r w:rsidRPr="00DD68B6">
        <w:t>дол</w:t>
      </w:r>
      <w:r>
        <w:t>я в товарной структуре импорта расширилась</w:t>
      </w:r>
      <w:r w:rsidR="00DA5448">
        <w:t xml:space="preserve"> </w:t>
      </w:r>
      <w:r>
        <w:t>на 1,4 п.п. до 10,3%.</w:t>
      </w:r>
    </w:p>
    <w:p w:rsidR="003F5257" w:rsidRPr="00832D29" w:rsidRDefault="003F5257" w:rsidP="003F5257">
      <w:pPr>
        <w:pStyle w:val="2"/>
        <w:ind w:firstLine="709"/>
        <w:rPr>
          <w:sz w:val="16"/>
          <w:szCs w:val="16"/>
        </w:rPr>
      </w:pPr>
    </w:p>
    <w:p w:rsidR="003F5257" w:rsidRDefault="003F5257" w:rsidP="003F5257">
      <w:pPr>
        <w:pStyle w:val="2"/>
        <w:ind w:firstLine="142"/>
        <w:rPr>
          <w:sz w:val="24"/>
          <w:szCs w:val="24"/>
        </w:rPr>
      </w:pPr>
      <w:r w:rsidRPr="000A384B">
        <w:rPr>
          <w:noProof/>
        </w:rPr>
        <w:drawing>
          <wp:inline distT="0" distB="0" distL="0" distR="0">
            <wp:extent cx="5947575" cy="2790908"/>
            <wp:effectExtent l="0" t="0" r="0" b="0"/>
            <wp:docPr id="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5257" w:rsidRDefault="003F5257" w:rsidP="003F5257">
      <w:pPr>
        <w:pStyle w:val="a4"/>
      </w:pPr>
      <w:r>
        <w:t>Абсолютная величина импортных поставок продукции химической и связанных с ней отраслей промышленности в январе-июне 2017 года выросла на 15,9%, что обусловило расширение долевого участия в товарной структуре до 8,3%</w:t>
      </w:r>
      <w:r w:rsidR="004B6788">
        <w:t>,</w:t>
      </w:r>
      <w:r>
        <w:t xml:space="preserve"> или на 1,2 п.п.</w:t>
      </w:r>
    </w:p>
    <w:p w:rsidR="003F5257" w:rsidRDefault="003F5257" w:rsidP="003F5257">
      <w:pPr>
        <w:pStyle w:val="a4"/>
      </w:pPr>
      <w:r>
        <w:t xml:space="preserve">Импорт </w:t>
      </w:r>
      <w:r w:rsidRPr="000A384B">
        <w:t>товаров легкой промышленности (текстильные материалы, одежда, текстильные изделия, обувь)</w:t>
      </w:r>
      <w:r>
        <w:t xml:space="preserve"> в </w:t>
      </w:r>
      <w:r>
        <w:rPr>
          <w:lang w:val="en-US"/>
        </w:rPr>
        <w:t>I</w:t>
      </w:r>
      <w:r w:rsidRPr="00D636CE">
        <w:t xml:space="preserve"> полугодии</w:t>
      </w:r>
      <w:r>
        <w:t xml:space="preserve"> 2017 года увеличился </w:t>
      </w:r>
      <w:r w:rsidR="004B6788">
        <w:t>в абсолютном выражении</w:t>
      </w:r>
      <w:r w:rsidR="00DA5448">
        <w:t xml:space="preserve"> </w:t>
      </w:r>
      <w:r>
        <w:t xml:space="preserve">на 21,6%, в структурном представлении </w:t>
      </w:r>
      <w:r w:rsidR="004B6788">
        <w:t xml:space="preserve">– </w:t>
      </w:r>
      <w:r>
        <w:t>на 1,4 п.п. до 7,8%.</w:t>
      </w:r>
    </w:p>
    <w:p w:rsidR="003F5257" w:rsidRDefault="003F5257" w:rsidP="003F5257">
      <w:pPr>
        <w:pStyle w:val="a4"/>
        <w:ind w:left="-567" w:firstLine="0"/>
        <w:jc w:val="center"/>
      </w:pPr>
      <w:r w:rsidRPr="000A384B">
        <w:rPr>
          <w:noProof/>
        </w:rPr>
        <w:drawing>
          <wp:inline distT="0" distB="0" distL="0" distR="0">
            <wp:extent cx="6496050" cy="2324100"/>
            <wp:effectExtent l="0" t="0" r="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F5257" w:rsidRDefault="003F5257" w:rsidP="003F5257">
      <w:pPr>
        <w:pStyle w:val="a4"/>
      </w:pPr>
      <w:r>
        <w:t xml:space="preserve">Большая часть ввозимой на территорию </w:t>
      </w:r>
      <w:r w:rsidRPr="00950176">
        <w:t>Приднестровья</w:t>
      </w:r>
      <w:r>
        <w:t xml:space="preserve"> продукции поступала из таких стран как:</w:t>
      </w:r>
      <w:r w:rsidR="00DA5448">
        <w:t xml:space="preserve"> </w:t>
      </w:r>
      <w:proofErr w:type="gramStart"/>
      <w:r w:rsidRPr="000A384B">
        <w:t>Российск</w:t>
      </w:r>
      <w:r>
        <w:t>ая</w:t>
      </w:r>
      <w:r w:rsidRPr="000A384B">
        <w:t xml:space="preserve"> Федераци</w:t>
      </w:r>
      <w:r>
        <w:t>я</w:t>
      </w:r>
      <w:r w:rsidRPr="000A384B">
        <w:t xml:space="preserve"> (</w:t>
      </w:r>
      <w:r>
        <w:t>38,1</w:t>
      </w:r>
      <w:r w:rsidRPr="000A384B">
        <w:t xml:space="preserve">% совокупного импорта, </w:t>
      </w:r>
      <w:r>
        <w:t>-24,5</w:t>
      </w:r>
      <w:r w:rsidRPr="000A384B">
        <w:t xml:space="preserve">% </w:t>
      </w:r>
      <w:r>
        <w:t xml:space="preserve">в стоимостном выражении </w:t>
      </w:r>
      <w:r w:rsidRPr="000A384B">
        <w:t>к уровню базового показателя 201</w:t>
      </w:r>
      <w:r>
        <w:t>6</w:t>
      </w:r>
      <w:r w:rsidRPr="000A384B">
        <w:t xml:space="preserve"> года)</w:t>
      </w:r>
      <w:r>
        <w:t>,</w:t>
      </w:r>
      <w:r w:rsidR="00DA5448">
        <w:t xml:space="preserve"> </w:t>
      </w:r>
      <w:r w:rsidRPr="000A384B">
        <w:t>Украин</w:t>
      </w:r>
      <w:r>
        <w:t>а</w:t>
      </w:r>
      <w:r w:rsidRPr="000A384B">
        <w:t xml:space="preserve"> (</w:t>
      </w:r>
      <w:r>
        <w:t>16,8</w:t>
      </w:r>
      <w:r w:rsidRPr="000A384B">
        <w:t xml:space="preserve">%, </w:t>
      </w:r>
      <w:r>
        <w:t>+43,8</w:t>
      </w:r>
      <w:r w:rsidRPr="000A384B">
        <w:t>%</w:t>
      </w:r>
      <w:r w:rsidR="00DA5448">
        <w:t xml:space="preserve"> </w:t>
      </w:r>
      <w:r w:rsidRPr="000A384B">
        <w:t xml:space="preserve">к уровню января – </w:t>
      </w:r>
      <w:r>
        <w:t>июня</w:t>
      </w:r>
      <w:r w:rsidRPr="000A384B">
        <w:t xml:space="preserve"> 201</w:t>
      </w:r>
      <w:r>
        <w:t>6 </w:t>
      </w:r>
      <w:r w:rsidRPr="000A384B">
        <w:t>года</w:t>
      </w:r>
      <w:r>
        <w:t xml:space="preserve">), </w:t>
      </w:r>
      <w:r w:rsidRPr="000A384B">
        <w:t>Республик</w:t>
      </w:r>
      <w:r>
        <w:t xml:space="preserve">а </w:t>
      </w:r>
      <w:r w:rsidRPr="000A384B">
        <w:t>Молдова (</w:t>
      </w:r>
      <w:r>
        <w:t>11,0</w:t>
      </w:r>
      <w:r w:rsidRPr="000A384B">
        <w:t xml:space="preserve">%, </w:t>
      </w:r>
      <w:r>
        <w:t xml:space="preserve">+18,9% </w:t>
      </w:r>
      <w:r w:rsidRPr="000A384B">
        <w:t xml:space="preserve">к </w:t>
      </w:r>
      <w:r>
        <w:t>базовому уровню</w:t>
      </w:r>
      <w:r w:rsidR="00DA5448">
        <w:t xml:space="preserve"> </w:t>
      </w:r>
      <w:r w:rsidRPr="000A384B">
        <w:lastRenderedPageBreak/>
        <w:t>201</w:t>
      </w:r>
      <w:r>
        <w:t>6 </w:t>
      </w:r>
      <w:r w:rsidRPr="000A384B">
        <w:t>года</w:t>
      </w:r>
      <w:r>
        <w:t xml:space="preserve">), </w:t>
      </w:r>
      <w:r w:rsidRPr="000A384B">
        <w:t>Р</w:t>
      </w:r>
      <w:r>
        <w:t>умыния (4,2</w:t>
      </w:r>
      <w:r w:rsidRPr="000A384B">
        <w:t xml:space="preserve">%, </w:t>
      </w:r>
      <w:r>
        <w:t>увеличение</w:t>
      </w:r>
      <w:r w:rsidR="00DA5448">
        <w:t xml:space="preserve"> </w:t>
      </w:r>
      <w:r>
        <w:t>в 2,1 раза</w:t>
      </w:r>
      <w:r w:rsidR="00DA5448">
        <w:t xml:space="preserve"> </w:t>
      </w:r>
      <w:r w:rsidRPr="000A384B">
        <w:t xml:space="preserve">к уровню января – </w:t>
      </w:r>
      <w:r>
        <w:t>июня</w:t>
      </w:r>
      <w:r w:rsidRPr="000A384B">
        <w:t xml:space="preserve"> 201</w:t>
      </w:r>
      <w:r>
        <w:t xml:space="preserve">6 </w:t>
      </w:r>
      <w:r w:rsidRPr="000A384B">
        <w:t>года</w:t>
      </w:r>
      <w:r>
        <w:t>),</w:t>
      </w:r>
      <w:r w:rsidR="00DA5448">
        <w:t xml:space="preserve"> </w:t>
      </w:r>
      <w:r w:rsidRPr="000A384B">
        <w:t>Германи</w:t>
      </w:r>
      <w:r>
        <w:t xml:space="preserve">я </w:t>
      </w:r>
      <w:r w:rsidRPr="000A384B">
        <w:t>(</w:t>
      </w:r>
      <w:r>
        <w:t>3,9</w:t>
      </w:r>
      <w:r w:rsidRPr="000A384B">
        <w:t xml:space="preserve">%, </w:t>
      </w:r>
      <w:r>
        <w:t>+3,3</w:t>
      </w:r>
      <w:r w:rsidRPr="000A384B">
        <w:t>%</w:t>
      </w:r>
      <w:r w:rsidR="00DA5448">
        <w:t xml:space="preserve"> </w:t>
      </w:r>
      <w:r w:rsidRPr="000A384B">
        <w:t>к уровню базового показателя 201</w:t>
      </w:r>
      <w:r>
        <w:t>6 </w:t>
      </w:r>
      <w:r w:rsidRPr="000A384B">
        <w:t>года)</w:t>
      </w:r>
      <w:r>
        <w:t>.</w:t>
      </w:r>
      <w:proofErr w:type="gramEnd"/>
    </w:p>
    <w:p w:rsidR="003F5257" w:rsidRPr="0063091C" w:rsidRDefault="003F5257" w:rsidP="003F5257">
      <w:pPr>
        <w:pStyle w:val="ConsPlusNormal"/>
        <w:widowControl/>
        <w:tabs>
          <w:tab w:val="left" w:pos="4284"/>
        </w:tabs>
        <w:suppressAutoHyphens/>
        <w:ind w:firstLine="567"/>
        <w:jc w:val="both"/>
        <w:rPr>
          <w:rFonts w:ascii="Times New Roman" w:hAnsi="Times New Roman" w:cs="Times New Roman"/>
          <w:sz w:val="24"/>
          <w:szCs w:val="24"/>
        </w:rPr>
      </w:pPr>
      <w:r>
        <w:rPr>
          <w:rFonts w:ascii="Times New Roman" w:hAnsi="Times New Roman" w:cs="Times New Roman"/>
          <w:sz w:val="24"/>
          <w:szCs w:val="24"/>
        </w:rPr>
        <w:t>На протяжении I полугодия текущего года государственная политика в области в</w:t>
      </w:r>
      <w:r w:rsidRPr="002B0B93">
        <w:rPr>
          <w:rFonts w:ascii="Times New Roman" w:hAnsi="Times New Roman" w:cs="Times New Roman"/>
          <w:sz w:val="24"/>
          <w:szCs w:val="24"/>
        </w:rPr>
        <w:t>нешнеэкономическ</w:t>
      </w:r>
      <w:r>
        <w:rPr>
          <w:rFonts w:ascii="Times New Roman" w:hAnsi="Times New Roman" w:cs="Times New Roman"/>
          <w:sz w:val="24"/>
          <w:szCs w:val="24"/>
        </w:rPr>
        <w:t>ой</w:t>
      </w:r>
      <w:r w:rsidR="00DA5448">
        <w:rPr>
          <w:rFonts w:ascii="Times New Roman" w:hAnsi="Times New Roman" w:cs="Times New Roman"/>
          <w:sz w:val="24"/>
          <w:szCs w:val="24"/>
        </w:rPr>
        <w:t xml:space="preserve"> </w:t>
      </w:r>
      <w:r>
        <w:rPr>
          <w:rFonts w:ascii="Times New Roman" w:hAnsi="Times New Roman" w:cs="Times New Roman"/>
          <w:sz w:val="24"/>
          <w:szCs w:val="24"/>
        </w:rPr>
        <w:t xml:space="preserve">деятельности была </w:t>
      </w:r>
      <w:r w:rsidR="00DA5448">
        <w:rPr>
          <w:rFonts w:ascii="Times New Roman" w:hAnsi="Times New Roman" w:cs="Times New Roman"/>
          <w:sz w:val="24"/>
          <w:szCs w:val="24"/>
        </w:rPr>
        <w:t>направле</w:t>
      </w:r>
      <w:r w:rsidRPr="003118CB">
        <w:rPr>
          <w:rFonts w:ascii="Times New Roman" w:hAnsi="Times New Roman" w:cs="Times New Roman"/>
          <w:sz w:val="24"/>
          <w:szCs w:val="24"/>
        </w:rPr>
        <w:t xml:space="preserve">на на снижение административных барьеров, обеспечение благоприятных условий для эффективного развития производства и торговли на территории </w:t>
      </w:r>
      <w:r>
        <w:rPr>
          <w:rFonts w:ascii="Times New Roman" w:hAnsi="Times New Roman" w:cs="Times New Roman"/>
          <w:sz w:val="24"/>
          <w:szCs w:val="24"/>
        </w:rPr>
        <w:t>Приднестровья</w:t>
      </w:r>
      <w:r w:rsidRPr="003118CB">
        <w:rPr>
          <w:rFonts w:ascii="Times New Roman" w:hAnsi="Times New Roman" w:cs="Times New Roman"/>
          <w:sz w:val="24"/>
          <w:szCs w:val="24"/>
        </w:rPr>
        <w:t>, оказ</w:t>
      </w:r>
      <w:r>
        <w:rPr>
          <w:rFonts w:ascii="Times New Roman" w:hAnsi="Times New Roman" w:cs="Times New Roman"/>
          <w:sz w:val="24"/>
          <w:szCs w:val="24"/>
        </w:rPr>
        <w:t xml:space="preserve">ание </w:t>
      </w:r>
      <w:r w:rsidRPr="0063091C">
        <w:rPr>
          <w:rFonts w:ascii="Times New Roman" w:hAnsi="Times New Roman" w:cs="Times New Roman"/>
          <w:sz w:val="24"/>
          <w:szCs w:val="24"/>
        </w:rPr>
        <w:t>содействия развитию отечественным производителям и экономическим агентам, а именно:</w:t>
      </w:r>
    </w:p>
    <w:p w:rsidR="003F5257" w:rsidRPr="0063091C" w:rsidRDefault="003F5257" w:rsidP="003F5257">
      <w:pPr>
        <w:numPr>
          <w:ilvl w:val="0"/>
          <w:numId w:val="7"/>
        </w:numPr>
        <w:tabs>
          <w:tab w:val="left" w:pos="284"/>
          <w:tab w:val="left" w:pos="720"/>
          <w:tab w:val="left" w:pos="993"/>
        </w:tabs>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в</w:t>
      </w:r>
      <w:r w:rsidRPr="0063091C">
        <w:rPr>
          <w:rFonts w:ascii="Times New Roman" w:hAnsi="Times New Roman"/>
          <w:sz w:val="24"/>
          <w:szCs w:val="24"/>
        </w:rPr>
        <w:t xml:space="preserve"> целях активизации деятельности приднестровских экономических агентов, а также в связи с необходимостью поддержки отечественных производителей,</w:t>
      </w:r>
      <w:r w:rsidRPr="0063091C">
        <w:rPr>
          <w:rFonts w:ascii="Times New Roman" w:eastAsia="Calibri" w:hAnsi="Times New Roman"/>
          <w:sz w:val="24"/>
          <w:szCs w:val="24"/>
        </w:rPr>
        <w:t xml:space="preserve"> хозяйствующим субъектам наряду со снятием со счета определенной суммы иностранной</w:t>
      </w:r>
      <w:r w:rsidRPr="0063091C">
        <w:rPr>
          <w:rFonts w:ascii="Times New Roman" w:hAnsi="Times New Roman"/>
          <w:bCs/>
          <w:sz w:val="24"/>
          <w:szCs w:val="24"/>
        </w:rPr>
        <w:t xml:space="preserve"> валюты (молдавские леи, </w:t>
      </w:r>
      <w:r w:rsidRPr="0063091C">
        <w:rPr>
          <w:rFonts w:ascii="Times New Roman" w:hAnsi="Times New Roman"/>
          <w:sz w:val="24"/>
          <w:szCs w:val="24"/>
        </w:rPr>
        <w:t xml:space="preserve">гривны, </w:t>
      </w:r>
      <w:r w:rsidRPr="005D5FB8">
        <w:rPr>
          <w:rFonts w:ascii="Times New Roman" w:hAnsi="Times New Roman"/>
          <w:sz w:val="24"/>
          <w:szCs w:val="24"/>
        </w:rPr>
        <w:t>российские рубли) разрешена покупка указанной</w:t>
      </w:r>
      <w:r w:rsidR="00AC7A0B">
        <w:rPr>
          <w:rFonts w:ascii="Times New Roman" w:hAnsi="Times New Roman"/>
          <w:sz w:val="24"/>
          <w:szCs w:val="24"/>
        </w:rPr>
        <w:t xml:space="preserve"> </w:t>
      </w:r>
      <w:r w:rsidRPr="005D5FB8">
        <w:rPr>
          <w:rFonts w:ascii="Times New Roman" w:hAnsi="Times New Roman"/>
          <w:sz w:val="24"/>
          <w:szCs w:val="24"/>
        </w:rPr>
        <w:t>валюты без заключения внешнеэкономических контрактов для закупок товарно-материальных ценностей за пределами ПМР (</w:t>
      </w:r>
      <w:r w:rsidRPr="005D5FB8">
        <w:rPr>
          <w:rFonts w:ascii="Times New Roman" w:eastAsia="Calibri" w:hAnsi="Times New Roman"/>
          <w:sz w:val="24"/>
          <w:szCs w:val="24"/>
        </w:rPr>
        <w:t>Указ Президента ПМР от 29 мая 2017 года № 349 «О внесении изменения в</w:t>
      </w:r>
      <w:proofErr w:type="gramEnd"/>
      <w:r w:rsidRPr="005D5FB8">
        <w:rPr>
          <w:rFonts w:ascii="Times New Roman" w:eastAsia="Calibri" w:hAnsi="Times New Roman"/>
          <w:sz w:val="24"/>
          <w:szCs w:val="24"/>
        </w:rPr>
        <w:t xml:space="preserve"> </w:t>
      </w:r>
      <w:proofErr w:type="gramStart"/>
      <w:r w:rsidRPr="005D5FB8">
        <w:rPr>
          <w:rFonts w:ascii="Times New Roman" w:eastAsia="Calibri" w:hAnsi="Times New Roman"/>
          <w:sz w:val="24"/>
          <w:szCs w:val="24"/>
        </w:rPr>
        <w:t>Указ Президента Приднестровской Молдавской Республики</w:t>
      </w:r>
      <w:r w:rsidRPr="0063091C">
        <w:rPr>
          <w:rFonts w:ascii="Times New Roman" w:eastAsia="Calibri" w:hAnsi="Times New Roman"/>
          <w:sz w:val="24"/>
          <w:szCs w:val="24"/>
        </w:rPr>
        <w:t xml:space="preserve"> от 13 февраля 2013</w:t>
      </w:r>
      <w:r>
        <w:rPr>
          <w:rFonts w:ascii="Times New Roman" w:eastAsia="Calibri" w:hAnsi="Times New Roman"/>
          <w:sz w:val="24"/>
          <w:szCs w:val="24"/>
        </w:rPr>
        <w:t> </w:t>
      </w:r>
      <w:r w:rsidRPr="0063091C">
        <w:rPr>
          <w:rFonts w:ascii="Times New Roman" w:eastAsia="Calibri" w:hAnsi="Times New Roman"/>
          <w:sz w:val="24"/>
          <w:szCs w:val="24"/>
        </w:rPr>
        <w:t>года № 67 «О некоторых мерах по созданию условий для активизации деятельности хозяйствующих субъектов Приднестровской Молдавской Республики»</w:t>
      </w:r>
      <w:r w:rsidR="004B6788">
        <w:rPr>
          <w:rFonts w:ascii="Times New Roman" w:hAnsi="Times New Roman"/>
          <w:sz w:val="24"/>
          <w:szCs w:val="24"/>
        </w:rPr>
        <w:t>);</w:t>
      </w:r>
      <w:proofErr w:type="gramEnd"/>
    </w:p>
    <w:p w:rsidR="003F5257" w:rsidRPr="0063091C" w:rsidRDefault="003F5257" w:rsidP="003F5257">
      <w:pPr>
        <w:numPr>
          <w:ilvl w:val="0"/>
          <w:numId w:val="7"/>
        </w:numPr>
        <w:tabs>
          <w:tab w:val="left" w:pos="284"/>
          <w:tab w:val="left" w:pos="72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63091C">
        <w:rPr>
          <w:rFonts w:ascii="Times New Roman" w:hAnsi="Times New Roman"/>
          <w:sz w:val="24"/>
          <w:szCs w:val="24"/>
        </w:rPr>
        <w:t xml:space="preserve"> целях поддержки отечественных предпринимателей и </w:t>
      </w:r>
      <w:r>
        <w:rPr>
          <w:rFonts w:ascii="Times New Roman" w:hAnsi="Times New Roman"/>
          <w:sz w:val="24"/>
          <w:szCs w:val="24"/>
        </w:rPr>
        <w:t>стимулирования деловой</w:t>
      </w:r>
      <w:r w:rsidRPr="0063091C">
        <w:rPr>
          <w:rFonts w:ascii="Times New Roman" w:hAnsi="Times New Roman"/>
          <w:sz w:val="24"/>
          <w:szCs w:val="24"/>
        </w:rPr>
        <w:t xml:space="preserve"> активности в республике снижены ставки таможенного тарифа на ввозимые товары:</w:t>
      </w:r>
    </w:p>
    <w:p w:rsidR="003F5257" w:rsidRPr="0063091C" w:rsidRDefault="003F5257" w:rsidP="003F5257">
      <w:pPr>
        <w:tabs>
          <w:tab w:val="left" w:pos="284"/>
          <w:tab w:val="left" w:pos="720"/>
          <w:tab w:val="left" w:pos="993"/>
        </w:tabs>
        <w:spacing w:after="0" w:line="240" w:lineRule="auto"/>
        <w:ind w:firstLine="709"/>
        <w:jc w:val="both"/>
        <w:rPr>
          <w:rFonts w:ascii="Times New Roman" w:hAnsi="Times New Roman"/>
          <w:sz w:val="24"/>
          <w:szCs w:val="24"/>
        </w:rPr>
      </w:pPr>
      <w:r w:rsidRPr="0063091C">
        <w:rPr>
          <w:rFonts w:ascii="Times New Roman" w:hAnsi="Times New Roman"/>
          <w:sz w:val="24"/>
          <w:szCs w:val="24"/>
        </w:rPr>
        <w:t>а) сигары и сигареты с 3 ев</w:t>
      </w:r>
      <w:r w:rsidR="00AC7A0B">
        <w:rPr>
          <w:rFonts w:ascii="Times New Roman" w:hAnsi="Times New Roman"/>
          <w:sz w:val="24"/>
          <w:szCs w:val="24"/>
        </w:rPr>
        <w:t>ро до 0,6 евро;</w:t>
      </w:r>
    </w:p>
    <w:p w:rsidR="003F5257" w:rsidRPr="0063091C" w:rsidRDefault="003F5257" w:rsidP="003F5257">
      <w:pPr>
        <w:tabs>
          <w:tab w:val="left" w:pos="284"/>
          <w:tab w:val="left" w:pos="720"/>
          <w:tab w:val="left" w:pos="993"/>
        </w:tabs>
        <w:spacing w:after="0" w:line="240" w:lineRule="auto"/>
        <w:ind w:firstLine="709"/>
        <w:jc w:val="both"/>
        <w:rPr>
          <w:rFonts w:ascii="Times New Roman" w:hAnsi="Times New Roman"/>
          <w:sz w:val="24"/>
          <w:szCs w:val="24"/>
        </w:rPr>
      </w:pPr>
      <w:r w:rsidRPr="0063091C">
        <w:rPr>
          <w:rFonts w:ascii="Times New Roman" w:hAnsi="Times New Roman"/>
          <w:sz w:val="24"/>
          <w:szCs w:val="24"/>
        </w:rPr>
        <w:t>б) одежду и обувь с 20%, но не менее 0,50 - 2 долл.</w:t>
      </w:r>
      <w:r w:rsidR="00AC7A0B">
        <w:rPr>
          <w:rFonts w:ascii="Times New Roman" w:hAnsi="Times New Roman"/>
          <w:sz w:val="24"/>
          <w:szCs w:val="24"/>
        </w:rPr>
        <w:t xml:space="preserve"> </w:t>
      </w:r>
      <w:r w:rsidRPr="0063091C">
        <w:rPr>
          <w:rFonts w:ascii="Times New Roman" w:hAnsi="Times New Roman"/>
          <w:sz w:val="24"/>
          <w:szCs w:val="24"/>
        </w:rPr>
        <w:t>США за штуку до 10%-15%;</w:t>
      </w:r>
    </w:p>
    <w:p w:rsidR="003F5257" w:rsidRPr="0063091C" w:rsidRDefault="003F5257" w:rsidP="003F5257">
      <w:pPr>
        <w:tabs>
          <w:tab w:val="left" w:pos="284"/>
          <w:tab w:val="left" w:pos="720"/>
          <w:tab w:val="left" w:pos="993"/>
        </w:tabs>
        <w:spacing w:after="0" w:line="240" w:lineRule="auto"/>
        <w:ind w:firstLine="709"/>
        <w:jc w:val="both"/>
        <w:rPr>
          <w:rFonts w:ascii="Times New Roman" w:hAnsi="Times New Roman"/>
          <w:sz w:val="24"/>
          <w:szCs w:val="24"/>
          <w:highlight w:val="yellow"/>
        </w:rPr>
      </w:pPr>
      <w:r w:rsidRPr="0063091C">
        <w:rPr>
          <w:rFonts w:ascii="Times New Roman" w:hAnsi="Times New Roman"/>
          <w:sz w:val="24"/>
          <w:szCs w:val="24"/>
        </w:rPr>
        <w:t>в) ввоз изделий из драгоценных металлов (золото и т.п.) с 15% до 10</w:t>
      </w:r>
      <w:r>
        <w:rPr>
          <w:rFonts w:ascii="Times New Roman" w:hAnsi="Times New Roman"/>
          <w:sz w:val="24"/>
          <w:szCs w:val="24"/>
        </w:rPr>
        <w:t>%.</w:t>
      </w:r>
    </w:p>
    <w:p w:rsidR="003F5257" w:rsidRPr="0063091C" w:rsidRDefault="003F5257" w:rsidP="003F5257">
      <w:pPr>
        <w:spacing w:after="0" w:line="240" w:lineRule="auto"/>
        <w:ind w:firstLine="709"/>
        <w:jc w:val="both"/>
        <w:rPr>
          <w:rFonts w:ascii="Times New Roman" w:hAnsi="Times New Roman"/>
          <w:sz w:val="24"/>
          <w:szCs w:val="24"/>
        </w:rPr>
      </w:pPr>
      <w:r w:rsidRPr="0063091C">
        <w:rPr>
          <w:rFonts w:ascii="Times New Roman" w:hAnsi="Times New Roman"/>
          <w:sz w:val="24"/>
          <w:szCs w:val="24"/>
        </w:rPr>
        <w:t xml:space="preserve">Указанные меры </w:t>
      </w:r>
      <w:r w:rsidR="004B6788">
        <w:rPr>
          <w:rFonts w:ascii="Times New Roman" w:hAnsi="Times New Roman"/>
          <w:sz w:val="24"/>
          <w:szCs w:val="24"/>
        </w:rPr>
        <w:t>направлены на</w:t>
      </w:r>
      <w:r w:rsidRPr="0063091C">
        <w:rPr>
          <w:rFonts w:ascii="Times New Roman" w:hAnsi="Times New Roman"/>
          <w:sz w:val="24"/>
          <w:szCs w:val="24"/>
        </w:rPr>
        <w:t xml:space="preserve"> увеличение объема ввоза данных категорий товаров, и</w:t>
      </w:r>
      <w:r w:rsidR="004B6788">
        <w:rPr>
          <w:rFonts w:ascii="Times New Roman" w:hAnsi="Times New Roman"/>
          <w:sz w:val="24"/>
          <w:szCs w:val="24"/>
        </w:rPr>
        <w:t>,</w:t>
      </w:r>
      <w:r w:rsidRPr="0063091C">
        <w:rPr>
          <w:rFonts w:ascii="Times New Roman" w:hAnsi="Times New Roman"/>
          <w:sz w:val="24"/>
          <w:szCs w:val="24"/>
        </w:rPr>
        <w:t xml:space="preserve"> как следствие, </w:t>
      </w:r>
      <w:r>
        <w:rPr>
          <w:rFonts w:ascii="Times New Roman" w:hAnsi="Times New Roman"/>
          <w:sz w:val="24"/>
          <w:szCs w:val="24"/>
        </w:rPr>
        <w:t>рост</w:t>
      </w:r>
      <w:r w:rsidRPr="0063091C">
        <w:rPr>
          <w:rFonts w:ascii="Times New Roman" w:hAnsi="Times New Roman"/>
          <w:sz w:val="24"/>
          <w:szCs w:val="24"/>
        </w:rPr>
        <w:t xml:space="preserve"> поступлений в бюджет </w:t>
      </w:r>
      <w:r w:rsidR="004B6788">
        <w:rPr>
          <w:rFonts w:ascii="Times New Roman" w:hAnsi="Times New Roman"/>
          <w:sz w:val="24"/>
          <w:szCs w:val="24"/>
        </w:rPr>
        <w:t>от уплаченных таможенных пошлин</w:t>
      </w:r>
      <w:r>
        <w:rPr>
          <w:rFonts w:ascii="Times New Roman" w:hAnsi="Times New Roman"/>
          <w:sz w:val="24"/>
          <w:szCs w:val="24"/>
        </w:rPr>
        <w:t>;</w:t>
      </w:r>
    </w:p>
    <w:p w:rsidR="003F5257" w:rsidRPr="00F9727C" w:rsidRDefault="003F5257" w:rsidP="003F5257">
      <w:pPr>
        <w:pStyle w:val="ConsPlusNormal"/>
        <w:widowControl/>
        <w:numPr>
          <w:ilvl w:val="0"/>
          <w:numId w:val="7"/>
        </w:numPr>
        <w:tabs>
          <w:tab w:val="left" w:pos="993"/>
          <w:tab w:val="left" w:pos="4284"/>
        </w:tabs>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F9727C">
        <w:rPr>
          <w:rFonts w:ascii="Times New Roman" w:hAnsi="Times New Roman" w:cs="Times New Roman"/>
          <w:sz w:val="24"/>
          <w:szCs w:val="24"/>
        </w:rPr>
        <w:t>веден запрет ввоза физическими лицами мобильных телефонов свыше установленной нормы для личного пользования</w:t>
      </w:r>
      <w:r>
        <w:rPr>
          <w:rFonts w:ascii="Times New Roman" w:hAnsi="Times New Roman" w:cs="Times New Roman"/>
          <w:sz w:val="24"/>
          <w:szCs w:val="24"/>
        </w:rPr>
        <w:t>;</w:t>
      </w:r>
    </w:p>
    <w:p w:rsidR="003F5257" w:rsidRPr="00F9727C" w:rsidRDefault="003F5257" w:rsidP="003F5257">
      <w:pPr>
        <w:pStyle w:val="ConsPlusNormal"/>
        <w:widowControl/>
        <w:numPr>
          <w:ilvl w:val="0"/>
          <w:numId w:val="7"/>
        </w:numPr>
        <w:tabs>
          <w:tab w:val="left" w:pos="993"/>
          <w:tab w:val="left" w:pos="4284"/>
        </w:tabs>
        <w:suppressAutoHyphens/>
        <w:ind w:left="0" w:firstLine="709"/>
        <w:jc w:val="both"/>
        <w:rPr>
          <w:rFonts w:ascii="Times New Roman" w:hAnsi="Times New Roman" w:cs="Times New Roman"/>
          <w:b/>
          <w:sz w:val="24"/>
          <w:szCs w:val="24"/>
          <w:u w:val="single"/>
        </w:rPr>
      </w:pPr>
      <w:r>
        <w:rPr>
          <w:rFonts w:ascii="Times New Roman" w:hAnsi="Times New Roman" w:cs="Times New Roman"/>
          <w:sz w:val="24"/>
          <w:szCs w:val="24"/>
        </w:rPr>
        <w:t>в</w:t>
      </w:r>
      <w:r w:rsidRPr="00F9727C">
        <w:rPr>
          <w:rFonts w:ascii="Times New Roman" w:hAnsi="Times New Roman" w:cs="Times New Roman"/>
          <w:sz w:val="24"/>
          <w:szCs w:val="24"/>
        </w:rPr>
        <w:t xml:space="preserve"> целях снижения стоимости услуг в сфере естественных монополий (транспортировки природного газа и поставки электрической энергии) и соответствующего </w:t>
      </w:r>
      <w:r>
        <w:rPr>
          <w:rFonts w:ascii="Times New Roman" w:hAnsi="Times New Roman" w:cs="Times New Roman"/>
          <w:sz w:val="24"/>
          <w:szCs w:val="24"/>
        </w:rPr>
        <w:t xml:space="preserve">сокращения </w:t>
      </w:r>
      <w:r w:rsidRPr="00F9727C">
        <w:rPr>
          <w:rFonts w:ascii="Times New Roman" w:hAnsi="Times New Roman" w:cs="Times New Roman"/>
          <w:sz w:val="24"/>
          <w:szCs w:val="24"/>
        </w:rPr>
        <w:t>расходов населения республики обнулены ставки таможенных пошлин на импортируемые счетчики подачи или производства газа, жидкости или электроэнергии</w:t>
      </w:r>
      <w:r>
        <w:rPr>
          <w:rFonts w:ascii="Times New Roman" w:hAnsi="Times New Roman" w:cs="Times New Roman"/>
          <w:sz w:val="24"/>
          <w:szCs w:val="24"/>
        </w:rPr>
        <w:t>;</w:t>
      </w:r>
    </w:p>
    <w:p w:rsidR="003F5257" w:rsidRPr="00F9727C" w:rsidRDefault="003F5257" w:rsidP="003F5257">
      <w:pPr>
        <w:pStyle w:val="ConsPlusNormal"/>
        <w:widowControl/>
        <w:numPr>
          <w:ilvl w:val="0"/>
          <w:numId w:val="7"/>
        </w:numPr>
        <w:tabs>
          <w:tab w:val="left" w:pos="993"/>
          <w:tab w:val="left" w:pos="4284"/>
        </w:tabs>
        <w:suppressAutoHyphens/>
        <w:ind w:left="0" w:firstLine="709"/>
        <w:jc w:val="both"/>
        <w:rPr>
          <w:rFonts w:ascii="Times New Roman" w:hAnsi="Times New Roman" w:cs="Times New Roman"/>
          <w:sz w:val="24"/>
          <w:szCs w:val="24"/>
          <w:u w:val="single"/>
        </w:rPr>
      </w:pPr>
      <w:r w:rsidRPr="00F9727C">
        <w:rPr>
          <w:rFonts w:ascii="Times New Roman" w:hAnsi="Times New Roman" w:cs="Times New Roman"/>
          <w:sz w:val="24"/>
          <w:szCs w:val="24"/>
        </w:rPr>
        <w:t>с целью недопущения роста цен на социально-значимые товары</w:t>
      </w:r>
      <w:r>
        <w:rPr>
          <w:rFonts w:ascii="Times New Roman" w:hAnsi="Times New Roman" w:cs="Times New Roman"/>
          <w:sz w:val="24"/>
          <w:szCs w:val="24"/>
        </w:rPr>
        <w:t xml:space="preserve"> в связи с </w:t>
      </w:r>
      <w:r w:rsidRPr="00F9727C">
        <w:rPr>
          <w:rFonts w:ascii="Times New Roman" w:hAnsi="Times New Roman" w:cs="Times New Roman"/>
          <w:sz w:val="24"/>
          <w:szCs w:val="24"/>
        </w:rPr>
        <w:t>девальвацией приднестровского рубля из перечня товаров, облагаемых специальной таможенной пошлиной при их импорте</w:t>
      </w:r>
      <w:r>
        <w:rPr>
          <w:rFonts w:ascii="Times New Roman" w:hAnsi="Times New Roman" w:cs="Times New Roman"/>
          <w:sz w:val="24"/>
          <w:szCs w:val="24"/>
        </w:rPr>
        <w:t>,</w:t>
      </w:r>
      <w:r w:rsidRPr="00F9727C">
        <w:rPr>
          <w:rFonts w:ascii="Times New Roman" w:hAnsi="Times New Roman" w:cs="Times New Roman"/>
          <w:sz w:val="24"/>
          <w:szCs w:val="24"/>
        </w:rPr>
        <w:t xml:space="preserve"> исключено молоко и молочные товары;</w:t>
      </w:r>
    </w:p>
    <w:p w:rsidR="003F5257" w:rsidRPr="00F9727C" w:rsidRDefault="003F5257" w:rsidP="003F5257">
      <w:pPr>
        <w:numPr>
          <w:ilvl w:val="0"/>
          <w:numId w:val="7"/>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F9727C">
        <w:rPr>
          <w:rFonts w:ascii="Times New Roman" w:hAnsi="Times New Roman"/>
          <w:sz w:val="24"/>
          <w:szCs w:val="24"/>
        </w:rPr>
        <w:t xml:space="preserve"> целях государственной поддержки и развития предпринимательства, оптимизации условий осуществления внешнеэкономической деятельности обнулен</w:t>
      </w:r>
      <w:r>
        <w:rPr>
          <w:rFonts w:ascii="Times New Roman" w:hAnsi="Times New Roman"/>
          <w:sz w:val="24"/>
          <w:szCs w:val="24"/>
        </w:rPr>
        <w:t>ы</w:t>
      </w:r>
      <w:r w:rsidRPr="00F9727C">
        <w:rPr>
          <w:rFonts w:ascii="Times New Roman" w:hAnsi="Times New Roman"/>
          <w:sz w:val="24"/>
          <w:szCs w:val="24"/>
        </w:rPr>
        <w:t xml:space="preserve"> таможенны</w:t>
      </w:r>
      <w:r>
        <w:rPr>
          <w:rFonts w:ascii="Times New Roman" w:hAnsi="Times New Roman"/>
          <w:sz w:val="24"/>
          <w:szCs w:val="24"/>
        </w:rPr>
        <w:t>е</w:t>
      </w:r>
      <w:r w:rsidRPr="00F9727C">
        <w:rPr>
          <w:rFonts w:ascii="Times New Roman" w:hAnsi="Times New Roman"/>
          <w:sz w:val="24"/>
          <w:szCs w:val="24"/>
        </w:rPr>
        <w:t xml:space="preserve"> пошлин</w:t>
      </w:r>
      <w:r>
        <w:rPr>
          <w:rFonts w:ascii="Times New Roman" w:hAnsi="Times New Roman"/>
          <w:sz w:val="24"/>
          <w:szCs w:val="24"/>
        </w:rPr>
        <w:t>ы</w:t>
      </w:r>
      <w:r w:rsidRPr="00F9727C">
        <w:rPr>
          <w:rFonts w:ascii="Times New Roman" w:hAnsi="Times New Roman"/>
          <w:sz w:val="24"/>
          <w:szCs w:val="24"/>
        </w:rPr>
        <w:t xml:space="preserve"> по 52% позиций ТН</w:t>
      </w:r>
      <w:r>
        <w:rPr>
          <w:rFonts w:ascii="Times New Roman" w:hAnsi="Times New Roman"/>
          <w:sz w:val="24"/>
          <w:szCs w:val="24"/>
        </w:rPr>
        <w:t> </w:t>
      </w:r>
      <w:r w:rsidRPr="00F9727C">
        <w:rPr>
          <w:rFonts w:ascii="Times New Roman" w:hAnsi="Times New Roman"/>
          <w:sz w:val="24"/>
          <w:szCs w:val="24"/>
        </w:rPr>
        <w:t>ВЭД на товары, импортируемые из стран Европейского Союза;</w:t>
      </w:r>
    </w:p>
    <w:p w:rsidR="003F5257" w:rsidRPr="00F9727C" w:rsidRDefault="003F5257" w:rsidP="003F5257">
      <w:pPr>
        <w:numPr>
          <w:ilvl w:val="0"/>
          <w:numId w:val="7"/>
        </w:numPr>
        <w:tabs>
          <w:tab w:val="left" w:pos="993"/>
        </w:tabs>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для</w:t>
      </w:r>
      <w:r w:rsidRPr="00F9727C">
        <w:rPr>
          <w:rFonts w:ascii="Times New Roman" w:hAnsi="Times New Roman"/>
          <w:sz w:val="24"/>
          <w:szCs w:val="24"/>
        </w:rPr>
        <w:t xml:space="preserve"> создания благоприятных условий деятельности организаций</w:t>
      </w:r>
      <w:r>
        <w:rPr>
          <w:rFonts w:ascii="Times New Roman" w:hAnsi="Times New Roman"/>
          <w:sz w:val="24"/>
          <w:szCs w:val="24"/>
        </w:rPr>
        <w:t>,</w:t>
      </w:r>
      <w:r w:rsidRPr="00F9727C">
        <w:rPr>
          <w:rFonts w:ascii="Times New Roman" w:hAnsi="Times New Roman"/>
          <w:sz w:val="24"/>
          <w:szCs w:val="24"/>
        </w:rPr>
        <w:t xml:space="preserve"> осуществляющих перевозку пассажиров, как на внутренних, так и на международных линиях, для целей обновления автобусного парка, внесено дополнение в закон «О таможенном тарифе»</w:t>
      </w:r>
      <w:r>
        <w:rPr>
          <w:rFonts w:ascii="Times New Roman" w:hAnsi="Times New Roman"/>
          <w:sz w:val="24"/>
          <w:szCs w:val="24"/>
        </w:rPr>
        <w:t>, предусматривающее</w:t>
      </w:r>
      <w:r w:rsidR="00AC7A0B">
        <w:rPr>
          <w:rFonts w:ascii="Times New Roman" w:hAnsi="Times New Roman"/>
          <w:sz w:val="24"/>
          <w:szCs w:val="24"/>
        </w:rPr>
        <w:t xml:space="preserve"> </w:t>
      </w:r>
      <w:r w:rsidRPr="00247B61">
        <w:rPr>
          <w:rFonts w:ascii="Times New Roman" w:hAnsi="Times New Roman"/>
          <w:sz w:val="24"/>
          <w:szCs w:val="24"/>
        </w:rPr>
        <w:t>предоставление льготы в виде нулевой ставки таможенной пошлины транспортным организациям</w:t>
      </w:r>
      <w:r w:rsidRPr="00F9727C">
        <w:rPr>
          <w:rFonts w:ascii="Times New Roman" w:hAnsi="Times New Roman"/>
          <w:sz w:val="24"/>
          <w:szCs w:val="24"/>
        </w:rPr>
        <w:t>, за исключени</w:t>
      </w:r>
      <w:r w:rsidRPr="00247B61">
        <w:rPr>
          <w:rFonts w:ascii="Times New Roman" w:hAnsi="Times New Roman"/>
          <w:sz w:val="24"/>
          <w:szCs w:val="24"/>
        </w:rPr>
        <w:t>ем физических лиц, при ввозе на территорию республики транспортных средств</w:t>
      </w:r>
      <w:r w:rsidR="00AC7A0B">
        <w:rPr>
          <w:rFonts w:ascii="Times New Roman" w:hAnsi="Times New Roman"/>
          <w:sz w:val="24"/>
          <w:szCs w:val="24"/>
        </w:rPr>
        <w:t xml:space="preserve"> </w:t>
      </w:r>
      <w:r w:rsidRPr="00F9727C">
        <w:rPr>
          <w:rFonts w:ascii="Times New Roman" w:hAnsi="Times New Roman"/>
          <w:sz w:val="24"/>
          <w:szCs w:val="24"/>
        </w:rPr>
        <w:t>для перевозки пассажиров.</w:t>
      </w:r>
      <w:proofErr w:type="gramEnd"/>
      <w:r w:rsidRPr="00F9727C">
        <w:rPr>
          <w:rFonts w:ascii="Times New Roman" w:hAnsi="Times New Roman"/>
          <w:sz w:val="24"/>
          <w:szCs w:val="24"/>
        </w:rPr>
        <w:t xml:space="preserve"> Положением пункта законодательно прописаны обязательства организаций о запрете передачи права собственности транспортных средств, предназначенных для перевозки пассажиров</w:t>
      </w:r>
      <w:r>
        <w:rPr>
          <w:rFonts w:ascii="Times New Roman" w:hAnsi="Times New Roman"/>
          <w:sz w:val="24"/>
          <w:szCs w:val="24"/>
        </w:rPr>
        <w:t>,</w:t>
      </w:r>
      <w:r w:rsidRPr="00F9727C">
        <w:rPr>
          <w:rFonts w:ascii="Times New Roman" w:hAnsi="Times New Roman"/>
          <w:sz w:val="24"/>
          <w:szCs w:val="24"/>
        </w:rPr>
        <w:t xml:space="preserve"> другим лицам, в том числе сдачи их в аренду, в течение 3-х лет с момента их приобретения;</w:t>
      </w:r>
    </w:p>
    <w:p w:rsidR="003F5257" w:rsidRPr="00247B61" w:rsidRDefault="003F5257" w:rsidP="003F5257">
      <w:pPr>
        <w:numPr>
          <w:ilvl w:val="0"/>
          <w:numId w:val="7"/>
        </w:numPr>
        <w:tabs>
          <w:tab w:val="left" w:pos="851"/>
          <w:tab w:val="left" w:pos="993"/>
        </w:tabs>
        <w:spacing w:after="0" w:line="240" w:lineRule="auto"/>
        <w:ind w:left="0" w:firstLine="709"/>
        <w:jc w:val="both"/>
        <w:rPr>
          <w:rFonts w:ascii="Times New Roman" w:hAnsi="Times New Roman"/>
          <w:sz w:val="24"/>
          <w:szCs w:val="24"/>
        </w:rPr>
      </w:pPr>
      <w:r w:rsidRPr="00247B61">
        <w:rPr>
          <w:rFonts w:ascii="Times New Roman" w:hAnsi="Times New Roman"/>
          <w:sz w:val="24"/>
          <w:szCs w:val="24"/>
        </w:rPr>
        <w:t>упрощен порядок предоставления отчетности по использованию условно выпущенных товаров, используемых отечественными производителями в собственном технологическом процессе. Отменено действие Положения о порядке предоставления тарифных льгот (тарифных преференций) по уплате таможенных пошлин в отношении товаров, ввозимых на таможенную территорию Приднестровья. Регулирование порядка предоставления тарифных преференций по уплате таможенных пошлин осуществляется на уровне ведомственного нормативного правового акта Государственного таможенного комитета П</w:t>
      </w:r>
      <w:r>
        <w:rPr>
          <w:rFonts w:ascii="Times New Roman" w:hAnsi="Times New Roman"/>
          <w:sz w:val="24"/>
          <w:szCs w:val="24"/>
        </w:rPr>
        <w:t xml:space="preserve">риднестровской </w:t>
      </w:r>
      <w:r w:rsidRPr="00247B61">
        <w:rPr>
          <w:rFonts w:ascii="Times New Roman" w:hAnsi="Times New Roman"/>
          <w:sz w:val="24"/>
          <w:szCs w:val="24"/>
        </w:rPr>
        <w:t>М</w:t>
      </w:r>
      <w:r>
        <w:rPr>
          <w:rFonts w:ascii="Times New Roman" w:hAnsi="Times New Roman"/>
          <w:sz w:val="24"/>
          <w:szCs w:val="24"/>
        </w:rPr>
        <w:t xml:space="preserve">олдавской </w:t>
      </w:r>
      <w:r w:rsidRPr="00247B61">
        <w:rPr>
          <w:rFonts w:ascii="Times New Roman" w:hAnsi="Times New Roman"/>
          <w:sz w:val="24"/>
          <w:szCs w:val="24"/>
        </w:rPr>
        <w:t>Р</w:t>
      </w:r>
      <w:r>
        <w:rPr>
          <w:rFonts w:ascii="Times New Roman" w:hAnsi="Times New Roman"/>
          <w:sz w:val="24"/>
          <w:szCs w:val="24"/>
        </w:rPr>
        <w:t>еспублики;</w:t>
      </w:r>
    </w:p>
    <w:p w:rsidR="003F5257" w:rsidRPr="005D5FB8" w:rsidRDefault="003F5257" w:rsidP="003F5257">
      <w:pPr>
        <w:numPr>
          <w:ilvl w:val="0"/>
          <w:numId w:val="7"/>
        </w:numPr>
        <w:tabs>
          <w:tab w:val="left" w:pos="851"/>
          <w:tab w:val="left" w:pos="993"/>
        </w:tabs>
        <w:spacing w:after="0" w:line="240" w:lineRule="auto"/>
        <w:ind w:left="0" w:firstLine="709"/>
        <w:jc w:val="both"/>
        <w:rPr>
          <w:rFonts w:ascii="Times New Roman" w:hAnsi="Times New Roman"/>
          <w:sz w:val="24"/>
          <w:szCs w:val="24"/>
        </w:rPr>
      </w:pPr>
      <w:r w:rsidRPr="005D5FB8">
        <w:rPr>
          <w:rFonts w:ascii="Times New Roman" w:hAnsi="Times New Roman"/>
          <w:sz w:val="24"/>
          <w:szCs w:val="24"/>
        </w:rPr>
        <w:lastRenderedPageBreak/>
        <w:t>в целях поддержки субъектов внешнеэкономической деятельности, экспортирующих товары, разработан проект «дорожной карты» «Об утверждении плана мероприятий «Поддержка доступа приднестровских производителей на рынки зарубежных стран и поддержка экспорта».</w:t>
      </w:r>
      <w:r w:rsidR="00AC7A0B">
        <w:rPr>
          <w:rFonts w:ascii="Times New Roman" w:hAnsi="Times New Roman"/>
          <w:sz w:val="24"/>
          <w:szCs w:val="24"/>
        </w:rPr>
        <w:t xml:space="preserve"> </w:t>
      </w:r>
      <w:r w:rsidRPr="005D5FB8">
        <w:rPr>
          <w:rFonts w:ascii="Times New Roman" w:hAnsi="Times New Roman"/>
          <w:sz w:val="24"/>
          <w:szCs w:val="24"/>
        </w:rPr>
        <w:t>В результате выполнения «дорожной карты» сформир</w:t>
      </w:r>
      <w:r>
        <w:rPr>
          <w:rFonts w:ascii="Times New Roman" w:hAnsi="Times New Roman"/>
          <w:sz w:val="24"/>
          <w:szCs w:val="24"/>
        </w:rPr>
        <w:t>уется</w:t>
      </w:r>
      <w:r w:rsidRPr="005D5FB8">
        <w:rPr>
          <w:rFonts w:ascii="Times New Roman" w:hAnsi="Times New Roman"/>
          <w:sz w:val="24"/>
          <w:szCs w:val="24"/>
        </w:rPr>
        <w:t xml:space="preserve"> стимулирующая экспорт институциональная среда, способствующая повышению конкурентоспособности приднестровской продукции на мировом рынке</w:t>
      </w:r>
      <w:r>
        <w:rPr>
          <w:rFonts w:ascii="Times New Roman" w:hAnsi="Times New Roman"/>
          <w:sz w:val="24"/>
          <w:szCs w:val="24"/>
        </w:rPr>
        <w:t>;</w:t>
      </w:r>
    </w:p>
    <w:p w:rsidR="003F5257" w:rsidRPr="00F62DC7" w:rsidRDefault="003F5257" w:rsidP="003F5257">
      <w:pPr>
        <w:numPr>
          <w:ilvl w:val="0"/>
          <w:numId w:val="7"/>
        </w:numPr>
        <w:tabs>
          <w:tab w:val="left" w:pos="1134"/>
        </w:tabs>
        <w:spacing w:after="0" w:line="240" w:lineRule="auto"/>
        <w:ind w:left="0" w:firstLine="709"/>
        <w:jc w:val="both"/>
        <w:rPr>
          <w:rFonts w:ascii="Times New Roman" w:hAnsi="Times New Roman"/>
          <w:b/>
          <w:sz w:val="24"/>
          <w:szCs w:val="24"/>
        </w:rPr>
      </w:pPr>
      <w:r>
        <w:rPr>
          <w:rFonts w:ascii="Times New Roman" w:hAnsi="Times New Roman"/>
          <w:sz w:val="24"/>
          <w:szCs w:val="24"/>
        </w:rPr>
        <w:t>в</w:t>
      </w:r>
      <w:r w:rsidRPr="00F9727C">
        <w:rPr>
          <w:rFonts w:ascii="Times New Roman" w:hAnsi="Times New Roman"/>
          <w:sz w:val="24"/>
          <w:szCs w:val="24"/>
        </w:rPr>
        <w:t xml:space="preserve"> целях защиты государственных интересов, для оперативного регулирования экспорта сырьевых ресурсов и полноты взимания вывозных таможенных пошлин, ежемесячно </w:t>
      </w:r>
      <w:r w:rsidRPr="005D5FB8">
        <w:rPr>
          <w:rFonts w:ascii="Times New Roman" w:hAnsi="Times New Roman"/>
          <w:sz w:val="24"/>
          <w:szCs w:val="24"/>
        </w:rPr>
        <w:t xml:space="preserve">утверждались индикативные цены на песок, гальку, гравий и цемент для применения при </w:t>
      </w:r>
      <w:r w:rsidRPr="00F9727C">
        <w:rPr>
          <w:rFonts w:ascii="Times New Roman" w:hAnsi="Times New Roman"/>
          <w:sz w:val="24"/>
          <w:szCs w:val="24"/>
        </w:rPr>
        <w:t xml:space="preserve">исчислении вывозных пошлин при экспорте </w:t>
      </w:r>
      <w:r>
        <w:rPr>
          <w:rFonts w:ascii="Times New Roman" w:hAnsi="Times New Roman"/>
          <w:sz w:val="24"/>
          <w:szCs w:val="24"/>
        </w:rPr>
        <w:t xml:space="preserve">данных </w:t>
      </w:r>
      <w:r w:rsidRPr="00F9727C">
        <w:rPr>
          <w:rFonts w:ascii="Times New Roman" w:hAnsi="Times New Roman"/>
          <w:sz w:val="24"/>
          <w:szCs w:val="24"/>
        </w:rPr>
        <w:t>товаров.</w:t>
      </w:r>
    </w:p>
    <w:p w:rsidR="004642A8" w:rsidRDefault="004642A8" w:rsidP="00335844">
      <w:pPr>
        <w:spacing w:after="0" w:line="240" w:lineRule="auto"/>
        <w:ind w:firstLine="709"/>
        <w:jc w:val="both"/>
        <w:rPr>
          <w:rFonts w:ascii="Times New Roman" w:hAnsi="Times New Roman"/>
          <w:sz w:val="24"/>
          <w:szCs w:val="24"/>
        </w:rPr>
      </w:pPr>
    </w:p>
    <w:p w:rsidR="00335844" w:rsidRPr="0080737A" w:rsidRDefault="00335844" w:rsidP="00335844">
      <w:pPr>
        <w:widowControl w:val="0"/>
        <w:autoSpaceDE w:val="0"/>
        <w:autoSpaceDN w:val="0"/>
        <w:adjustRightInd w:val="0"/>
        <w:spacing w:after="0" w:line="240" w:lineRule="auto"/>
        <w:ind w:firstLine="709"/>
        <w:jc w:val="both"/>
        <w:rPr>
          <w:rFonts w:ascii="Times New Roman" w:eastAsia="Calibri" w:hAnsi="Times New Roman"/>
          <w:b/>
          <w:sz w:val="24"/>
          <w:szCs w:val="24"/>
          <w:lang w:eastAsia="en-US"/>
        </w:rPr>
      </w:pPr>
      <w:r w:rsidRPr="0080737A">
        <w:rPr>
          <w:rFonts w:ascii="Times New Roman" w:eastAsia="Calibri" w:hAnsi="Times New Roman"/>
          <w:b/>
          <w:sz w:val="24"/>
          <w:szCs w:val="24"/>
          <w:lang w:eastAsia="en-US"/>
        </w:rPr>
        <w:t>Инвестиционная деятельность</w:t>
      </w:r>
    </w:p>
    <w:p w:rsidR="00335844" w:rsidRPr="0080737A" w:rsidRDefault="00335844" w:rsidP="00335844">
      <w:pPr>
        <w:widowControl w:val="0"/>
        <w:shd w:val="clear" w:color="auto" w:fill="FFFFFF"/>
        <w:spacing w:after="0" w:line="240" w:lineRule="auto"/>
        <w:ind w:firstLine="709"/>
        <w:jc w:val="both"/>
        <w:rPr>
          <w:rFonts w:ascii="Times New Roman" w:eastAsia="Calibri" w:hAnsi="Times New Roman"/>
          <w:sz w:val="24"/>
          <w:szCs w:val="24"/>
          <w:lang w:eastAsia="en-US"/>
        </w:rPr>
      </w:pPr>
    </w:p>
    <w:p w:rsidR="00D16741" w:rsidRDefault="00D16741" w:rsidP="00D16741">
      <w:pPr>
        <w:spacing w:after="0" w:line="240" w:lineRule="auto"/>
        <w:ind w:firstLine="709"/>
        <w:jc w:val="both"/>
        <w:rPr>
          <w:rFonts w:ascii="Times New Roman" w:eastAsia="Calibri" w:hAnsi="Times New Roman"/>
          <w:sz w:val="24"/>
          <w:szCs w:val="24"/>
          <w:lang w:eastAsia="en-US"/>
        </w:rPr>
      </w:pPr>
      <w:r w:rsidRPr="00411956">
        <w:rPr>
          <w:rFonts w:ascii="Times New Roman" w:eastAsia="Calibri" w:hAnsi="Times New Roman"/>
          <w:sz w:val="24"/>
          <w:szCs w:val="24"/>
          <w:lang w:eastAsia="en-US"/>
        </w:rPr>
        <w:t>В январе-июне 2017 года нестабильная внешнеполитическая и внешнеэкономическая ситуация</w:t>
      </w:r>
      <w:r>
        <w:rPr>
          <w:rFonts w:ascii="Times New Roman" w:eastAsia="Calibri" w:hAnsi="Times New Roman"/>
          <w:sz w:val="24"/>
          <w:szCs w:val="24"/>
          <w:lang w:eastAsia="en-US"/>
        </w:rPr>
        <w:t>,</w:t>
      </w:r>
      <w:r w:rsidRPr="00411956">
        <w:rPr>
          <w:rFonts w:ascii="Times New Roman" w:eastAsia="Calibri" w:hAnsi="Times New Roman"/>
          <w:sz w:val="24"/>
          <w:szCs w:val="24"/>
          <w:lang w:eastAsia="en-US"/>
        </w:rPr>
        <w:t xml:space="preserve"> сложившаяся вокруг республики</w:t>
      </w:r>
      <w:r>
        <w:rPr>
          <w:rFonts w:ascii="Times New Roman" w:eastAsia="Calibri" w:hAnsi="Times New Roman"/>
          <w:sz w:val="24"/>
          <w:szCs w:val="24"/>
          <w:lang w:eastAsia="en-US"/>
        </w:rPr>
        <w:t>,</w:t>
      </w:r>
      <w:r w:rsidRPr="00411956">
        <w:rPr>
          <w:rFonts w:ascii="Times New Roman" w:eastAsia="Calibri" w:hAnsi="Times New Roman"/>
          <w:sz w:val="24"/>
          <w:szCs w:val="24"/>
          <w:lang w:eastAsia="en-US"/>
        </w:rPr>
        <w:t xml:space="preserve"> продолжала оказывать негативное воздейств</w:t>
      </w:r>
      <w:r>
        <w:rPr>
          <w:rFonts w:ascii="Times New Roman" w:eastAsia="Calibri" w:hAnsi="Times New Roman"/>
          <w:sz w:val="24"/>
          <w:szCs w:val="24"/>
          <w:lang w:eastAsia="en-US"/>
        </w:rPr>
        <w:t>ие</w:t>
      </w:r>
      <w:r w:rsidRPr="00411956">
        <w:rPr>
          <w:rFonts w:ascii="Times New Roman" w:eastAsia="Calibri" w:hAnsi="Times New Roman"/>
          <w:sz w:val="24"/>
          <w:szCs w:val="24"/>
          <w:lang w:eastAsia="en-US"/>
        </w:rPr>
        <w:t xml:space="preserve"> на инвестиционную активность как местных</w:t>
      </w:r>
      <w:r>
        <w:rPr>
          <w:rFonts w:ascii="Times New Roman" w:eastAsia="Calibri" w:hAnsi="Times New Roman"/>
          <w:sz w:val="24"/>
          <w:szCs w:val="24"/>
          <w:lang w:eastAsia="en-US"/>
        </w:rPr>
        <w:t>,</w:t>
      </w:r>
      <w:r w:rsidRPr="00411956">
        <w:rPr>
          <w:rFonts w:ascii="Times New Roman" w:eastAsia="Calibri" w:hAnsi="Times New Roman"/>
          <w:sz w:val="24"/>
          <w:szCs w:val="24"/>
          <w:lang w:eastAsia="en-US"/>
        </w:rPr>
        <w:t xml:space="preserve"> так и иностранных инвесторов</w:t>
      </w:r>
      <w:r>
        <w:rPr>
          <w:rFonts w:ascii="Times New Roman" w:eastAsia="Calibri" w:hAnsi="Times New Roman"/>
          <w:sz w:val="24"/>
          <w:szCs w:val="24"/>
          <w:lang w:eastAsia="en-US"/>
        </w:rPr>
        <w:t>. В</w:t>
      </w:r>
      <w:r w:rsidRPr="00411956">
        <w:rPr>
          <w:rFonts w:ascii="Times New Roman" w:eastAsia="Calibri" w:hAnsi="Times New Roman"/>
          <w:sz w:val="24"/>
          <w:szCs w:val="24"/>
          <w:lang w:eastAsia="en-US"/>
        </w:rPr>
        <w:t xml:space="preserve"> результате чего</w:t>
      </w:r>
      <w:r>
        <w:rPr>
          <w:rFonts w:ascii="Times New Roman" w:eastAsia="Calibri" w:hAnsi="Times New Roman"/>
          <w:sz w:val="24"/>
          <w:szCs w:val="24"/>
          <w:lang w:eastAsia="en-US"/>
        </w:rPr>
        <w:t>,</w:t>
      </w:r>
      <w:r w:rsidR="00AC7A0B">
        <w:rPr>
          <w:rFonts w:ascii="Times New Roman" w:eastAsia="Calibri" w:hAnsi="Times New Roman"/>
          <w:sz w:val="24"/>
          <w:szCs w:val="24"/>
          <w:lang w:eastAsia="en-US"/>
        </w:rPr>
        <w:t xml:space="preserve"> </w:t>
      </w:r>
      <w:r w:rsidRPr="00411956">
        <w:rPr>
          <w:rFonts w:ascii="Times New Roman" w:eastAsia="Calibri" w:hAnsi="Times New Roman"/>
          <w:b/>
          <w:sz w:val="24"/>
          <w:szCs w:val="24"/>
          <w:lang w:eastAsia="en-US"/>
        </w:rPr>
        <w:t xml:space="preserve">объем инвестиций в основной капитал </w:t>
      </w:r>
      <w:r w:rsidRPr="00411956">
        <w:rPr>
          <w:rFonts w:ascii="Times New Roman" w:eastAsia="Calibri" w:hAnsi="Times New Roman"/>
          <w:b/>
          <w:i/>
          <w:sz w:val="24"/>
          <w:szCs w:val="24"/>
          <w:lang w:eastAsia="en-US"/>
        </w:rPr>
        <w:t xml:space="preserve">(с учетом субъектов малого предпринимательства и индивидуальных застройщиков) </w:t>
      </w:r>
      <w:r w:rsidRPr="00411956">
        <w:rPr>
          <w:rFonts w:ascii="Times New Roman" w:eastAsia="Calibri" w:hAnsi="Times New Roman"/>
          <w:sz w:val="24"/>
          <w:szCs w:val="24"/>
          <w:lang w:eastAsia="en-US"/>
        </w:rPr>
        <w:t>сложился на 33,2% ниже сопоставимого уровн</w:t>
      </w:r>
      <w:r>
        <w:rPr>
          <w:rFonts w:ascii="Times New Roman" w:eastAsia="Calibri" w:hAnsi="Times New Roman"/>
          <w:sz w:val="24"/>
          <w:szCs w:val="24"/>
          <w:lang w:eastAsia="en-US"/>
        </w:rPr>
        <w:t>я</w:t>
      </w:r>
      <w:r w:rsidRPr="00411956">
        <w:rPr>
          <w:rFonts w:ascii="Times New Roman" w:eastAsia="Calibri" w:hAnsi="Times New Roman"/>
          <w:sz w:val="24"/>
          <w:szCs w:val="24"/>
          <w:lang w:eastAsia="en-US"/>
        </w:rPr>
        <w:t xml:space="preserve"> 2016 года, составив </w:t>
      </w:r>
      <w:r>
        <w:rPr>
          <w:rFonts w:ascii="Times New Roman" w:eastAsia="Calibri" w:hAnsi="Times New Roman"/>
          <w:b/>
          <w:sz w:val="24"/>
          <w:szCs w:val="24"/>
          <w:lang w:eastAsia="en-US"/>
        </w:rPr>
        <w:t xml:space="preserve">295,5 </w:t>
      </w:r>
      <w:proofErr w:type="spellStart"/>
      <w:proofErr w:type="gramStart"/>
      <w:r>
        <w:rPr>
          <w:rFonts w:ascii="Times New Roman" w:eastAsia="Calibri" w:hAnsi="Times New Roman"/>
          <w:b/>
          <w:sz w:val="24"/>
          <w:szCs w:val="24"/>
          <w:lang w:eastAsia="en-US"/>
        </w:rPr>
        <w:t>млн</w:t>
      </w:r>
      <w:proofErr w:type="spellEnd"/>
      <w:proofErr w:type="gramEnd"/>
      <w:r w:rsidRPr="00411956">
        <w:rPr>
          <w:rFonts w:ascii="Times New Roman" w:eastAsia="Calibri" w:hAnsi="Times New Roman"/>
          <w:b/>
          <w:sz w:val="24"/>
          <w:szCs w:val="24"/>
          <w:lang w:eastAsia="en-US"/>
        </w:rPr>
        <w:t xml:space="preserve"> руб.</w:t>
      </w:r>
    </w:p>
    <w:p w:rsidR="00D16741" w:rsidRDefault="00D16741" w:rsidP="00D16741">
      <w:pPr>
        <w:spacing w:after="0" w:line="240" w:lineRule="auto"/>
        <w:ind w:firstLine="709"/>
        <w:jc w:val="both"/>
        <w:rPr>
          <w:rFonts w:ascii="Times New Roman" w:hAnsi="Times New Roman"/>
          <w:sz w:val="24"/>
          <w:szCs w:val="24"/>
        </w:rPr>
      </w:pPr>
      <w:r>
        <w:rPr>
          <w:rFonts w:ascii="Times New Roman" w:hAnsi="Times New Roman"/>
          <w:sz w:val="24"/>
          <w:szCs w:val="24"/>
        </w:rPr>
        <w:t>О</w:t>
      </w:r>
      <w:r w:rsidRPr="000B56F8">
        <w:rPr>
          <w:rFonts w:ascii="Times New Roman" w:hAnsi="Times New Roman"/>
          <w:sz w:val="24"/>
          <w:szCs w:val="24"/>
        </w:rPr>
        <w:t>рганизациям</w:t>
      </w:r>
      <w:r>
        <w:rPr>
          <w:rFonts w:ascii="Times New Roman" w:hAnsi="Times New Roman"/>
          <w:sz w:val="24"/>
          <w:szCs w:val="24"/>
        </w:rPr>
        <w:t>и</w:t>
      </w:r>
      <w:r w:rsidRPr="000B56F8">
        <w:rPr>
          <w:rFonts w:ascii="Times New Roman" w:hAnsi="Times New Roman"/>
          <w:sz w:val="24"/>
          <w:szCs w:val="24"/>
        </w:rPr>
        <w:t xml:space="preserve"> всех форм собственности (кроме субъектов малого предпринимательства)</w:t>
      </w:r>
      <w:r>
        <w:rPr>
          <w:rFonts w:ascii="Times New Roman" w:hAnsi="Times New Roman"/>
          <w:sz w:val="24"/>
          <w:szCs w:val="24"/>
        </w:rPr>
        <w:t xml:space="preserve"> в отчетном периоде инвестировано </w:t>
      </w:r>
      <w:r w:rsidRPr="000B56F8">
        <w:rPr>
          <w:rFonts w:ascii="Times New Roman" w:hAnsi="Times New Roman"/>
          <w:sz w:val="24"/>
          <w:szCs w:val="24"/>
        </w:rPr>
        <w:t>в основной капита</w:t>
      </w:r>
      <w:r>
        <w:rPr>
          <w:rFonts w:ascii="Times New Roman" w:hAnsi="Times New Roman"/>
          <w:sz w:val="24"/>
          <w:szCs w:val="24"/>
        </w:rPr>
        <w:t>л</w:t>
      </w:r>
      <w:r w:rsidR="00AC7A0B">
        <w:rPr>
          <w:rFonts w:ascii="Times New Roman" w:hAnsi="Times New Roman"/>
          <w:sz w:val="24"/>
          <w:szCs w:val="24"/>
        </w:rPr>
        <w:t xml:space="preserve"> </w:t>
      </w:r>
      <w:r>
        <w:rPr>
          <w:rFonts w:ascii="Times New Roman" w:hAnsi="Times New Roman"/>
          <w:sz w:val="24"/>
          <w:szCs w:val="24"/>
        </w:rPr>
        <w:t>порядка 267,4 </w:t>
      </w:r>
      <w:proofErr w:type="spellStart"/>
      <w:proofErr w:type="gramStart"/>
      <w:r>
        <w:rPr>
          <w:rFonts w:ascii="Times New Roman" w:hAnsi="Times New Roman"/>
          <w:sz w:val="24"/>
          <w:szCs w:val="24"/>
        </w:rPr>
        <w:t>млн</w:t>
      </w:r>
      <w:proofErr w:type="spellEnd"/>
      <w:proofErr w:type="gramEnd"/>
      <w:r>
        <w:rPr>
          <w:rFonts w:ascii="Times New Roman" w:hAnsi="Times New Roman"/>
          <w:sz w:val="24"/>
          <w:szCs w:val="24"/>
        </w:rPr>
        <w:t xml:space="preserve"> руб.</w:t>
      </w:r>
      <w:r w:rsidRPr="000B56F8">
        <w:rPr>
          <w:rFonts w:ascii="Times New Roman" w:hAnsi="Times New Roman"/>
          <w:sz w:val="24"/>
          <w:szCs w:val="24"/>
        </w:rPr>
        <w:t>(в текущих ценах)</w:t>
      </w:r>
      <w:r>
        <w:rPr>
          <w:rFonts w:ascii="Times New Roman" w:hAnsi="Times New Roman"/>
          <w:sz w:val="24"/>
          <w:szCs w:val="24"/>
        </w:rPr>
        <w:t xml:space="preserve">, что на 30,6% </w:t>
      </w:r>
      <w:r w:rsidRPr="000B56F8">
        <w:rPr>
          <w:rFonts w:ascii="Times New Roman" w:hAnsi="Times New Roman"/>
          <w:sz w:val="24"/>
          <w:szCs w:val="24"/>
        </w:rPr>
        <w:t>(в сопоставимой оценке)</w:t>
      </w:r>
      <w:r>
        <w:rPr>
          <w:rFonts w:ascii="Times New Roman" w:hAnsi="Times New Roman"/>
          <w:sz w:val="24"/>
          <w:szCs w:val="24"/>
        </w:rPr>
        <w:t xml:space="preserve"> ниж</w:t>
      </w:r>
      <w:r w:rsidR="00832D29">
        <w:rPr>
          <w:rFonts w:ascii="Times New Roman" w:hAnsi="Times New Roman"/>
          <w:sz w:val="24"/>
          <w:szCs w:val="24"/>
        </w:rPr>
        <w:t>е уровня января-июня 2016 года.</w:t>
      </w:r>
    </w:p>
    <w:p w:rsidR="00D16741" w:rsidRDefault="00437C5E" w:rsidP="00D16741">
      <w:pPr>
        <w:spacing w:after="0" w:line="240" w:lineRule="auto"/>
        <w:ind w:firstLine="709"/>
        <w:jc w:val="both"/>
        <w:rPr>
          <w:rFonts w:ascii="Times New Roman" w:hAnsi="Times New Roman"/>
          <w:sz w:val="24"/>
          <w:szCs w:val="24"/>
        </w:rPr>
      </w:pPr>
      <w:r>
        <w:rPr>
          <w:rFonts w:ascii="Times New Roman" w:hAnsi="Times New Roman"/>
          <w:sz w:val="24"/>
          <w:szCs w:val="24"/>
        </w:rPr>
        <w:t>Объемы</w:t>
      </w:r>
      <w:r w:rsidR="00D16741">
        <w:rPr>
          <w:rFonts w:ascii="Times New Roman" w:hAnsi="Times New Roman"/>
          <w:sz w:val="24"/>
          <w:szCs w:val="24"/>
        </w:rPr>
        <w:t xml:space="preserve"> средств,</w:t>
      </w:r>
      <w:r w:rsidR="00AC7A0B">
        <w:rPr>
          <w:rFonts w:ascii="Times New Roman" w:hAnsi="Times New Roman"/>
          <w:sz w:val="24"/>
          <w:szCs w:val="24"/>
        </w:rPr>
        <w:t xml:space="preserve"> </w:t>
      </w:r>
      <w:r w:rsidR="00D16741">
        <w:rPr>
          <w:rFonts w:ascii="Times New Roman" w:hAnsi="Times New Roman"/>
          <w:sz w:val="24"/>
          <w:szCs w:val="24"/>
        </w:rPr>
        <w:t>направле</w:t>
      </w:r>
      <w:r w:rsidR="00D16741" w:rsidRPr="000B56F8">
        <w:rPr>
          <w:rFonts w:ascii="Times New Roman" w:hAnsi="Times New Roman"/>
          <w:sz w:val="24"/>
          <w:szCs w:val="24"/>
        </w:rPr>
        <w:t xml:space="preserve">нных на </w:t>
      </w:r>
      <w:r w:rsidR="00D16741" w:rsidRPr="000B56F8">
        <w:rPr>
          <w:rFonts w:ascii="Times New Roman" w:hAnsi="Times New Roman"/>
          <w:spacing w:val="4"/>
          <w:sz w:val="24"/>
          <w:szCs w:val="24"/>
        </w:rPr>
        <w:t>строительно-монтажны</w:t>
      </w:r>
      <w:r w:rsidR="00D16741">
        <w:rPr>
          <w:rFonts w:ascii="Times New Roman" w:hAnsi="Times New Roman"/>
          <w:spacing w:val="4"/>
          <w:sz w:val="24"/>
          <w:szCs w:val="24"/>
        </w:rPr>
        <w:t xml:space="preserve">е </w:t>
      </w:r>
      <w:r w:rsidR="00D16741" w:rsidRPr="000B56F8">
        <w:rPr>
          <w:rFonts w:ascii="Times New Roman" w:hAnsi="Times New Roman"/>
          <w:spacing w:val="4"/>
          <w:sz w:val="24"/>
          <w:szCs w:val="24"/>
        </w:rPr>
        <w:t>работ</w:t>
      </w:r>
      <w:r w:rsidR="00D16741">
        <w:rPr>
          <w:rFonts w:ascii="Times New Roman" w:hAnsi="Times New Roman"/>
          <w:spacing w:val="4"/>
          <w:sz w:val="24"/>
          <w:szCs w:val="24"/>
        </w:rPr>
        <w:t>ы</w:t>
      </w:r>
      <w:r w:rsidR="00AC7A0B">
        <w:rPr>
          <w:rFonts w:ascii="Times New Roman" w:hAnsi="Times New Roman"/>
          <w:spacing w:val="4"/>
          <w:sz w:val="24"/>
          <w:szCs w:val="24"/>
        </w:rPr>
        <w:t xml:space="preserve"> </w:t>
      </w:r>
      <w:r w:rsidR="00D16741">
        <w:rPr>
          <w:rFonts w:ascii="Times New Roman" w:hAnsi="Times New Roman"/>
          <w:sz w:val="24"/>
          <w:szCs w:val="24"/>
        </w:rPr>
        <w:t>и</w:t>
      </w:r>
      <w:r w:rsidR="00D16741" w:rsidRPr="000B56F8">
        <w:rPr>
          <w:rFonts w:ascii="Times New Roman" w:hAnsi="Times New Roman"/>
          <w:spacing w:val="4"/>
          <w:sz w:val="24"/>
          <w:szCs w:val="24"/>
        </w:rPr>
        <w:t xml:space="preserve"> обновление машин, оборудовани</w:t>
      </w:r>
      <w:r w:rsidR="00D16741">
        <w:rPr>
          <w:rFonts w:ascii="Times New Roman" w:hAnsi="Times New Roman"/>
          <w:spacing w:val="4"/>
          <w:sz w:val="24"/>
          <w:szCs w:val="24"/>
        </w:rPr>
        <w:t>я</w:t>
      </w:r>
      <w:r w:rsidR="00D16741" w:rsidRPr="000B56F8">
        <w:rPr>
          <w:rFonts w:ascii="Times New Roman" w:hAnsi="Times New Roman"/>
          <w:spacing w:val="4"/>
          <w:sz w:val="24"/>
          <w:szCs w:val="24"/>
        </w:rPr>
        <w:t>, транспортных средств</w:t>
      </w:r>
      <w:r w:rsidR="00D16741">
        <w:rPr>
          <w:rFonts w:ascii="Times New Roman" w:hAnsi="Times New Roman"/>
          <w:spacing w:val="4"/>
          <w:sz w:val="24"/>
          <w:szCs w:val="24"/>
        </w:rPr>
        <w:t>,</w:t>
      </w:r>
      <w:r w:rsidR="00AC7A0B">
        <w:rPr>
          <w:rFonts w:ascii="Times New Roman" w:hAnsi="Times New Roman"/>
          <w:spacing w:val="4"/>
          <w:sz w:val="24"/>
          <w:szCs w:val="24"/>
        </w:rPr>
        <w:t xml:space="preserve"> </w:t>
      </w:r>
      <w:r w:rsidR="00D16741">
        <w:rPr>
          <w:rFonts w:ascii="Times New Roman" w:hAnsi="Times New Roman"/>
          <w:spacing w:val="4"/>
          <w:sz w:val="24"/>
          <w:szCs w:val="24"/>
        </w:rPr>
        <w:t>снизил</w:t>
      </w:r>
      <w:r>
        <w:rPr>
          <w:rFonts w:ascii="Times New Roman" w:hAnsi="Times New Roman"/>
          <w:spacing w:val="4"/>
          <w:sz w:val="24"/>
          <w:szCs w:val="24"/>
        </w:rPr>
        <w:t>и</w:t>
      </w:r>
      <w:r w:rsidR="00D16741">
        <w:rPr>
          <w:rFonts w:ascii="Times New Roman" w:hAnsi="Times New Roman"/>
          <w:spacing w:val="4"/>
          <w:sz w:val="24"/>
          <w:szCs w:val="24"/>
        </w:rPr>
        <w:t>с</w:t>
      </w:r>
      <w:r>
        <w:rPr>
          <w:rFonts w:ascii="Times New Roman" w:hAnsi="Times New Roman"/>
          <w:spacing w:val="4"/>
          <w:sz w:val="24"/>
          <w:szCs w:val="24"/>
        </w:rPr>
        <w:t>ь</w:t>
      </w:r>
      <w:r w:rsidR="00AC7A0B">
        <w:rPr>
          <w:rFonts w:ascii="Times New Roman" w:hAnsi="Times New Roman"/>
          <w:spacing w:val="4"/>
          <w:sz w:val="24"/>
          <w:szCs w:val="24"/>
        </w:rPr>
        <w:t xml:space="preserve"> </w:t>
      </w:r>
      <w:r w:rsidR="00D16741" w:rsidRPr="000B56F8">
        <w:rPr>
          <w:rFonts w:ascii="Times New Roman" w:hAnsi="Times New Roman"/>
          <w:sz w:val="24"/>
          <w:szCs w:val="24"/>
        </w:rPr>
        <w:t>(в сопоставимой оценке)</w:t>
      </w:r>
      <w:r w:rsidR="00AC7A0B">
        <w:rPr>
          <w:rFonts w:ascii="Times New Roman" w:hAnsi="Times New Roman"/>
          <w:sz w:val="24"/>
          <w:szCs w:val="24"/>
        </w:rPr>
        <w:t xml:space="preserve"> </w:t>
      </w:r>
      <w:r w:rsidR="00D16741">
        <w:rPr>
          <w:rFonts w:ascii="Times New Roman" w:hAnsi="Times New Roman"/>
          <w:spacing w:val="4"/>
          <w:sz w:val="24"/>
          <w:szCs w:val="24"/>
        </w:rPr>
        <w:t xml:space="preserve">к уровню шести месяцев 2016 года на 22,1% и 31,2% соответственно, составив </w:t>
      </w:r>
      <w:r w:rsidR="00D16741" w:rsidRPr="000B56F8">
        <w:rPr>
          <w:rFonts w:ascii="Times New Roman" w:hAnsi="Times New Roman"/>
          <w:sz w:val="24"/>
          <w:szCs w:val="24"/>
        </w:rPr>
        <w:t>(в текущих ценах)</w:t>
      </w:r>
      <w:r w:rsidR="00AC7A0B">
        <w:rPr>
          <w:rFonts w:ascii="Times New Roman" w:hAnsi="Times New Roman"/>
          <w:sz w:val="24"/>
          <w:szCs w:val="24"/>
        </w:rPr>
        <w:t xml:space="preserve"> </w:t>
      </w:r>
      <w:r w:rsidR="00D16741">
        <w:rPr>
          <w:rFonts w:ascii="Times New Roman" w:hAnsi="Times New Roman"/>
          <w:spacing w:val="4"/>
          <w:sz w:val="24"/>
          <w:szCs w:val="24"/>
        </w:rPr>
        <w:t xml:space="preserve">76,0 </w:t>
      </w:r>
      <w:proofErr w:type="spellStart"/>
      <w:proofErr w:type="gramStart"/>
      <w:r w:rsidR="00D16741">
        <w:rPr>
          <w:rFonts w:ascii="Times New Roman" w:hAnsi="Times New Roman"/>
          <w:spacing w:val="4"/>
          <w:sz w:val="24"/>
          <w:szCs w:val="24"/>
        </w:rPr>
        <w:t>млн</w:t>
      </w:r>
      <w:proofErr w:type="spellEnd"/>
      <w:proofErr w:type="gramEnd"/>
      <w:r w:rsidR="00D16741">
        <w:rPr>
          <w:rFonts w:ascii="Times New Roman" w:hAnsi="Times New Roman"/>
          <w:spacing w:val="4"/>
          <w:sz w:val="24"/>
          <w:szCs w:val="24"/>
        </w:rPr>
        <w:t xml:space="preserve"> руб. и 183,7 </w:t>
      </w:r>
      <w:proofErr w:type="spellStart"/>
      <w:r w:rsidR="00D16741">
        <w:rPr>
          <w:rFonts w:ascii="Times New Roman" w:hAnsi="Times New Roman"/>
          <w:spacing w:val="4"/>
          <w:sz w:val="24"/>
          <w:szCs w:val="24"/>
        </w:rPr>
        <w:t>млн</w:t>
      </w:r>
      <w:proofErr w:type="spellEnd"/>
      <w:r w:rsidR="00D16741">
        <w:rPr>
          <w:rFonts w:ascii="Times New Roman" w:hAnsi="Times New Roman"/>
          <w:spacing w:val="4"/>
          <w:sz w:val="24"/>
          <w:szCs w:val="24"/>
        </w:rPr>
        <w:t xml:space="preserve"> руб.</w:t>
      </w:r>
    </w:p>
    <w:p w:rsidR="00D16741" w:rsidRDefault="00D16741" w:rsidP="00D16741">
      <w:pPr>
        <w:spacing w:after="0" w:line="240" w:lineRule="auto"/>
        <w:ind w:left="-284"/>
        <w:jc w:val="both"/>
        <w:rPr>
          <w:rFonts w:ascii="Times New Roman" w:hAnsi="Times New Roman"/>
          <w:sz w:val="24"/>
          <w:szCs w:val="24"/>
        </w:rPr>
      </w:pPr>
      <w:r w:rsidRPr="0053466D">
        <w:rPr>
          <w:rFonts w:ascii="Times New Roman" w:hAnsi="Times New Roman"/>
          <w:noProof/>
          <w:sz w:val="24"/>
          <w:szCs w:val="24"/>
        </w:rPr>
        <w:drawing>
          <wp:inline distT="0" distB="0" distL="0" distR="0">
            <wp:extent cx="6305550" cy="2886075"/>
            <wp:effectExtent l="0" t="0" r="0"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6741" w:rsidRDefault="00D16741" w:rsidP="00D16741">
      <w:pPr>
        <w:spacing w:after="0" w:line="240" w:lineRule="auto"/>
        <w:ind w:firstLine="708"/>
        <w:jc w:val="both"/>
        <w:rPr>
          <w:rFonts w:ascii="Times New Roman" w:eastAsia="Calibri" w:hAnsi="Times New Roman"/>
          <w:spacing w:val="2"/>
          <w:sz w:val="24"/>
          <w:szCs w:val="24"/>
          <w:lang w:eastAsia="en-US"/>
        </w:rPr>
      </w:pPr>
      <w:r>
        <w:rPr>
          <w:rFonts w:ascii="Times New Roman" w:eastAsia="Calibri" w:hAnsi="Times New Roman"/>
          <w:spacing w:val="3"/>
          <w:sz w:val="24"/>
          <w:szCs w:val="24"/>
          <w:lang w:eastAsia="en-US"/>
        </w:rPr>
        <w:t xml:space="preserve">Рассматривая инвестиционные потоки в разрезе объектов производственного и непроизводственного назначения, необходимо отметить, что большая их часть (86,2%) приходится на </w:t>
      </w:r>
      <w:r w:rsidRPr="00F00121">
        <w:rPr>
          <w:rFonts w:ascii="Times New Roman" w:eastAsia="Calibri" w:hAnsi="Times New Roman"/>
          <w:spacing w:val="3"/>
          <w:sz w:val="24"/>
          <w:szCs w:val="24"/>
          <w:lang w:eastAsia="en-US"/>
        </w:rPr>
        <w:t xml:space="preserve">строительство, расширение, реконструкцию и техническое перевооружение объектов </w:t>
      </w:r>
      <w:r w:rsidRPr="00D42BFE">
        <w:rPr>
          <w:rFonts w:ascii="Times New Roman" w:eastAsia="Calibri" w:hAnsi="Times New Roman"/>
          <w:b/>
          <w:spacing w:val="3"/>
          <w:sz w:val="24"/>
          <w:szCs w:val="24"/>
          <w:lang w:eastAsia="en-US"/>
        </w:rPr>
        <w:t>производственного назначения</w:t>
      </w:r>
      <w:r>
        <w:rPr>
          <w:rFonts w:ascii="Times New Roman" w:eastAsia="Calibri" w:hAnsi="Times New Roman"/>
          <w:b/>
          <w:spacing w:val="3"/>
          <w:sz w:val="24"/>
          <w:szCs w:val="24"/>
          <w:lang w:eastAsia="en-US"/>
        </w:rPr>
        <w:t xml:space="preserve">, </w:t>
      </w:r>
      <w:r>
        <w:rPr>
          <w:rFonts w:ascii="Times New Roman" w:eastAsia="Calibri" w:hAnsi="Times New Roman"/>
          <w:spacing w:val="3"/>
          <w:sz w:val="24"/>
          <w:szCs w:val="24"/>
          <w:lang w:eastAsia="en-US"/>
        </w:rPr>
        <w:t>объем</w:t>
      </w:r>
      <w:r w:rsidR="00825344">
        <w:rPr>
          <w:rFonts w:ascii="Times New Roman" w:eastAsia="Calibri" w:hAnsi="Times New Roman"/>
          <w:spacing w:val="3"/>
          <w:sz w:val="24"/>
          <w:szCs w:val="24"/>
          <w:lang w:eastAsia="en-US"/>
        </w:rPr>
        <w:t xml:space="preserve"> </w:t>
      </w:r>
      <w:r>
        <w:rPr>
          <w:rFonts w:ascii="Times New Roman" w:eastAsia="Calibri" w:hAnsi="Times New Roman"/>
          <w:spacing w:val="3"/>
          <w:sz w:val="24"/>
          <w:szCs w:val="24"/>
          <w:lang w:eastAsia="en-US"/>
        </w:rPr>
        <w:t xml:space="preserve">вложений в </w:t>
      </w:r>
      <w:r w:rsidRPr="001854CD">
        <w:rPr>
          <w:rFonts w:ascii="Times New Roman" w:eastAsia="Calibri" w:hAnsi="Times New Roman"/>
          <w:spacing w:val="3"/>
          <w:sz w:val="24"/>
          <w:szCs w:val="24"/>
          <w:lang w:eastAsia="en-US"/>
        </w:rPr>
        <w:t>которы</w:t>
      </w:r>
      <w:r>
        <w:rPr>
          <w:rFonts w:ascii="Times New Roman" w:eastAsia="Calibri" w:hAnsi="Times New Roman"/>
          <w:spacing w:val="3"/>
          <w:sz w:val="24"/>
          <w:szCs w:val="24"/>
          <w:lang w:eastAsia="en-US"/>
        </w:rPr>
        <w:t>е</w:t>
      </w:r>
      <w:r w:rsidR="00825344">
        <w:rPr>
          <w:rFonts w:ascii="Times New Roman" w:eastAsia="Calibri" w:hAnsi="Times New Roman"/>
          <w:spacing w:val="3"/>
          <w:sz w:val="24"/>
          <w:szCs w:val="24"/>
          <w:lang w:eastAsia="en-US"/>
        </w:rPr>
        <w:t xml:space="preserve"> </w:t>
      </w:r>
      <w:r>
        <w:rPr>
          <w:rFonts w:ascii="Times New Roman" w:eastAsia="Calibri" w:hAnsi="Times New Roman"/>
          <w:spacing w:val="3"/>
          <w:sz w:val="24"/>
          <w:szCs w:val="24"/>
          <w:lang w:eastAsia="en-US"/>
        </w:rPr>
        <w:t>в январе-июне текущего года составил</w:t>
      </w:r>
      <w:r w:rsidR="00825344">
        <w:rPr>
          <w:rFonts w:ascii="Times New Roman" w:eastAsia="Calibri" w:hAnsi="Times New Roman"/>
          <w:spacing w:val="3"/>
          <w:sz w:val="24"/>
          <w:szCs w:val="24"/>
          <w:lang w:eastAsia="en-US"/>
        </w:rPr>
        <w:t xml:space="preserve"> </w:t>
      </w:r>
      <w:r>
        <w:rPr>
          <w:rFonts w:ascii="Times New Roman" w:eastAsia="Calibri" w:hAnsi="Times New Roman"/>
          <w:spacing w:val="3"/>
          <w:sz w:val="24"/>
          <w:szCs w:val="24"/>
          <w:lang w:eastAsia="en-US"/>
        </w:rPr>
        <w:t>230,4</w:t>
      </w:r>
      <w:r w:rsidRPr="00F00121">
        <w:rPr>
          <w:rFonts w:ascii="Times New Roman" w:eastAsia="Calibri" w:hAnsi="Times New Roman"/>
          <w:spacing w:val="3"/>
          <w:sz w:val="24"/>
          <w:szCs w:val="24"/>
          <w:lang w:eastAsia="en-US"/>
        </w:rPr>
        <w:t xml:space="preserve"> </w:t>
      </w:r>
      <w:proofErr w:type="spellStart"/>
      <w:proofErr w:type="gramStart"/>
      <w:r w:rsidRPr="00F00121">
        <w:rPr>
          <w:rFonts w:ascii="Times New Roman" w:eastAsia="Calibri" w:hAnsi="Times New Roman"/>
          <w:spacing w:val="3"/>
          <w:sz w:val="24"/>
          <w:szCs w:val="24"/>
          <w:lang w:eastAsia="en-US"/>
        </w:rPr>
        <w:t>млн</w:t>
      </w:r>
      <w:proofErr w:type="spellEnd"/>
      <w:proofErr w:type="gramEnd"/>
      <w:r w:rsidRPr="00F00121">
        <w:rPr>
          <w:rFonts w:ascii="Times New Roman" w:eastAsia="Calibri" w:hAnsi="Times New Roman"/>
          <w:spacing w:val="3"/>
          <w:sz w:val="24"/>
          <w:szCs w:val="24"/>
          <w:lang w:eastAsia="en-US"/>
        </w:rPr>
        <w:t xml:space="preserve"> руб.</w:t>
      </w:r>
      <w:r>
        <w:rPr>
          <w:rFonts w:ascii="Times New Roman" w:eastAsia="Calibri" w:hAnsi="Times New Roman"/>
          <w:spacing w:val="3"/>
          <w:sz w:val="24"/>
          <w:szCs w:val="24"/>
          <w:lang w:eastAsia="en-US"/>
        </w:rPr>
        <w:t>, что на 30,5% ниже базового значения 2016 года. С</w:t>
      </w:r>
      <w:r w:rsidRPr="000B56F8">
        <w:rPr>
          <w:rFonts w:ascii="Times New Roman" w:eastAsia="Calibri" w:hAnsi="Times New Roman"/>
          <w:spacing w:val="3"/>
          <w:sz w:val="24"/>
          <w:szCs w:val="24"/>
          <w:lang w:eastAsia="en-US"/>
        </w:rPr>
        <w:t xml:space="preserve">умма средств, направленных на обновление объектов </w:t>
      </w:r>
      <w:r>
        <w:rPr>
          <w:rFonts w:ascii="Times New Roman" w:eastAsia="Calibri" w:hAnsi="Times New Roman"/>
          <w:b/>
          <w:spacing w:val="2"/>
          <w:sz w:val="24"/>
          <w:szCs w:val="24"/>
          <w:lang w:eastAsia="en-US"/>
        </w:rPr>
        <w:t>непроизводственного назначения,</w:t>
      </w:r>
      <w:r w:rsidR="00825344">
        <w:rPr>
          <w:rFonts w:ascii="Times New Roman" w:eastAsia="Calibri" w:hAnsi="Times New Roman"/>
          <w:b/>
          <w:spacing w:val="2"/>
          <w:sz w:val="24"/>
          <w:szCs w:val="24"/>
          <w:lang w:eastAsia="en-US"/>
        </w:rPr>
        <w:t xml:space="preserve"> </w:t>
      </w:r>
      <w:r>
        <w:rPr>
          <w:rFonts w:ascii="Times New Roman" w:eastAsia="Calibri" w:hAnsi="Times New Roman"/>
          <w:spacing w:val="2"/>
          <w:sz w:val="24"/>
          <w:szCs w:val="24"/>
          <w:lang w:eastAsia="en-US"/>
        </w:rPr>
        <w:t>сократилась</w:t>
      </w:r>
      <w:r w:rsidRPr="000B56F8">
        <w:rPr>
          <w:rFonts w:ascii="Times New Roman" w:eastAsia="Calibri" w:hAnsi="Times New Roman"/>
          <w:spacing w:val="2"/>
          <w:sz w:val="24"/>
          <w:szCs w:val="24"/>
          <w:lang w:eastAsia="en-US"/>
        </w:rPr>
        <w:t xml:space="preserve"> на </w:t>
      </w:r>
      <w:r>
        <w:rPr>
          <w:rFonts w:ascii="Times New Roman" w:eastAsia="Calibri" w:hAnsi="Times New Roman"/>
          <w:spacing w:val="2"/>
          <w:sz w:val="24"/>
          <w:szCs w:val="24"/>
          <w:lang w:eastAsia="en-US"/>
        </w:rPr>
        <w:t>39,0%,</w:t>
      </w:r>
      <w:r w:rsidRPr="000B56F8">
        <w:rPr>
          <w:rFonts w:ascii="Times New Roman" w:eastAsia="Calibri" w:hAnsi="Times New Roman"/>
          <w:spacing w:val="2"/>
          <w:sz w:val="24"/>
          <w:szCs w:val="24"/>
          <w:lang w:eastAsia="en-US"/>
        </w:rPr>
        <w:t xml:space="preserve"> а их </w:t>
      </w:r>
      <w:r>
        <w:rPr>
          <w:rFonts w:ascii="Times New Roman" w:eastAsia="Calibri" w:hAnsi="Times New Roman"/>
          <w:spacing w:val="2"/>
          <w:sz w:val="24"/>
          <w:szCs w:val="24"/>
          <w:lang w:eastAsia="en-US"/>
        </w:rPr>
        <w:t>доля</w:t>
      </w:r>
      <w:r w:rsidRPr="000B56F8">
        <w:rPr>
          <w:rFonts w:ascii="Times New Roman" w:eastAsia="Calibri" w:hAnsi="Times New Roman"/>
          <w:spacing w:val="2"/>
          <w:sz w:val="24"/>
          <w:szCs w:val="24"/>
          <w:lang w:eastAsia="en-US"/>
        </w:rPr>
        <w:t xml:space="preserve"> в совокупн</w:t>
      </w:r>
      <w:r>
        <w:rPr>
          <w:rFonts w:ascii="Times New Roman" w:eastAsia="Calibri" w:hAnsi="Times New Roman"/>
          <w:spacing w:val="2"/>
          <w:sz w:val="24"/>
          <w:szCs w:val="24"/>
          <w:lang w:eastAsia="en-US"/>
        </w:rPr>
        <w:t>ом</w:t>
      </w:r>
      <w:r w:rsidRPr="000B56F8">
        <w:rPr>
          <w:rFonts w:ascii="Times New Roman" w:eastAsia="Calibri" w:hAnsi="Times New Roman"/>
          <w:spacing w:val="2"/>
          <w:sz w:val="24"/>
          <w:szCs w:val="24"/>
          <w:lang w:eastAsia="en-US"/>
        </w:rPr>
        <w:t xml:space="preserve"> объ</w:t>
      </w:r>
      <w:r>
        <w:rPr>
          <w:rFonts w:ascii="Times New Roman" w:eastAsia="Calibri" w:hAnsi="Times New Roman"/>
          <w:spacing w:val="2"/>
          <w:sz w:val="24"/>
          <w:szCs w:val="24"/>
          <w:lang w:eastAsia="en-US"/>
        </w:rPr>
        <w:t>е</w:t>
      </w:r>
      <w:r w:rsidRPr="000B56F8">
        <w:rPr>
          <w:rFonts w:ascii="Times New Roman" w:eastAsia="Calibri" w:hAnsi="Times New Roman"/>
          <w:spacing w:val="2"/>
          <w:sz w:val="24"/>
          <w:szCs w:val="24"/>
          <w:lang w:eastAsia="en-US"/>
        </w:rPr>
        <w:t>м</w:t>
      </w:r>
      <w:r>
        <w:rPr>
          <w:rFonts w:ascii="Times New Roman" w:eastAsia="Calibri" w:hAnsi="Times New Roman"/>
          <w:spacing w:val="2"/>
          <w:sz w:val="24"/>
          <w:szCs w:val="24"/>
          <w:lang w:eastAsia="en-US"/>
        </w:rPr>
        <w:t>е</w:t>
      </w:r>
      <w:r w:rsidRPr="000B56F8">
        <w:rPr>
          <w:rFonts w:ascii="Times New Roman" w:eastAsia="Calibri" w:hAnsi="Times New Roman"/>
          <w:spacing w:val="2"/>
          <w:sz w:val="24"/>
          <w:szCs w:val="24"/>
          <w:lang w:eastAsia="en-US"/>
        </w:rPr>
        <w:t xml:space="preserve"> инвестиций </w:t>
      </w:r>
      <w:r>
        <w:rPr>
          <w:rFonts w:ascii="Times New Roman" w:eastAsia="Calibri" w:hAnsi="Times New Roman"/>
          <w:spacing w:val="2"/>
          <w:sz w:val="24"/>
          <w:szCs w:val="24"/>
          <w:lang w:eastAsia="en-US"/>
        </w:rPr>
        <w:t>составила13,8</w:t>
      </w:r>
      <w:r w:rsidRPr="000B56F8">
        <w:rPr>
          <w:rFonts w:ascii="Times New Roman" w:eastAsia="Calibri" w:hAnsi="Times New Roman"/>
          <w:spacing w:val="2"/>
          <w:sz w:val="24"/>
          <w:szCs w:val="24"/>
          <w:lang w:eastAsia="en-US"/>
        </w:rPr>
        <w:t>%</w:t>
      </w:r>
      <w:r>
        <w:rPr>
          <w:rFonts w:ascii="Times New Roman" w:eastAsia="Calibri" w:hAnsi="Times New Roman"/>
          <w:spacing w:val="2"/>
          <w:sz w:val="24"/>
          <w:szCs w:val="24"/>
          <w:lang w:eastAsia="en-US"/>
        </w:rPr>
        <w:t>.</w:t>
      </w:r>
    </w:p>
    <w:p w:rsidR="00D16741" w:rsidRDefault="00D16741" w:rsidP="00D16741">
      <w:pPr>
        <w:spacing w:after="0" w:line="240" w:lineRule="auto"/>
        <w:ind w:left="-284"/>
        <w:jc w:val="center"/>
        <w:rPr>
          <w:rFonts w:ascii="Times New Roman" w:eastAsia="Calibri" w:hAnsi="Times New Roman"/>
          <w:spacing w:val="2"/>
          <w:sz w:val="24"/>
          <w:szCs w:val="24"/>
          <w:lang w:eastAsia="en-US"/>
        </w:rPr>
      </w:pPr>
      <w:r w:rsidRPr="00ED600E">
        <w:rPr>
          <w:rFonts w:ascii="Times New Roman" w:eastAsia="Calibri" w:hAnsi="Times New Roman"/>
          <w:noProof/>
          <w:spacing w:val="2"/>
          <w:sz w:val="24"/>
          <w:szCs w:val="24"/>
        </w:rPr>
        <w:lastRenderedPageBreak/>
        <w:drawing>
          <wp:inline distT="0" distB="0" distL="0" distR="0">
            <wp:extent cx="6416703" cy="2250219"/>
            <wp:effectExtent l="0" t="0" r="0" b="0"/>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6741" w:rsidRDefault="00D16741" w:rsidP="00D16741">
      <w:pPr>
        <w:spacing w:after="0" w:line="240" w:lineRule="auto"/>
        <w:ind w:firstLine="709"/>
        <w:jc w:val="both"/>
        <w:rPr>
          <w:rFonts w:ascii="Times New Roman" w:eastAsia="Calibri" w:hAnsi="Times New Roman"/>
          <w:spacing w:val="2"/>
          <w:sz w:val="24"/>
          <w:szCs w:val="24"/>
          <w:lang w:eastAsia="en-US"/>
        </w:rPr>
      </w:pPr>
      <w:r>
        <w:rPr>
          <w:rFonts w:ascii="Times New Roman" w:eastAsia="Calibri" w:hAnsi="Times New Roman"/>
          <w:spacing w:val="2"/>
          <w:sz w:val="24"/>
          <w:szCs w:val="24"/>
          <w:lang w:eastAsia="en-US"/>
        </w:rPr>
        <w:t xml:space="preserve">В рассматриваемом периоде основным источником </w:t>
      </w:r>
      <w:r w:rsidRPr="000B56F8">
        <w:rPr>
          <w:rFonts w:ascii="Times New Roman" w:eastAsia="Calibri" w:hAnsi="Times New Roman"/>
          <w:spacing w:val="2"/>
          <w:sz w:val="24"/>
          <w:szCs w:val="24"/>
          <w:lang w:eastAsia="en-US"/>
        </w:rPr>
        <w:t xml:space="preserve">финансирования долгосрочных </w:t>
      </w:r>
      <w:r>
        <w:rPr>
          <w:rFonts w:ascii="Times New Roman" w:eastAsia="Calibri" w:hAnsi="Times New Roman"/>
          <w:spacing w:val="2"/>
          <w:sz w:val="24"/>
          <w:szCs w:val="24"/>
          <w:lang w:eastAsia="en-US"/>
        </w:rPr>
        <w:t xml:space="preserve">инвестиционных </w:t>
      </w:r>
      <w:r w:rsidRPr="000B56F8">
        <w:rPr>
          <w:rFonts w:ascii="Times New Roman" w:eastAsia="Calibri" w:hAnsi="Times New Roman"/>
          <w:spacing w:val="2"/>
          <w:sz w:val="24"/>
          <w:szCs w:val="24"/>
          <w:lang w:eastAsia="en-US"/>
        </w:rPr>
        <w:t>проектов</w:t>
      </w:r>
      <w:r>
        <w:rPr>
          <w:rFonts w:ascii="Times New Roman" w:eastAsia="Calibri" w:hAnsi="Times New Roman"/>
          <w:spacing w:val="2"/>
          <w:sz w:val="24"/>
          <w:szCs w:val="24"/>
          <w:lang w:eastAsia="en-US"/>
        </w:rPr>
        <w:t xml:space="preserve"> являлись </w:t>
      </w:r>
      <w:r w:rsidRPr="006D0DEB">
        <w:rPr>
          <w:rFonts w:ascii="Times New Roman" w:eastAsia="Calibri" w:hAnsi="Times New Roman"/>
          <w:b/>
          <w:spacing w:val="2"/>
          <w:sz w:val="24"/>
          <w:szCs w:val="24"/>
          <w:lang w:eastAsia="en-US"/>
        </w:rPr>
        <w:t>собственные средства организаций</w:t>
      </w:r>
      <w:r w:rsidR="00825344">
        <w:rPr>
          <w:rFonts w:ascii="Times New Roman" w:eastAsia="Calibri" w:hAnsi="Times New Roman"/>
          <w:b/>
          <w:spacing w:val="2"/>
          <w:sz w:val="24"/>
          <w:szCs w:val="24"/>
          <w:lang w:eastAsia="en-US"/>
        </w:rPr>
        <w:t xml:space="preserve"> </w:t>
      </w:r>
      <w:r w:rsidRPr="001E26B1">
        <w:rPr>
          <w:rFonts w:ascii="Times New Roman" w:eastAsia="Calibri" w:hAnsi="Times New Roman"/>
          <w:spacing w:val="2"/>
          <w:sz w:val="24"/>
          <w:szCs w:val="24"/>
          <w:lang w:eastAsia="en-US"/>
        </w:rPr>
        <w:t>(</w:t>
      </w:r>
      <w:r>
        <w:rPr>
          <w:rFonts w:ascii="Times New Roman" w:eastAsia="Calibri" w:hAnsi="Times New Roman"/>
          <w:spacing w:val="2"/>
          <w:sz w:val="24"/>
          <w:szCs w:val="24"/>
          <w:lang w:eastAsia="en-US"/>
        </w:rPr>
        <w:t>92,3%</w:t>
      </w:r>
      <w:r w:rsidRPr="001E26B1">
        <w:rPr>
          <w:rFonts w:ascii="Times New Roman" w:eastAsia="Calibri" w:hAnsi="Times New Roman"/>
          <w:spacing w:val="2"/>
          <w:sz w:val="24"/>
          <w:szCs w:val="24"/>
          <w:lang w:eastAsia="en-US"/>
        </w:rPr>
        <w:t>)</w:t>
      </w:r>
      <w:r>
        <w:rPr>
          <w:rFonts w:ascii="Times New Roman" w:eastAsia="Calibri" w:hAnsi="Times New Roman"/>
          <w:spacing w:val="2"/>
          <w:sz w:val="24"/>
          <w:szCs w:val="24"/>
          <w:lang w:eastAsia="en-US"/>
        </w:rPr>
        <w:t xml:space="preserve">, долевое представительство которых сузилось на 0,3 п.п. Удельный вес </w:t>
      </w:r>
      <w:r w:rsidRPr="000B56F8">
        <w:rPr>
          <w:rFonts w:ascii="Times New Roman" w:eastAsia="Calibri" w:hAnsi="Times New Roman"/>
          <w:spacing w:val="2"/>
          <w:sz w:val="24"/>
          <w:szCs w:val="24"/>
          <w:lang w:eastAsia="en-US"/>
        </w:rPr>
        <w:t>прочих источников финансирования</w:t>
      </w:r>
      <w:r>
        <w:rPr>
          <w:rFonts w:ascii="Times New Roman" w:eastAsia="Calibri" w:hAnsi="Times New Roman"/>
          <w:spacing w:val="2"/>
          <w:sz w:val="24"/>
          <w:szCs w:val="24"/>
          <w:lang w:eastAsia="en-US"/>
        </w:rPr>
        <w:t xml:space="preserve"> расширился на 3,0 п.п. до 5,7%.</w:t>
      </w:r>
    </w:p>
    <w:p w:rsidR="005B1766" w:rsidRPr="00825344" w:rsidRDefault="005B1766" w:rsidP="00D16741">
      <w:pPr>
        <w:spacing w:after="0" w:line="240" w:lineRule="auto"/>
        <w:ind w:firstLine="567"/>
        <w:jc w:val="center"/>
        <w:rPr>
          <w:rFonts w:ascii="Times New Roman" w:eastAsia="Calibri" w:hAnsi="Times New Roman"/>
          <w:b/>
          <w:sz w:val="18"/>
          <w:szCs w:val="18"/>
          <w:lang w:eastAsia="en-US"/>
        </w:rPr>
      </w:pPr>
    </w:p>
    <w:p w:rsidR="00D16741" w:rsidRDefault="00D16741" w:rsidP="00D16741">
      <w:pPr>
        <w:spacing w:after="0" w:line="240" w:lineRule="auto"/>
        <w:ind w:firstLine="567"/>
        <w:jc w:val="center"/>
        <w:rPr>
          <w:rFonts w:ascii="Times New Roman" w:eastAsia="Calibri" w:hAnsi="Times New Roman"/>
          <w:b/>
          <w:sz w:val="24"/>
          <w:szCs w:val="24"/>
          <w:lang w:eastAsia="en-US"/>
        </w:rPr>
      </w:pPr>
      <w:r w:rsidRPr="000B56F8">
        <w:rPr>
          <w:rFonts w:ascii="Times New Roman" w:eastAsia="Calibri" w:hAnsi="Times New Roman"/>
          <w:b/>
          <w:sz w:val="24"/>
          <w:szCs w:val="24"/>
          <w:lang w:eastAsia="en-US"/>
        </w:rPr>
        <w:t xml:space="preserve">Структура инвестиций в основной капитал </w:t>
      </w:r>
    </w:p>
    <w:p w:rsidR="00D16741" w:rsidRPr="000B56F8" w:rsidRDefault="00D16741" w:rsidP="00D16741">
      <w:pPr>
        <w:spacing w:after="0" w:line="240" w:lineRule="auto"/>
        <w:ind w:firstLine="567"/>
        <w:jc w:val="center"/>
        <w:rPr>
          <w:rFonts w:ascii="Times New Roman" w:eastAsia="Calibri" w:hAnsi="Times New Roman"/>
          <w:sz w:val="24"/>
          <w:szCs w:val="24"/>
          <w:lang w:eastAsia="en-US"/>
        </w:rPr>
      </w:pPr>
      <w:r w:rsidRPr="000B56F8">
        <w:rPr>
          <w:rFonts w:ascii="Times New Roman" w:eastAsia="Calibri" w:hAnsi="Times New Roman"/>
          <w:b/>
          <w:sz w:val="24"/>
          <w:szCs w:val="24"/>
          <w:lang w:eastAsia="en-US"/>
        </w:rPr>
        <w:t>по источникам финансирования, %</w:t>
      </w:r>
    </w:p>
    <w:p w:rsidR="00D16741" w:rsidRPr="000B56F8" w:rsidRDefault="00D16741" w:rsidP="00D16741">
      <w:pPr>
        <w:spacing w:after="0"/>
        <w:ind w:left="-142"/>
        <w:jc w:val="both"/>
        <w:rPr>
          <w:b/>
          <w:sz w:val="24"/>
          <w:szCs w:val="24"/>
        </w:rPr>
      </w:pPr>
      <w:r>
        <w:rPr>
          <w:noProof/>
          <w:sz w:val="16"/>
          <w:szCs w:val="16"/>
        </w:rPr>
        <w:drawing>
          <wp:inline distT="0" distB="0" distL="0" distR="0">
            <wp:extent cx="3546282" cy="1757238"/>
            <wp:effectExtent l="0" t="0" r="0" b="0"/>
            <wp:docPr id="4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b/>
          <w:noProof/>
          <w:sz w:val="24"/>
          <w:szCs w:val="24"/>
        </w:rPr>
        <w:drawing>
          <wp:inline distT="0" distB="0" distL="0" distR="0">
            <wp:extent cx="2469708" cy="1828800"/>
            <wp:effectExtent l="19050" t="0" r="6792" b="0"/>
            <wp:docPr id="41"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16741" w:rsidRDefault="00D16741" w:rsidP="00D16741">
      <w:pPr>
        <w:spacing w:after="0" w:line="240" w:lineRule="auto"/>
        <w:ind w:firstLine="709"/>
        <w:jc w:val="both"/>
        <w:rPr>
          <w:rFonts w:ascii="Times New Roman" w:eastAsia="Calibri" w:hAnsi="Times New Roman"/>
          <w:spacing w:val="2"/>
          <w:sz w:val="24"/>
          <w:szCs w:val="24"/>
          <w:lang w:eastAsia="en-US"/>
        </w:rPr>
      </w:pPr>
      <w:r>
        <w:rPr>
          <w:rFonts w:ascii="Times New Roman" w:eastAsia="Calibri" w:hAnsi="Times New Roman"/>
          <w:spacing w:val="2"/>
          <w:sz w:val="24"/>
          <w:szCs w:val="24"/>
          <w:lang w:eastAsia="en-US"/>
        </w:rPr>
        <w:t>О</w:t>
      </w:r>
      <w:r w:rsidRPr="000B56F8">
        <w:rPr>
          <w:rFonts w:ascii="Times New Roman" w:eastAsia="Calibri" w:hAnsi="Times New Roman"/>
          <w:spacing w:val="2"/>
          <w:sz w:val="24"/>
          <w:szCs w:val="24"/>
          <w:lang w:eastAsia="en-US"/>
        </w:rPr>
        <w:t xml:space="preserve">сновное влияние на формирование совокупного </w:t>
      </w:r>
      <w:r w:rsidRPr="00291C0B">
        <w:rPr>
          <w:rFonts w:ascii="Times New Roman" w:eastAsia="Calibri" w:hAnsi="Times New Roman"/>
          <w:spacing w:val="2"/>
          <w:sz w:val="24"/>
          <w:szCs w:val="24"/>
          <w:lang w:eastAsia="en-US"/>
        </w:rPr>
        <w:t xml:space="preserve">показателя инвестиций в основной капитал оказали организации </w:t>
      </w:r>
      <w:r w:rsidRPr="00291C0B">
        <w:rPr>
          <w:rFonts w:ascii="Times New Roman" w:eastAsia="Calibri" w:hAnsi="Times New Roman"/>
          <w:b/>
          <w:spacing w:val="2"/>
          <w:sz w:val="24"/>
          <w:szCs w:val="24"/>
          <w:lang w:eastAsia="en-US"/>
        </w:rPr>
        <w:t>частной формы собственнос</w:t>
      </w:r>
      <w:r w:rsidRPr="00722CD4">
        <w:rPr>
          <w:rFonts w:ascii="Times New Roman" w:eastAsia="Calibri" w:hAnsi="Times New Roman"/>
          <w:b/>
          <w:spacing w:val="2"/>
          <w:sz w:val="24"/>
          <w:szCs w:val="24"/>
          <w:lang w:eastAsia="en-US"/>
        </w:rPr>
        <w:t>ти,</w:t>
      </w:r>
      <w:r w:rsidR="00825344">
        <w:rPr>
          <w:rFonts w:ascii="Times New Roman" w:eastAsia="Calibri" w:hAnsi="Times New Roman"/>
          <w:b/>
          <w:spacing w:val="2"/>
          <w:sz w:val="24"/>
          <w:szCs w:val="24"/>
          <w:lang w:eastAsia="en-US"/>
        </w:rPr>
        <w:t xml:space="preserve"> </w:t>
      </w:r>
      <w:r w:rsidRPr="00123257">
        <w:rPr>
          <w:rFonts w:ascii="Times New Roman" w:eastAsia="Calibri" w:hAnsi="Times New Roman"/>
          <w:spacing w:val="2"/>
          <w:sz w:val="24"/>
          <w:szCs w:val="24"/>
          <w:lang w:eastAsia="en-US"/>
        </w:rPr>
        <w:t>на долю которых</w:t>
      </w:r>
      <w:r w:rsidR="00825344">
        <w:rPr>
          <w:rFonts w:ascii="Times New Roman" w:eastAsia="Calibri" w:hAnsi="Times New Roman"/>
          <w:spacing w:val="2"/>
          <w:sz w:val="24"/>
          <w:szCs w:val="24"/>
          <w:lang w:eastAsia="en-US"/>
        </w:rPr>
        <w:t xml:space="preserve"> </w:t>
      </w:r>
      <w:r>
        <w:rPr>
          <w:rFonts w:ascii="Times New Roman" w:eastAsia="Calibri" w:hAnsi="Times New Roman"/>
          <w:spacing w:val="2"/>
          <w:sz w:val="24"/>
          <w:szCs w:val="24"/>
          <w:lang w:eastAsia="en-US"/>
        </w:rPr>
        <w:t>пришлось</w:t>
      </w:r>
      <w:r w:rsidR="00825344">
        <w:rPr>
          <w:rFonts w:ascii="Times New Roman" w:eastAsia="Calibri" w:hAnsi="Times New Roman"/>
          <w:spacing w:val="2"/>
          <w:sz w:val="24"/>
          <w:szCs w:val="24"/>
          <w:lang w:eastAsia="en-US"/>
        </w:rPr>
        <w:t xml:space="preserve"> </w:t>
      </w:r>
      <w:r>
        <w:rPr>
          <w:rFonts w:ascii="Times New Roman" w:eastAsia="Calibri" w:hAnsi="Times New Roman"/>
          <w:spacing w:val="2"/>
          <w:sz w:val="24"/>
          <w:szCs w:val="24"/>
          <w:lang w:eastAsia="en-US"/>
        </w:rPr>
        <w:t>74,0% против 61,7% в минувшем году</w:t>
      </w:r>
      <w:r w:rsidRPr="000B56F8">
        <w:rPr>
          <w:rFonts w:ascii="Times New Roman" w:eastAsia="Calibri" w:hAnsi="Times New Roman"/>
          <w:spacing w:val="2"/>
          <w:sz w:val="24"/>
          <w:szCs w:val="24"/>
          <w:lang w:eastAsia="en-US"/>
        </w:rPr>
        <w:t>,</w:t>
      </w:r>
      <w:r w:rsidR="00825344">
        <w:rPr>
          <w:rFonts w:ascii="Times New Roman" w:eastAsia="Calibri" w:hAnsi="Times New Roman"/>
          <w:spacing w:val="2"/>
          <w:sz w:val="24"/>
          <w:szCs w:val="24"/>
          <w:lang w:eastAsia="en-US"/>
        </w:rPr>
        <w:t xml:space="preserve"> </w:t>
      </w:r>
      <w:r w:rsidRPr="000B56F8">
        <w:rPr>
          <w:rFonts w:ascii="Times New Roman" w:eastAsia="Calibri" w:hAnsi="Times New Roman"/>
          <w:spacing w:val="2"/>
          <w:sz w:val="24"/>
          <w:szCs w:val="24"/>
          <w:lang w:eastAsia="en-US"/>
        </w:rPr>
        <w:t xml:space="preserve">капитальные вложения </w:t>
      </w:r>
      <w:r>
        <w:rPr>
          <w:rFonts w:ascii="Times New Roman" w:eastAsia="Calibri" w:hAnsi="Times New Roman"/>
          <w:spacing w:val="2"/>
          <w:sz w:val="24"/>
          <w:szCs w:val="24"/>
          <w:lang w:eastAsia="en-US"/>
        </w:rPr>
        <w:t xml:space="preserve">предприятий </w:t>
      </w:r>
      <w:r w:rsidRPr="000B56F8">
        <w:rPr>
          <w:rFonts w:ascii="Times New Roman" w:eastAsia="Calibri" w:hAnsi="Times New Roman"/>
          <w:spacing w:val="2"/>
          <w:sz w:val="24"/>
          <w:szCs w:val="24"/>
          <w:lang w:eastAsia="en-US"/>
        </w:rPr>
        <w:t xml:space="preserve">государственной формы собственности </w:t>
      </w:r>
      <w:r>
        <w:rPr>
          <w:rFonts w:ascii="Times New Roman" w:eastAsia="Calibri" w:hAnsi="Times New Roman"/>
          <w:spacing w:val="2"/>
          <w:sz w:val="24"/>
          <w:szCs w:val="24"/>
          <w:lang w:eastAsia="en-US"/>
        </w:rPr>
        <w:t>составили</w:t>
      </w:r>
      <w:r w:rsidR="00825344">
        <w:rPr>
          <w:rFonts w:ascii="Times New Roman" w:eastAsia="Calibri" w:hAnsi="Times New Roman"/>
          <w:spacing w:val="2"/>
          <w:sz w:val="24"/>
          <w:szCs w:val="24"/>
          <w:lang w:eastAsia="en-US"/>
        </w:rPr>
        <w:t xml:space="preserve"> </w:t>
      </w:r>
      <w:r>
        <w:rPr>
          <w:rFonts w:ascii="Times New Roman" w:eastAsia="Calibri" w:hAnsi="Times New Roman"/>
          <w:spacing w:val="2"/>
          <w:sz w:val="24"/>
          <w:szCs w:val="24"/>
          <w:lang w:eastAsia="en-US"/>
        </w:rPr>
        <w:t>21,2</w:t>
      </w:r>
      <w:r w:rsidRPr="000B56F8">
        <w:rPr>
          <w:rFonts w:ascii="Times New Roman" w:eastAsia="Calibri" w:hAnsi="Times New Roman"/>
          <w:spacing w:val="2"/>
          <w:sz w:val="24"/>
          <w:szCs w:val="24"/>
          <w:lang w:eastAsia="en-US"/>
        </w:rPr>
        <w:t xml:space="preserve">% </w:t>
      </w:r>
      <w:r>
        <w:rPr>
          <w:rFonts w:ascii="Times New Roman" w:eastAsia="Calibri" w:hAnsi="Times New Roman"/>
          <w:spacing w:val="2"/>
          <w:sz w:val="24"/>
          <w:szCs w:val="24"/>
          <w:lang w:eastAsia="en-US"/>
        </w:rPr>
        <w:t xml:space="preserve">в совокупном показателе </w:t>
      </w:r>
      <w:r w:rsidRPr="000B56F8">
        <w:rPr>
          <w:rFonts w:ascii="Times New Roman" w:eastAsia="Calibri" w:hAnsi="Times New Roman"/>
          <w:spacing w:val="2"/>
          <w:sz w:val="24"/>
          <w:szCs w:val="24"/>
          <w:lang w:eastAsia="en-US"/>
        </w:rPr>
        <w:t xml:space="preserve">против </w:t>
      </w:r>
      <w:r>
        <w:rPr>
          <w:rFonts w:ascii="Times New Roman" w:eastAsia="Calibri" w:hAnsi="Times New Roman"/>
          <w:spacing w:val="2"/>
          <w:sz w:val="24"/>
          <w:szCs w:val="24"/>
          <w:lang w:eastAsia="en-US"/>
        </w:rPr>
        <w:t>33,4</w:t>
      </w:r>
      <w:r w:rsidRPr="000B56F8">
        <w:rPr>
          <w:rFonts w:ascii="Times New Roman" w:eastAsia="Calibri" w:hAnsi="Times New Roman"/>
          <w:spacing w:val="2"/>
          <w:sz w:val="24"/>
          <w:szCs w:val="24"/>
          <w:lang w:eastAsia="en-US"/>
        </w:rPr>
        <w:t>% в январе-июне 201</w:t>
      </w:r>
      <w:r>
        <w:rPr>
          <w:rFonts w:ascii="Times New Roman" w:eastAsia="Calibri" w:hAnsi="Times New Roman"/>
          <w:spacing w:val="2"/>
          <w:sz w:val="24"/>
          <w:szCs w:val="24"/>
          <w:lang w:eastAsia="en-US"/>
        </w:rPr>
        <w:t>6</w:t>
      </w:r>
      <w:r w:rsidRPr="000B56F8">
        <w:rPr>
          <w:rFonts w:ascii="Times New Roman" w:eastAsia="Calibri" w:hAnsi="Times New Roman"/>
          <w:spacing w:val="2"/>
          <w:sz w:val="24"/>
          <w:szCs w:val="24"/>
          <w:lang w:eastAsia="en-US"/>
        </w:rPr>
        <w:t xml:space="preserve"> года.</w:t>
      </w:r>
    </w:p>
    <w:p w:rsidR="00825344" w:rsidRPr="00825344" w:rsidRDefault="00825344" w:rsidP="00D16741">
      <w:pPr>
        <w:spacing w:after="0" w:line="240" w:lineRule="auto"/>
        <w:ind w:firstLine="709"/>
        <w:jc w:val="both"/>
        <w:rPr>
          <w:rFonts w:ascii="Times New Roman" w:eastAsia="Calibri" w:hAnsi="Times New Roman"/>
          <w:spacing w:val="2"/>
          <w:sz w:val="16"/>
          <w:szCs w:val="16"/>
          <w:lang w:eastAsia="en-US"/>
        </w:rPr>
      </w:pPr>
    </w:p>
    <w:p w:rsidR="00D16741" w:rsidRDefault="00D16741" w:rsidP="00D16741">
      <w:pPr>
        <w:spacing w:after="0" w:line="240" w:lineRule="auto"/>
        <w:ind w:firstLine="709"/>
        <w:jc w:val="center"/>
        <w:rPr>
          <w:rFonts w:ascii="Times New Roman" w:eastAsia="Calibri" w:hAnsi="Times New Roman"/>
          <w:b/>
          <w:sz w:val="24"/>
          <w:szCs w:val="24"/>
          <w:lang w:eastAsia="en-US"/>
        </w:rPr>
      </w:pPr>
      <w:r w:rsidRPr="000B56F8">
        <w:rPr>
          <w:rFonts w:ascii="Times New Roman" w:eastAsia="Calibri" w:hAnsi="Times New Roman"/>
          <w:b/>
          <w:sz w:val="24"/>
          <w:szCs w:val="24"/>
          <w:lang w:eastAsia="en-US"/>
        </w:rPr>
        <w:t xml:space="preserve">Структура инвестиций в основной капитал </w:t>
      </w:r>
    </w:p>
    <w:p w:rsidR="00D16741" w:rsidRPr="000B56F8" w:rsidRDefault="00D16741" w:rsidP="00D16741">
      <w:pPr>
        <w:spacing w:after="0" w:line="240" w:lineRule="auto"/>
        <w:ind w:firstLine="709"/>
        <w:jc w:val="center"/>
        <w:rPr>
          <w:rFonts w:ascii="Times New Roman" w:eastAsia="Calibri" w:hAnsi="Times New Roman"/>
          <w:b/>
          <w:sz w:val="24"/>
          <w:szCs w:val="24"/>
          <w:lang w:eastAsia="en-US"/>
        </w:rPr>
      </w:pPr>
      <w:r w:rsidRPr="000B56F8">
        <w:rPr>
          <w:rFonts w:ascii="Times New Roman" w:eastAsia="Calibri" w:hAnsi="Times New Roman"/>
          <w:b/>
          <w:sz w:val="24"/>
          <w:szCs w:val="24"/>
          <w:lang w:eastAsia="en-US"/>
        </w:rPr>
        <w:t xml:space="preserve">по </w:t>
      </w:r>
      <w:r w:rsidR="00F425EE">
        <w:rPr>
          <w:rFonts w:ascii="Times New Roman" w:eastAsia="Calibri" w:hAnsi="Times New Roman"/>
          <w:b/>
          <w:sz w:val="24"/>
          <w:szCs w:val="24"/>
          <w:lang w:eastAsia="en-US"/>
        </w:rPr>
        <w:t>формам собственности, %</w:t>
      </w:r>
    </w:p>
    <w:p w:rsidR="00D16741" w:rsidRDefault="00D16741" w:rsidP="00D16741">
      <w:pPr>
        <w:spacing w:after="0"/>
        <w:ind w:left="-284"/>
        <w:jc w:val="both"/>
        <w:rPr>
          <w:rFonts w:ascii="Times New Roman" w:eastAsia="Calibri" w:hAnsi="Times New Roman"/>
          <w:sz w:val="24"/>
          <w:szCs w:val="24"/>
          <w:highlight w:val="yellow"/>
          <w:lang w:eastAsia="en-US"/>
        </w:rPr>
      </w:pPr>
      <w:r>
        <w:rPr>
          <w:noProof/>
          <w:color w:val="C6D9F1"/>
          <w:sz w:val="16"/>
          <w:szCs w:val="16"/>
        </w:rPr>
        <w:drawing>
          <wp:inline distT="0" distB="0" distL="0" distR="0">
            <wp:extent cx="3324225" cy="1685925"/>
            <wp:effectExtent l="0" t="0" r="0" b="0"/>
            <wp:docPr id="4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b/>
          <w:noProof/>
          <w:color w:val="9BBB59"/>
          <w:sz w:val="16"/>
          <w:szCs w:val="16"/>
        </w:rPr>
        <w:drawing>
          <wp:inline distT="0" distB="0" distL="0" distR="0">
            <wp:extent cx="2857500" cy="1647825"/>
            <wp:effectExtent l="0" t="0" r="0" b="0"/>
            <wp:docPr id="4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16741" w:rsidRDefault="00D16741" w:rsidP="00D16741">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Рассматривая структуру инвестиций в основной капитал (в части новых и приобретенных по импорту основных средств) по отраслям экономики республики необходимо отметить, что в январе-июне 2017 года в промышленном секторе (46,7%) наблюдалось снижение </w:t>
      </w:r>
      <w:r w:rsidRPr="001018F1">
        <w:rPr>
          <w:rFonts w:ascii="Times New Roman" w:eastAsia="Calibri" w:hAnsi="Times New Roman"/>
          <w:sz w:val="24"/>
          <w:szCs w:val="24"/>
          <w:lang w:eastAsia="en-US"/>
        </w:rPr>
        <w:t>объ</w:t>
      </w:r>
      <w:r>
        <w:rPr>
          <w:rFonts w:ascii="Times New Roman" w:eastAsia="Calibri" w:hAnsi="Times New Roman"/>
          <w:sz w:val="24"/>
          <w:szCs w:val="24"/>
          <w:lang w:eastAsia="en-US"/>
        </w:rPr>
        <w:t>е</w:t>
      </w:r>
      <w:r w:rsidRPr="001018F1">
        <w:rPr>
          <w:rFonts w:ascii="Times New Roman" w:eastAsia="Calibri" w:hAnsi="Times New Roman"/>
          <w:sz w:val="24"/>
          <w:szCs w:val="24"/>
          <w:lang w:eastAsia="en-US"/>
        </w:rPr>
        <w:t>м</w:t>
      </w:r>
      <w:r>
        <w:rPr>
          <w:rFonts w:ascii="Times New Roman" w:eastAsia="Calibri" w:hAnsi="Times New Roman"/>
          <w:sz w:val="24"/>
          <w:szCs w:val="24"/>
          <w:lang w:eastAsia="en-US"/>
        </w:rPr>
        <w:t>а</w:t>
      </w:r>
      <w:r w:rsidRPr="001018F1">
        <w:rPr>
          <w:rFonts w:ascii="Times New Roman" w:eastAsia="Calibri" w:hAnsi="Times New Roman"/>
          <w:sz w:val="24"/>
          <w:szCs w:val="24"/>
          <w:lang w:eastAsia="en-US"/>
        </w:rPr>
        <w:t xml:space="preserve"> капитальных вложений на </w:t>
      </w:r>
      <w:r>
        <w:rPr>
          <w:rFonts w:ascii="Times New Roman" w:eastAsia="Calibri" w:hAnsi="Times New Roman"/>
          <w:sz w:val="24"/>
          <w:szCs w:val="24"/>
          <w:lang w:eastAsia="en-US"/>
        </w:rPr>
        <w:t>35,0</w:t>
      </w:r>
      <w:r w:rsidRPr="001018F1">
        <w:rPr>
          <w:rFonts w:ascii="Times New Roman" w:eastAsia="Calibri" w:hAnsi="Times New Roman"/>
          <w:sz w:val="24"/>
          <w:szCs w:val="24"/>
          <w:lang w:eastAsia="en-US"/>
        </w:rPr>
        <w:t>%</w:t>
      </w:r>
      <w:r>
        <w:rPr>
          <w:rFonts w:ascii="Times New Roman" w:eastAsia="Calibri" w:hAnsi="Times New Roman"/>
          <w:sz w:val="24"/>
          <w:szCs w:val="24"/>
          <w:lang w:eastAsia="en-US"/>
        </w:rPr>
        <w:t xml:space="preserve"> до 124,9</w:t>
      </w:r>
      <w:r w:rsidRPr="001018F1">
        <w:rPr>
          <w:rFonts w:ascii="Times New Roman" w:eastAsia="Calibri" w:hAnsi="Times New Roman"/>
          <w:sz w:val="24"/>
          <w:szCs w:val="24"/>
          <w:lang w:eastAsia="en-US"/>
        </w:rPr>
        <w:t xml:space="preserve"> </w:t>
      </w:r>
      <w:proofErr w:type="spellStart"/>
      <w:r w:rsidRPr="001018F1">
        <w:rPr>
          <w:rFonts w:ascii="Times New Roman" w:eastAsia="Calibri" w:hAnsi="Times New Roman"/>
          <w:sz w:val="24"/>
          <w:szCs w:val="24"/>
          <w:lang w:eastAsia="en-US"/>
        </w:rPr>
        <w:t>млн</w:t>
      </w:r>
      <w:proofErr w:type="spellEnd"/>
      <w:r w:rsidRPr="001018F1">
        <w:rPr>
          <w:rFonts w:ascii="Times New Roman" w:eastAsia="Calibri" w:hAnsi="Times New Roman"/>
          <w:sz w:val="24"/>
          <w:szCs w:val="24"/>
          <w:lang w:eastAsia="en-US"/>
        </w:rPr>
        <w:t xml:space="preserve"> руб</w:t>
      </w:r>
      <w:r>
        <w:rPr>
          <w:rFonts w:ascii="Times New Roman" w:eastAsia="Calibri" w:hAnsi="Times New Roman"/>
          <w:sz w:val="24"/>
          <w:szCs w:val="24"/>
          <w:lang w:eastAsia="en-US"/>
        </w:rPr>
        <w:t xml:space="preserve">. </w:t>
      </w:r>
    </w:p>
    <w:p w:rsidR="00D16741" w:rsidRDefault="00D16741" w:rsidP="00D16741">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При этом наибольший объем инвестиционных вложений в модернизацию, техническое перевооружение промышленного производства </w:t>
      </w:r>
      <w:r w:rsidR="005B1766">
        <w:rPr>
          <w:rFonts w:ascii="Times New Roman" w:eastAsia="Calibri" w:hAnsi="Times New Roman"/>
          <w:sz w:val="24"/>
          <w:szCs w:val="24"/>
          <w:lang w:eastAsia="en-US"/>
        </w:rPr>
        <w:t>был осуществлен</w:t>
      </w:r>
      <w:r>
        <w:rPr>
          <w:rFonts w:ascii="Times New Roman" w:eastAsia="Calibri" w:hAnsi="Times New Roman"/>
          <w:sz w:val="24"/>
          <w:szCs w:val="24"/>
          <w:lang w:eastAsia="en-US"/>
        </w:rPr>
        <w:t xml:space="preserve"> на таких предприятиях как: </w:t>
      </w:r>
    </w:p>
    <w:p w:rsidR="00D16741" w:rsidRPr="009A6578" w:rsidRDefault="00D16741" w:rsidP="00D16741">
      <w:pPr>
        <w:pStyle w:val="a6"/>
        <w:numPr>
          <w:ilvl w:val="0"/>
          <w:numId w:val="9"/>
        </w:numPr>
        <w:tabs>
          <w:tab w:val="left" w:pos="993"/>
        </w:tabs>
        <w:spacing w:after="0" w:line="240" w:lineRule="auto"/>
        <w:ind w:left="0" w:firstLine="709"/>
        <w:jc w:val="both"/>
        <w:rPr>
          <w:rFonts w:ascii="Times New Roman" w:eastAsia="Calibri" w:hAnsi="Times New Roman"/>
          <w:sz w:val="24"/>
          <w:szCs w:val="24"/>
          <w:lang w:eastAsia="en-US"/>
        </w:rPr>
      </w:pPr>
      <w:r w:rsidRPr="009A6578">
        <w:rPr>
          <w:rFonts w:ascii="Times New Roman" w:eastAsia="Calibri" w:hAnsi="Times New Roman"/>
          <w:sz w:val="24"/>
          <w:szCs w:val="24"/>
          <w:lang w:eastAsia="en-US"/>
        </w:rPr>
        <w:lastRenderedPageBreak/>
        <w:t>ЗАО «</w:t>
      </w:r>
      <w:proofErr w:type="spellStart"/>
      <w:r w:rsidRPr="009A6578">
        <w:rPr>
          <w:rFonts w:ascii="Times New Roman" w:eastAsia="Calibri" w:hAnsi="Times New Roman"/>
          <w:sz w:val="24"/>
          <w:szCs w:val="24"/>
          <w:lang w:eastAsia="en-US"/>
        </w:rPr>
        <w:t>Рыбницкий</w:t>
      </w:r>
      <w:proofErr w:type="spellEnd"/>
      <w:r w:rsidRPr="009A6578">
        <w:rPr>
          <w:rFonts w:ascii="Times New Roman" w:eastAsia="Calibri" w:hAnsi="Times New Roman"/>
          <w:sz w:val="24"/>
          <w:szCs w:val="24"/>
          <w:lang w:eastAsia="en-US"/>
        </w:rPr>
        <w:t xml:space="preserve"> цементный комбинат» (38,7% всех вложений по промышленности, что в 2,8 раза превышает базово</w:t>
      </w:r>
      <w:r>
        <w:rPr>
          <w:rFonts w:ascii="Times New Roman" w:eastAsia="Calibri" w:hAnsi="Times New Roman"/>
          <w:sz w:val="24"/>
          <w:szCs w:val="24"/>
          <w:lang w:eastAsia="en-US"/>
        </w:rPr>
        <w:t>е</w:t>
      </w:r>
      <w:r w:rsidRPr="009A6578">
        <w:rPr>
          <w:rFonts w:ascii="Times New Roman" w:eastAsia="Calibri" w:hAnsi="Times New Roman"/>
          <w:sz w:val="24"/>
          <w:szCs w:val="24"/>
          <w:lang w:eastAsia="en-US"/>
        </w:rPr>
        <w:t xml:space="preserve"> значение 2016 года);</w:t>
      </w:r>
    </w:p>
    <w:p w:rsidR="00D16741" w:rsidRPr="009A6578" w:rsidRDefault="00D16741" w:rsidP="00D16741">
      <w:pPr>
        <w:pStyle w:val="a6"/>
        <w:numPr>
          <w:ilvl w:val="0"/>
          <w:numId w:val="9"/>
        </w:numPr>
        <w:tabs>
          <w:tab w:val="left" w:pos="993"/>
        </w:tabs>
        <w:spacing w:after="0" w:line="240" w:lineRule="auto"/>
        <w:ind w:left="0" w:firstLine="709"/>
        <w:jc w:val="both"/>
        <w:rPr>
          <w:rFonts w:ascii="Times New Roman" w:eastAsia="Calibri" w:hAnsi="Times New Roman"/>
          <w:sz w:val="24"/>
          <w:szCs w:val="24"/>
          <w:lang w:eastAsia="en-US"/>
        </w:rPr>
      </w:pPr>
      <w:r w:rsidRPr="009A6578">
        <w:rPr>
          <w:rFonts w:ascii="Times New Roman" w:eastAsia="Calibri" w:hAnsi="Times New Roman"/>
          <w:sz w:val="24"/>
          <w:szCs w:val="24"/>
          <w:lang w:eastAsia="en-US"/>
        </w:rPr>
        <w:t>ГУП «Единые распределительные сети» (12,</w:t>
      </w:r>
      <w:r>
        <w:rPr>
          <w:rFonts w:ascii="Times New Roman" w:eastAsia="Calibri" w:hAnsi="Times New Roman"/>
          <w:sz w:val="24"/>
          <w:szCs w:val="24"/>
          <w:lang w:eastAsia="en-US"/>
        </w:rPr>
        <w:t>8</w:t>
      </w:r>
      <w:r w:rsidRPr="009A6578">
        <w:rPr>
          <w:rFonts w:ascii="Times New Roman" w:eastAsia="Calibri" w:hAnsi="Times New Roman"/>
          <w:sz w:val="24"/>
          <w:szCs w:val="24"/>
          <w:lang w:eastAsia="en-US"/>
        </w:rPr>
        <w:t xml:space="preserve">% инвестиций по </w:t>
      </w:r>
      <w:r>
        <w:rPr>
          <w:rFonts w:ascii="Times New Roman" w:eastAsia="Calibri" w:hAnsi="Times New Roman"/>
          <w:sz w:val="24"/>
          <w:szCs w:val="24"/>
          <w:lang w:eastAsia="en-US"/>
        </w:rPr>
        <w:t>индустриальному комплексу</w:t>
      </w:r>
      <w:r w:rsidR="005B1766">
        <w:rPr>
          <w:rFonts w:ascii="Times New Roman" w:eastAsia="Calibri" w:hAnsi="Times New Roman"/>
          <w:sz w:val="24"/>
          <w:szCs w:val="24"/>
          <w:lang w:eastAsia="en-US"/>
        </w:rPr>
        <w:t>,</w:t>
      </w:r>
      <w:r w:rsidRPr="009A6578">
        <w:rPr>
          <w:rFonts w:ascii="Times New Roman" w:eastAsia="Calibri" w:hAnsi="Times New Roman"/>
          <w:sz w:val="24"/>
          <w:szCs w:val="24"/>
          <w:lang w:eastAsia="en-US"/>
        </w:rPr>
        <w:t xml:space="preserve"> при спаде к уровню I полугодия 2016 года на 73,7%);</w:t>
      </w:r>
    </w:p>
    <w:p w:rsidR="00D16741" w:rsidRDefault="00D16741" w:rsidP="00D16741">
      <w:pPr>
        <w:pStyle w:val="a6"/>
        <w:numPr>
          <w:ilvl w:val="0"/>
          <w:numId w:val="9"/>
        </w:numPr>
        <w:tabs>
          <w:tab w:val="left" w:pos="993"/>
        </w:tabs>
        <w:spacing w:after="0" w:line="240" w:lineRule="auto"/>
        <w:ind w:left="0" w:firstLine="709"/>
        <w:jc w:val="both"/>
        <w:rPr>
          <w:rFonts w:ascii="Times New Roman" w:eastAsia="Calibri" w:hAnsi="Times New Roman"/>
          <w:sz w:val="24"/>
          <w:szCs w:val="24"/>
          <w:lang w:eastAsia="en-US"/>
        </w:rPr>
      </w:pPr>
      <w:r w:rsidRPr="009A6578">
        <w:rPr>
          <w:rFonts w:ascii="Times New Roman" w:eastAsia="Calibri" w:hAnsi="Times New Roman"/>
          <w:sz w:val="24"/>
          <w:szCs w:val="24"/>
          <w:lang w:eastAsia="en-US"/>
        </w:rPr>
        <w:t>ГУП ГК «</w:t>
      </w:r>
      <w:proofErr w:type="spellStart"/>
      <w:r w:rsidRPr="009A6578">
        <w:rPr>
          <w:rFonts w:ascii="Times New Roman" w:eastAsia="Calibri" w:hAnsi="Times New Roman"/>
          <w:sz w:val="24"/>
          <w:szCs w:val="24"/>
          <w:lang w:eastAsia="en-US"/>
        </w:rPr>
        <w:t>Днестрэнерго</w:t>
      </w:r>
      <w:proofErr w:type="spellEnd"/>
      <w:r w:rsidRPr="009A6578">
        <w:rPr>
          <w:rFonts w:ascii="Times New Roman" w:eastAsia="Calibri" w:hAnsi="Times New Roman"/>
          <w:sz w:val="24"/>
          <w:szCs w:val="24"/>
          <w:lang w:eastAsia="en-US"/>
        </w:rPr>
        <w:t>»(</w:t>
      </w:r>
      <w:r>
        <w:rPr>
          <w:rFonts w:ascii="Times New Roman" w:eastAsia="Calibri" w:hAnsi="Times New Roman"/>
          <w:sz w:val="24"/>
          <w:szCs w:val="24"/>
          <w:lang w:eastAsia="en-US"/>
        </w:rPr>
        <w:t>6,1</w:t>
      </w:r>
      <w:r w:rsidRPr="009A6578">
        <w:rPr>
          <w:rFonts w:ascii="Times New Roman" w:eastAsia="Calibri" w:hAnsi="Times New Roman"/>
          <w:sz w:val="24"/>
          <w:szCs w:val="24"/>
          <w:lang w:eastAsia="en-US"/>
        </w:rPr>
        <w:t xml:space="preserve">% по промышленности, при </w:t>
      </w:r>
      <w:r>
        <w:rPr>
          <w:rFonts w:ascii="Times New Roman" w:eastAsia="Calibri" w:hAnsi="Times New Roman"/>
          <w:sz w:val="24"/>
          <w:szCs w:val="24"/>
          <w:lang w:eastAsia="en-US"/>
        </w:rPr>
        <w:t>сокращении</w:t>
      </w:r>
      <w:r w:rsidRPr="009A6578">
        <w:rPr>
          <w:rFonts w:ascii="Times New Roman" w:eastAsia="Calibri" w:hAnsi="Times New Roman"/>
          <w:sz w:val="24"/>
          <w:szCs w:val="24"/>
          <w:lang w:eastAsia="en-US"/>
        </w:rPr>
        <w:t xml:space="preserve"> к уровню </w:t>
      </w:r>
      <w:r>
        <w:rPr>
          <w:rFonts w:ascii="Times New Roman" w:eastAsia="Calibri" w:hAnsi="Times New Roman"/>
          <w:sz w:val="24"/>
          <w:szCs w:val="24"/>
          <w:lang w:eastAsia="en-US"/>
        </w:rPr>
        <w:t>шести месяцев</w:t>
      </w:r>
      <w:r w:rsidRPr="009A6578">
        <w:rPr>
          <w:rFonts w:ascii="Times New Roman" w:eastAsia="Calibri" w:hAnsi="Times New Roman"/>
          <w:sz w:val="24"/>
          <w:szCs w:val="24"/>
          <w:lang w:eastAsia="en-US"/>
        </w:rPr>
        <w:t xml:space="preserve"> 2016 года на </w:t>
      </w:r>
      <w:r>
        <w:rPr>
          <w:rFonts w:ascii="Times New Roman" w:eastAsia="Calibri" w:hAnsi="Times New Roman"/>
          <w:sz w:val="24"/>
          <w:szCs w:val="24"/>
          <w:lang w:eastAsia="en-US"/>
        </w:rPr>
        <w:t>16,6</w:t>
      </w:r>
      <w:r w:rsidRPr="009A6578">
        <w:rPr>
          <w:rFonts w:ascii="Times New Roman" w:eastAsia="Calibri" w:hAnsi="Times New Roman"/>
          <w:sz w:val="24"/>
          <w:szCs w:val="24"/>
          <w:lang w:eastAsia="en-US"/>
        </w:rPr>
        <w:t>%);</w:t>
      </w:r>
    </w:p>
    <w:p w:rsidR="00D16741" w:rsidRPr="003E1999" w:rsidRDefault="00D16741" w:rsidP="00D16741">
      <w:pPr>
        <w:pStyle w:val="a6"/>
        <w:numPr>
          <w:ilvl w:val="0"/>
          <w:numId w:val="9"/>
        </w:numPr>
        <w:tabs>
          <w:tab w:val="left" w:pos="993"/>
        </w:tabs>
        <w:spacing w:after="0" w:line="240" w:lineRule="auto"/>
        <w:ind w:left="0" w:firstLine="709"/>
        <w:jc w:val="both"/>
        <w:rPr>
          <w:rFonts w:ascii="Times New Roman" w:eastAsia="Calibri" w:hAnsi="Times New Roman"/>
          <w:sz w:val="24"/>
          <w:szCs w:val="24"/>
          <w:lang w:eastAsia="en-US"/>
        </w:rPr>
      </w:pPr>
      <w:r w:rsidRPr="003E1999">
        <w:rPr>
          <w:rFonts w:ascii="Times New Roman" w:eastAsia="Calibri" w:hAnsi="Times New Roman"/>
          <w:sz w:val="24"/>
          <w:szCs w:val="24"/>
          <w:lang w:eastAsia="en-US"/>
        </w:rPr>
        <w:t>ЗАО «Молдавская ГРЭС» (</w:t>
      </w:r>
      <w:r>
        <w:rPr>
          <w:rFonts w:ascii="Times New Roman" w:eastAsia="Calibri" w:hAnsi="Times New Roman"/>
          <w:sz w:val="24"/>
          <w:szCs w:val="24"/>
          <w:lang w:eastAsia="en-US"/>
        </w:rPr>
        <w:t xml:space="preserve">5,9%, </w:t>
      </w:r>
      <w:r w:rsidRPr="009A6578">
        <w:rPr>
          <w:rFonts w:ascii="Times New Roman" w:eastAsia="Calibri" w:hAnsi="Times New Roman"/>
          <w:sz w:val="24"/>
          <w:szCs w:val="24"/>
          <w:lang w:eastAsia="en-US"/>
        </w:rPr>
        <w:t xml:space="preserve">при спаде к уровню I полугодия 2016 года на </w:t>
      </w:r>
      <w:r>
        <w:rPr>
          <w:rFonts w:ascii="Times New Roman" w:eastAsia="Calibri" w:hAnsi="Times New Roman"/>
          <w:sz w:val="24"/>
          <w:szCs w:val="24"/>
          <w:lang w:eastAsia="en-US"/>
        </w:rPr>
        <w:t>86,3%).</w:t>
      </w:r>
    </w:p>
    <w:p w:rsidR="00D16741" w:rsidRDefault="00D16741" w:rsidP="00D16741">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Совокупный </w:t>
      </w:r>
      <w:r w:rsidRPr="00BB5C62">
        <w:rPr>
          <w:rFonts w:ascii="Times New Roman" w:eastAsia="Calibri" w:hAnsi="Times New Roman"/>
          <w:sz w:val="24"/>
          <w:szCs w:val="24"/>
          <w:lang w:eastAsia="en-US"/>
        </w:rPr>
        <w:t>объ</w:t>
      </w:r>
      <w:r>
        <w:rPr>
          <w:rFonts w:ascii="Times New Roman" w:eastAsia="Calibri" w:hAnsi="Times New Roman"/>
          <w:sz w:val="24"/>
          <w:szCs w:val="24"/>
          <w:lang w:eastAsia="en-US"/>
        </w:rPr>
        <w:t>е</w:t>
      </w:r>
      <w:r w:rsidRPr="00BB5C62">
        <w:rPr>
          <w:rFonts w:ascii="Times New Roman" w:eastAsia="Calibri" w:hAnsi="Times New Roman"/>
          <w:sz w:val="24"/>
          <w:szCs w:val="24"/>
          <w:lang w:eastAsia="en-US"/>
        </w:rPr>
        <w:t xml:space="preserve">м инвестиционных </w:t>
      </w:r>
      <w:r>
        <w:rPr>
          <w:rFonts w:ascii="Times New Roman" w:eastAsia="Calibri" w:hAnsi="Times New Roman"/>
          <w:sz w:val="24"/>
          <w:szCs w:val="24"/>
          <w:lang w:eastAsia="en-US"/>
        </w:rPr>
        <w:t>потоков</w:t>
      </w:r>
      <w:r w:rsidRPr="00BB5C62">
        <w:rPr>
          <w:rFonts w:ascii="Times New Roman" w:eastAsia="Calibri" w:hAnsi="Times New Roman"/>
          <w:sz w:val="24"/>
          <w:szCs w:val="24"/>
          <w:lang w:eastAsia="en-US"/>
        </w:rPr>
        <w:t xml:space="preserve"> данны</w:t>
      </w:r>
      <w:r>
        <w:rPr>
          <w:rFonts w:ascii="Times New Roman" w:eastAsia="Calibri" w:hAnsi="Times New Roman"/>
          <w:sz w:val="24"/>
          <w:szCs w:val="24"/>
          <w:lang w:eastAsia="en-US"/>
        </w:rPr>
        <w:t xml:space="preserve">х </w:t>
      </w:r>
      <w:r w:rsidRPr="00BB5C62">
        <w:rPr>
          <w:rFonts w:ascii="Times New Roman" w:eastAsia="Calibri" w:hAnsi="Times New Roman"/>
          <w:sz w:val="24"/>
          <w:szCs w:val="24"/>
          <w:lang w:eastAsia="en-US"/>
        </w:rPr>
        <w:t>предприяти</w:t>
      </w:r>
      <w:r>
        <w:rPr>
          <w:rFonts w:ascii="Times New Roman" w:eastAsia="Calibri" w:hAnsi="Times New Roman"/>
          <w:sz w:val="24"/>
          <w:szCs w:val="24"/>
          <w:lang w:eastAsia="en-US"/>
        </w:rPr>
        <w:t>й</w:t>
      </w:r>
      <w:r w:rsidR="00825344">
        <w:rPr>
          <w:rFonts w:ascii="Times New Roman" w:eastAsia="Calibri" w:hAnsi="Times New Roman"/>
          <w:sz w:val="24"/>
          <w:szCs w:val="24"/>
          <w:lang w:eastAsia="en-US"/>
        </w:rPr>
        <w:t xml:space="preserve"> </w:t>
      </w:r>
      <w:r>
        <w:rPr>
          <w:rFonts w:ascii="Times New Roman" w:eastAsia="Calibri" w:hAnsi="Times New Roman"/>
          <w:sz w:val="24"/>
          <w:szCs w:val="24"/>
          <w:lang w:eastAsia="en-US"/>
        </w:rPr>
        <w:t>составил</w:t>
      </w:r>
      <w:r w:rsidR="00825344">
        <w:rPr>
          <w:rFonts w:ascii="Times New Roman" w:eastAsia="Calibri" w:hAnsi="Times New Roman"/>
          <w:sz w:val="24"/>
          <w:szCs w:val="24"/>
          <w:lang w:eastAsia="en-US"/>
        </w:rPr>
        <w:t xml:space="preserve"> </w:t>
      </w:r>
      <w:r>
        <w:rPr>
          <w:rFonts w:ascii="Times New Roman" w:eastAsia="Calibri" w:hAnsi="Times New Roman"/>
          <w:sz w:val="24"/>
          <w:szCs w:val="24"/>
          <w:lang w:eastAsia="en-US"/>
        </w:rPr>
        <w:t>79,3 </w:t>
      </w:r>
      <w:proofErr w:type="spellStart"/>
      <w:proofErr w:type="gramStart"/>
      <w:r>
        <w:rPr>
          <w:rFonts w:ascii="Times New Roman" w:eastAsia="Calibri" w:hAnsi="Times New Roman"/>
          <w:sz w:val="24"/>
          <w:szCs w:val="24"/>
          <w:lang w:eastAsia="en-US"/>
        </w:rPr>
        <w:t>млн</w:t>
      </w:r>
      <w:proofErr w:type="spellEnd"/>
      <w:proofErr w:type="gramEnd"/>
      <w:r>
        <w:rPr>
          <w:rFonts w:ascii="Times New Roman" w:eastAsia="Calibri" w:hAnsi="Times New Roman"/>
          <w:sz w:val="24"/>
          <w:szCs w:val="24"/>
          <w:lang w:eastAsia="en-US"/>
        </w:rPr>
        <w:t> руб., что соответствует 63,5</w:t>
      </w:r>
      <w:r w:rsidRPr="00BB5C62">
        <w:rPr>
          <w:rFonts w:ascii="Times New Roman" w:eastAsia="Calibri" w:hAnsi="Times New Roman"/>
          <w:sz w:val="24"/>
          <w:szCs w:val="24"/>
          <w:lang w:eastAsia="en-US"/>
        </w:rPr>
        <w:t>% от общего объ</w:t>
      </w:r>
      <w:r>
        <w:rPr>
          <w:rFonts w:ascii="Times New Roman" w:eastAsia="Calibri" w:hAnsi="Times New Roman"/>
          <w:sz w:val="24"/>
          <w:szCs w:val="24"/>
          <w:lang w:eastAsia="en-US"/>
        </w:rPr>
        <w:t>е</w:t>
      </w:r>
      <w:r w:rsidRPr="00BB5C62">
        <w:rPr>
          <w:rFonts w:ascii="Times New Roman" w:eastAsia="Calibri" w:hAnsi="Times New Roman"/>
          <w:sz w:val="24"/>
          <w:szCs w:val="24"/>
          <w:lang w:eastAsia="en-US"/>
        </w:rPr>
        <w:t>ма инвестиций по промышленности</w:t>
      </w:r>
      <w:r>
        <w:rPr>
          <w:rFonts w:ascii="Times New Roman" w:eastAsia="Calibri" w:hAnsi="Times New Roman"/>
          <w:sz w:val="24"/>
          <w:szCs w:val="24"/>
          <w:lang w:eastAsia="en-US"/>
        </w:rPr>
        <w:t>,</w:t>
      </w:r>
      <w:r w:rsidRPr="00BB5C62">
        <w:rPr>
          <w:rFonts w:ascii="Times New Roman" w:eastAsia="Calibri" w:hAnsi="Times New Roman"/>
          <w:sz w:val="24"/>
          <w:szCs w:val="24"/>
          <w:lang w:eastAsia="en-US"/>
        </w:rPr>
        <w:t xml:space="preserve"> или </w:t>
      </w:r>
      <w:r>
        <w:rPr>
          <w:rFonts w:ascii="Times New Roman" w:eastAsia="Calibri" w:hAnsi="Times New Roman"/>
          <w:sz w:val="24"/>
          <w:szCs w:val="24"/>
          <w:lang w:eastAsia="en-US"/>
        </w:rPr>
        <w:t>29,7</w:t>
      </w:r>
      <w:r w:rsidRPr="00BB5C62">
        <w:rPr>
          <w:rFonts w:ascii="Times New Roman" w:eastAsia="Calibri" w:hAnsi="Times New Roman"/>
          <w:sz w:val="24"/>
          <w:szCs w:val="24"/>
          <w:lang w:eastAsia="en-US"/>
        </w:rPr>
        <w:t xml:space="preserve">% </w:t>
      </w:r>
      <w:r>
        <w:rPr>
          <w:rFonts w:ascii="Times New Roman" w:eastAsia="Calibri" w:hAnsi="Times New Roman"/>
          <w:sz w:val="24"/>
          <w:szCs w:val="24"/>
          <w:lang w:eastAsia="en-US"/>
        </w:rPr>
        <w:t>в целом по экономике</w:t>
      </w:r>
      <w:r w:rsidRPr="00BB5C62">
        <w:rPr>
          <w:rFonts w:ascii="Times New Roman" w:eastAsia="Calibri" w:hAnsi="Times New Roman"/>
          <w:sz w:val="24"/>
          <w:szCs w:val="24"/>
          <w:lang w:eastAsia="en-US"/>
        </w:rPr>
        <w:t>.</w:t>
      </w:r>
    </w:p>
    <w:p w:rsidR="00D16741" w:rsidRDefault="00D16741" w:rsidP="00D16741">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I полугодии 2017 года </w:t>
      </w:r>
      <w:r w:rsidRPr="000E7E80">
        <w:rPr>
          <w:rFonts w:ascii="Times New Roman" w:hAnsi="Times New Roman"/>
          <w:sz w:val="24"/>
          <w:szCs w:val="24"/>
        </w:rPr>
        <w:t>инвестиционны</w:t>
      </w:r>
      <w:r>
        <w:rPr>
          <w:rFonts w:ascii="Times New Roman" w:hAnsi="Times New Roman"/>
          <w:sz w:val="24"/>
          <w:szCs w:val="24"/>
        </w:rPr>
        <w:t>е</w:t>
      </w:r>
      <w:r w:rsidRPr="000E7E80">
        <w:rPr>
          <w:rFonts w:ascii="Times New Roman" w:hAnsi="Times New Roman"/>
          <w:sz w:val="24"/>
          <w:szCs w:val="24"/>
        </w:rPr>
        <w:t xml:space="preserve"> вложени</w:t>
      </w:r>
      <w:r>
        <w:rPr>
          <w:rFonts w:ascii="Times New Roman" w:hAnsi="Times New Roman"/>
          <w:sz w:val="24"/>
          <w:szCs w:val="24"/>
        </w:rPr>
        <w:t xml:space="preserve">я в сельскохозяйственной отрасли возросли на 19,5%, составив 41,1 </w:t>
      </w:r>
      <w:proofErr w:type="spellStart"/>
      <w:proofErr w:type="gramStart"/>
      <w:r>
        <w:rPr>
          <w:rFonts w:ascii="Times New Roman" w:hAnsi="Times New Roman"/>
          <w:sz w:val="24"/>
          <w:szCs w:val="24"/>
        </w:rPr>
        <w:t>млн</w:t>
      </w:r>
      <w:proofErr w:type="spellEnd"/>
      <w:proofErr w:type="gramEnd"/>
      <w:r>
        <w:rPr>
          <w:rFonts w:ascii="Times New Roman" w:hAnsi="Times New Roman"/>
          <w:sz w:val="24"/>
          <w:szCs w:val="24"/>
        </w:rPr>
        <w:t xml:space="preserve"> руб. Среди сельскохозяйственных</w:t>
      </w:r>
      <w:r w:rsidR="00825344">
        <w:rPr>
          <w:rFonts w:ascii="Times New Roman" w:hAnsi="Times New Roman"/>
          <w:sz w:val="24"/>
          <w:szCs w:val="24"/>
        </w:rPr>
        <w:t xml:space="preserve"> </w:t>
      </w:r>
      <w:r>
        <w:rPr>
          <w:rFonts w:ascii="Times New Roman" w:hAnsi="Times New Roman"/>
          <w:sz w:val="24"/>
          <w:szCs w:val="24"/>
        </w:rPr>
        <w:t>предприятий</w:t>
      </w:r>
      <w:r w:rsidRPr="000E7E80">
        <w:rPr>
          <w:rFonts w:ascii="Times New Roman" w:hAnsi="Times New Roman"/>
          <w:sz w:val="24"/>
          <w:szCs w:val="24"/>
        </w:rPr>
        <w:t>,</w:t>
      </w:r>
      <w:r>
        <w:rPr>
          <w:rFonts w:ascii="Times New Roman" w:hAnsi="Times New Roman"/>
          <w:sz w:val="24"/>
          <w:szCs w:val="24"/>
        </w:rPr>
        <w:t xml:space="preserve"> инвестировавших в перспективные направления</w:t>
      </w:r>
      <w:r w:rsidR="005B1766">
        <w:rPr>
          <w:rFonts w:ascii="Times New Roman" w:hAnsi="Times New Roman"/>
          <w:sz w:val="24"/>
          <w:szCs w:val="24"/>
        </w:rPr>
        <w:t>,</w:t>
      </w:r>
      <w:r>
        <w:rPr>
          <w:rFonts w:ascii="Times New Roman" w:hAnsi="Times New Roman"/>
          <w:sz w:val="24"/>
          <w:szCs w:val="24"/>
        </w:rPr>
        <w:t xml:space="preserve"> наибольшая доля пришлась на: </w:t>
      </w:r>
      <w:r w:rsidR="00825344">
        <w:rPr>
          <w:rFonts w:ascii="Times New Roman" w:hAnsi="Times New Roman"/>
          <w:sz w:val="24"/>
          <w:szCs w:val="24"/>
        </w:rPr>
        <w:t xml:space="preserve">                   </w:t>
      </w:r>
      <w:r>
        <w:rPr>
          <w:rFonts w:ascii="Times New Roman" w:hAnsi="Times New Roman"/>
          <w:sz w:val="24"/>
          <w:szCs w:val="24"/>
        </w:rPr>
        <w:t>ООО «АГРО КОМПАКТ» (36,3%), ООО ТПФ «</w:t>
      </w:r>
      <w:proofErr w:type="spellStart"/>
      <w:r>
        <w:rPr>
          <w:rFonts w:ascii="Times New Roman" w:hAnsi="Times New Roman"/>
          <w:sz w:val="24"/>
          <w:szCs w:val="24"/>
        </w:rPr>
        <w:t>Интерцентер</w:t>
      </w:r>
      <w:proofErr w:type="spellEnd"/>
      <w:r>
        <w:rPr>
          <w:rFonts w:ascii="Times New Roman" w:hAnsi="Times New Roman"/>
          <w:sz w:val="24"/>
          <w:szCs w:val="24"/>
        </w:rPr>
        <w:t xml:space="preserve"> Люкс» (15,6%), </w:t>
      </w:r>
      <w:r w:rsidR="00825344">
        <w:rPr>
          <w:rFonts w:ascii="Times New Roman" w:hAnsi="Times New Roman"/>
          <w:sz w:val="24"/>
          <w:szCs w:val="24"/>
        </w:rPr>
        <w:t xml:space="preserve">                          </w:t>
      </w:r>
      <w:r w:rsidRPr="0054106D">
        <w:rPr>
          <w:rFonts w:ascii="Times New Roman" w:hAnsi="Times New Roman"/>
          <w:sz w:val="24"/>
          <w:szCs w:val="24"/>
        </w:rPr>
        <w:t>ООО «Каменский Колос» (</w:t>
      </w:r>
      <w:r>
        <w:rPr>
          <w:rFonts w:ascii="Times New Roman" w:hAnsi="Times New Roman"/>
          <w:sz w:val="24"/>
          <w:szCs w:val="24"/>
        </w:rPr>
        <w:t>10,2</w:t>
      </w:r>
      <w:r w:rsidRPr="0054106D">
        <w:rPr>
          <w:rFonts w:ascii="Times New Roman" w:hAnsi="Times New Roman"/>
          <w:sz w:val="24"/>
          <w:szCs w:val="24"/>
        </w:rPr>
        <w:t>%)</w:t>
      </w:r>
      <w:r>
        <w:rPr>
          <w:rFonts w:ascii="Times New Roman" w:hAnsi="Times New Roman"/>
          <w:sz w:val="24"/>
          <w:szCs w:val="24"/>
        </w:rPr>
        <w:t>.</w:t>
      </w:r>
    </w:p>
    <w:p w:rsidR="00D16741" w:rsidRPr="00E23089" w:rsidRDefault="00D16741" w:rsidP="00D16741">
      <w:pPr>
        <w:spacing w:after="0" w:line="240" w:lineRule="auto"/>
        <w:ind w:firstLine="709"/>
        <w:jc w:val="both"/>
        <w:rPr>
          <w:rFonts w:ascii="Times New Roman" w:hAnsi="Times New Roman"/>
          <w:sz w:val="24"/>
          <w:szCs w:val="24"/>
        </w:rPr>
      </w:pPr>
      <w:r w:rsidRPr="00A565CA">
        <w:rPr>
          <w:rFonts w:ascii="Times New Roman" w:hAnsi="Times New Roman"/>
          <w:sz w:val="24"/>
          <w:szCs w:val="24"/>
        </w:rPr>
        <w:t xml:space="preserve">В январе-июне 2017 года </w:t>
      </w:r>
      <w:r>
        <w:rPr>
          <w:rFonts w:ascii="Times New Roman" w:hAnsi="Times New Roman"/>
          <w:sz w:val="24"/>
          <w:szCs w:val="24"/>
        </w:rPr>
        <w:t>совместно с российскими специалистами продолжились работы в рамках реализации Инвестиционной программы «Развитие мелиорации в Приднестровской Молдавской Республике на период 2017-2021</w:t>
      </w:r>
      <w:r w:rsidR="00825344">
        <w:rPr>
          <w:rFonts w:ascii="Times New Roman" w:hAnsi="Times New Roman"/>
          <w:sz w:val="24"/>
          <w:szCs w:val="24"/>
        </w:rPr>
        <w:t xml:space="preserve"> </w:t>
      </w:r>
      <w:r>
        <w:rPr>
          <w:rFonts w:ascii="Times New Roman" w:hAnsi="Times New Roman"/>
          <w:sz w:val="24"/>
          <w:szCs w:val="24"/>
        </w:rPr>
        <w:t xml:space="preserve">годы». На первом этапе программы, рассчитанном на 2017-2018 годы, предусмотрены инвестиции Российской Федерации в объеме 2,4 </w:t>
      </w:r>
      <w:proofErr w:type="spellStart"/>
      <w:r>
        <w:rPr>
          <w:rFonts w:ascii="Times New Roman" w:hAnsi="Times New Roman"/>
          <w:sz w:val="24"/>
          <w:szCs w:val="24"/>
        </w:rPr>
        <w:t>млрд</w:t>
      </w:r>
      <w:proofErr w:type="spellEnd"/>
      <w:r>
        <w:rPr>
          <w:rFonts w:ascii="Times New Roman" w:hAnsi="Times New Roman"/>
          <w:sz w:val="24"/>
          <w:szCs w:val="24"/>
        </w:rPr>
        <w:t xml:space="preserve"> рублей РФ, что позволит приостановить выбытие и провести реконструкцию оросительных систем на площади 26 800 га. В I полугодии 2017 года фактический объем инвестиционных вложений составил 32 </w:t>
      </w:r>
      <w:proofErr w:type="spellStart"/>
      <w:r>
        <w:rPr>
          <w:rFonts w:ascii="Times New Roman" w:hAnsi="Times New Roman"/>
          <w:sz w:val="24"/>
          <w:szCs w:val="24"/>
        </w:rPr>
        <w:t>млн</w:t>
      </w:r>
      <w:proofErr w:type="spellEnd"/>
      <w:r>
        <w:rPr>
          <w:rFonts w:ascii="Times New Roman" w:hAnsi="Times New Roman"/>
          <w:sz w:val="24"/>
          <w:szCs w:val="24"/>
        </w:rPr>
        <w:t xml:space="preserve"> руб. РФ и был направлен на оформление проектно-сметной до</w:t>
      </w:r>
      <w:r w:rsidR="00F425EE">
        <w:rPr>
          <w:rFonts w:ascii="Times New Roman" w:hAnsi="Times New Roman"/>
          <w:sz w:val="24"/>
          <w:szCs w:val="24"/>
        </w:rPr>
        <w:t>кументации.</w:t>
      </w:r>
    </w:p>
    <w:p w:rsidR="00D16741" w:rsidRPr="00603335" w:rsidRDefault="00D16741" w:rsidP="00D16741">
      <w:pPr>
        <w:spacing w:after="0" w:line="240" w:lineRule="auto"/>
        <w:ind w:firstLine="709"/>
        <w:jc w:val="both"/>
        <w:rPr>
          <w:rFonts w:ascii="Times New Roman" w:hAnsi="Times New Roman"/>
          <w:sz w:val="24"/>
          <w:szCs w:val="24"/>
          <w:highlight w:val="lightGray"/>
        </w:rPr>
      </w:pPr>
      <w:r w:rsidRPr="00744F00">
        <w:rPr>
          <w:rFonts w:ascii="Times New Roman" w:hAnsi="Times New Roman"/>
          <w:sz w:val="24"/>
          <w:szCs w:val="24"/>
        </w:rPr>
        <w:t>Также в отчетном периоде продолжилось заключение инвестиционных соглашений между землепользователями и Правительством ПМР, Министерством сельского хозяйства и природных ресурсов ПМР</w:t>
      </w:r>
      <w:r w:rsidR="00825344">
        <w:rPr>
          <w:rFonts w:ascii="Times New Roman" w:hAnsi="Times New Roman"/>
          <w:sz w:val="24"/>
          <w:szCs w:val="24"/>
        </w:rPr>
        <w:t xml:space="preserve"> </w:t>
      </w:r>
      <w:r w:rsidRPr="00744F00">
        <w:rPr>
          <w:rFonts w:ascii="Times New Roman" w:hAnsi="Times New Roman"/>
          <w:sz w:val="24"/>
          <w:szCs w:val="24"/>
        </w:rPr>
        <w:t>предусматрива</w:t>
      </w:r>
      <w:r>
        <w:rPr>
          <w:rFonts w:ascii="Times New Roman" w:hAnsi="Times New Roman"/>
          <w:sz w:val="24"/>
          <w:szCs w:val="24"/>
        </w:rPr>
        <w:t>ющих</w:t>
      </w:r>
      <w:r w:rsidRPr="00744F00">
        <w:rPr>
          <w:rFonts w:ascii="Times New Roman" w:hAnsi="Times New Roman"/>
          <w:sz w:val="24"/>
          <w:szCs w:val="24"/>
        </w:rPr>
        <w:t xml:space="preserve"> инвестиционные вложения, как в сельскохозяйственное производство, так и в инфраструктуру сел, расположенных близь земель сельскохозяйственного назначения, используемых данными хозяйствующими субъектами.</w:t>
      </w:r>
    </w:p>
    <w:p w:rsidR="00D16741" w:rsidRPr="00CB1CCB" w:rsidRDefault="00D16741" w:rsidP="00D16741">
      <w:pPr>
        <w:shd w:val="clear" w:color="auto" w:fill="FFFFFF"/>
        <w:spacing w:after="0" w:line="240" w:lineRule="auto"/>
        <w:ind w:firstLine="709"/>
        <w:jc w:val="both"/>
        <w:rPr>
          <w:rFonts w:ascii="Times New Roman" w:hAnsi="Times New Roman"/>
          <w:sz w:val="24"/>
          <w:szCs w:val="24"/>
        </w:rPr>
      </w:pPr>
      <w:r w:rsidRPr="005C1A75">
        <w:rPr>
          <w:rFonts w:ascii="Times New Roman" w:hAnsi="Times New Roman"/>
          <w:sz w:val="24"/>
          <w:szCs w:val="24"/>
        </w:rPr>
        <w:t>В соответствии с договорами долгосрочного пользования с государственными администрациями предусмотрены инвестиционные обязательства по 87 организациям</w:t>
      </w:r>
      <w:r>
        <w:rPr>
          <w:rFonts w:ascii="Times New Roman" w:hAnsi="Times New Roman"/>
          <w:sz w:val="24"/>
          <w:szCs w:val="24"/>
        </w:rPr>
        <w:t>,</w:t>
      </w:r>
      <w:r w:rsidRPr="005C1A75">
        <w:rPr>
          <w:rFonts w:ascii="Times New Roman" w:hAnsi="Times New Roman"/>
          <w:sz w:val="24"/>
          <w:szCs w:val="24"/>
        </w:rPr>
        <w:t xml:space="preserve"> (крестьянско-фермерские хозяйства) охватывающим земли площадью 5 218,2 га, против 72 организаци</w:t>
      </w:r>
      <w:r w:rsidR="005B1766">
        <w:rPr>
          <w:rFonts w:ascii="Times New Roman" w:hAnsi="Times New Roman"/>
          <w:sz w:val="24"/>
          <w:szCs w:val="24"/>
        </w:rPr>
        <w:t>й</w:t>
      </w:r>
      <w:r w:rsidRPr="005C1A75">
        <w:rPr>
          <w:rFonts w:ascii="Times New Roman" w:hAnsi="Times New Roman"/>
          <w:sz w:val="24"/>
          <w:szCs w:val="24"/>
        </w:rPr>
        <w:t xml:space="preserve"> (КФХ) и площадью земель 6 512,7 га в январе–июне 2016 года. Данные средства </w:t>
      </w:r>
      <w:r>
        <w:rPr>
          <w:rFonts w:ascii="Times New Roman" w:hAnsi="Times New Roman"/>
          <w:sz w:val="24"/>
          <w:szCs w:val="24"/>
        </w:rPr>
        <w:t xml:space="preserve">будут </w:t>
      </w:r>
      <w:r w:rsidRPr="005C1A75">
        <w:rPr>
          <w:rFonts w:ascii="Times New Roman" w:hAnsi="Times New Roman"/>
          <w:sz w:val="24"/>
          <w:szCs w:val="24"/>
        </w:rPr>
        <w:t>направлены на развитие инфраструктуры села и ремонт социальных объектов: детских садов, общеобразовательных школ, сельских врачебных амбулатории и др.</w:t>
      </w:r>
    </w:p>
    <w:p w:rsidR="00D16741" w:rsidRPr="000B56F8" w:rsidRDefault="00D16741" w:rsidP="00D16741">
      <w:pPr>
        <w:pStyle w:val="13"/>
        <w:shd w:val="clear" w:color="auto" w:fill="FFFFFF"/>
        <w:ind w:firstLine="709"/>
        <w:jc w:val="both"/>
        <w:rPr>
          <w:rFonts w:ascii="Times New Roman" w:hAnsi="Times New Roman"/>
        </w:rPr>
      </w:pPr>
      <w:r>
        <w:rPr>
          <w:rFonts w:ascii="Times New Roman" w:hAnsi="Times New Roman" w:cs="Times New Roman"/>
        </w:rPr>
        <w:t xml:space="preserve">В отчетном периоде увеличение </w:t>
      </w:r>
      <w:r w:rsidR="005B1766">
        <w:rPr>
          <w:rFonts w:ascii="Times New Roman" w:hAnsi="Times New Roman"/>
        </w:rPr>
        <w:t>капитальных</w:t>
      </w:r>
      <w:r w:rsidR="00825344">
        <w:rPr>
          <w:rFonts w:ascii="Times New Roman" w:hAnsi="Times New Roman"/>
        </w:rPr>
        <w:t xml:space="preserve"> </w:t>
      </w:r>
      <w:r>
        <w:rPr>
          <w:rFonts w:ascii="Times New Roman" w:hAnsi="Times New Roman"/>
        </w:rPr>
        <w:t>вложений помимо сельскохозяйственной отрасли наблюдалось в жилищном</w:t>
      </w:r>
      <w:r w:rsidR="00825344">
        <w:rPr>
          <w:rFonts w:ascii="Times New Roman" w:hAnsi="Times New Roman"/>
        </w:rPr>
        <w:t xml:space="preserve"> </w:t>
      </w:r>
      <w:r>
        <w:rPr>
          <w:rFonts w:ascii="Times New Roman" w:hAnsi="Times New Roman"/>
        </w:rPr>
        <w:t>строительстве</w:t>
      </w:r>
      <w:r w:rsidRPr="000B56F8">
        <w:rPr>
          <w:rFonts w:ascii="Times New Roman" w:hAnsi="Times New Roman"/>
        </w:rPr>
        <w:t xml:space="preserve"> (</w:t>
      </w:r>
      <w:r>
        <w:rPr>
          <w:rFonts w:ascii="Times New Roman" w:hAnsi="Times New Roman"/>
        </w:rPr>
        <w:t>в 2,1 раза</w:t>
      </w:r>
      <w:r w:rsidRPr="000B56F8">
        <w:rPr>
          <w:rFonts w:ascii="Times New Roman" w:hAnsi="Times New Roman"/>
        </w:rPr>
        <w:t xml:space="preserve"> до </w:t>
      </w:r>
      <w:r w:rsidR="00825344">
        <w:rPr>
          <w:rFonts w:ascii="Times New Roman" w:hAnsi="Times New Roman"/>
        </w:rPr>
        <w:t xml:space="preserve">               </w:t>
      </w:r>
      <w:r>
        <w:rPr>
          <w:rFonts w:ascii="Times New Roman" w:hAnsi="Times New Roman"/>
        </w:rPr>
        <w:t xml:space="preserve">1,9 </w:t>
      </w:r>
      <w:proofErr w:type="spellStart"/>
      <w:proofErr w:type="gramStart"/>
      <w:r>
        <w:rPr>
          <w:rFonts w:ascii="Times New Roman" w:hAnsi="Times New Roman"/>
        </w:rPr>
        <w:t>млн</w:t>
      </w:r>
      <w:proofErr w:type="spellEnd"/>
      <w:proofErr w:type="gramEnd"/>
      <w:r w:rsidRPr="000B56F8">
        <w:rPr>
          <w:rFonts w:ascii="Times New Roman" w:hAnsi="Times New Roman"/>
        </w:rPr>
        <w:t xml:space="preserve"> руб.)</w:t>
      </w:r>
      <w:r>
        <w:rPr>
          <w:rFonts w:ascii="Times New Roman" w:hAnsi="Times New Roman"/>
        </w:rPr>
        <w:t xml:space="preserve"> и сфере </w:t>
      </w:r>
      <w:r w:rsidRPr="000B56F8">
        <w:rPr>
          <w:rFonts w:ascii="Times New Roman" w:hAnsi="Times New Roman"/>
        </w:rPr>
        <w:t>здравоохранени</w:t>
      </w:r>
      <w:r>
        <w:rPr>
          <w:rFonts w:ascii="Times New Roman" w:hAnsi="Times New Roman"/>
        </w:rPr>
        <w:t xml:space="preserve">я </w:t>
      </w:r>
      <w:r w:rsidRPr="000B56F8">
        <w:rPr>
          <w:rFonts w:ascii="Times New Roman" w:hAnsi="Times New Roman"/>
        </w:rPr>
        <w:t xml:space="preserve">(на </w:t>
      </w:r>
      <w:r>
        <w:rPr>
          <w:rFonts w:ascii="Times New Roman" w:hAnsi="Times New Roman"/>
        </w:rPr>
        <w:t>0,4</w:t>
      </w:r>
      <w:r w:rsidRPr="000B56F8">
        <w:rPr>
          <w:rFonts w:ascii="Times New Roman" w:hAnsi="Times New Roman"/>
        </w:rPr>
        <w:t xml:space="preserve">% до </w:t>
      </w:r>
      <w:r>
        <w:rPr>
          <w:rFonts w:ascii="Times New Roman" w:hAnsi="Times New Roman"/>
        </w:rPr>
        <w:t xml:space="preserve">14,8 </w:t>
      </w:r>
      <w:proofErr w:type="spellStart"/>
      <w:r>
        <w:rPr>
          <w:rFonts w:ascii="Times New Roman" w:hAnsi="Times New Roman"/>
        </w:rPr>
        <w:t>млн</w:t>
      </w:r>
      <w:proofErr w:type="spellEnd"/>
      <w:r w:rsidRPr="000B56F8">
        <w:rPr>
          <w:rFonts w:ascii="Times New Roman" w:hAnsi="Times New Roman"/>
        </w:rPr>
        <w:t xml:space="preserve"> руб.)</w:t>
      </w:r>
      <w:r>
        <w:rPr>
          <w:rFonts w:ascii="Times New Roman" w:hAnsi="Times New Roman"/>
        </w:rPr>
        <w:t xml:space="preserve">. По остальным отраслям экономики республики было зафиксировано сокращение </w:t>
      </w:r>
      <w:r w:rsidRPr="000B56F8">
        <w:rPr>
          <w:rFonts w:ascii="Times New Roman" w:hAnsi="Times New Roman"/>
        </w:rPr>
        <w:t>инвестиций в основной капитал</w:t>
      </w:r>
      <w:r>
        <w:rPr>
          <w:rFonts w:ascii="Times New Roman" w:hAnsi="Times New Roman"/>
        </w:rPr>
        <w:t>.</w:t>
      </w:r>
    </w:p>
    <w:p w:rsidR="00D16741" w:rsidRPr="000B56F8" w:rsidRDefault="00D16741" w:rsidP="00D16741">
      <w:pPr>
        <w:spacing w:after="0" w:line="240" w:lineRule="auto"/>
        <w:ind w:firstLine="708"/>
        <w:jc w:val="right"/>
        <w:rPr>
          <w:rFonts w:ascii="Times New Roman" w:eastAsia="Calibri" w:hAnsi="Times New Roman"/>
          <w:spacing w:val="2"/>
          <w:sz w:val="24"/>
          <w:szCs w:val="24"/>
          <w:lang w:eastAsia="en-US"/>
        </w:rPr>
      </w:pPr>
      <w:r w:rsidRPr="000B56F8">
        <w:rPr>
          <w:rFonts w:ascii="Times New Roman" w:eastAsia="Calibri" w:hAnsi="Times New Roman"/>
          <w:spacing w:val="2"/>
          <w:sz w:val="24"/>
          <w:szCs w:val="24"/>
          <w:lang w:eastAsia="en-US"/>
        </w:rPr>
        <w:t>Таблица №</w:t>
      </w:r>
      <w:r w:rsidR="00091304">
        <w:rPr>
          <w:rFonts w:ascii="Times New Roman" w:eastAsia="Calibri" w:hAnsi="Times New Roman"/>
          <w:spacing w:val="2"/>
          <w:sz w:val="24"/>
          <w:szCs w:val="24"/>
          <w:lang w:eastAsia="en-US"/>
        </w:rPr>
        <w:t>5</w:t>
      </w:r>
    </w:p>
    <w:p w:rsidR="00D16741" w:rsidRPr="000B56F8" w:rsidRDefault="00D16741" w:rsidP="00D16741">
      <w:pPr>
        <w:spacing w:after="0" w:line="240" w:lineRule="auto"/>
        <w:jc w:val="center"/>
        <w:rPr>
          <w:rFonts w:ascii="Times New Roman" w:eastAsia="Calibri" w:hAnsi="Times New Roman"/>
          <w:b/>
          <w:sz w:val="24"/>
          <w:szCs w:val="24"/>
          <w:lang w:eastAsia="en-US"/>
        </w:rPr>
      </w:pPr>
      <w:r w:rsidRPr="000B56F8">
        <w:rPr>
          <w:rFonts w:ascii="Times New Roman" w:eastAsia="Calibri" w:hAnsi="Times New Roman"/>
          <w:b/>
          <w:sz w:val="24"/>
          <w:szCs w:val="24"/>
          <w:lang w:eastAsia="en-US"/>
        </w:rPr>
        <w:t xml:space="preserve">Динамика инвестиций в основной капитал и их структура </w:t>
      </w:r>
    </w:p>
    <w:p w:rsidR="00D16741" w:rsidRPr="000B56F8" w:rsidRDefault="00D16741" w:rsidP="00D16741">
      <w:pPr>
        <w:spacing w:after="0" w:line="240" w:lineRule="auto"/>
        <w:jc w:val="center"/>
        <w:rPr>
          <w:rFonts w:ascii="Times New Roman" w:eastAsia="Calibri" w:hAnsi="Times New Roman"/>
          <w:sz w:val="24"/>
          <w:szCs w:val="24"/>
          <w:lang w:eastAsia="en-US"/>
        </w:rPr>
      </w:pPr>
      <w:r w:rsidRPr="000B56F8">
        <w:rPr>
          <w:rFonts w:ascii="Times New Roman" w:eastAsia="Calibri" w:hAnsi="Times New Roman"/>
          <w:b/>
          <w:sz w:val="24"/>
          <w:szCs w:val="24"/>
          <w:lang w:eastAsia="en-US"/>
        </w:rPr>
        <w:t xml:space="preserve">по основным отраслям экономики </w:t>
      </w:r>
      <w:r w:rsidRPr="000B56F8">
        <w:rPr>
          <w:rFonts w:ascii="Times New Roman" w:eastAsia="Calibri" w:hAnsi="Times New Roman"/>
          <w:sz w:val="24"/>
          <w:szCs w:val="24"/>
          <w:lang w:eastAsia="en-US"/>
        </w:rPr>
        <w:t>(без субъектов малого предпринимательства)</w:t>
      </w:r>
    </w:p>
    <w:tbl>
      <w:tblPr>
        <w:tblW w:w="9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32"/>
        <w:gridCol w:w="995"/>
        <w:gridCol w:w="977"/>
        <w:gridCol w:w="996"/>
        <w:gridCol w:w="994"/>
        <w:gridCol w:w="1423"/>
      </w:tblGrid>
      <w:tr w:rsidR="00D16741" w:rsidRPr="000B56F8" w:rsidTr="00D16741">
        <w:trPr>
          <w:trHeight w:val="451"/>
        </w:trPr>
        <w:tc>
          <w:tcPr>
            <w:tcW w:w="4232" w:type="dxa"/>
            <w:vMerge w:val="restart"/>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pacing w:val="2"/>
                <w:sz w:val="21"/>
                <w:szCs w:val="21"/>
                <w:lang w:eastAsia="en-US"/>
              </w:rPr>
              <w:t>Показатели</w:t>
            </w:r>
          </w:p>
        </w:tc>
        <w:tc>
          <w:tcPr>
            <w:tcW w:w="1972" w:type="dxa"/>
            <w:gridSpan w:val="2"/>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январь - июнь</w:t>
            </w:r>
          </w:p>
          <w:p w:rsidR="00D16741" w:rsidRPr="00FB5017" w:rsidRDefault="00D16741" w:rsidP="00D16741">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201</w:t>
            </w:r>
            <w:r>
              <w:rPr>
                <w:rFonts w:ascii="Times New Roman" w:eastAsia="Calibri" w:hAnsi="Times New Roman"/>
                <w:b/>
                <w:sz w:val="21"/>
                <w:szCs w:val="21"/>
                <w:lang w:eastAsia="en-US"/>
              </w:rPr>
              <w:t>6</w:t>
            </w:r>
            <w:r w:rsidRPr="00FB5017">
              <w:rPr>
                <w:rFonts w:ascii="Times New Roman" w:eastAsia="Calibri" w:hAnsi="Times New Roman"/>
                <w:b/>
                <w:sz w:val="21"/>
                <w:szCs w:val="21"/>
                <w:lang w:eastAsia="en-US"/>
              </w:rPr>
              <w:t xml:space="preserve"> г.</w:t>
            </w:r>
          </w:p>
        </w:tc>
        <w:tc>
          <w:tcPr>
            <w:tcW w:w="1990" w:type="dxa"/>
            <w:gridSpan w:val="2"/>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январь-июнь</w:t>
            </w:r>
          </w:p>
          <w:p w:rsidR="00D16741" w:rsidRPr="00FB5017" w:rsidRDefault="00D16741" w:rsidP="00D16741">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201</w:t>
            </w:r>
            <w:r>
              <w:rPr>
                <w:rFonts w:ascii="Times New Roman" w:eastAsia="Calibri" w:hAnsi="Times New Roman"/>
                <w:b/>
                <w:sz w:val="21"/>
                <w:szCs w:val="21"/>
                <w:lang w:eastAsia="en-US"/>
              </w:rPr>
              <w:t xml:space="preserve">7 </w:t>
            </w:r>
            <w:r w:rsidRPr="00FB5017">
              <w:rPr>
                <w:rFonts w:ascii="Times New Roman" w:eastAsia="Calibri" w:hAnsi="Times New Roman"/>
                <w:b/>
                <w:sz w:val="21"/>
                <w:szCs w:val="21"/>
                <w:lang w:eastAsia="en-US"/>
              </w:rPr>
              <w:t>г.</w:t>
            </w:r>
          </w:p>
        </w:tc>
        <w:tc>
          <w:tcPr>
            <w:tcW w:w="1423" w:type="dxa"/>
            <w:vMerge w:val="restart"/>
            <w:vAlign w:val="center"/>
          </w:tcPr>
          <w:p w:rsidR="00D16741" w:rsidRPr="00FB5017" w:rsidRDefault="00D16741" w:rsidP="00D16741">
            <w:pPr>
              <w:spacing w:after="0" w:line="240" w:lineRule="auto"/>
              <w:jc w:val="center"/>
              <w:rPr>
                <w:rFonts w:ascii="Times New Roman" w:eastAsia="Calibri" w:hAnsi="Times New Roman"/>
                <w:b/>
                <w:bCs/>
                <w:sz w:val="21"/>
                <w:szCs w:val="21"/>
                <w:lang w:eastAsia="en-US"/>
              </w:rPr>
            </w:pPr>
            <w:r w:rsidRPr="00FB5017">
              <w:rPr>
                <w:rFonts w:ascii="Times New Roman" w:eastAsia="Calibri" w:hAnsi="Times New Roman"/>
                <w:b/>
                <w:bCs/>
                <w:sz w:val="21"/>
                <w:szCs w:val="21"/>
                <w:lang w:eastAsia="en-US"/>
              </w:rPr>
              <w:t>Темп роста</w:t>
            </w:r>
          </w:p>
          <w:p w:rsidR="00D16741" w:rsidRPr="00FB5017" w:rsidRDefault="00D16741" w:rsidP="00D16741">
            <w:pPr>
              <w:spacing w:after="0" w:line="240" w:lineRule="auto"/>
              <w:jc w:val="center"/>
              <w:rPr>
                <w:rFonts w:ascii="Times New Roman" w:eastAsia="Calibri" w:hAnsi="Times New Roman"/>
                <w:b/>
                <w:bCs/>
                <w:sz w:val="21"/>
                <w:szCs w:val="21"/>
                <w:lang w:eastAsia="en-US"/>
              </w:rPr>
            </w:pPr>
            <w:r w:rsidRPr="00FB5017">
              <w:rPr>
                <w:rFonts w:ascii="Times New Roman" w:eastAsia="Calibri" w:hAnsi="Times New Roman"/>
                <w:b/>
                <w:bCs/>
                <w:sz w:val="21"/>
                <w:szCs w:val="21"/>
                <w:lang w:eastAsia="en-US"/>
              </w:rPr>
              <w:t xml:space="preserve">в % к </w:t>
            </w:r>
          </w:p>
          <w:p w:rsidR="00D16741" w:rsidRPr="00FB5017" w:rsidRDefault="00D16741" w:rsidP="00D16741">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bCs/>
                <w:sz w:val="21"/>
                <w:szCs w:val="21"/>
                <w:lang w:eastAsia="en-US"/>
              </w:rPr>
              <w:t>201</w:t>
            </w:r>
            <w:r>
              <w:rPr>
                <w:rFonts w:ascii="Times New Roman" w:eastAsia="Calibri" w:hAnsi="Times New Roman"/>
                <w:b/>
                <w:bCs/>
                <w:sz w:val="21"/>
                <w:szCs w:val="21"/>
                <w:lang w:eastAsia="en-US"/>
              </w:rPr>
              <w:t>6</w:t>
            </w:r>
            <w:r w:rsidRPr="00FB5017">
              <w:rPr>
                <w:rFonts w:ascii="Times New Roman" w:eastAsia="Calibri" w:hAnsi="Times New Roman"/>
                <w:b/>
                <w:bCs/>
                <w:sz w:val="21"/>
                <w:szCs w:val="21"/>
                <w:lang w:eastAsia="en-US"/>
              </w:rPr>
              <w:t>г.*</w:t>
            </w:r>
          </w:p>
        </w:tc>
      </w:tr>
      <w:tr w:rsidR="00D16741" w:rsidRPr="000B56F8" w:rsidTr="00D16741">
        <w:trPr>
          <w:trHeight w:val="387"/>
        </w:trPr>
        <w:tc>
          <w:tcPr>
            <w:tcW w:w="4232" w:type="dxa"/>
            <w:vMerge/>
            <w:tcBorders>
              <w:bottom w:val="single" w:sz="4" w:space="0" w:color="000000"/>
            </w:tcBorders>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p>
        </w:tc>
        <w:tc>
          <w:tcPr>
            <w:tcW w:w="995" w:type="dxa"/>
            <w:tcBorders>
              <w:bottom w:val="single" w:sz="4" w:space="0" w:color="000000"/>
            </w:tcBorders>
            <w:vAlign w:val="center"/>
          </w:tcPr>
          <w:p w:rsidR="00D16741" w:rsidRPr="00FB5017" w:rsidRDefault="00805A58" w:rsidP="00D16741">
            <w:pPr>
              <w:spacing w:after="0" w:line="240" w:lineRule="auto"/>
              <w:ind w:left="-121" w:right="-92"/>
              <w:jc w:val="center"/>
              <w:rPr>
                <w:rFonts w:ascii="Times New Roman" w:eastAsia="Calibri" w:hAnsi="Times New Roman"/>
                <w:b/>
                <w:sz w:val="21"/>
                <w:szCs w:val="21"/>
                <w:lang w:eastAsia="en-US"/>
              </w:rPr>
            </w:pPr>
            <w:proofErr w:type="spellStart"/>
            <w:r>
              <w:rPr>
                <w:rFonts w:ascii="Times New Roman" w:eastAsia="Calibri" w:hAnsi="Times New Roman"/>
                <w:b/>
                <w:sz w:val="21"/>
                <w:szCs w:val="21"/>
                <w:lang w:eastAsia="en-US"/>
              </w:rPr>
              <w:t>млн</w:t>
            </w:r>
            <w:proofErr w:type="spellEnd"/>
            <w:r w:rsidR="00D16741" w:rsidRPr="00FB5017">
              <w:rPr>
                <w:rFonts w:ascii="Times New Roman" w:eastAsia="Calibri" w:hAnsi="Times New Roman"/>
                <w:b/>
                <w:sz w:val="21"/>
                <w:szCs w:val="21"/>
                <w:lang w:eastAsia="en-US"/>
              </w:rPr>
              <w:t xml:space="preserve"> руб.</w:t>
            </w:r>
          </w:p>
        </w:tc>
        <w:tc>
          <w:tcPr>
            <w:tcW w:w="977" w:type="dxa"/>
            <w:tcBorders>
              <w:bottom w:val="single" w:sz="4" w:space="0" w:color="000000"/>
            </w:tcBorders>
            <w:vAlign w:val="center"/>
          </w:tcPr>
          <w:p w:rsidR="00D16741" w:rsidRDefault="00D16741" w:rsidP="00D16741">
            <w:pPr>
              <w:spacing w:after="0" w:line="240" w:lineRule="auto"/>
              <w:ind w:left="-124" w:right="-89"/>
              <w:jc w:val="center"/>
              <w:rPr>
                <w:rFonts w:ascii="Times New Roman" w:eastAsia="Calibri" w:hAnsi="Times New Roman"/>
                <w:b/>
                <w:sz w:val="21"/>
                <w:szCs w:val="21"/>
                <w:lang w:eastAsia="en-US"/>
              </w:rPr>
            </w:pPr>
            <w:proofErr w:type="spellStart"/>
            <w:r w:rsidRPr="00FB5017">
              <w:rPr>
                <w:rFonts w:ascii="Times New Roman" w:eastAsia="Calibri" w:hAnsi="Times New Roman"/>
                <w:b/>
                <w:sz w:val="21"/>
                <w:szCs w:val="21"/>
                <w:lang w:eastAsia="en-US"/>
              </w:rPr>
              <w:t>уд.вес</w:t>
            </w:r>
            <w:proofErr w:type="spellEnd"/>
            <w:r w:rsidRPr="00FB5017">
              <w:rPr>
                <w:rFonts w:ascii="Times New Roman" w:eastAsia="Calibri" w:hAnsi="Times New Roman"/>
                <w:b/>
                <w:sz w:val="21"/>
                <w:szCs w:val="21"/>
                <w:lang w:eastAsia="en-US"/>
              </w:rPr>
              <w:t xml:space="preserve">, </w:t>
            </w:r>
          </w:p>
          <w:p w:rsidR="00D16741" w:rsidRPr="00FB5017" w:rsidRDefault="00D16741" w:rsidP="00D16741">
            <w:pPr>
              <w:spacing w:after="0" w:line="240" w:lineRule="auto"/>
              <w:ind w:left="-124" w:right="-89"/>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w:t>
            </w:r>
          </w:p>
        </w:tc>
        <w:tc>
          <w:tcPr>
            <w:tcW w:w="996" w:type="dxa"/>
            <w:tcBorders>
              <w:bottom w:val="single" w:sz="4" w:space="0" w:color="000000"/>
            </w:tcBorders>
            <w:vAlign w:val="center"/>
          </w:tcPr>
          <w:p w:rsidR="00D16741" w:rsidRPr="00FB5017" w:rsidRDefault="00805A58" w:rsidP="00D16741">
            <w:pPr>
              <w:spacing w:after="0" w:line="240" w:lineRule="auto"/>
              <w:ind w:left="-127" w:right="-85"/>
              <w:jc w:val="center"/>
              <w:rPr>
                <w:rFonts w:ascii="Times New Roman" w:eastAsia="Calibri" w:hAnsi="Times New Roman"/>
                <w:b/>
                <w:sz w:val="21"/>
                <w:szCs w:val="21"/>
                <w:lang w:eastAsia="en-US"/>
              </w:rPr>
            </w:pPr>
            <w:proofErr w:type="spellStart"/>
            <w:r>
              <w:rPr>
                <w:rFonts w:ascii="Times New Roman" w:eastAsia="Calibri" w:hAnsi="Times New Roman"/>
                <w:b/>
                <w:sz w:val="21"/>
                <w:szCs w:val="21"/>
                <w:lang w:eastAsia="en-US"/>
              </w:rPr>
              <w:t>млн</w:t>
            </w:r>
            <w:proofErr w:type="spellEnd"/>
            <w:r w:rsidR="00D16741" w:rsidRPr="00FB5017">
              <w:rPr>
                <w:rFonts w:ascii="Times New Roman" w:eastAsia="Calibri" w:hAnsi="Times New Roman"/>
                <w:b/>
                <w:sz w:val="21"/>
                <w:szCs w:val="21"/>
                <w:lang w:eastAsia="en-US"/>
              </w:rPr>
              <w:t xml:space="preserve"> руб.</w:t>
            </w:r>
          </w:p>
        </w:tc>
        <w:tc>
          <w:tcPr>
            <w:tcW w:w="994" w:type="dxa"/>
            <w:tcBorders>
              <w:bottom w:val="single" w:sz="4" w:space="0" w:color="000000"/>
            </w:tcBorders>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r w:rsidRPr="00FB5017">
              <w:rPr>
                <w:rFonts w:ascii="Times New Roman" w:eastAsia="Calibri" w:hAnsi="Times New Roman"/>
                <w:b/>
                <w:sz w:val="21"/>
                <w:szCs w:val="21"/>
                <w:lang w:eastAsia="en-US"/>
              </w:rPr>
              <w:t>уд. вес, %</w:t>
            </w:r>
          </w:p>
        </w:tc>
        <w:tc>
          <w:tcPr>
            <w:tcW w:w="1423" w:type="dxa"/>
            <w:vMerge/>
            <w:tcBorders>
              <w:bottom w:val="single" w:sz="4" w:space="0" w:color="000000"/>
            </w:tcBorders>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p>
        </w:tc>
      </w:tr>
      <w:tr w:rsidR="00D16741" w:rsidRPr="000B56F8" w:rsidTr="00D16741">
        <w:trPr>
          <w:trHeight w:val="681"/>
        </w:trPr>
        <w:tc>
          <w:tcPr>
            <w:tcW w:w="4232" w:type="dxa"/>
            <w:vAlign w:val="center"/>
          </w:tcPr>
          <w:p w:rsidR="00D16741"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b/>
                <w:sz w:val="21"/>
                <w:szCs w:val="21"/>
                <w:lang w:eastAsia="en-US"/>
              </w:rPr>
              <w:t>Инвестиции в основной капитал</w:t>
            </w:r>
          </w:p>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(в части новых и приобретенных по импорту основных средств) – всего</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b/>
                <w:sz w:val="21"/>
                <w:szCs w:val="21"/>
                <w:lang w:eastAsia="en-US"/>
              </w:rPr>
            </w:pPr>
            <w:r>
              <w:rPr>
                <w:rFonts w:ascii="Times New Roman" w:eastAsia="Calibri" w:hAnsi="Times New Roman"/>
                <w:b/>
                <w:sz w:val="21"/>
                <w:szCs w:val="21"/>
                <w:lang w:eastAsia="en-US"/>
              </w:rPr>
              <w:t>371,3</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b/>
                <w:sz w:val="21"/>
                <w:szCs w:val="21"/>
                <w:lang w:eastAsia="en-US"/>
              </w:rPr>
            </w:pPr>
            <w:r>
              <w:rPr>
                <w:rFonts w:ascii="Times New Roman" w:eastAsia="Calibri" w:hAnsi="Times New Roman"/>
                <w:b/>
                <w:sz w:val="21"/>
                <w:szCs w:val="21"/>
                <w:lang w:eastAsia="en-US"/>
              </w:rPr>
              <w:t>100,0</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b/>
                <w:sz w:val="21"/>
                <w:szCs w:val="21"/>
                <w:lang w:eastAsia="en-US"/>
              </w:rPr>
            </w:pPr>
            <w:r>
              <w:rPr>
                <w:rFonts w:ascii="Times New Roman" w:eastAsia="Calibri" w:hAnsi="Times New Roman"/>
                <w:b/>
                <w:sz w:val="21"/>
                <w:szCs w:val="21"/>
                <w:lang w:eastAsia="en-US"/>
              </w:rPr>
              <w:t>267,4</w:t>
            </w:r>
          </w:p>
        </w:tc>
        <w:tc>
          <w:tcPr>
            <w:tcW w:w="994" w:type="dxa"/>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r>
              <w:rPr>
                <w:rFonts w:ascii="Times New Roman" w:eastAsia="Calibri" w:hAnsi="Times New Roman"/>
                <w:b/>
                <w:sz w:val="21"/>
                <w:szCs w:val="21"/>
                <w:lang w:eastAsia="en-US"/>
              </w:rPr>
              <w:t>100,0</w:t>
            </w:r>
          </w:p>
        </w:tc>
        <w:tc>
          <w:tcPr>
            <w:tcW w:w="1423" w:type="dxa"/>
            <w:vAlign w:val="center"/>
          </w:tcPr>
          <w:p w:rsidR="00D16741" w:rsidRPr="00FB5017" w:rsidRDefault="00D16741" w:rsidP="00D16741">
            <w:pPr>
              <w:spacing w:after="0" w:line="240" w:lineRule="auto"/>
              <w:jc w:val="center"/>
              <w:rPr>
                <w:rFonts w:ascii="Times New Roman" w:eastAsia="Calibri" w:hAnsi="Times New Roman"/>
                <w:b/>
                <w:sz w:val="21"/>
                <w:szCs w:val="21"/>
                <w:lang w:eastAsia="en-US"/>
              </w:rPr>
            </w:pPr>
            <w:r>
              <w:rPr>
                <w:rFonts w:ascii="Times New Roman" w:eastAsia="Calibri" w:hAnsi="Times New Roman"/>
                <w:b/>
                <w:sz w:val="21"/>
                <w:szCs w:val="21"/>
                <w:lang w:eastAsia="en-US"/>
              </w:rPr>
              <w:t>68,2</w:t>
            </w:r>
          </w:p>
        </w:tc>
      </w:tr>
      <w:tr w:rsidR="00D16741" w:rsidRPr="000B56F8" w:rsidTr="00D16741">
        <w:trPr>
          <w:trHeight w:val="444"/>
        </w:trPr>
        <w:tc>
          <w:tcPr>
            <w:tcW w:w="4232" w:type="dxa"/>
            <w:vAlign w:val="center"/>
          </w:tcPr>
          <w:p w:rsidR="00D16741" w:rsidRPr="00FB5017" w:rsidRDefault="00D16741" w:rsidP="00D16741">
            <w:pPr>
              <w:spacing w:after="0" w:line="240" w:lineRule="auto"/>
              <w:rPr>
                <w:rFonts w:ascii="Times New Roman" w:hAnsi="Times New Roman"/>
                <w:sz w:val="21"/>
                <w:szCs w:val="21"/>
              </w:rPr>
            </w:pPr>
            <w:r w:rsidRPr="00FB5017">
              <w:rPr>
                <w:rFonts w:ascii="Times New Roman" w:hAnsi="Times New Roman"/>
                <w:sz w:val="21"/>
                <w:szCs w:val="21"/>
              </w:rPr>
              <w:t>в том числе:</w:t>
            </w:r>
          </w:p>
          <w:p w:rsidR="00D16741" w:rsidRPr="00FB5017" w:rsidRDefault="00D16741" w:rsidP="00D16741">
            <w:pPr>
              <w:spacing w:after="0" w:line="240" w:lineRule="auto"/>
              <w:rPr>
                <w:rFonts w:ascii="Times New Roman" w:hAnsi="Times New Roman"/>
                <w:sz w:val="21"/>
                <w:szCs w:val="21"/>
              </w:rPr>
            </w:pPr>
            <w:r w:rsidRPr="00FB5017">
              <w:rPr>
                <w:rFonts w:ascii="Times New Roman" w:hAnsi="Times New Roman"/>
                <w:sz w:val="21"/>
                <w:szCs w:val="21"/>
              </w:rPr>
              <w:t>промышленность</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181,2</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48,8</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124,9</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46,7</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65,0</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сельское хозяйство</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32,6</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8,8</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41,1</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15,4</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119,5</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транспорт</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10,3</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2,8</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10,9</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4,0</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92,2</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связь</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33,7</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9,1</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19,4</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7,2</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47,5</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lastRenderedPageBreak/>
              <w:t>строительство</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2,3</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0,6</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1,0</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0,4</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50,0</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торговля и общественное питание</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29,8</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8,0</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30,2</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11,3</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97,4</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жилищное строительство</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1,9</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0,5</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1,9</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0,7</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в 2,1 р.</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eastAsia="Calibri" w:hAnsi="Times New Roman"/>
                <w:sz w:val="21"/>
                <w:szCs w:val="21"/>
                <w:lang w:eastAsia="en-US"/>
              </w:rPr>
            </w:pPr>
            <w:r w:rsidRPr="00FB5017">
              <w:rPr>
                <w:rFonts w:ascii="Times New Roman" w:eastAsia="Calibri" w:hAnsi="Times New Roman"/>
                <w:sz w:val="21"/>
                <w:szCs w:val="21"/>
                <w:lang w:eastAsia="en-US"/>
              </w:rPr>
              <w:t>коммунальное хозяйство</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9,5</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2,5</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5,0</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1,9</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53,1</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hAnsi="Times New Roman"/>
                <w:sz w:val="21"/>
                <w:szCs w:val="21"/>
              </w:rPr>
            </w:pPr>
            <w:r w:rsidRPr="00FB5017">
              <w:rPr>
                <w:rFonts w:ascii="Times New Roman" w:hAnsi="Times New Roman"/>
                <w:sz w:val="21"/>
                <w:szCs w:val="21"/>
              </w:rPr>
              <w:t>здравоохранение и соц. обеспечение</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14,7</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4,0</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14,8</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5,5</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100,4</w:t>
            </w:r>
          </w:p>
        </w:tc>
      </w:tr>
      <w:tr w:rsidR="00D16741" w:rsidRPr="000B56F8" w:rsidTr="00D16741">
        <w:trPr>
          <w:trHeight w:val="222"/>
        </w:trPr>
        <w:tc>
          <w:tcPr>
            <w:tcW w:w="4232" w:type="dxa"/>
            <w:vAlign w:val="center"/>
          </w:tcPr>
          <w:p w:rsidR="00D16741" w:rsidRPr="00FB5017" w:rsidRDefault="00D16741" w:rsidP="00D16741">
            <w:pPr>
              <w:spacing w:after="0" w:line="240" w:lineRule="auto"/>
              <w:rPr>
                <w:rFonts w:ascii="Times New Roman" w:hAnsi="Times New Roman"/>
                <w:sz w:val="21"/>
                <w:szCs w:val="21"/>
              </w:rPr>
            </w:pPr>
            <w:r w:rsidRPr="00FB5017">
              <w:rPr>
                <w:rFonts w:ascii="Times New Roman" w:hAnsi="Times New Roman"/>
                <w:sz w:val="21"/>
                <w:szCs w:val="21"/>
              </w:rPr>
              <w:t>образование</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10,6</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2,9</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2,9</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1,1</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27,5</w:t>
            </w:r>
          </w:p>
        </w:tc>
      </w:tr>
      <w:tr w:rsidR="00D16741" w:rsidRPr="000B56F8" w:rsidTr="00D16741">
        <w:trPr>
          <w:trHeight w:val="237"/>
        </w:trPr>
        <w:tc>
          <w:tcPr>
            <w:tcW w:w="4232" w:type="dxa"/>
            <w:vAlign w:val="center"/>
          </w:tcPr>
          <w:p w:rsidR="00D16741" w:rsidRPr="00FB5017" w:rsidRDefault="00D16741" w:rsidP="00D16741">
            <w:pPr>
              <w:spacing w:after="0" w:line="240" w:lineRule="auto"/>
              <w:rPr>
                <w:rFonts w:ascii="Times New Roman" w:hAnsi="Times New Roman"/>
                <w:sz w:val="21"/>
                <w:szCs w:val="21"/>
              </w:rPr>
            </w:pPr>
            <w:r w:rsidRPr="00FB5017">
              <w:rPr>
                <w:rFonts w:ascii="Times New Roman" w:hAnsi="Times New Roman"/>
                <w:sz w:val="21"/>
                <w:szCs w:val="21"/>
              </w:rPr>
              <w:t>прочие</w:t>
            </w:r>
          </w:p>
        </w:tc>
        <w:tc>
          <w:tcPr>
            <w:tcW w:w="995" w:type="dxa"/>
            <w:vAlign w:val="center"/>
          </w:tcPr>
          <w:p w:rsidR="00D16741" w:rsidRPr="00FB5017" w:rsidRDefault="00D16741" w:rsidP="00D16741">
            <w:pPr>
              <w:spacing w:after="0" w:line="240" w:lineRule="auto"/>
              <w:ind w:left="-121" w:right="-92"/>
              <w:jc w:val="center"/>
              <w:rPr>
                <w:rFonts w:ascii="Times New Roman" w:eastAsia="Calibri" w:hAnsi="Times New Roman"/>
                <w:sz w:val="21"/>
                <w:szCs w:val="21"/>
                <w:lang w:eastAsia="en-US"/>
              </w:rPr>
            </w:pPr>
            <w:r>
              <w:rPr>
                <w:rFonts w:ascii="Times New Roman" w:eastAsia="Calibri" w:hAnsi="Times New Roman"/>
                <w:sz w:val="21"/>
                <w:szCs w:val="21"/>
                <w:lang w:eastAsia="en-US"/>
              </w:rPr>
              <w:t>44,6</w:t>
            </w:r>
          </w:p>
        </w:tc>
        <w:tc>
          <w:tcPr>
            <w:tcW w:w="977" w:type="dxa"/>
            <w:vAlign w:val="center"/>
          </w:tcPr>
          <w:p w:rsidR="00D16741" w:rsidRPr="00FB5017" w:rsidRDefault="00D16741" w:rsidP="00D16741">
            <w:pPr>
              <w:spacing w:after="0" w:line="240" w:lineRule="auto"/>
              <w:ind w:left="-124" w:right="-89"/>
              <w:jc w:val="center"/>
              <w:rPr>
                <w:rFonts w:ascii="Times New Roman" w:eastAsia="Calibri" w:hAnsi="Times New Roman"/>
                <w:sz w:val="21"/>
                <w:szCs w:val="21"/>
                <w:lang w:eastAsia="en-US"/>
              </w:rPr>
            </w:pPr>
            <w:r>
              <w:rPr>
                <w:rFonts w:ascii="Times New Roman" w:eastAsia="Calibri" w:hAnsi="Times New Roman"/>
                <w:sz w:val="21"/>
                <w:szCs w:val="21"/>
                <w:lang w:eastAsia="en-US"/>
              </w:rPr>
              <w:t>12,0</w:t>
            </w:r>
          </w:p>
        </w:tc>
        <w:tc>
          <w:tcPr>
            <w:tcW w:w="996" w:type="dxa"/>
            <w:vAlign w:val="center"/>
          </w:tcPr>
          <w:p w:rsidR="00D16741" w:rsidRPr="00FB5017" w:rsidRDefault="00D16741" w:rsidP="00D16741">
            <w:pPr>
              <w:spacing w:after="0" w:line="240" w:lineRule="auto"/>
              <w:ind w:left="-127" w:right="-85"/>
              <w:jc w:val="center"/>
              <w:rPr>
                <w:rFonts w:ascii="Times New Roman" w:eastAsia="Calibri" w:hAnsi="Times New Roman"/>
                <w:sz w:val="21"/>
                <w:szCs w:val="21"/>
                <w:lang w:eastAsia="en-US"/>
              </w:rPr>
            </w:pPr>
            <w:r>
              <w:rPr>
                <w:rFonts w:ascii="Times New Roman" w:eastAsia="Calibri" w:hAnsi="Times New Roman"/>
                <w:sz w:val="21"/>
                <w:szCs w:val="21"/>
                <w:lang w:eastAsia="en-US"/>
              </w:rPr>
              <w:t>15,5</w:t>
            </w:r>
          </w:p>
        </w:tc>
        <w:tc>
          <w:tcPr>
            <w:tcW w:w="994"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5,8</w:t>
            </w:r>
          </w:p>
        </w:tc>
        <w:tc>
          <w:tcPr>
            <w:tcW w:w="1423" w:type="dxa"/>
            <w:vAlign w:val="center"/>
          </w:tcPr>
          <w:p w:rsidR="00D16741" w:rsidRPr="00FB5017" w:rsidRDefault="00D16741" w:rsidP="00D16741">
            <w:pPr>
              <w:spacing w:after="0" w:line="240" w:lineRule="auto"/>
              <w:jc w:val="center"/>
              <w:rPr>
                <w:rFonts w:ascii="Times New Roman" w:eastAsia="Calibri" w:hAnsi="Times New Roman"/>
                <w:sz w:val="21"/>
                <w:szCs w:val="21"/>
                <w:lang w:eastAsia="en-US"/>
              </w:rPr>
            </w:pPr>
            <w:r>
              <w:rPr>
                <w:rFonts w:ascii="Times New Roman" w:eastAsia="Calibri" w:hAnsi="Times New Roman"/>
                <w:sz w:val="21"/>
                <w:szCs w:val="21"/>
                <w:lang w:eastAsia="en-US"/>
              </w:rPr>
              <w:t>34,7</w:t>
            </w:r>
          </w:p>
        </w:tc>
      </w:tr>
    </w:tbl>
    <w:p w:rsidR="00D16741" w:rsidRPr="00FB5017" w:rsidRDefault="00D16741" w:rsidP="00D16741">
      <w:pPr>
        <w:spacing w:after="0" w:line="240" w:lineRule="auto"/>
        <w:rPr>
          <w:rFonts w:ascii="Times New Roman" w:eastAsia="Calibri" w:hAnsi="Times New Roman"/>
          <w:spacing w:val="2"/>
          <w:sz w:val="18"/>
          <w:szCs w:val="18"/>
          <w:lang w:eastAsia="en-US"/>
        </w:rPr>
      </w:pPr>
      <w:r w:rsidRPr="00FB5017">
        <w:rPr>
          <w:rFonts w:ascii="Times New Roman" w:eastAsia="Calibri" w:hAnsi="Times New Roman"/>
          <w:i/>
          <w:spacing w:val="2"/>
          <w:sz w:val="18"/>
          <w:szCs w:val="18"/>
          <w:lang w:eastAsia="en-US"/>
        </w:rPr>
        <w:t>*</w:t>
      </w:r>
      <w:r w:rsidRPr="00FB5017">
        <w:rPr>
          <w:rFonts w:ascii="Times New Roman" w:eastAsia="Calibri" w:hAnsi="Times New Roman"/>
          <w:spacing w:val="2"/>
          <w:sz w:val="18"/>
          <w:szCs w:val="18"/>
          <w:lang w:eastAsia="en-US"/>
        </w:rPr>
        <w:t>-темпы роста приведены к уточнённым данным ГСС</w:t>
      </w:r>
    </w:p>
    <w:p w:rsidR="00D16741" w:rsidRPr="00D54854" w:rsidRDefault="00D16741" w:rsidP="00D16741">
      <w:pPr>
        <w:spacing w:after="0" w:line="240" w:lineRule="auto"/>
        <w:rPr>
          <w:rFonts w:ascii="Times New Roman" w:eastAsia="Calibri" w:hAnsi="Times New Roman"/>
          <w:spacing w:val="2"/>
          <w:sz w:val="20"/>
          <w:szCs w:val="20"/>
          <w:lang w:eastAsia="en-US"/>
        </w:rPr>
      </w:pPr>
    </w:p>
    <w:p w:rsidR="00D16741" w:rsidRPr="000B0936" w:rsidRDefault="00D16741" w:rsidP="00D16741">
      <w:pPr>
        <w:shd w:val="clear" w:color="auto" w:fill="FFFFFF"/>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С целью </w:t>
      </w:r>
      <w:r w:rsidR="005B1766">
        <w:rPr>
          <w:rFonts w:ascii="Times New Roman" w:eastAsia="Calibri" w:hAnsi="Times New Roman"/>
          <w:sz w:val="24"/>
          <w:szCs w:val="24"/>
          <w:lang w:eastAsia="en-US"/>
        </w:rPr>
        <w:t>восстановления и активизации</w:t>
      </w:r>
      <w:r w:rsidR="00825344">
        <w:rPr>
          <w:rFonts w:ascii="Times New Roman" w:eastAsia="Calibri" w:hAnsi="Times New Roman"/>
          <w:sz w:val="24"/>
          <w:szCs w:val="24"/>
          <w:lang w:eastAsia="en-US"/>
        </w:rPr>
        <w:t xml:space="preserve"> </w:t>
      </w:r>
      <w:r w:rsidRPr="000B0936">
        <w:rPr>
          <w:rFonts w:ascii="Times New Roman" w:eastAsia="Calibri" w:hAnsi="Times New Roman"/>
          <w:sz w:val="24"/>
          <w:szCs w:val="24"/>
          <w:lang w:eastAsia="en-US"/>
        </w:rPr>
        <w:t>инвестиционных процессов государство</w:t>
      </w:r>
      <w:r>
        <w:rPr>
          <w:rFonts w:ascii="Times New Roman" w:eastAsia="Calibri" w:hAnsi="Times New Roman"/>
          <w:sz w:val="24"/>
          <w:szCs w:val="24"/>
          <w:lang w:eastAsia="en-US"/>
        </w:rPr>
        <w:t>м</w:t>
      </w:r>
      <w:r w:rsidRPr="000B0936">
        <w:rPr>
          <w:rFonts w:ascii="Times New Roman" w:eastAsia="Calibri" w:hAnsi="Times New Roman"/>
          <w:sz w:val="24"/>
          <w:szCs w:val="24"/>
          <w:lang w:eastAsia="en-US"/>
        </w:rPr>
        <w:t xml:space="preserve"> провод</w:t>
      </w:r>
      <w:r>
        <w:rPr>
          <w:rFonts w:ascii="Times New Roman" w:eastAsia="Calibri" w:hAnsi="Times New Roman"/>
          <w:sz w:val="24"/>
          <w:szCs w:val="24"/>
          <w:lang w:eastAsia="en-US"/>
        </w:rPr>
        <w:t>я</w:t>
      </w:r>
      <w:r w:rsidRPr="000B0936">
        <w:rPr>
          <w:rFonts w:ascii="Times New Roman" w:eastAsia="Calibri" w:hAnsi="Times New Roman"/>
          <w:sz w:val="24"/>
          <w:szCs w:val="24"/>
          <w:lang w:eastAsia="en-US"/>
        </w:rPr>
        <w:t>т</w:t>
      </w:r>
      <w:r>
        <w:rPr>
          <w:rFonts w:ascii="Times New Roman" w:eastAsia="Calibri" w:hAnsi="Times New Roman"/>
          <w:sz w:val="24"/>
          <w:szCs w:val="24"/>
          <w:lang w:eastAsia="en-US"/>
        </w:rPr>
        <w:t>ся</w:t>
      </w:r>
      <w:r w:rsidR="00825344">
        <w:rPr>
          <w:rFonts w:ascii="Times New Roman" w:eastAsia="Calibri" w:hAnsi="Times New Roman"/>
          <w:sz w:val="24"/>
          <w:szCs w:val="24"/>
          <w:lang w:eastAsia="en-US"/>
        </w:rPr>
        <w:t xml:space="preserve"> </w:t>
      </w:r>
      <w:r>
        <w:rPr>
          <w:rFonts w:ascii="Times New Roman" w:eastAsia="Calibri" w:hAnsi="Times New Roman"/>
          <w:sz w:val="24"/>
          <w:szCs w:val="24"/>
          <w:lang w:eastAsia="en-US"/>
        </w:rPr>
        <w:t>мероприятия</w:t>
      </w:r>
      <w:r w:rsidRPr="000B0936">
        <w:rPr>
          <w:rFonts w:ascii="Times New Roman" w:eastAsia="Calibri" w:hAnsi="Times New Roman"/>
          <w:sz w:val="24"/>
          <w:szCs w:val="24"/>
          <w:lang w:eastAsia="en-US"/>
        </w:rPr>
        <w:t xml:space="preserve"> по улучшению существующих условий осуществления инвестиционной деятельности бизнес - сообществом, в частности:</w:t>
      </w:r>
    </w:p>
    <w:p w:rsidR="00D16741" w:rsidRPr="000955D9" w:rsidRDefault="00D16741" w:rsidP="00D16741">
      <w:pPr>
        <w:pStyle w:val="a6"/>
        <w:numPr>
          <w:ilvl w:val="0"/>
          <w:numId w:val="10"/>
        </w:numPr>
        <w:shd w:val="clear" w:color="auto" w:fill="FFFFFF"/>
        <w:tabs>
          <w:tab w:val="left" w:pos="993"/>
        </w:tabs>
        <w:spacing w:after="0" w:line="240" w:lineRule="auto"/>
        <w:ind w:left="0" w:firstLine="709"/>
        <w:jc w:val="both"/>
        <w:rPr>
          <w:rFonts w:ascii="Times New Roman" w:eastAsia="Calibri" w:hAnsi="Times New Roman"/>
          <w:sz w:val="24"/>
          <w:szCs w:val="24"/>
          <w:lang w:eastAsia="en-US"/>
        </w:rPr>
      </w:pPr>
      <w:r w:rsidRPr="000955D9">
        <w:rPr>
          <w:rFonts w:ascii="Times New Roman" w:eastAsia="Calibri" w:hAnsi="Times New Roman"/>
          <w:sz w:val="24"/>
          <w:szCs w:val="24"/>
          <w:lang w:eastAsia="en-US"/>
        </w:rPr>
        <w:t>осуществляется разработк</w:t>
      </w:r>
      <w:r w:rsidR="005B1766">
        <w:rPr>
          <w:rFonts w:ascii="Times New Roman" w:eastAsia="Calibri" w:hAnsi="Times New Roman"/>
          <w:sz w:val="24"/>
          <w:szCs w:val="24"/>
          <w:lang w:eastAsia="en-US"/>
        </w:rPr>
        <w:t>а</w:t>
      </w:r>
      <w:r w:rsidRPr="000955D9">
        <w:rPr>
          <w:rFonts w:ascii="Times New Roman" w:eastAsia="Calibri" w:hAnsi="Times New Roman"/>
          <w:sz w:val="24"/>
          <w:szCs w:val="24"/>
          <w:lang w:eastAsia="en-US"/>
        </w:rPr>
        <w:t xml:space="preserve"> проекта Закона Приднестровской Молдавской Республики «Об инвестиционной деятельности в Приднестровской Молдавской Республике». Данный нормативный правовой акт направлен на регулирование отношений, связанных с инвестиционной деятельностью, установление правовых и экономических основ осуществления инвестиционной деятельности на территории Приднестровья, </w:t>
      </w:r>
      <w:r>
        <w:rPr>
          <w:rFonts w:ascii="Times New Roman" w:eastAsia="Calibri" w:hAnsi="Times New Roman"/>
          <w:sz w:val="24"/>
          <w:szCs w:val="24"/>
          <w:lang w:eastAsia="en-US"/>
        </w:rPr>
        <w:t xml:space="preserve">а также на </w:t>
      </w:r>
      <w:r w:rsidRPr="000955D9">
        <w:rPr>
          <w:rFonts w:ascii="Times New Roman" w:eastAsia="Calibri" w:hAnsi="Times New Roman"/>
          <w:sz w:val="24"/>
          <w:szCs w:val="24"/>
          <w:lang w:eastAsia="en-US"/>
        </w:rPr>
        <w:t>улучшение инвестиционного климата в республике и стимулирование привлечения отечественных и иностранных инвестиций посредством предоставления справедливого, равного правового режима инвесторам и гарантии защиты привлеченных ими инвестиций в экономику Приднестровской Молдавской Республики</w:t>
      </w:r>
      <w:r>
        <w:rPr>
          <w:rFonts w:ascii="Times New Roman" w:eastAsia="Calibri" w:hAnsi="Times New Roman"/>
          <w:sz w:val="24"/>
          <w:szCs w:val="24"/>
          <w:lang w:eastAsia="en-US"/>
        </w:rPr>
        <w:t>;</w:t>
      </w:r>
    </w:p>
    <w:p w:rsidR="00D16741" w:rsidRPr="000B0936" w:rsidRDefault="00D16741" w:rsidP="00D16741">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0B0936">
        <w:rPr>
          <w:rFonts w:ascii="Times New Roman" w:eastAsia="Calibri" w:hAnsi="Times New Roman"/>
          <w:sz w:val="24"/>
          <w:szCs w:val="24"/>
          <w:lang w:eastAsia="en-US"/>
        </w:rPr>
        <w:t>2)</w:t>
      </w:r>
      <w:r>
        <w:rPr>
          <w:rFonts w:ascii="Times New Roman" w:eastAsia="Calibri" w:hAnsi="Times New Roman"/>
          <w:sz w:val="24"/>
          <w:szCs w:val="24"/>
          <w:lang w:eastAsia="en-US"/>
        </w:rPr>
        <w:tab/>
      </w:r>
      <w:r w:rsidRPr="000B0936">
        <w:rPr>
          <w:rFonts w:ascii="Times New Roman" w:eastAsia="Calibri" w:hAnsi="Times New Roman"/>
          <w:sz w:val="24"/>
          <w:szCs w:val="24"/>
          <w:lang w:eastAsia="en-US"/>
        </w:rPr>
        <w:t>оказывается содействие развитию инновационной деятельности на территории республики путем регистрации инновационных проектов;</w:t>
      </w:r>
    </w:p>
    <w:p w:rsidR="00D16741" w:rsidRDefault="00D16741" w:rsidP="00D16741">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0B0936">
        <w:rPr>
          <w:rFonts w:ascii="Times New Roman" w:eastAsia="Calibri" w:hAnsi="Times New Roman"/>
          <w:sz w:val="24"/>
          <w:szCs w:val="24"/>
          <w:lang w:eastAsia="en-US"/>
        </w:rPr>
        <w:t>3)</w:t>
      </w:r>
      <w:r>
        <w:rPr>
          <w:rFonts w:ascii="Times New Roman" w:eastAsia="Calibri" w:hAnsi="Times New Roman"/>
          <w:sz w:val="24"/>
          <w:szCs w:val="24"/>
          <w:lang w:eastAsia="en-US"/>
        </w:rPr>
        <w:tab/>
      </w:r>
      <w:r w:rsidRPr="000B0936">
        <w:rPr>
          <w:rFonts w:ascii="Times New Roman" w:eastAsia="Calibri" w:hAnsi="Times New Roman"/>
          <w:sz w:val="24"/>
          <w:szCs w:val="24"/>
          <w:lang w:eastAsia="en-US"/>
        </w:rPr>
        <w:t xml:space="preserve">оказывается содействие инвесторам в ходе подготовки и реализации ими инвестиционных проектов посредством определения формы и порядка сопровождения инвестиционных проектов, планируемых к реализации и (или) реализуемых на территориях административно-территориальных единиц </w:t>
      </w:r>
      <w:r>
        <w:rPr>
          <w:rFonts w:ascii="Times New Roman" w:eastAsia="Calibri" w:hAnsi="Times New Roman"/>
          <w:sz w:val="24"/>
          <w:szCs w:val="24"/>
          <w:lang w:eastAsia="en-US"/>
        </w:rPr>
        <w:t>р</w:t>
      </w:r>
      <w:r w:rsidRPr="000B0936">
        <w:rPr>
          <w:rFonts w:ascii="Times New Roman" w:eastAsia="Calibri" w:hAnsi="Times New Roman"/>
          <w:sz w:val="24"/>
          <w:szCs w:val="24"/>
          <w:lang w:eastAsia="en-US"/>
        </w:rPr>
        <w:t>еспублики, а также установления функций уполномоченных органов в лице министерств (ведомств) республики при рассмотрении и сопровождении инвестиционных проектов.</w:t>
      </w:r>
    </w:p>
    <w:p w:rsidR="00D16741" w:rsidRDefault="00D16741" w:rsidP="00D16741">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0955D9">
        <w:rPr>
          <w:rFonts w:ascii="Times New Roman" w:eastAsia="Calibri" w:hAnsi="Times New Roman"/>
          <w:sz w:val="24"/>
          <w:szCs w:val="24"/>
          <w:lang w:eastAsia="en-US"/>
        </w:rPr>
        <w:t>На сегодняшний день министерствами и ведомствами Приднестровской Молдавской Республики для реализации инвестиционных проектов предлагаются 122 инвестиционные площадки. Наряду с ними в настоящее время 2 проекта планируются к реализации и 11 проектов реализуются инвесторами при взаимодействии с исполнительными органами государственной власти Приднестровской Молдавской Республики;</w:t>
      </w:r>
    </w:p>
    <w:p w:rsidR="00D16741" w:rsidRPr="000955D9" w:rsidRDefault="00D16741" w:rsidP="00D16741">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0955D9">
        <w:rPr>
          <w:rFonts w:ascii="Times New Roman" w:eastAsia="Calibri" w:hAnsi="Times New Roman"/>
          <w:sz w:val="24"/>
          <w:szCs w:val="24"/>
          <w:lang w:eastAsia="en-US"/>
        </w:rPr>
        <w:t>4)</w:t>
      </w:r>
      <w:r>
        <w:rPr>
          <w:rFonts w:ascii="Times New Roman" w:eastAsia="Calibri" w:hAnsi="Times New Roman"/>
          <w:sz w:val="24"/>
          <w:szCs w:val="24"/>
          <w:lang w:eastAsia="en-US"/>
        </w:rPr>
        <w:tab/>
      </w:r>
      <w:r w:rsidRPr="000955D9">
        <w:rPr>
          <w:rFonts w:ascii="Times New Roman" w:eastAsia="Calibri" w:hAnsi="Times New Roman"/>
          <w:sz w:val="24"/>
          <w:szCs w:val="24"/>
          <w:lang w:eastAsia="en-US"/>
        </w:rPr>
        <w:t>проводится активное взаимодействие по вопросам инвестиционной политики с иностранными коллегами, экспертами в рамках участия в международных форумах, совещаниях, встречах, семинарах, ярмарках и выставках;</w:t>
      </w:r>
    </w:p>
    <w:p w:rsidR="00D16741" w:rsidRPr="000B0936" w:rsidRDefault="00D16741" w:rsidP="00D16741">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0B0936">
        <w:rPr>
          <w:rFonts w:ascii="Times New Roman" w:eastAsia="Calibri" w:hAnsi="Times New Roman"/>
          <w:sz w:val="24"/>
          <w:szCs w:val="24"/>
          <w:lang w:eastAsia="en-US"/>
        </w:rPr>
        <w:t>5)</w:t>
      </w:r>
      <w:r>
        <w:rPr>
          <w:rFonts w:ascii="Times New Roman" w:eastAsia="Calibri" w:hAnsi="Times New Roman"/>
          <w:sz w:val="24"/>
          <w:szCs w:val="24"/>
          <w:lang w:eastAsia="en-US"/>
        </w:rPr>
        <w:tab/>
      </w:r>
      <w:r w:rsidRPr="000B0936">
        <w:rPr>
          <w:rFonts w:ascii="Times New Roman" w:eastAsia="Calibri" w:hAnsi="Times New Roman"/>
          <w:sz w:val="24"/>
          <w:szCs w:val="24"/>
          <w:lang w:eastAsia="en-US"/>
        </w:rPr>
        <w:t>в регионе продолжается реализация социальных проектов в рамках сотрудничества с АНО «Евразийская интеграция»;</w:t>
      </w:r>
    </w:p>
    <w:p w:rsidR="00D16741" w:rsidRPr="000B0936" w:rsidRDefault="00D16741" w:rsidP="00D16741">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0B0936">
        <w:rPr>
          <w:rFonts w:ascii="Times New Roman" w:eastAsia="Calibri" w:hAnsi="Times New Roman"/>
          <w:sz w:val="24"/>
          <w:szCs w:val="24"/>
          <w:lang w:eastAsia="en-US"/>
        </w:rPr>
        <w:t>6)</w:t>
      </w:r>
      <w:r>
        <w:rPr>
          <w:rFonts w:ascii="Times New Roman" w:eastAsia="Calibri" w:hAnsi="Times New Roman"/>
          <w:sz w:val="24"/>
          <w:szCs w:val="24"/>
          <w:lang w:eastAsia="en-US"/>
        </w:rPr>
        <w:tab/>
      </w:r>
      <w:r w:rsidRPr="000B0936">
        <w:rPr>
          <w:rFonts w:ascii="Times New Roman" w:eastAsia="Calibri" w:hAnsi="Times New Roman"/>
          <w:sz w:val="24"/>
          <w:szCs w:val="24"/>
          <w:lang w:eastAsia="en-US"/>
        </w:rPr>
        <w:t>проводится работа по формированию Реестра документов разрешительного характера в рамках функционирования разрешительной системы в сфере экономической деятельности.</w:t>
      </w:r>
    </w:p>
    <w:p w:rsidR="00D16741" w:rsidRDefault="00D16741" w:rsidP="00D16741">
      <w:pPr>
        <w:shd w:val="clear" w:color="auto" w:fill="FFFFFF"/>
        <w:spacing w:after="0" w:line="240" w:lineRule="auto"/>
        <w:ind w:firstLine="709"/>
        <w:jc w:val="both"/>
        <w:rPr>
          <w:rFonts w:ascii="Times New Roman" w:eastAsia="Calibri" w:hAnsi="Times New Roman"/>
          <w:sz w:val="24"/>
          <w:szCs w:val="24"/>
          <w:lang w:eastAsia="en-US"/>
        </w:rPr>
      </w:pPr>
      <w:r w:rsidRPr="000B0936">
        <w:rPr>
          <w:rFonts w:ascii="Times New Roman" w:eastAsia="Calibri" w:hAnsi="Times New Roman"/>
          <w:sz w:val="24"/>
          <w:szCs w:val="24"/>
          <w:lang w:eastAsia="en-US"/>
        </w:rPr>
        <w:t xml:space="preserve">В настоящее время ведется работа по формированию перечня наименований документов в разрезе исполнительных органов государственной власти Приднестровской Молдавской Республики с целью </w:t>
      </w:r>
      <w:r>
        <w:rPr>
          <w:rFonts w:ascii="Times New Roman" w:eastAsia="Calibri" w:hAnsi="Times New Roman"/>
          <w:sz w:val="24"/>
          <w:szCs w:val="24"/>
          <w:lang w:eastAsia="en-US"/>
        </w:rPr>
        <w:t>определения</w:t>
      </w:r>
      <w:r w:rsidRPr="000B0936">
        <w:rPr>
          <w:rFonts w:ascii="Times New Roman" w:eastAsia="Calibri" w:hAnsi="Times New Roman"/>
          <w:sz w:val="24"/>
          <w:szCs w:val="24"/>
          <w:lang w:eastAsia="en-US"/>
        </w:rPr>
        <w:t xml:space="preserve"> исчерпывающего списка документов разрешительного характера, выдаваемых на территории Приднестровской Молдавской Республики в с</w:t>
      </w:r>
      <w:r w:rsidR="005B1766">
        <w:rPr>
          <w:rFonts w:ascii="Times New Roman" w:eastAsia="Calibri" w:hAnsi="Times New Roman"/>
          <w:sz w:val="24"/>
          <w:szCs w:val="24"/>
          <w:lang w:eastAsia="en-US"/>
        </w:rPr>
        <w:t>фере экономики</w:t>
      </w:r>
      <w:r>
        <w:rPr>
          <w:rFonts w:ascii="Times New Roman" w:eastAsia="Calibri" w:hAnsi="Times New Roman"/>
          <w:sz w:val="24"/>
          <w:szCs w:val="24"/>
          <w:lang w:eastAsia="en-US"/>
        </w:rPr>
        <w:t>.</w:t>
      </w:r>
    </w:p>
    <w:p w:rsidR="00F425EE" w:rsidRDefault="00F425EE" w:rsidP="00335844">
      <w:pPr>
        <w:spacing w:after="0" w:line="240" w:lineRule="auto"/>
        <w:ind w:firstLine="709"/>
        <w:rPr>
          <w:rFonts w:ascii="Times New Roman" w:hAnsi="Times New Roman"/>
          <w:b/>
          <w:sz w:val="24"/>
          <w:szCs w:val="24"/>
        </w:rPr>
      </w:pPr>
    </w:p>
    <w:p w:rsidR="00F425EE" w:rsidRPr="0080737A" w:rsidRDefault="00F425EE" w:rsidP="00F425EE">
      <w:pPr>
        <w:widowControl w:val="0"/>
        <w:shd w:val="clear" w:color="auto" w:fill="FFFFFF" w:themeFill="background1"/>
        <w:autoSpaceDE w:val="0"/>
        <w:autoSpaceDN w:val="0"/>
        <w:adjustRightInd w:val="0"/>
        <w:spacing w:after="0" w:line="240" w:lineRule="auto"/>
        <w:ind w:firstLine="720"/>
        <w:jc w:val="both"/>
        <w:rPr>
          <w:rFonts w:ascii="Times New Roman" w:eastAsia="Calibri" w:hAnsi="Times New Roman"/>
          <w:b/>
          <w:sz w:val="24"/>
          <w:szCs w:val="24"/>
        </w:rPr>
      </w:pPr>
      <w:r w:rsidRPr="0080737A">
        <w:rPr>
          <w:rFonts w:ascii="Times New Roman" w:eastAsia="Calibri" w:hAnsi="Times New Roman"/>
          <w:b/>
          <w:sz w:val="24"/>
          <w:szCs w:val="24"/>
        </w:rPr>
        <w:t>Малое предпринимательство</w:t>
      </w:r>
    </w:p>
    <w:p w:rsidR="00F425EE" w:rsidRDefault="00F425EE" w:rsidP="00F425EE">
      <w:pPr>
        <w:shd w:val="clear" w:color="auto" w:fill="FFFFFF" w:themeFill="background1"/>
        <w:spacing w:after="0" w:line="240" w:lineRule="auto"/>
        <w:jc w:val="both"/>
        <w:rPr>
          <w:rFonts w:ascii="Times New Roman" w:eastAsia="Calibri" w:hAnsi="Times New Roman"/>
          <w:sz w:val="24"/>
          <w:szCs w:val="24"/>
        </w:rPr>
      </w:pPr>
    </w:p>
    <w:p w:rsidR="00F425EE" w:rsidRPr="00FA2A38"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B44C9B">
        <w:rPr>
          <w:rFonts w:ascii="Times New Roman" w:eastAsia="Calibri" w:hAnsi="Times New Roman"/>
          <w:sz w:val="24"/>
          <w:szCs w:val="24"/>
        </w:rPr>
        <w:t>Накопившийся пласт макроэкономических проблем в совокупности с</w:t>
      </w:r>
      <w:r>
        <w:rPr>
          <w:rFonts w:ascii="Times New Roman" w:eastAsia="Calibri" w:hAnsi="Times New Roman"/>
          <w:sz w:val="24"/>
          <w:szCs w:val="24"/>
        </w:rPr>
        <w:t xml:space="preserve"> сохранившимся в начале года</w:t>
      </w:r>
      <w:r w:rsidRPr="00B44C9B">
        <w:rPr>
          <w:rFonts w:ascii="Times New Roman" w:eastAsia="Calibri" w:hAnsi="Times New Roman"/>
          <w:sz w:val="24"/>
          <w:szCs w:val="24"/>
        </w:rPr>
        <w:t xml:space="preserve"> острым дефицитом иностранной валюты оказ</w:t>
      </w:r>
      <w:r>
        <w:rPr>
          <w:rFonts w:ascii="Times New Roman" w:eastAsia="Calibri" w:hAnsi="Times New Roman"/>
          <w:sz w:val="24"/>
          <w:szCs w:val="24"/>
        </w:rPr>
        <w:t>ыв</w:t>
      </w:r>
      <w:r w:rsidRPr="00B44C9B">
        <w:rPr>
          <w:rFonts w:ascii="Times New Roman" w:eastAsia="Calibri" w:hAnsi="Times New Roman"/>
          <w:sz w:val="24"/>
          <w:szCs w:val="24"/>
        </w:rPr>
        <w:t>али сдерживающее влияние на развитие малого бизнеса республики. Несмотря на это проводимая государством политика в январе – июне 2017 года позволила п</w:t>
      </w:r>
      <w:r>
        <w:rPr>
          <w:rFonts w:ascii="Times New Roman" w:eastAsia="Calibri" w:hAnsi="Times New Roman"/>
          <w:sz w:val="24"/>
          <w:szCs w:val="24"/>
        </w:rPr>
        <w:t>е</w:t>
      </w:r>
      <w:r w:rsidRPr="00B44C9B">
        <w:rPr>
          <w:rFonts w:ascii="Times New Roman" w:eastAsia="Calibri" w:hAnsi="Times New Roman"/>
          <w:sz w:val="24"/>
          <w:szCs w:val="24"/>
        </w:rPr>
        <w:t>реломить негативные тенденции в динамике отдельны</w:t>
      </w:r>
      <w:r>
        <w:rPr>
          <w:rFonts w:ascii="Times New Roman" w:eastAsia="Calibri" w:hAnsi="Times New Roman"/>
          <w:sz w:val="24"/>
          <w:szCs w:val="24"/>
        </w:rPr>
        <w:t>х</w:t>
      </w:r>
      <w:r w:rsidRPr="00B44C9B">
        <w:rPr>
          <w:rFonts w:ascii="Times New Roman" w:eastAsia="Calibri" w:hAnsi="Times New Roman"/>
          <w:sz w:val="24"/>
          <w:szCs w:val="24"/>
        </w:rPr>
        <w:t xml:space="preserve"> показател</w:t>
      </w:r>
      <w:r>
        <w:rPr>
          <w:rFonts w:ascii="Times New Roman" w:eastAsia="Calibri" w:hAnsi="Times New Roman"/>
          <w:sz w:val="24"/>
          <w:szCs w:val="24"/>
        </w:rPr>
        <w:t>ей</w:t>
      </w:r>
      <w:r w:rsidRPr="00B44C9B">
        <w:rPr>
          <w:rFonts w:ascii="Times New Roman" w:eastAsia="Calibri" w:hAnsi="Times New Roman"/>
          <w:sz w:val="24"/>
          <w:szCs w:val="24"/>
        </w:rPr>
        <w:t>.</w:t>
      </w:r>
    </w:p>
    <w:p w:rsidR="00F425EE" w:rsidRPr="00716667"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716667">
        <w:rPr>
          <w:rFonts w:ascii="Times New Roman" w:eastAsia="Calibri" w:hAnsi="Times New Roman"/>
          <w:sz w:val="24"/>
          <w:szCs w:val="24"/>
        </w:rPr>
        <w:lastRenderedPageBreak/>
        <w:t xml:space="preserve">В </w:t>
      </w:r>
      <w:r>
        <w:rPr>
          <w:rFonts w:ascii="Times New Roman" w:eastAsia="Calibri" w:hAnsi="Times New Roman"/>
          <w:sz w:val="24"/>
          <w:szCs w:val="24"/>
        </w:rPr>
        <w:t>отчетном периоде</w:t>
      </w:r>
      <w:r w:rsidRPr="00716667">
        <w:rPr>
          <w:rFonts w:ascii="Times New Roman" w:eastAsia="Calibri" w:hAnsi="Times New Roman"/>
          <w:sz w:val="24"/>
          <w:szCs w:val="24"/>
        </w:rPr>
        <w:t xml:space="preserve"> количество субъектов малого бизнеса сократилось на 1,8% </w:t>
      </w:r>
      <w:r>
        <w:rPr>
          <w:rFonts w:ascii="Times New Roman" w:eastAsia="Calibri" w:hAnsi="Times New Roman"/>
          <w:sz w:val="24"/>
          <w:szCs w:val="24"/>
        </w:rPr>
        <w:t xml:space="preserve">до </w:t>
      </w:r>
      <w:r w:rsidRPr="00716667">
        <w:rPr>
          <w:rFonts w:ascii="Times New Roman" w:eastAsia="Calibri" w:hAnsi="Times New Roman"/>
          <w:sz w:val="24"/>
          <w:szCs w:val="24"/>
        </w:rPr>
        <w:t xml:space="preserve">3 771 </w:t>
      </w:r>
      <w:r>
        <w:rPr>
          <w:rFonts w:ascii="Times New Roman" w:eastAsia="Calibri" w:hAnsi="Times New Roman"/>
          <w:sz w:val="24"/>
          <w:szCs w:val="24"/>
        </w:rPr>
        <w:t>ед.</w:t>
      </w:r>
      <w:r w:rsidRPr="00716667">
        <w:rPr>
          <w:rFonts w:ascii="Times New Roman" w:eastAsia="Calibri" w:hAnsi="Times New Roman"/>
          <w:sz w:val="24"/>
          <w:szCs w:val="24"/>
        </w:rPr>
        <w:t xml:space="preserve">, при этом порядка 89,0% (3 355 организаций) всех субъектов малого предпринимательства являются </w:t>
      </w:r>
      <w:proofErr w:type="spellStart"/>
      <w:r w:rsidRPr="00716667">
        <w:rPr>
          <w:rFonts w:ascii="Times New Roman" w:eastAsia="Calibri" w:hAnsi="Times New Roman"/>
          <w:sz w:val="24"/>
          <w:szCs w:val="24"/>
        </w:rPr>
        <w:t>микропредприятиями</w:t>
      </w:r>
      <w:proofErr w:type="spellEnd"/>
      <w:r w:rsidRPr="00716667">
        <w:rPr>
          <w:rFonts w:ascii="Times New Roman" w:eastAsia="Calibri" w:hAnsi="Times New Roman"/>
          <w:sz w:val="24"/>
          <w:szCs w:val="24"/>
        </w:rPr>
        <w:t>.</w:t>
      </w:r>
    </w:p>
    <w:p w:rsidR="00F425EE" w:rsidRPr="00716667"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716667">
        <w:rPr>
          <w:rFonts w:ascii="Times New Roman" w:eastAsia="Calibri" w:hAnsi="Times New Roman"/>
          <w:sz w:val="24"/>
          <w:szCs w:val="24"/>
        </w:rPr>
        <w:t>Торговля и общепит остается наиболее привлекательной сферой малого бизне</w:t>
      </w:r>
      <w:r>
        <w:rPr>
          <w:rFonts w:ascii="Times New Roman" w:eastAsia="Calibri" w:hAnsi="Times New Roman"/>
          <w:sz w:val="24"/>
          <w:szCs w:val="24"/>
        </w:rPr>
        <w:t>са – 49,0% от общего количества, тогда как в</w:t>
      </w:r>
      <w:r w:rsidRPr="00716667">
        <w:rPr>
          <w:rFonts w:ascii="Times New Roman" w:eastAsia="Calibri" w:hAnsi="Times New Roman"/>
          <w:sz w:val="24"/>
          <w:szCs w:val="24"/>
        </w:rPr>
        <w:t xml:space="preserve"> промышленности, строительстве и сельском хозяйстве сосредоточено порядка 26,1% </w:t>
      </w:r>
      <w:r>
        <w:rPr>
          <w:rFonts w:ascii="Times New Roman" w:eastAsia="Calibri" w:hAnsi="Times New Roman"/>
          <w:sz w:val="24"/>
          <w:szCs w:val="24"/>
        </w:rPr>
        <w:t>итогового показателя</w:t>
      </w:r>
      <w:r w:rsidRPr="00716667">
        <w:rPr>
          <w:rFonts w:ascii="Times New Roman" w:eastAsia="Calibri" w:hAnsi="Times New Roman"/>
          <w:sz w:val="24"/>
          <w:szCs w:val="24"/>
        </w:rPr>
        <w:t>.</w:t>
      </w:r>
    </w:p>
    <w:p w:rsidR="00F425EE" w:rsidRPr="00B031E9" w:rsidRDefault="00F425EE" w:rsidP="00F425EE">
      <w:pPr>
        <w:shd w:val="clear" w:color="auto" w:fill="FFFFFF" w:themeFill="background1"/>
        <w:spacing w:after="0" w:line="240" w:lineRule="auto"/>
        <w:ind w:firstLine="720"/>
        <w:jc w:val="center"/>
        <w:rPr>
          <w:rFonts w:ascii="Times New Roman" w:eastAsia="Calibri" w:hAnsi="Times New Roman"/>
          <w:b/>
          <w:sz w:val="20"/>
          <w:szCs w:val="20"/>
        </w:rPr>
      </w:pPr>
    </w:p>
    <w:p w:rsidR="00F425EE" w:rsidRPr="00716667" w:rsidRDefault="00F425EE" w:rsidP="00F425EE">
      <w:pPr>
        <w:shd w:val="clear" w:color="auto" w:fill="FFFFFF" w:themeFill="background1"/>
        <w:spacing w:after="0" w:line="240" w:lineRule="auto"/>
        <w:ind w:firstLine="720"/>
        <w:jc w:val="center"/>
        <w:rPr>
          <w:rFonts w:ascii="Times New Roman" w:eastAsia="Calibri" w:hAnsi="Times New Roman"/>
          <w:b/>
          <w:sz w:val="24"/>
          <w:szCs w:val="24"/>
        </w:rPr>
      </w:pPr>
      <w:r w:rsidRPr="00716667">
        <w:rPr>
          <w:rFonts w:ascii="Times New Roman" w:eastAsia="Calibri" w:hAnsi="Times New Roman"/>
          <w:b/>
          <w:sz w:val="24"/>
          <w:szCs w:val="24"/>
        </w:rPr>
        <w:t xml:space="preserve">Структура организаций малого предпринимательства в разрезе отраслей экономики </w:t>
      </w:r>
    </w:p>
    <w:p w:rsidR="00F425EE" w:rsidRPr="00716667" w:rsidRDefault="00F425EE" w:rsidP="00F425EE">
      <w:pPr>
        <w:shd w:val="clear" w:color="auto" w:fill="FFFFFF" w:themeFill="background1"/>
        <w:tabs>
          <w:tab w:val="left" w:pos="2160"/>
        </w:tabs>
        <w:spacing w:after="0" w:line="240" w:lineRule="auto"/>
        <w:ind w:left="-426" w:right="-1" w:firstLine="709"/>
        <w:contextualSpacing/>
        <w:jc w:val="center"/>
        <w:rPr>
          <w:rFonts w:ascii="Times New Roman" w:eastAsia="Calibri" w:hAnsi="Times New Roman"/>
          <w:b/>
          <w:sz w:val="24"/>
          <w:szCs w:val="24"/>
        </w:rPr>
      </w:pPr>
      <w:r w:rsidRPr="00716667">
        <w:rPr>
          <w:rFonts w:ascii="Times New Roman" w:eastAsia="Calibri" w:hAnsi="Times New Roman"/>
          <w:noProof/>
          <w:sz w:val="24"/>
          <w:szCs w:val="24"/>
        </w:rPr>
        <w:drawing>
          <wp:anchor distT="48768" distB="394843" distL="193548" distR="358013" simplePos="0" relativeHeight="251687936" behindDoc="0" locked="0" layoutInCell="1" allowOverlap="1">
            <wp:simplePos x="0" y="0"/>
            <wp:positionH relativeFrom="column">
              <wp:posOffset>2643505</wp:posOffset>
            </wp:positionH>
            <wp:positionV relativeFrom="paragraph">
              <wp:posOffset>306705</wp:posOffset>
            </wp:positionV>
            <wp:extent cx="3457575" cy="2581275"/>
            <wp:effectExtent l="0" t="0" r="0" b="0"/>
            <wp:wrapSquare wrapText="right"/>
            <wp:docPr id="8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716667">
        <w:rPr>
          <w:rFonts w:ascii="Times New Roman" w:eastAsia="Calibri" w:hAnsi="Times New Roman"/>
          <w:noProof/>
          <w:sz w:val="24"/>
          <w:szCs w:val="24"/>
        </w:rPr>
        <w:drawing>
          <wp:anchor distT="48768" distB="394843" distL="193548" distR="358013" simplePos="0" relativeHeight="251688960" behindDoc="0" locked="0" layoutInCell="1" allowOverlap="1">
            <wp:simplePos x="0" y="0"/>
            <wp:positionH relativeFrom="column">
              <wp:posOffset>-508635</wp:posOffset>
            </wp:positionH>
            <wp:positionV relativeFrom="paragraph">
              <wp:posOffset>306705</wp:posOffset>
            </wp:positionV>
            <wp:extent cx="3419475" cy="2581275"/>
            <wp:effectExtent l="0" t="0" r="0" b="0"/>
            <wp:wrapSquare wrapText="right"/>
            <wp:docPr id="8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716667">
        <w:rPr>
          <w:rFonts w:ascii="Times New Roman" w:eastAsia="Calibri" w:hAnsi="Times New Roman"/>
          <w:sz w:val="24"/>
          <w:szCs w:val="24"/>
        </w:rPr>
        <w:t>(количество организаций, удельный вес %)</w:t>
      </w:r>
    </w:p>
    <w:p w:rsidR="00F425EE" w:rsidRPr="00716667" w:rsidRDefault="00F425EE" w:rsidP="00F425EE">
      <w:pPr>
        <w:shd w:val="clear" w:color="auto" w:fill="FFFFFF" w:themeFill="background1"/>
        <w:spacing w:after="0" w:line="240" w:lineRule="auto"/>
        <w:ind w:firstLine="709"/>
        <w:contextualSpacing/>
        <w:jc w:val="both"/>
        <w:rPr>
          <w:rFonts w:ascii="Times New Roman" w:hAnsi="Times New Roman"/>
          <w:sz w:val="24"/>
          <w:szCs w:val="24"/>
        </w:rPr>
      </w:pPr>
      <w:proofErr w:type="gramStart"/>
      <w:r w:rsidRPr="00716667">
        <w:rPr>
          <w:rFonts w:ascii="Times New Roman" w:hAnsi="Times New Roman"/>
          <w:sz w:val="24"/>
          <w:szCs w:val="24"/>
        </w:rPr>
        <w:t xml:space="preserve">В соответствии со структурой распределения организаций малого предпринимательства по отраслям экономики в рассматриваемом периоде наибольшее количество занятых приходится на следующие отрасли: торговля и общепит – 4 984 </w:t>
      </w:r>
      <w:r>
        <w:rPr>
          <w:rFonts w:ascii="Times New Roman" w:hAnsi="Times New Roman"/>
          <w:sz w:val="24"/>
          <w:szCs w:val="24"/>
        </w:rPr>
        <w:t>человек (</w:t>
      </w:r>
      <w:r w:rsidRPr="00716667">
        <w:rPr>
          <w:rFonts w:ascii="Times New Roman" w:hAnsi="Times New Roman"/>
          <w:sz w:val="24"/>
          <w:szCs w:val="24"/>
        </w:rPr>
        <w:t xml:space="preserve">-2,4% по сравнению с базовым </w:t>
      </w:r>
      <w:r>
        <w:rPr>
          <w:rFonts w:ascii="Times New Roman" w:hAnsi="Times New Roman"/>
          <w:sz w:val="24"/>
          <w:szCs w:val="24"/>
        </w:rPr>
        <w:t>уровнем</w:t>
      </w:r>
      <w:r w:rsidRPr="00716667">
        <w:rPr>
          <w:rFonts w:ascii="Times New Roman" w:hAnsi="Times New Roman"/>
          <w:sz w:val="24"/>
          <w:szCs w:val="24"/>
        </w:rPr>
        <w:t xml:space="preserve"> минувшего года); промышленность – </w:t>
      </w:r>
      <w:r w:rsidR="00825344">
        <w:rPr>
          <w:rFonts w:ascii="Times New Roman" w:hAnsi="Times New Roman"/>
          <w:sz w:val="24"/>
          <w:szCs w:val="24"/>
        </w:rPr>
        <w:t xml:space="preserve">                               </w:t>
      </w:r>
      <w:r w:rsidRPr="00716667">
        <w:rPr>
          <w:rFonts w:ascii="Times New Roman" w:hAnsi="Times New Roman"/>
          <w:sz w:val="24"/>
          <w:szCs w:val="24"/>
        </w:rPr>
        <w:t>2 319</w:t>
      </w:r>
      <w:r>
        <w:rPr>
          <w:rFonts w:ascii="Times New Roman" w:hAnsi="Times New Roman"/>
          <w:sz w:val="24"/>
          <w:szCs w:val="24"/>
        </w:rPr>
        <w:t xml:space="preserve"> работников (-</w:t>
      </w:r>
      <w:r w:rsidRPr="00716667">
        <w:rPr>
          <w:rFonts w:ascii="Times New Roman" w:hAnsi="Times New Roman"/>
          <w:sz w:val="24"/>
          <w:szCs w:val="24"/>
        </w:rPr>
        <w:t>4,6%); сельско</w:t>
      </w:r>
      <w:r>
        <w:rPr>
          <w:rFonts w:ascii="Times New Roman" w:hAnsi="Times New Roman"/>
          <w:sz w:val="24"/>
          <w:szCs w:val="24"/>
        </w:rPr>
        <w:t>е хозяйство – 1 696 человек (+</w:t>
      </w:r>
      <w:r w:rsidRPr="00716667">
        <w:rPr>
          <w:rFonts w:ascii="Times New Roman" w:hAnsi="Times New Roman"/>
          <w:sz w:val="24"/>
          <w:szCs w:val="24"/>
        </w:rPr>
        <w:t xml:space="preserve">4,4%); строительство – </w:t>
      </w:r>
      <w:r w:rsidR="00825344">
        <w:rPr>
          <w:rFonts w:ascii="Times New Roman" w:hAnsi="Times New Roman"/>
          <w:sz w:val="24"/>
          <w:szCs w:val="24"/>
        </w:rPr>
        <w:t xml:space="preserve">          </w:t>
      </w:r>
      <w:r w:rsidRPr="00716667">
        <w:rPr>
          <w:rFonts w:ascii="Times New Roman" w:hAnsi="Times New Roman"/>
          <w:sz w:val="24"/>
          <w:szCs w:val="24"/>
        </w:rPr>
        <w:t xml:space="preserve">1 335 </w:t>
      </w:r>
      <w:r>
        <w:rPr>
          <w:rFonts w:ascii="Times New Roman" w:hAnsi="Times New Roman"/>
          <w:sz w:val="24"/>
          <w:szCs w:val="24"/>
        </w:rPr>
        <w:t xml:space="preserve">человек </w:t>
      </w:r>
      <w:r w:rsidRPr="00716667">
        <w:rPr>
          <w:rFonts w:ascii="Times New Roman" w:hAnsi="Times New Roman"/>
          <w:sz w:val="24"/>
          <w:szCs w:val="24"/>
        </w:rPr>
        <w:t>(-5,8%).</w:t>
      </w:r>
      <w:proofErr w:type="gramEnd"/>
    </w:p>
    <w:p w:rsidR="00F425EE" w:rsidRDefault="00F425EE" w:rsidP="00F425EE">
      <w:pPr>
        <w:shd w:val="clear" w:color="auto" w:fill="FFFFFF" w:themeFill="background1"/>
        <w:spacing w:after="0" w:line="240" w:lineRule="auto"/>
        <w:ind w:firstLine="709"/>
        <w:jc w:val="both"/>
        <w:rPr>
          <w:rFonts w:ascii="Times New Roman" w:hAnsi="Times New Roman"/>
          <w:sz w:val="24"/>
          <w:szCs w:val="24"/>
        </w:rPr>
      </w:pPr>
      <w:r w:rsidRPr="00716667">
        <w:rPr>
          <w:rFonts w:ascii="Times New Roman" w:hAnsi="Times New Roman"/>
          <w:sz w:val="24"/>
          <w:szCs w:val="24"/>
        </w:rPr>
        <w:t>В целом средняя численность работников на конец отчетного периода сократилась на 223 человек</w:t>
      </w:r>
      <w:r>
        <w:rPr>
          <w:rFonts w:ascii="Times New Roman" w:hAnsi="Times New Roman"/>
          <w:sz w:val="24"/>
          <w:szCs w:val="24"/>
        </w:rPr>
        <w:t>,</w:t>
      </w:r>
      <w:r w:rsidRPr="00716667">
        <w:rPr>
          <w:rFonts w:ascii="Times New Roman" w:hAnsi="Times New Roman"/>
          <w:sz w:val="24"/>
          <w:szCs w:val="24"/>
        </w:rPr>
        <w:t xml:space="preserve"> или на 1,6%</w:t>
      </w:r>
      <w:r>
        <w:rPr>
          <w:rFonts w:ascii="Times New Roman" w:hAnsi="Times New Roman"/>
          <w:sz w:val="24"/>
          <w:szCs w:val="24"/>
        </w:rPr>
        <w:t>,</w:t>
      </w:r>
      <w:r w:rsidRPr="00716667">
        <w:rPr>
          <w:rFonts w:ascii="Times New Roman" w:hAnsi="Times New Roman"/>
          <w:sz w:val="24"/>
          <w:szCs w:val="24"/>
        </w:rPr>
        <w:t xml:space="preserve"> и составила 13 565 человек, из </w:t>
      </w:r>
      <w:r>
        <w:rPr>
          <w:rFonts w:ascii="Times New Roman" w:hAnsi="Times New Roman"/>
          <w:sz w:val="24"/>
          <w:szCs w:val="24"/>
        </w:rPr>
        <w:t>которых</w:t>
      </w:r>
      <w:r w:rsidRPr="00716667">
        <w:rPr>
          <w:rFonts w:ascii="Times New Roman" w:hAnsi="Times New Roman"/>
          <w:sz w:val="24"/>
          <w:szCs w:val="24"/>
        </w:rPr>
        <w:t xml:space="preserve"> 52,0% (7 050 человека</w:t>
      </w:r>
      <w:r>
        <w:rPr>
          <w:rFonts w:ascii="Times New Roman" w:hAnsi="Times New Roman"/>
          <w:sz w:val="24"/>
          <w:szCs w:val="24"/>
        </w:rPr>
        <w:t xml:space="preserve">, </w:t>
      </w:r>
      <w:r>
        <w:rPr>
          <w:rFonts w:ascii="Times New Roman" w:hAnsi="Times New Roman"/>
          <w:sz w:val="24"/>
          <w:szCs w:val="24"/>
        </w:rPr>
        <w:br/>
        <w:t>-1,5%</w:t>
      </w:r>
      <w:r w:rsidRPr="00716667">
        <w:rPr>
          <w:rFonts w:ascii="Times New Roman" w:hAnsi="Times New Roman"/>
          <w:sz w:val="24"/>
          <w:szCs w:val="24"/>
        </w:rPr>
        <w:t>) заняты в малом бизнесе, и соответственно 48,0% (6 515 человек</w:t>
      </w:r>
      <w:r>
        <w:rPr>
          <w:rFonts w:ascii="Times New Roman" w:hAnsi="Times New Roman"/>
          <w:sz w:val="24"/>
          <w:szCs w:val="24"/>
        </w:rPr>
        <w:t xml:space="preserve">, -1,7%) заняты на </w:t>
      </w:r>
      <w:proofErr w:type="spellStart"/>
      <w:r>
        <w:rPr>
          <w:rFonts w:ascii="Times New Roman" w:hAnsi="Times New Roman"/>
          <w:sz w:val="24"/>
          <w:szCs w:val="24"/>
        </w:rPr>
        <w:t>микропредприятиях</w:t>
      </w:r>
      <w:proofErr w:type="spellEnd"/>
      <w:r w:rsidRPr="00716667">
        <w:rPr>
          <w:rFonts w:ascii="Times New Roman" w:hAnsi="Times New Roman"/>
          <w:sz w:val="24"/>
          <w:szCs w:val="24"/>
        </w:rPr>
        <w:t xml:space="preserve">. </w:t>
      </w:r>
      <w:r>
        <w:rPr>
          <w:rFonts w:ascii="Times New Roman" w:hAnsi="Times New Roman"/>
          <w:sz w:val="24"/>
          <w:szCs w:val="24"/>
        </w:rPr>
        <w:t>В свою очередь по сравнению с началом 2017 года отмечается увеличение численности работников, задействованных в организациях малого бизнеса, на 2,7%, или на 354 чел.</w:t>
      </w:r>
    </w:p>
    <w:p w:rsidR="00F425EE" w:rsidRPr="00716667" w:rsidRDefault="00F425EE" w:rsidP="00F425EE">
      <w:pPr>
        <w:shd w:val="clear" w:color="auto" w:fill="FFFFFF" w:themeFill="background1"/>
        <w:spacing w:after="0" w:line="240" w:lineRule="auto"/>
        <w:ind w:firstLine="709"/>
        <w:jc w:val="both"/>
        <w:rPr>
          <w:rFonts w:ascii="Times New Roman" w:hAnsi="Times New Roman"/>
          <w:sz w:val="24"/>
          <w:szCs w:val="24"/>
        </w:rPr>
      </w:pPr>
      <w:proofErr w:type="gramStart"/>
      <w:r w:rsidRPr="00716667">
        <w:rPr>
          <w:rFonts w:ascii="Times New Roman" w:hAnsi="Times New Roman"/>
          <w:sz w:val="24"/>
          <w:szCs w:val="24"/>
        </w:rPr>
        <w:t xml:space="preserve">Следует отметить, что в </w:t>
      </w:r>
      <w:r w:rsidRPr="00716667">
        <w:rPr>
          <w:rFonts w:ascii="Times New Roman" w:hAnsi="Times New Roman"/>
          <w:sz w:val="24"/>
          <w:szCs w:val="24"/>
          <w:lang w:val="en-US"/>
        </w:rPr>
        <w:t>I</w:t>
      </w:r>
      <w:r w:rsidRPr="00716667">
        <w:rPr>
          <w:rFonts w:ascii="Times New Roman" w:hAnsi="Times New Roman"/>
          <w:sz w:val="24"/>
          <w:szCs w:val="24"/>
        </w:rPr>
        <w:t xml:space="preserve"> полугодии 2017 года доля занятых в организациях малого предпринимательства в общей численности занятых в экон</w:t>
      </w:r>
      <w:r>
        <w:rPr>
          <w:rFonts w:ascii="Times New Roman" w:hAnsi="Times New Roman"/>
          <w:sz w:val="24"/>
          <w:szCs w:val="24"/>
        </w:rPr>
        <w:t>омике незначительно выросла (+</w:t>
      </w:r>
      <w:r w:rsidRPr="00716667">
        <w:rPr>
          <w:rFonts w:ascii="Times New Roman" w:hAnsi="Times New Roman"/>
          <w:sz w:val="24"/>
          <w:szCs w:val="24"/>
        </w:rPr>
        <w:t xml:space="preserve">0,1%) и составила 10,6%. </w:t>
      </w:r>
      <w:proofErr w:type="gramEnd"/>
    </w:p>
    <w:p w:rsidR="00F425EE" w:rsidRPr="00716667"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716667">
        <w:rPr>
          <w:rFonts w:ascii="Times New Roman" w:eastAsia="Calibri" w:hAnsi="Times New Roman"/>
          <w:sz w:val="24"/>
          <w:szCs w:val="24"/>
        </w:rPr>
        <w:t xml:space="preserve">В </w:t>
      </w:r>
      <w:r w:rsidRPr="00716667">
        <w:rPr>
          <w:rFonts w:ascii="Times New Roman" w:hAnsi="Times New Roman"/>
          <w:sz w:val="24"/>
          <w:szCs w:val="24"/>
        </w:rPr>
        <w:t xml:space="preserve">отчетном периоде </w:t>
      </w:r>
      <w:r w:rsidRPr="00716667">
        <w:rPr>
          <w:rFonts w:ascii="Times New Roman" w:eastAsia="Calibri" w:hAnsi="Times New Roman"/>
          <w:sz w:val="24"/>
          <w:szCs w:val="24"/>
        </w:rPr>
        <w:t xml:space="preserve">номинальная среднемесячная начисленная заработная плата одного работника в организациях малого бизнеса </w:t>
      </w:r>
      <w:r>
        <w:rPr>
          <w:rFonts w:ascii="Times New Roman" w:eastAsia="Calibri" w:hAnsi="Times New Roman"/>
          <w:sz w:val="24"/>
          <w:szCs w:val="24"/>
        </w:rPr>
        <w:t>выросла</w:t>
      </w:r>
      <w:r w:rsidRPr="00716667">
        <w:rPr>
          <w:rFonts w:ascii="Times New Roman" w:eastAsia="Calibri" w:hAnsi="Times New Roman"/>
          <w:sz w:val="24"/>
          <w:szCs w:val="24"/>
        </w:rPr>
        <w:t xml:space="preserve"> на 1,3%</w:t>
      </w:r>
      <w:r>
        <w:rPr>
          <w:rFonts w:ascii="Times New Roman" w:eastAsia="Calibri" w:hAnsi="Times New Roman"/>
          <w:sz w:val="24"/>
          <w:szCs w:val="24"/>
        </w:rPr>
        <w:t xml:space="preserve"> до </w:t>
      </w:r>
      <w:r>
        <w:rPr>
          <w:rFonts w:ascii="Times New Roman" w:hAnsi="Times New Roman"/>
          <w:sz w:val="24"/>
          <w:szCs w:val="24"/>
        </w:rPr>
        <w:t>3 166,7 руб</w:t>
      </w:r>
      <w:r w:rsidRPr="00716667">
        <w:rPr>
          <w:rFonts w:ascii="Times New Roman" w:eastAsia="Calibri" w:hAnsi="Times New Roman"/>
          <w:sz w:val="24"/>
          <w:szCs w:val="24"/>
        </w:rPr>
        <w:t xml:space="preserve">. При этом необходимо отметить, что </w:t>
      </w:r>
      <w:r>
        <w:rPr>
          <w:rFonts w:ascii="Times New Roman" w:eastAsia="Calibri" w:hAnsi="Times New Roman"/>
          <w:sz w:val="24"/>
          <w:szCs w:val="24"/>
        </w:rPr>
        <w:t xml:space="preserve">официальная </w:t>
      </w:r>
      <w:r w:rsidRPr="00716667">
        <w:rPr>
          <w:rFonts w:ascii="Times New Roman" w:eastAsia="Calibri" w:hAnsi="Times New Roman"/>
          <w:sz w:val="24"/>
          <w:szCs w:val="24"/>
        </w:rPr>
        <w:t xml:space="preserve">оплата труда в сфере малого бизнеса остается на низком уровне и составляет 82,4% от </w:t>
      </w:r>
      <w:proofErr w:type="spellStart"/>
      <w:r w:rsidRPr="00716667">
        <w:rPr>
          <w:rFonts w:ascii="Times New Roman" w:eastAsia="Calibri" w:hAnsi="Times New Roman"/>
          <w:sz w:val="24"/>
          <w:szCs w:val="24"/>
        </w:rPr>
        <w:t>среднереспубликанского</w:t>
      </w:r>
      <w:proofErr w:type="spellEnd"/>
      <w:r w:rsidRPr="00716667">
        <w:rPr>
          <w:rFonts w:ascii="Times New Roman" w:eastAsia="Calibri" w:hAnsi="Times New Roman"/>
          <w:sz w:val="24"/>
          <w:szCs w:val="24"/>
        </w:rPr>
        <w:t xml:space="preserve"> уровня (3 845 руб.) и 65,3% от средней величины заработной платы во внебюджетном секторе (4 848 руб.).</w:t>
      </w:r>
    </w:p>
    <w:p w:rsidR="00F425EE" w:rsidRPr="00FA2A38"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716667">
        <w:rPr>
          <w:rFonts w:ascii="Times New Roman" w:eastAsia="Calibri" w:hAnsi="Times New Roman"/>
          <w:sz w:val="24"/>
          <w:szCs w:val="24"/>
        </w:rPr>
        <w:t>Наиболее высокий уровень заработной платы отмечен в таких отраслях как: «Связь», «Здравоохранение и социальное обеспечение», «Заготовки», «Общая коммерческая деятельность» и «Образование».</w:t>
      </w:r>
    </w:p>
    <w:p w:rsidR="00F425EE" w:rsidRPr="00FA2A38" w:rsidRDefault="00F425EE" w:rsidP="00F425EE">
      <w:pPr>
        <w:shd w:val="clear" w:color="auto" w:fill="FFFFFF" w:themeFill="background1"/>
        <w:spacing w:after="0" w:line="240" w:lineRule="auto"/>
        <w:ind w:hanging="142"/>
        <w:jc w:val="both"/>
        <w:rPr>
          <w:rFonts w:ascii="Times New Roman" w:eastAsia="Calibri" w:hAnsi="Times New Roman"/>
          <w:sz w:val="24"/>
          <w:szCs w:val="24"/>
        </w:rPr>
      </w:pPr>
      <w:r w:rsidRPr="00FA2A38">
        <w:rPr>
          <w:rFonts w:ascii="Times New Roman" w:eastAsia="Calibri" w:hAnsi="Times New Roman"/>
          <w:noProof/>
          <w:sz w:val="24"/>
          <w:szCs w:val="24"/>
        </w:rPr>
        <w:lastRenderedPageBreak/>
        <w:drawing>
          <wp:inline distT="0" distB="0" distL="0" distR="0">
            <wp:extent cx="6146358" cy="4770782"/>
            <wp:effectExtent l="0" t="0" r="0" b="0"/>
            <wp:docPr id="8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25EE"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644F3E">
        <w:rPr>
          <w:rFonts w:ascii="Times New Roman" w:eastAsia="Calibri" w:hAnsi="Times New Roman"/>
          <w:sz w:val="24"/>
          <w:szCs w:val="24"/>
        </w:rPr>
        <w:t xml:space="preserve">Реализованные </w:t>
      </w:r>
      <w:r w:rsidRPr="00644F3E">
        <w:rPr>
          <w:rFonts w:ascii="Times New Roman" w:hAnsi="Times New Roman"/>
          <w:sz w:val="24"/>
          <w:szCs w:val="24"/>
        </w:rPr>
        <w:t xml:space="preserve">в январе – июне 2017 года </w:t>
      </w:r>
      <w:r w:rsidRPr="00644F3E">
        <w:rPr>
          <w:rFonts w:ascii="Times New Roman" w:eastAsia="Calibri" w:hAnsi="Times New Roman"/>
          <w:sz w:val="24"/>
          <w:szCs w:val="24"/>
        </w:rPr>
        <w:t xml:space="preserve">государством меры по поддержке малого предпринимательства положительно отразились на инвестиционной активности </w:t>
      </w:r>
      <w:r>
        <w:rPr>
          <w:rFonts w:ascii="Times New Roman" w:eastAsia="Calibri" w:hAnsi="Times New Roman"/>
          <w:sz w:val="24"/>
          <w:szCs w:val="24"/>
        </w:rPr>
        <w:t>в секторе</w:t>
      </w:r>
      <w:r w:rsidRPr="00644F3E">
        <w:rPr>
          <w:rFonts w:ascii="Times New Roman" w:hAnsi="Times New Roman"/>
          <w:sz w:val="24"/>
          <w:szCs w:val="24"/>
        </w:rPr>
        <w:t xml:space="preserve">. Несмотря на значительный спад капитальных </w:t>
      </w:r>
      <w:r>
        <w:rPr>
          <w:rFonts w:ascii="Times New Roman" w:hAnsi="Times New Roman"/>
          <w:sz w:val="24"/>
          <w:szCs w:val="24"/>
        </w:rPr>
        <w:t>вложений в целом по экономике (</w:t>
      </w:r>
      <w:r w:rsidRPr="00644F3E">
        <w:rPr>
          <w:rFonts w:ascii="Times New Roman" w:hAnsi="Times New Roman"/>
          <w:sz w:val="24"/>
          <w:szCs w:val="24"/>
        </w:rPr>
        <w:t>-33,2%), субъекты малого предпринимательства демонстрир</w:t>
      </w:r>
      <w:r>
        <w:rPr>
          <w:rFonts w:ascii="Times New Roman" w:hAnsi="Times New Roman"/>
          <w:sz w:val="24"/>
          <w:szCs w:val="24"/>
        </w:rPr>
        <w:t>овали</w:t>
      </w:r>
      <w:r w:rsidRPr="00644F3E">
        <w:rPr>
          <w:rFonts w:ascii="Times New Roman" w:hAnsi="Times New Roman"/>
          <w:sz w:val="24"/>
          <w:szCs w:val="24"/>
        </w:rPr>
        <w:t xml:space="preserve"> существенное увеличение капитальных вложений.</w:t>
      </w:r>
      <w:r w:rsidRPr="00644F3E">
        <w:rPr>
          <w:rFonts w:ascii="Times New Roman" w:eastAsia="Calibri" w:hAnsi="Times New Roman"/>
          <w:sz w:val="24"/>
          <w:szCs w:val="24"/>
        </w:rPr>
        <w:t xml:space="preserve"> По итогам отчетного периода инвестиции в основной капитал (в части новых и приобретенных по импорту основных средств) выросли на 30,5% до </w:t>
      </w:r>
      <w:r>
        <w:rPr>
          <w:rFonts w:ascii="Times New Roman" w:eastAsia="Calibri" w:hAnsi="Times New Roman"/>
          <w:sz w:val="24"/>
          <w:szCs w:val="24"/>
        </w:rPr>
        <w:br/>
      </w:r>
      <w:r w:rsidRPr="00644F3E">
        <w:rPr>
          <w:rFonts w:ascii="Times New Roman" w:eastAsia="Calibri" w:hAnsi="Times New Roman"/>
          <w:sz w:val="24"/>
          <w:szCs w:val="24"/>
        </w:rPr>
        <w:t xml:space="preserve">55,2 </w:t>
      </w:r>
      <w:proofErr w:type="spellStart"/>
      <w:r w:rsidRPr="00644F3E">
        <w:rPr>
          <w:rFonts w:ascii="Times New Roman" w:eastAsia="Calibri" w:hAnsi="Times New Roman"/>
          <w:sz w:val="24"/>
          <w:szCs w:val="24"/>
        </w:rPr>
        <w:t>млн</w:t>
      </w:r>
      <w:proofErr w:type="spellEnd"/>
      <w:r w:rsidRPr="00644F3E">
        <w:rPr>
          <w:rFonts w:ascii="Times New Roman" w:eastAsia="Calibri" w:hAnsi="Times New Roman"/>
          <w:sz w:val="24"/>
          <w:szCs w:val="24"/>
        </w:rPr>
        <w:t xml:space="preserve"> руб. и сформировали 18,7% от общего объема инвестиций в основной капитал по республике (в базовом периоде 2016 года – 11,3%).</w:t>
      </w:r>
    </w:p>
    <w:p w:rsidR="00F425EE" w:rsidRPr="00716667" w:rsidRDefault="00F425EE" w:rsidP="00F425EE">
      <w:pPr>
        <w:shd w:val="clear" w:color="auto" w:fill="FFFFFF" w:themeFill="background1"/>
        <w:spacing w:after="0" w:line="240" w:lineRule="auto"/>
        <w:ind w:firstLine="709"/>
        <w:jc w:val="both"/>
        <w:rPr>
          <w:rFonts w:ascii="Times New Roman" w:hAnsi="Times New Roman"/>
          <w:sz w:val="24"/>
          <w:szCs w:val="24"/>
        </w:rPr>
      </w:pPr>
      <w:r w:rsidRPr="00716667">
        <w:rPr>
          <w:rFonts w:ascii="Times New Roman" w:hAnsi="Times New Roman"/>
          <w:sz w:val="24"/>
          <w:szCs w:val="24"/>
        </w:rPr>
        <w:t xml:space="preserve">Положительная динамика была характерна для большинства направлений малого предпринимательства. </w:t>
      </w:r>
      <w:r>
        <w:rPr>
          <w:rFonts w:ascii="Times New Roman" w:hAnsi="Times New Roman"/>
          <w:sz w:val="24"/>
          <w:szCs w:val="24"/>
        </w:rPr>
        <w:t>Так, у</w:t>
      </w:r>
      <w:r w:rsidRPr="00716667">
        <w:rPr>
          <w:rFonts w:ascii="Times New Roman" w:hAnsi="Times New Roman"/>
          <w:sz w:val="24"/>
          <w:szCs w:val="24"/>
        </w:rPr>
        <w:t>величение инвестиционной активности было отмечено по организациям</w:t>
      </w:r>
      <w:r>
        <w:rPr>
          <w:rFonts w:ascii="Times New Roman" w:hAnsi="Times New Roman"/>
          <w:sz w:val="24"/>
          <w:szCs w:val="24"/>
        </w:rPr>
        <w:t xml:space="preserve"> сельского хозяйства:+</w:t>
      </w:r>
      <w:r w:rsidRPr="00716667">
        <w:rPr>
          <w:rFonts w:ascii="Times New Roman" w:hAnsi="Times New Roman"/>
          <w:sz w:val="24"/>
          <w:szCs w:val="24"/>
        </w:rPr>
        <w:t xml:space="preserve">63,3% до 27,4 </w:t>
      </w:r>
      <w:proofErr w:type="spellStart"/>
      <w:proofErr w:type="gramStart"/>
      <w:r w:rsidRPr="00716667">
        <w:rPr>
          <w:rFonts w:ascii="Times New Roman" w:hAnsi="Times New Roman"/>
          <w:sz w:val="24"/>
          <w:szCs w:val="24"/>
        </w:rPr>
        <w:t>млн</w:t>
      </w:r>
      <w:proofErr w:type="spellEnd"/>
      <w:proofErr w:type="gramEnd"/>
      <w:r w:rsidRPr="00716667">
        <w:rPr>
          <w:rFonts w:ascii="Times New Roman" w:hAnsi="Times New Roman"/>
          <w:sz w:val="24"/>
          <w:szCs w:val="24"/>
        </w:rPr>
        <w:t xml:space="preserve"> руб.</w:t>
      </w:r>
      <w:r>
        <w:rPr>
          <w:rFonts w:ascii="Times New Roman" w:hAnsi="Times New Roman"/>
          <w:sz w:val="24"/>
          <w:szCs w:val="24"/>
        </w:rPr>
        <w:t xml:space="preserve">; торговли и общепита – в 2,2 раза до 10,0 </w:t>
      </w:r>
      <w:proofErr w:type="spellStart"/>
      <w:r>
        <w:rPr>
          <w:rFonts w:ascii="Times New Roman" w:hAnsi="Times New Roman"/>
          <w:sz w:val="24"/>
          <w:szCs w:val="24"/>
        </w:rPr>
        <w:t>млн</w:t>
      </w:r>
      <w:proofErr w:type="spellEnd"/>
      <w:r w:rsidRPr="00716667">
        <w:rPr>
          <w:rFonts w:ascii="Times New Roman" w:hAnsi="Times New Roman"/>
          <w:sz w:val="24"/>
          <w:szCs w:val="24"/>
        </w:rPr>
        <w:t xml:space="preserve"> руб., строительства – на 39,2% до 6,6 </w:t>
      </w:r>
      <w:proofErr w:type="spellStart"/>
      <w:r w:rsidRPr="00716667">
        <w:rPr>
          <w:rFonts w:ascii="Times New Roman" w:hAnsi="Times New Roman"/>
          <w:sz w:val="24"/>
          <w:szCs w:val="24"/>
        </w:rPr>
        <w:t>млн</w:t>
      </w:r>
      <w:proofErr w:type="spellEnd"/>
      <w:r w:rsidRPr="00716667">
        <w:rPr>
          <w:rFonts w:ascii="Times New Roman" w:hAnsi="Times New Roman"/>
          <w:sz w:val="24"/>
          <w:szCs w:val="24"/>
        </w:rPr>
        <w:t xml:space="preserve"> руб., </w:t>
      </w:r>
      <w:r>
        <w:rPr>
          <w:rFonts w:ascii="Times New Roman" w:hAnsi="Times New Roman"/>
          <w:sz w:val="24"/>
          <w:szCs w:val="24"/>
        </w:rPr>
        <w:t>промышленности</w:t>
      </w:r>
      <w:r w:rsidRPr="00716667">
        <w:rPr>
          <w:rFonts w:ascii="Times New Roman" w:hAnsi="Times New Roman"/>
          <w:sz w:val="24"/>
          <w:szCs w:val="24"/>
        </w:rPr>
        <w:t xml:space="preserve"> - в 2,0 раза до 5,3 </w:t>
      </w:r>
      <w:proofErr w:type="spellStart"/>
      <w:r w:rsidRPr="00716667">
        <w:rPr>
          <w:rFonts w:ascii="Times New Roman" w:hAnsi="Times New Roman"/>
          <w:sz w:val="24"/>
          <w:szCs w:val="24"/>
        </w:rPr>
        <w:t>млн</w:t>
      </w:r>
      <w:proofErr w:type="spellEnd"/>
      <w:r w:rsidRPr="00716667">
        <w:rPr>
          <w:rFonts w:ascii="Times New Roman" w:hAnsi="Times New Roman"/>
          <w:sz w:val="24"/>
          <w:szCs w:val="24"/>
        </w:rPr>
        <w:t xml:space="preserve"> руб.</w:t>
      </w:r>
    </w:p>
    <w:p w:rsidR="00F425EE" w:rsidRPr="00716667" w:rsidRDefault="00F425EE" w:rsidP="00F425EE">
      <w:pPr>
        <w:shd w:val="clear" w:color="auto" w:fill="FFFFFF" w:themeFill="background1"/>
        <w:spacing w:after="0" w:line="240" w:lineRule="auto"/>
        <w:ind w:firstLine="709"/>
        <w:jc w:val="both"/>
        <w:rPr>
          <w:rFonts w:ascii="Times New Roman" w:hAnsi="Times New Roman"/>
          <w:sz w:val="24"/>
          <w:szCs w:val="24"/>
        </w:rPr>
      </w:pPr>
      <w:r w:rsidRPr="00716667">
        <w:rPr>
          <w:rFonts w:ascii="Times New Roman" w:hAnsi="Times New Roman"/>
          <w:sz w:val="24"/>
          <w:szCs w:val="24"/>
        </w:rPr>
        <w:t xml:space="preserve">Вместе с </w:t>
      </w:r>
      <w:r>
        <w:rPr>
          <w:rFonts w:ascii="Times New Roman" w:hAnsi="Times New Roman"/>
          <w:sz w:val="24"/>
          <w:szCs w:val="24"/>
        </w:rPr>
        <w:t>тем</w:t>
      </w:r>
      <w:r w:rsidRPr="00716667">
        <w:rPr>
          <w:rFonts w:ascii="Times New Roman" w:hAnsi="Times New Roman"/>
          <w:sz w:val="24"/>
          <w:szCs w:val="24"/>
        </w:rPr>
        <w:t>, сокращение инвестиционных вложений отмечается по организаци</w:t>
      </w:r>
      <w:r>
        <w:rPr>
          <w:rFonts w:ascii="Times New Roman" w:hAnsi="Times New Roman"/>
          <w:sz w:val="24"/>
          <w:szCs w:val="24"/>
        </w:rPr>
        <w:t>ям</w:t>
      </w:r>
      <w:r w:rsidRPr="00716667">
        <w:rPr>
          <w:rFonts w:ascii="Times New Roman" w:hAnsi="Times New Roman"/>
          <w:sz w:val="24"/>
          <w:szCs w:val="24"/>
        </w:rPr>
        <w:t xml:space="preserve"> отрасл</w:t>
      </w:r>
      <w:r>
        <w:rPr>
          <w:rFonts w:ascii="Times New Roman" w:hAnsi="Times New Roman"/>
          <w:sz w:val="24"/>
          <w:szCs w:val="24"/>
        </w:rPr>
        <w:t>ей</w:t>
      </w:r>
      <w:r w:rsidRPr="00716667">
        <w:rPr>
          <w:rFonts w:ascii="Times New Roman" w:hAnsi="Times New Roman"/>
          <w:sz w:val="24"/>
          <w:szCs w:val="24"/>
        </w:rPr>
        <w:t xml:space="preserve"> «Оп</w:t>
      </w:r>
      <w:r>
        <w:rPr>
          <w:rFonts w:ascii="Times New Roman" w:hAnsi="Times New Roman"/>
          <w:sz w:val="24"/>
          <w:szCs w:val="24"/>
        </w:rPr>
        <w:t xml:space="preserve">ерации с недвижимым имуществом» - </w:t>
      </w:r>
      <w:r w:rsidRPr="00716667">
        <w:rPr>
          <w:rFonts w:ascii="Times New Roman" w:hAnsi="Times New Roman"/>
          <w:sz w:val="24"/>
          <w:szCs w:val="24"/>
        </w:rPr>
        <w:t xml:space="preserve">в 11,0 раз до 0,9 </w:t>
      </w:r>
      <w:proofErr w:type="spellStart"/>
      <w:r w:rsidRPr="00716667">
        <w:rPr>
          <w:rFonts w:ascii="Times New Roman" w:hAnsi="Times New Roman"/>
          <w:sz w:val="24"/>
          <w:szCs w:val="24"/>
        </w:rPr>
        <w:t>мл</w:t>
      </w:r>
      <w:r>
        <w:rPr>
          <w:rFonts w:ascii="Times New Roman" w:hAnsi="Times New Roman"/>
          <w:sz w:val="24"/>
          <w:szCs w:val="24"/>
        </w:rPr>
        <w:t>н</w:t>
      </w:r>
      <w:proofErr w:type="spellEnd"/>
      <w:r w:rsidRPr="00716667">
        <w:rPr>
          <w:rFonts w:ascii="Times New Roman" w:hAnsi="Times New Roman"/>
          <w:sz w:val="24"/>
          <w:szCs w:val="24"/>
        </w:rPr>
        <w:t xml:space="preserve"> руб., «Здравоохра</w:t>
      </w:r>
      <w:r>
        <w:rPr>
          <w:rFonts w:ascii="Times New Roman" w:hAnsi="Times New Roman"/>
          <w:sz w:val="24"/>
          <w:szCs w:val="24"/>
        </w:rPr>
        <w:t xml:space="preserve">нение и социальное обеспечение» - </w:t>
      </w:r>
      <w:r w:rsidRPr="00716667">
        <w:rPr>
          <w:rFonts w:ascii="Times New Roman" w:hAnsi="Times New Roman"/>
          <w:sz w:val="24"/>
          <w:szCs w:val="24"/>
        </w:rPr>
        <w:t xml:space="preserve">в 2,6 раза до </w:t>
      </w:r>
      <w:r>
        <w:rPr>
          <w:rFonts w:ascii="Times New Roman" w:hAnsi="Times New Roman"/>
          <w:sz w:val="24"/>
          <w:szCs w:val="24"/>
        </w:rPr>
        <w:t xml:space="preserve">0,3 </w:t>
      </w:r>
      <w:proofErr w:type="spellStart"/>
      <w:r>
        <w:rPr>
          <w:rFonts w:ascii="Times New Roman" w:hAnsi="Times New Roman"/>
          <w:sz w:val="24"/>
          <w:szCs w:val="24"/>
        </w:rPr>
        <w:t>млн</w:t>
      </w:r>
      <w:proofErr w:type="spellEnd"/>
      <w:r w:rsidRPr="00716667">
        <w:rPr>
          <w:rFonts w:ascii="Times New Roman" w:hAnsi="Times New Roman"/>
          <w:sz w:val="24"/>
          <w:szCs w:val="24"/>
        </w:rPr>
        <w:t xml:space="preserve"> руб., «Физкультура, отдых и туризм»</w:t>
      </w:r>
      <w:r>
        <w:rPr>
          <w:rFonts w:ascii="Times New Roman" w:hAnsi="Times New Roman"/>
          <w:sz w:val="24"/>
          <w:szCs w:val="24"/>
        </w:rPr>
        <w:t xml:space="preserve"> - </w:t>
      </w:r>
      <w:r w:rsidRPr="00716667">
        <w:rPr>
          <w:rFonts w:ascii="Times New Roman" w:hAnsi="Times New Roman"/>
          <w:sz w:val="24"/>
          <w:szCs w:val="24"/>
        </w:rPr>
        <w:t xml:space="preserve">на 14,4% до 0,4 </w:t>
      </w:r>
      <w:proofErr w:type="spellStart"/>
      <w:r w:rsidRPr="00716667">
        <w:rPr>
          <w:rFonts w:ascii="Times New Roman" w:hAnsi="Times New Roman"/>
          <w:sz w:val="24"/>
          <w:szCs w:val="24"/>
        </w:rPr>
        <w:t>млн</w:t>
      </w:r>
      <w:proofErr w:type="spellEnd"/>
      <w:r w:rsidRPr="00716667">
        <w:rPr>
          <w:rFonts w:ascii="Times New Roman" w:hAnsi="Times New Roman"/>
          <w:sz w:val="24"/>
          <w:szCs w:val="24"/>
        </w:rPr>
        <w:t xml:space="preserve"> руб.</w:t>
      </w:r>
    </w:p>
    <w:p w:rsidR="00F425EE" w:rsidRPr="00FA2A38" w:rsidRDefault="00F425EE" w:rsidP="00F425EE">
      <w:pPr>
        <w:shd w:val="clear" w:color="auto" w:fill="FFFFFF" w:themeFill="background1"/>
        <w:spacing w:after="0" w:line="240" w:lineRule="auto"/>
        <w:ind w:firstLine="709"/>
        <w:jc w:val="both"/>
        <w:rPr>
          <w:rFonts w:ascii="Times New Roman" w:hAnsi="Times New Roman"/>
          <w:sz w:val="24"/>
          <w:szCs w:val="24"/>
        </w:rPr>
      </w:pPr>
      <w:r w:rsidRPr="00716667">
        <w:rPr>
          <w:rFonts w:ascii="Times New Roman" w:hAnsi="Times New Roman"/>
          <w:sz w:val="24"/>
          <w:szCs w:val="24"/>
        </w:rPr>
        <w:t xml:space="preserve">Из общего объема инвестиционных вложений порядка 63,5% было осуществлено малыми предприятиями и соответственно 36,5% </w:t>
      </w:r>
      <w:proofErr w:type="spellStart"/>
      <w:r w:rsidRPr="00716667">
        <w:rPr>
          <w:rFonts w:ascii="Times New Roman" w:hAnsi="Times New Roman"/>
          <w:sz w:val="24"/>
          <w:szCs w:val="24"/>
        </w:rPr>
        <w:t>микропредприятиями</w:t>
      </w:r>
      <w:proofErr w:type="spellEnd"/>
      <w:r w:rsidRPr="00716667">
        <w:rPr>
          <w:rFonts w:ascii="Times New Roman" w:hAnsi="Times New Roman"/>
          <w:sz w:val="24"/>
          <w:szCs w:val="24"/>
        </w:rPr>
        <w:t>.</w:t>
      </w:r>
    </w:p>
    <w:p w:rsidR="00F425EE" w:rsidRDefault="00F425EE" w:rsidP="00F425EE">
      <w:pPr>
        <w:spacing w:after="0" w:line="240" w:lineRule="auto"/>
        <w:ind w:firstLine="709"/>
        <w:jc w:val="center"/>
        <w:rPr>
          <w:rFonts w:ascii="Times New Roman" w:eastAsia="Calibri" w:hAnsi="Times New Roman"/>
          <w:b/>
          <w:sz w:val="24"/>
          <w:szCs w:val="24"/>
        </w:rPr>
      </w:pPr>
    </w:p>
    <w:p w:rsidR="00A22BDD" w:rsidRDefault="00A22BDD" w:rsidP="00F425EE">
      <w:pPr>
        <w:spacing w:after="0" w:line="240" w:lineRule="auto"/>
        <w:ind w:firstLine="709"/>
        <w:jc w:val="center"/>
        <w:rPr>
          <w:rFonts w:ascii="Times New Roman" w:eastAsia="Calibri" w:hAnsi="Times New Roman"/>
          <w:b/>
          <w:sz w:val="24"/>
          <w:szCs w:val="24"/>
        </w:rPr>
      </w:pPr>
    </w:p>
    <w:p w:rsidR="00A22BDD" w:rsidRDefault="00A22BDD" w:rsidP="00F425EE">
      <w:pPr>
        <w:spacing w:after="0" w:line="240" w:lineRule="auto"/>
        <w:ind w:firstLine="709"/>
        <w:jc w:val="center"/>
        <w:rPr>
          <w:rFonts w:ascii="Times New Roman" w:eastAsia="Calibri" w:hAnsi="Times New Roman"/>
          <w:b/>
          <w:sz w:val="24"/>
          <w:szCs w:val="24"/>
        </w:rPr>
      </w:pPr>
    </w:p>
    <w:p w:rsidR="00A22BDD" w:rsidRDefault="00A22BDD" w:rsidP="00F425EE">
      <w:pPr>
        <w:spacing w:after="0" w:line="240" w:lineRule="auto"/>
        <w:ind w:firstLine="709"/>
        <w:jc w:val="center"/>
        <w:rPr>
          <w:rFonts w:ascii="Times New Roman" w:eastAsia="Calibri" w:hAnsi="Times New Roman"/>
          <w:b/>
          <w:sz w:val="24"/>
          <w:szCs w:val="24"/>
        </w:rPr>
      </w:pPr>
    </w:p>
    <w:p w:rsidR="00A22BDD" w:rsidRDefault="00A22BDD" w:rsidP="00F425EE">
      <w:pPr>
        <w:spacing w:after="0" w:line="240" w:lineRule="auto"/>
        <w:ind w:firstLine="709"/>
        <w:jc w:val="center"/>
        <w:rPr>
          <w:rFonts w:ascii="Times New Roman" w:eastAsia="Calibri" w:hAnsi="Times New Roman"/>
          <w:b/>
          <w:sz w:val="24"/>
          <w:szCs w:val="24"/>
        </w:rPr>
      </w:pPr>
    </w:p>
    <w:p w:rsidR="00A22BDD" w:rsidRDefault="00A22BDD" w:rsidP="00F425EE">
      <w:pPr>
        <w:spacing w:after="0" w:line="240" w:lineRule="auto"/>
        <w:ind w:firstLine="709"/>
        <w:jc w:val="center"/>
        <w:rPr>
          <w:rFonts w:ascii="Times New Roman" w:eastAsia="Calibri" w:hAnsi="Times New Roman"/>
          <w:b/>
          <w:sz w:val="24"/>
          <w:szCs w:val="24"/>
        </w:rPr>
      </w:pPr>
    </w:p>
    <w:p w:rsidR="00A22BDD" w:rsidRDefault="00A22BDD" w:rsidP="00F425EE">
      <w:pPr>
        <w:spacing w:after="0" w:line="240" w:lineRule="auto"/>
        <w:ind w:firstLine="709"/>
        <w:jc w:val="center"/>
        <w:rPr>
          <w:rFonts w:ascii="Times New Roman" w:eastAsia="Calibri" w:hAnsi="Times New Roman"/>
          <w:b/>
          <w:sz w:val="24"/>
          <w:szCs w:val="24"/>
        </w:rPr>
      </w:pPr>
    </w:p>
    <w:p w:rsidR="00A22BDD" w:rsidRDefault="00A22BDD" w:rsidP="00F425EE">
      <w:pPr>
        <w:spacing w:after="0" w:line="240" w:lineRule="auto"/>
        <w:ind w:firstLine="709"/>
        <w:jc w:val="center"/>
        <w:rPr>
          <w:rFonts w:ascii="Times New Roman" w:eastAsia="Calibri" w:hAnsi="Times New Roman"/>
          <w:b/>
          <w:sz w:val="24"/>
          <w:szCs w:val="24"/>
        </w:rPr>
      </w:pPr>
    </w:p>
    <w:p w:rsidR="00F425EE" w:rsidRPr="00FA2A38" w:rsidRDefault="00F425EE" w:rsidP="00F425EE">
      <w:pPr>
        <w:spacing w:after="0" w:line="240" w:lineRule="auto"/>
        <w:ind w:firstLine="709"/>
        <w:jc w:val="center"/>
        <w:rPr>
          <w:rFonts w:ascii="Times New Roman" w:eastAsia="Calibri" w:hAnsi="Times New Roman"/>
          <w:sz w:val="24"/>
          <w:szCs w:val="24"/>
        </w:rPr>
      </w:pPr>
      <w:r w:rsidRPr="00FA2A38">
        <w:rPr>
          <w:rFonts w:ascii="Times New Roman" w:eastAsia="Calibri" w:hAnsi="Times New Roman"/>
          <w:b/>
          <w:sz w:val="24"/>
          <w:szCs w:val="24"/>
        </w:rPr>
        <w:lastRenderedPageBreak/>
        <w:t>Инвестиции в основной капитал (в части новых и приобретенных по импорту основных средств), млн. руб.</w:t>
      </w:r>
    </w:p>
    <w:p w:rsidR="00F425EE" w:rsidRPr="00FA2A38" w:rsidRDefault="00F425EE" w:rsidP="00F425EE">
      <w:pPr>
        <w:shd w:val="clear" w:color="auto" w:fill="FFFFFF" w:themeFill="background1"/>
        <w:spacing w:after="0" w:line="240" w:lineRule="auto"/>
        <w:jc w:val="center"/>
        <w:rPr>
          <w:rFonts w:ascii="Times New Roman" w:eastAsia="Calibri" w:hAnsi="Times New Roman"/>
          <w:sz w:val="24"/>
          <w:szCs w:val="24"/>
        </w:rPr>
      </w:pPr>
      <w:r w:rsidRPr="00FA2A38">
        <w:rPr>
          <w:rFonts w:ascii="Times New Roman" w:eastAsia="Calibri" w:hAnsi="Times New Roman"/>
          <w:noProof/>
          <w:sz w:val="24"/>
          <w:szCs w:val="24"/>
        </w:rPr>
        <w:drawing>
          <wp:inline distT="0" distB="0" distL="0" distR="0">
            <wp:extent cx="5667375" cy="3362325"/>
            <wp:effectExtent l="19050" t="0" r="0" b="0"/>
            <wp:docPr id="9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425EE" w:rsidRPr="00716667" w:rsidRDefault="00F425EE" w:rsidP="00F425EE">
      <w:pPr>
        <w:shd w:val="clear" w:color="auto" w:fill="FFFFFF" w:themeFill="background1"/>
        <w:spacing w:after="0" w:line="240" w:lineRule="auto"/>
        <w:ind w:firstLine="709"/>
        <w:contextualSpacing/>
        <w:jc w:val="both"/>
        <w:rPr>
          <w:rFonts w:ascii="Times New Roman" w:hAnsi="Times New Roman"/>
          <w:sz w:val="24"/>
          <w:szCs w:val="24"/>
        </w:rPr>
      </w:pPr>
      <w:r w:rsidRPr="00716667">
        <w:rPr>
          <w:rFonts w:ascii="Times New Roman" w:hAnsi="Times New Roman"/>
          <w:sz w:val="24"/>
          <w:szCs w:val="24"/>
        </w:rPr>
        <w:t>Объем произведенной продукции (работ, услуг) (в текущих ценах) организаци</w:t>
      </w:r>
      <w:r>
        <w:rPr>
          <w:rFonts w:ascii="Times New Roman" w:hAnsi="Times New Roman"/>
          <w:sz w:val="24"/>
          <w:szCs w:val="24"/>
        </w:rPr>
        <w:t>й</w:t>
      </w:r>
      <w:r w:rsidRPr="00716667">
        <w:rPr>
          <w:rFonts w:ascii="Times New Roman" w:hAnsi="Times New Roman"/>
          <w:sz w:val="24"/>
          <w:szCs w:val="24"/>
        </w:rPr>
        <w:t xml:space="preserve"> малого бизнеса увеличился на 10,2% и составил 579,2</w:t>
      </w:r>
      <w:r>
        <w:rPr>
          <w:rFonts w:ascii="Times New Roman" w:hAnsi="Times New Roman"/>
          <w:sz w:val="24"/>
          <w:szCs w:val="24"/>
        </w:rPr>
        <w:t xml:space="preserve"> </w:t>
      </w:r>
      <w:proofErr w:type="spellStart"/>
      <w:r>
        <w:rPr>
          <w:rFonts w:ascii="Times New Roman" w:hAnsi="Times New Roman"/>
          <w:sz w:val="24"/>
          <w:szCs w:val="24"/>
        </w:rPr>
        <w:t>млн</w:t>
      </w:r>
      <w:proofErr w:type="spellEnd"/>
      <w:r w:rsidRPr="00716667">
        <w:rPr>
          <w:rFonts w:ascii="Times New Roman" w:hAnsi="Times New Roman"/>
          <w:sz w:val="24"/>
          <w:szCs w:val="24"/>
        </w:rPr>
        <w:t xml:space="preserve"> руб., из </w:t>
      </w:r>
      <w:r>
        <w:rPr>
          <w:rFonts w:ascii="Times New Roman" w:hAnsi="Times New Roman"/>
          <w:sz w:val="24"/>
          <w:szCs w:val="24"/>
        </w:rPr>
        <w:t>которых</w:t>
      </w:r>
      <w:r w:rsidRPr="00716667">
        <w:rPr>
          <w:rFonts w:ascii="Times New Roman" w:hAnsi="Times New Roman"/>
          <w:sz w:val="24"/>
          <w:szCs w:val="24"/>
        </w:rPr>
        <w:t xml:space="preserve"> 67,7% произведено малыми предприятиями.</w:t>
      </w:r>
    </w:p>
    <w:p w:rsidR="00F425EE" w:rsidRPr="00716667" w:rsidRDefault="00F425EE" w:rsidP="00F425EE">
      <w:pPr>
        <w:shd w:val="clear" w:color="auto" w:fill="FFFFFF" w:themeFill="background1"/>
        <w:tabs>
          <w:tab w:val="left" w:pos="2410"/>
        </w:tabs>
        <w:spacing w:after="0" w:line="240" w:lineRule="auto"/>
        <w:ind w:firstLine="709"/>
        <w:jc w:val="both"/>
        <w:rPr>
          <w:rFonts w:ascii="Times New Roman" w:eastAsia="Calibri" w:hAnsi="Times New Roman"/>
          <w:sz w:val="24"/>
          <w:szCs w:val="24"/>
        </w:rPr>
      </w:pPr>
      <w:r w:rsidRPr="00716667">
        <w:rPr>
          <w:rFonts w:ascii="Times New Roman" w:eastAsia="Calibri" w:hAnsi="Times New Roman"/>
          <w:sz w:val="24"/>
          <w:szCs w:val="24"/>
        </w:rPr>
        <w:t>Доход от продаж (выручка), полученный организациями малого предпринимательства</w:t>
      </w:r>
      <w:r>
        <w:rPr>
          <w:rFonts w:ascii="Times New Roman" w:eastAsia="Calibri" w:hAnsi="Times New Roman"/>
          <w:sz w:val="24"/>
          <w:szCs w:val="24"/>
        </w:rPr>
        <w:t xml:space="preserve">, расширился на 10,7% и </w:t>
      </w:r>
      <w:r w:rsidRPr="00716667">
        <w:rPr>
          <w:rFonts w:ascii="Times New Roman" w:eastAsia="Calibri" w:hAnsi="Times New Roman"/>
          <w:sz w:val="24"/>
          <w:szCs w:val="24"/>
        </w:rPr>
        <w:t>составил 1 587,9</w:t>
      </w:r>
      <w:r>
        <w:rPr>
          <w:rFonts w:ascii="Times New Roman" w:eastAsia="Calibri" w:hAnsi="Times New Roman"/>
          <w:sz w:val="24"/>
          <w:szCs w:val="24"/>
        </w:rPr>
        <w:t xml:space="preserve"> </w:t>
      </w:r>
      <w:proofErr w:type="spellStart"/>
      <w:r>
        <w:rPr>
          <w:rFonts w:ascii="Times New Roman" w:eastAsia="Calibri" w:hAnsi="Times New Roman"/>
          <w:sz w:val="24"/>
          <w:szCs w:val="24"/>
        </w:rPr>
        <w:t>млн</w:t>
      </w:r>
      <w:proofErr w:type="spellEnd"/>
      <w:r w:rsidRPr="00716667">
        <w:rPr>
          <w:rFonts w:ascii="Times New Roman" w:eastAsia="Calibri" w:hAnsi="Times New Roman"/>
          <w:sz w:val="24"/>
          <w:szCs w:val="24"/>
        </w:rPr>
        <w:t xml:space="preserve"> руб. Стоит отметить, что на доход от продажи товаров приходится порядка 61,3% всех доходов</w:t>
      </w:r>
      <w:r>
        <w:rPr>
          <w:rFonts w:ascii="Times New Roman" w:eastAsia="Calibri" w:hAnsi="Times New Roman"/>
          <w:sz w:val="24"/>
          <w:szCs w:val="24"/>
        </w:rPr>
        <w:t>,</w:t>
      </w:r>
      <w:r w:rsidRPr="00716667">
        <w:rPr>
          <w:rFonts w:ascii="Times New Roman" w:eastAsia="Calibri" w:hAnsi="Times New Roman"/>
          <w:sz w:val="24"/>
          <w:szCs w:val="24"/>
        </w:rPr>
        <w:t xml:space="preserve"> или 972,8 </w:t>
      </w:r>
      <w:proofErr w:type="spellStart"/>
      <w:r w:rsidRPr="00716667">
        <w:rPr>
          <w:rFonts w:ascii="Times New Roman" w:eastAsia="Calibri" w:hAnsi="Times New Roman"/>
          <w:sz w:val="24"/>
          <w:szCs w:val="24"/>
        </w:rPr>
        <w:t>млн</w:t>
      </w:r>
      <w:proofErr w:type="spellEnd"/>
      <w:r w:rsidRPr="00716667">
        <w:rPr>
          <w:rFonts w:ascii="Times New Roman" w:eastAsia="Calibri" w:hAnsi="Times New Roman"/>
          <w:sz w:val="24"/>
          <w:szCs w:val="24"/>
        </w:rPr>
        <w:t xml:space="preserve"> руб., что на 5,1% выше </w:t>
      </w:r>
      <w:r>
        <w:rPr>
          <w:rFonts w:ascii="Times New Roman" w:eastAsia="Calibri" w:hAnsi="Times New Roman"/>
          <w:sz w:val="24"/>
          <w:szCs w:val="24"/>
        </w:rPr>
        <w:t>сопоставимого</w:t>
      </w:r>
      <w:r w:rsidRPr="00716667">
        <w:rPr>
          <w:rFonts w:ascii="Times New Roman" w:eastAsia="Calibri" w:hAnsi="Times New Roman"/>
          <w:sz w:val="24"/>
          <w:szCs w:val="24"/>
        </w:rPr>
        <w:t xml:space="preserve"> уровня 2016 года. </w:t>
      </w:r>
    </w:p>
    <w:p w:rsidR="00F425EE" w:rsidRPr="00716667" w:rsidRDefault="00F425EE" w:rsidP="00F425EE">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В то</w:t>
      </w:r>
      <w:r w:rsidR="009B748A">
        <w:rPr>
          <w:rFonts w:ascii="Times New Roman" w:eastAsia="Calibri" w:hAnsi="Times New Roman"/>
          <w:sz w:val="24"/>
          <w:szCs w:val="24"/>
        </w:rPr>
        <w:t xml:space="preserve"> </w:t>
      </w:r>
      <w:r>
        <w:rPr>
          <w:rFonts w:ascii="Times New Roman" w:eastAsia="Calibri" w:hAnsi="Times New Roman"/>
          <w:sz w:val="24"/>
          <w:szCs w:val="24"/>
        </w:rPr>
        <w:t>же время р</w:t>
      </w:r>
      <w:r w:rsidRPr="00716667">
        <w:rPr>
          <w:rFonts w:ascii="Times New Roman" w:eastAsia="Calibri" w:hAnsi="Times New Roman"/>
          <w:sz w:val="24"/>
          <w:szCs w:val="24"/>
        </w:rPr>
        <w:t xml:space="preserve">езультатом финансово-хозяйственной деятельности субъектов малого предпринимательства (без физических лиц) в I полугодии 2017 года явился убыток в сумме 272,3 </w:t>
      </w:r>
      <w:proofErr w:type="spellStart"/>
      <w:proofErr w:type="gramStart"/>
      <w:r w:rsidRPr="00716667">
        <w:rPr>
          <w:rFonts w:ascii="Times New Roman" w:eastAsia="Calibri" w:hAnsi="Times New Roman"/>
          <w:sz w:val="24"/>
          <w:szCs w:val="24"/>
        </w:rPr>
        <w:t>млн</w:t>
      </w:r>
      <w:proofErr w:type="spellEnd"/>
      <w:proofErr w:type="gramEnd"/>
      <w:r w:rsidRPr="00716667">
        <w:rPr>
          <w:rFonts w:ascii="Times New Roman" w:eastAsia="Calibri" w:hAnsi="Times New Roman"/>
          <w:sz w:val="24"/>
          <w:szCs w:val="24"/>
        </w:rPr>
        <w:t xml:space="preserve"> руб., </w:t>
      </w:r>
      <w:r>
        <w:rPr>
          <w:rFonts w:ascii="Times New Roman" w:eastAsia="Calibri" w:hAnsi="Times New Roman"/>
          <w:sz w:val="24"/>
          <w:szCs w:val="24"/>
        </w:rPr>
        <w:t xml:space="preserve">тогда как </w:t>
      </w:r>
      <w:r w:rsidRPr="00716667">
        <w:rPr>
          <w:rFonts w:ascii="Times New Roman" w:eastAsia="Calibri" w:hAnsi="Times New Roman"/>
          <w:sz w:val="24"/>
          <w:szCs w:val="24"/>
        </w:rPr>
        <w:t xml:space="preserve">за соответствующий период 2016 года была получена чистая прибыль в размере 11,9 </w:t>
      </w:r>
      <w:proofErr w:type="spellStart"/>
      <w:r w:rsidRPr="00716667">
        <w:rPr>
          <w:rFonts w:ascii="Times New Roman" w:eastAsia="Calibri" w:hAnsi="Times New Roman"/>
          <w:sz w:val="24"/>
          <w:szCs w:val="24"/>
        </w:rPr>
        <w:t>млн</w:t>
      </w:r>
      <w:proofErr w:type="spellEnd"/>
      <w:r w:rsidRPr="00716667">
        <w:rPr>
          <w:rFonts w:ascii="Times New Roman" w:eastAsia="Calibri" w:hAnsi="Times New Roman"/>
          <w:sz w:val="24"/>
          <w:szCs w:val="24"/>
        </w:rPr>
        <w:t xml:space="preserve"> руб. При этом, убыток </w:t>
      </w:r>
      <w:proofErr w:type="spellStart"/>
      <w:r w:rsidRPr="00716667">
        <w:rPr>
          <w:rFonts w:ascii="Times New Roman" w:eastAsia="Calibri" w:hAnsi="Times New Roman"/>
          <w:sz w:val="24"/>
          <w:szCs w:val="24"/>
        </w:rPr>
        <w:t>микропредприятий</w:t>
      </w:r>
      <w:proofErr w:type="spellEnd"/>
      <w:r>
        <w:rPr>
          <w:rFonts w:ascii="Times New Roman" w:eastAsia="Calibri" w:hAnsi="Times New Roman"/>
          <w:sz w:val="24"/>
          <w:szCs w:val="24"/>
        </w:rPr>
        <w:t xml:space="preserve"> составил                114,2 </w:t>
      </w:r>
      <w:proofErr w:type="spellStart"/>
      <w:r>
        <w:rPr>
          <w:rFonts w:ascii="Times New Roman" w:eastAsia="Calibri" w:hAnsi="Times New Roman"/>
          <w:sz w:val="24"/>
          <w:szCs w:val="24"/>
        </w:rPr>
        <w:t>млн</w:t>
      </w:r>
      <w:proofErr w:type="spellEnd"/>
      <w:r w:rsidRPr="00716667">
        <w:rPr>
          <w:rFonts w:ascii="Times New Roman" w:eastAsia="Calibri" w:hAnsi="Times New Roman"/>
          <w:sz w:val="24"/>
          <w:szCs w:val="24"/>
        </w:rPr>
        <w:t xml:space="preserve"> руб.,</w:t>
      </w:r>
      <w:r>
        <w:rPr>
          <w:rFonts w:ascii="Times New Roman" w:eastAsia="Calibri" w:hAnsi="Times New Roman"/>
          <w:sz w:val="24"/>
          <w:szCs w:val="24"/>
        </w:rPr>
        <w:t xml:space="preserve"> а малых предприятий –158,1 </w:t>
      </w:r>
      <w:proofErr w:type="spellStart"/>
      <w:r>
        <w:rPr>
          <w:rFonts w:ascii="Times New Roman" w:eastAsia="Calibri" w:hAnsi="Times New Roman"/>
          <w:sz w:val="24"/>
          <w:szCs w:val="24"/>
        </w:rPr>
        <w:t>млн</w:t>
      </w:r>
      <w:proofErr w:type="spellEnd"/>
      <w:r w:rsidRPr="00716667">
        <w:rPr>
          <w:rFonts w:ascii="Times New Roman" w:eastAsia="Calibri" w:hAnsi="Times New Roman"/>
          <w:sz w:val="24"/>
          <w:szCs w:val="24"/>
        </w:rPr>
        <w:t xml:space="preserve"> руб.</w:t>
      </w:r>
    </w:p>
    <w:p w:rsidR="00F425EE" w:rsidRPr="00716667" w:rsidRDefault="00F425EE" w:rsidP="00F425EE">
      <w:pPr>
        <w:shd w:val="clear" w:color="auto" w:fill="FFFFFF" w:themeFill="background1"/>
        <w:spacing w:after="0" w:line="240" w:lineRule="auto"/>
        <w:ind w:firstLine="720"/>
        <w:jc w:val="both"/>
        <w:rPr>
          <w:rFonts w:ascii="Times New Roman" w:hAnsi="Times New Roman"/>
          <w:sz w:val="24"/>
          <w:szCs w:val="24"/>
        </w:rPr>
      </w:pPr>
      <w:r w:rsidRPr="00716667">
        <w:rPr>
          <w:rFonts w:ascii="Times New Roman" w:hAnsi="Times New Roman"/>
          <w:sz w:val="24"/>
          <w:szCs w:val="24"/>
        </w:rPr>
        <w:t xml:space="preserve">В рассматриваемом периоде с прибылью в сумме 162,8 </w:t>
      </w:r>
      <w:proofErr w:type="spellStart"/>
      <w:r w:rsidRPr="00716667">
        <w:rPr>
          <w:rFonts w:ascii="Times New Roman" w:hAnsi="Times New Roman"/>
          <w:sz w:val="24"/>
          <w:szCs w:val="24"/>
        </w:rPr>
        <w:t>млн</w:t>
      </w:r>
      <w:proofErr w:type="spellEnd"/>
      <w:r w:rsidRPr="00716667">
        <w:rPr>
          <w:rFonts w:ascii="Times New Roman" w:hAnsi="Times New Roman"/>
          <w:sz w:val="24"/>
          <w:szCs w:val="24"/>
        </w:rPr>
        <w:t xml:space="preserve"> руб. сработали 31,0% (от общего числа) организаций малого бизнеса. Наибольший ее размер был сформирован в организациях сельского хозяйства, торговли и общественного питания, а также промышленности: </w:t>
      </w:r>
      <w:r w:rsidRPr="00716667">
        <w:rPr>
          <w:rFonts w:ascii="Times New Roman" w:eastAsia="Calibri" w:hAnsi="Times New Roman"/>
          <w:sz w:val="24"/>
          <w:szCs w:val="24"/>
        </w:rPr>
        <w:t>30,2%, 29,4%, и 20,7% совокупного объема прибыли соответственно.</w:t>
      </w:r>
    </w:p>
    <w:p w:rsidR="00F425EE" w:rsidRPr="00716667"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716667">
        <w:rPr>
          <w:rFonts w:ascii="Times New Roman" w:eastAsia="Calibri" w:hAnsi="Times New Roman"/>
          <w:sz w:val="24"/>
          <w:szCs w:val="24"/>
        </w:rPr>
        <w:t xml:space="preserve">Вместе с тем, </w:t>
      </w:r>
      <w:r>
        <w:rPr>
          <w:rFonts w:ascii="Times New Roman" w:eastAsia="Calibri" w:hAnsi="Times New Roman"/>
          <w:sz w:val="24"/>
          <w:szCs w:val="24"/>
        </w:rPr>
        <w:t>наи</w:t>
      </w:r>
      <w:r w:rsidRPr="00716667">
        <w:rPr>
          <w:rFonts w:ascii="Times New Roman" w:eastAsia="Calibri" w:hAnsi="Times New Roman"/>
          <w:sz w:val="24"/>
          <w:szCs w:val="24"/>
        </w:rPr>
        <w:t xml:space="preserve">большие убытки приходятся на такие отрасли, как: </w:t>
      </w:r>
      <w:r w:rsidRPr="00716667">
        <w:rPr>
          <w:rFonts w:ascii="Times New Roman" w:hAnsi="Times New Roman"/>
          <w:sz w:val="24"/>
          <w:szCs w:val="24"/>
        </w:rPr>
        <w:t xml:space="preserve">операции с недвижимым имуществом, </w:t>
      </w:r>
      <w:r w:rsidRPr="00716667">
        <w:rPr>
          <w:rFonts w:ascii="Times New Roman" w:eastAsia="Calibri" w:hAnsi="Times New Roman"/>
          <w:sz w:val="24"/>
          <w:szCs w:val="24"/>
        </w:rPr>
        <w:t>торговля и общепит и промышленность (32,1</w:t>
      </w:r>
      <w:r w:rsidR="009B748A">
        <w:rPr>
          <w:rFonts w:ascii="Times New Roman" w:eastAsia="Calibri" w:hAnsi="Times New Roman"/>
          <w:sz w:val="24"/>
          <w:szCs w:val="24"/>
        </w:rPr>
        <w:t>%</w:t>
      </w:r>
      <w:r w:rsidRPr="00716667">
        <w:rPr>
          <w:rFonts w:ascii="Times New Roman" w:eastAsia="Calibri" w:hAnsi="Times New Roman"/>
          <w:sz w:val="24"/>
          <w:szCs w:val="24"/>
        </w:rPr>
        <w:t>, 28,3% и 13,6% совокупного размера убытков соответственно). В целом суммарный убыток, полученный организациями малого предпринимательства, сложился в размере 435,1</w:t>
      </w:r>
      <w:r>
        <w:rPr>
          <w:rFonts w:ascii="Times New Roman" w:eastAsia="Calibri" w:hAnsi="Times New Roman"/>
          <w:sz w:val="24"/>
          <w:szCs w:val="24"/>
        </w:rPr>
        <w:t xml:space="preserve"> </w:t>
      </w:r>
      <w:proofErr w:type="spellStart"/>
      <w:r>
        <w:rPr>
          <w:rFonts w:ascii="Times New Roman" w:eastAsia="Calibri" w:hAnsi="Times New Roman"/>
          <w:sz w:val="24"/>
          <w:szCs w:val="24"/>
        </w:rPr>
        <w:t>млн</w:t>
      </w:r>
      <w:proofErr w:type="spellEnd"/>
      <w:r w:rsidRPr="00716667">
        <w:rPr>
          <w:rFonts w:ascii="Times New Roman" w:eastAsia="Calibri" w:hAnsi="Times New Roman"/>
          <w:sz w:val="24"/>
          <w:szCs w:val="24"/>
        </w:rPr>
        <w:t xml:space="preserve"> руб., а количество нерентабельных организаций составило 45,1% от общего числа, </w:t>
      </w:r>
      <w:r w:rsidRPr="00716667">
        <w:rPr>
          <w:rFonts w:ascii="Times New Roman" w:eastAsia="Calibri" w:hAnsi="Times New Roman"/>
          <w:color w:val="000000"/>
          <w:sz w:val="24"/>
          <w:szCs w:val="24"/>
        </w:rPr>
        <w:t>23,9% организаций</w:t>
      </w:r>
      <w:r w:rsidRPr="00716667">
        <w:rPr>
          <w:rFonts w:ascii="Times New Roman" w:eastAsia="Calibri" w:hAnsi="Times New Roman"/>
          <w:sz w:val="24"/>
          <w:szCs w:val="24"/>
        </w:rPr>
        <w:t xml:space="preserve"> не осуществляли хозяйственную деятельность, в связи с чем н</w:t>
      </w:r>
      <w:r w:rsidRPr="00716667">
        <w:rPr>
          <w:rFonts w:ascii="Times New Roman" w:eastAsia="Calibri" w:hAnsi="Times New Roman"/>
          <w:color w:val="000000"/>
          <w:sz w:val="24"/>
          <w:szCs w:val="24"/>
        </w:rPr>
        <w:t xml:space="preserve">е получили финансового результата. </w:t>
      </w:r>
    </w:p>
    <w:p w:rsidR="00F425EE" w:rsidRPr="00716667" w:rsidRDefault="00F425EE" w:rsidP="00F425EE">
      <w:pPr>
        <w:shd w:val="clear" w:color="auto" w:fill="FFFFFF" w:themeFill="background1"/>
        <w:spacing w:after="0" w:line="240" w:lineRule="auto"/>
        <w:ind w:firstLine="709"/>
        <w:jc w:val="both"/>
        <w:rPr>
          <w:rFonts w:ascii="Times New Roman" w:hAnsi="Times New Roman"/>
          <w:sz w:val="24"/>
          <w:szCs w:val="24"/>
        </w:rPr>
      </w:pPr>
      <w:r w:rsidRPr="00716667">
        <w:rPr>
          <w:rFonts w:ascii="Times New Roman" w:hAnsi="Times New Roman"/>
          <w:sz w:val="24"/>
          <w:szCs w:val="24"/>
        </w:rPr>
        <w:t xml:space="preserve">В целом за </w:t>
      </w:r>
      <w:r>
        <w:rPr>
          <w:rFonts w:ascii="Times New Roman" w:hAnsi="Times New Roman"/>
          <w:sz w:val="24"/>
          <w:szCs w:val="24"/>
        </w:rPr>
        <w:t>отчётный период</w:t>
      </w:r>
      <w:r w:rsidRPr="00716667">
        <w:rPr>
          <w:rFonts w:ascii="Times New Roman" w:hAnsi="Times New Roman"/>
          <w:sz w:val="24"/>
          <w:szCs w:val="24"/>
        </w:rPr>
        <w:t xml:space="preserve"> организациями малого предпринимательства в бюджеты всех уровней и внебюджетные фонды фактически внесено налогов и платежей в сумме </w:t>
      </w:r>
      <w:r>
        <w:rPr>
          <w:rFonts w:ascii="Times New Roman" w:hAnsi="Times New Roman"/>
          <w:sz w:val="24"/>
          <w:szCs w:val="24"/>
        </w:rPr>
        <w:br/>
      </w:r>
      <w:r w:rsidRPr="00716667">
        <w:rPr>
          <w:rFonts w:ascii="Times New Roman" w:hAnsi="Times New Roman"/>
          <w:sz w:val="24"/>
          <w:szCs w:val="24"/>
        </w:rPr>
        <w:t>123,1</w:t>
      </w:r>
      <w:r>
        <w:rPr>
          <w:rFonts w:ascii="Times New Roman" w:hAnsi="Times New Roman"/>
          <w:sz w:val="24"/>
          <w:szCs w:val="24"/>
        </w:rPr>
        <w:t xml:space="preserve"> </w:t>
      </w:r>
      <w:proofErr w:type="spellStart"/>
      <w:proofErr w:type="gramStart"/>
      <w:r>
        <w:rPr>
          <w:rFonts w:ascii="Times New Roman" w:hAnsi="Times New Roman"/>
          <w:sz w:val="24"/>
          <w:szCs w:val="24"/>
        </w:rPr>
        <w:t>млн</w:t>
      </w:r>
      <w:proofErr w:type="spellEnd"/>
      <w:proofErr w:type="gramEnd"/>
      <w:r w:rsidRPr="00716667">
        <w:rPr>
          <w:rFonts w:ascii="Times New Roman" w:hAnsi="Times New Roman"/>
          <w:sz w:val="24"/>
          <w:szCs w:val="24"/>
        </w:rPr>
        <w:t xml:space="preserve"> руб., что на 5,3% ниже сопоставимого показателя </w:t>
      </w:r>
      <w:r>
        <w:rPr>
          <w:rFonts w:ascii="Times New Roman" w:hAnsi="Times New Roman"/>
          <w:sz w:val="24"/>
          <w:szCs w:val="24"/>
        </w:rPr>
        <w:t>2016</w:t>
      </w:r>
      <w:r w:rsidRPr="00716667">
        <w:rPr>
          <w:rFonts w:ascii="Times New Roman" w:hAnsi="Times New Roman"/>
          <w:sz w:val="24"/>
          <w:szCs w:val="24"/>
        </w:rPr>
        <w:t xml:space="preserve"> года</w:t>
      </w:r>
      <w:r>
        <w:rPr>
          <w:rFonts w:ascii="Times New Roman" w:hAnsi="Times New Roman"/>
          <w:sz w:val="24"/>
          <w:szCs w:val="24"/>
        </w:rPr>
        <w:t>.</w:t>
      </w:r>
      <w:r w:rsidR="009B748A">
        <w:rPr>
          <w:rFonts w:ascii="Times New Roman" w:hAnsi="Times New Roman"/>
          <w:sz w:val="24"/>
          <w:szCs w:val="24"/>
        </w:rPr>
        <w:t xml:space="preserve"> </w:t>
      </w:r>
      <w:r>
        <w:rPr>
          <w:rFonts w:ascii="Times New Roman" w:hAnsi="Times New Roman"/>
          <w:sz w:val="24"/>
          <w:szCs w:val="24"/>
        </w:rPr>
        <w:t>Д</w:t>
      </w:r>
      <w:r w:rsidRPr="00716667">
        <w:rPr>
          <w:rFonts w:ascii="Times New Roman" w:hAnsi="Times New Roman"/>
          <w:sz w:val="24"/>
          <w:szCs w:val="24"/>
        </w:rPr>
        <w:t xml:space="preserve">оля </w:t>
      </w:r>
      <w:r>
        <w:rPr>
          <w:rFonts w:ascii="Times New Roman" w:hAnsi="Times New Roman"/>
          <w:sz w:val="24"/>
          <w:szCs w:val="24"/>
        </w:rPr>
        <w:t>данных платежей</w:t>
      </w:r>
      <w:r w:rsidRPr="00716667">
        <w:rPr>
          <w:rFonts w:ascii="Times New Roman" w:hAnsi="Times New Roman"/>
          <w:sz w:val="24"/>
          <w:szCs w:val="24"/>
        </w:rPr>
        <w:t xml:space="preserve"> в общей сумме налоговых поступлений консолидированного бюджета составила 15,8</w:t>
      </w:r>
      <w:r>
        <w:rPr>
          <w:rFonts w:ascii="Times New Roman" w:hAnsi="Times New Roman"/>
          <w:sz w:val="24"/>
          <w:szCs w:val="24"/>
        </w:rPr>
        <w:t>%. При этом</w:t>
      </w:r>
      <w:r w:rsidRPr="00716667">
        <w:rPr>
          <w:rFonts w:ascii="Times New Roman" w:hAnsi="Times New Roman"/>
          <w:sz w:val="24"/>
          <w:szCs w:val="24"/>
        </w:rPr>
        <w:t xml:space="preserve"> удельный вес налоговых платежей, поступающих от малых предприятий</w:t>
      </w:r>
      <w:r>
        <w:rPr>
          <w:rFonts w:ascii="Times New Roman" w:hAnsi="Times New Roman"/>
          <w:sz w:val="24"/>
          <w:szCs w:val="24"/>
        </w:rPr>
        <w:t>,</w:t>
      </w:r>
      <w:r w:rsidRPr="00716667">
        <w:rPr>
          <w:rFonts w:ascii="Times New Roman" w:hAnsi="Times New Roman"/>
          <w:sz w:val="24"/>
          <w:szCs w:val="24"/>
        </w:rPr>
        <w:t xml:space="preserve"> составляет 62,4% (76,8</w:t>
      </w:r>
      <w:r>
        <w:rPr>
          <w:rFonts w:ascii="Times New Roman" w:hAnsi="Times New Roman"/>
          <w:sz w:val="24"/>
          <w:szCs w:val="24"/>
        </w:rPr>
        <w:t xml:space="preserve"> </w:t>
      </w:r>
      <w:proofErr w:type="spellStart"/>
      <w:proofErr w:type="gramStart"/>
      <w:r>
        <w:rPr>
          <w:rFonts w:ascii="Times New Roman" w:hAnsi="Times New Roman"/>
          <w:sz w:val="24"/>
          <w:szCs w:val="24"/>
        </w:rPr>
        <w:t>млн</w:t>
      </w:r>
      <w:proofErr w:type="spellEnd"/>
      <w:proofErr w:type="gramEnd"/>
      <w:r w:rsidRPr="00716667">
        <w:rPr>
          <w:rFonts w:ascii="Times New Roman" w:hAnsi="Times New Roman"/>
          <w:sz w:val="24"/>
          <w:szCs w:val="24"/>
        </w:rPr>
        <w:t xml:space="preserve"> руб.</w:t>
      </w:r>
      <w:r>
        <w:rPr>
          <w:rFonts w:ascii="Times New Roman" w:hAnsi="Times New Roman"/>
          <w:sz w:val="24"/>
          <w:szCs w:val="24"/>
        </w:rPr>
        <w:t xml:space="preserve"> +0,5%</w:t>
      </w:r>
      <w:r w:rsidRPr="00716667">
        <w:rPr>
          <w:rFonts w:ascii="Times New Roman" w:hAnsi="Times New Roman"/>
          <w:sz w:val="24"/>
          <w:szCs w:val="24"/>
        </w:rPr>
        <w:t>)</w:t>
      </w:r>
      <w:r>
        <w:rPr>
          <w:rFonts w:ascii="Times New Roman" w:hAnsi="Times New Roman"/>
          <w:sz w:val="24"/>
          <w:szCs w:val="24"/>
        </w:rPr>
        <w:t xml:space="preserve"> от общего объема по предприятиям малого бизнеса</w:t>
      </w:r>
      <w:r w:rsidRPr="00716667">
        <w:rPr>
          <w:rFonts w:ascii="Times New Roman" w:hAnsi="Times New Roman"/>
          <w:sz w:val="24"/>
          <w:szCs w:val="24"/>
        </w:rPr>
        <w:t xml:space="preserve">. </w:t>
      </w:r>
      <w:proofErr w:type="spellStart"/>
      <w:r w:rsidRPr="00716667">
        <w:rPr>
          <w:rFonts w:ascii="Times New Roman" w:hAnsi="Times New Roman"/>
          <w:sz w:val="24"/>
          <w:szCs w:val="24"/>
        </w:rPr>
        <w:t>Микропредприятиями</w:t>
      </w:r>
      <w:proofErr w:type="spellEnd"/>
      <w:r w:rsidRPr="00716667">
        <w:rPr>
          <w:rFonts w:ascii="Times New Roman" w:hAnsi="Times New Roman"/>
          <w:sz w:val="24"/>
          <w:szCs w:val="24"/>
        </w:rPr>
        <w:t xml:space="preserve"> в бюджеты всех уровней и внебюджетные фонды фактически внесено 46,2 </w:t>
      </w:r>
      <w:proofErr w:type="spellStart"/>
      <w:r w:rsidRPr="00716667">
        <w:rPr>
          <w:rFonts w:ascii="Times New Roman" w:hAnsi="Times New Roman"/>
          <w:sz w:val="24"/>
          <w:szCs w:val="24"/>
        </w:rPr>
        <w:t>млн</w:t>
      </w:r>
      <w:proofErr w:type="spellEnd"/>
      <w:r w:rsidRPr="00716667">
        <w:rPr>
          <w:rFonts w:ascii="Times New Roman" w:hAnsi="Times New Roman"/>
          <w:sz w:val="24"/>
          <w:szCs w:val="24"/>
        </w:rPr>
        <w:t xml:space="preserve"> руб. (37,6% общего объема налоговых платежей субъектов малого предпринимательства), что на 13,8% меньше базового уровня прошлого года. Наибольший удельный вес в структуре налоговых поступлений обеспечивают:</w:t>
      </w:r>
    </w:p>
    <w:p w:rsidR="00F425EE" w:rsidRPr="00716667" w:rsidRDefault="00F425EE" w:rsidP="00F425EE">
      <w:pPr>
        <w:shd w:val="clear" w:color="auto" w:fill="FFFFFF" w:themeFill="background1"/>
        <w:tabs>
          <w:tab w:val="left" w:pos="900"/>
        </w:tabs>
        <w:spacing w:after="0" w:line="240" w:lineRule="auto"/>
        <w:ind w:firstLine="709"/>
        <w:jc w:val="both"/>
        <w:rPr>
          <w:rFonts w:ascii="Times New Roman" w:hAnsi="Times New Roman"/>
          <w:sz w:val="24"/>
          <w:szCs w:val="24"/>
        </w:rPr>
      </w:pPr>
      <w:r w:rsidRPr="00716667">
        <w:rPr>
          <w:rFonts w:ascii="Times New Roman" w:hAnsi="Times New Roman"/>
          <w:sz w:val="24"/>
          <w:szCs w:val="24"/>
        </w:rPr>
        <w:lastRenderedPageBreak/>
        <w:t>- налог на доходы организаций – 38,2%</w:t>
      </w:r>
      <w:r>
        <w:rPr>
          <w:rFonts w:ascii="Times New Roman" w:hAnsi="Times New Roman"/>
          <w:sz w:val="24"/>
          <w:szCs w:val="24"/>
        </w:rPr>
        <w:t>,</w:t>
      </w:r>
      <w:r w:rsidRPr="00716667">
        <w:rPr>
          <w:rFonts w:ascii="Times New Roman" w:hAnsi="Times New Roman"/>
          <w:sz w:val="24"/>
          <w:szCs w:val="24"/>
        </w:rPr>
        <w:t xml:space="preserve"> или 47,0</w:t>
      </w:r>
      <w:r>
        <w:rPr>
          <w:rFonts w:ascii="Times New Roman" w:hAnsi="Times New Roman"/>
          <w:sz w:val="24"/>
          <w:szCs w:val="24"/>
        </w:rPr>
        <w:t xml:space="preserve"> </w:t>
      </w:r>
      <w:proofErr w:type="spellStart"/>
      <w:r>
        <w:rPr>
          <w:rFonts w:ascii="Times New Roman" w:hAnsi="Times New Roman"/>
          <w:sz w:val="24"/>
          <w:szCs w:val="24"/>
        </w:rPr>
        <w:t>млн</w:t>
      </w:r>
      <w:proofErr w:type="spellEnd"/>
      <w:r>
        <w:rPr>
          <w:rFonts w:ascii="Times New Roman" w:hAnsi="Times New Roman"/>
          <w:sz w:val="24"/>
          <w:szCs w:val="24"/>
        </w:rPr>
        <w:t xml:space="preserve"> </w:t>
      </w:r>
      <w:r w:rsidRPr="00716667">
        <w:rPr>
          <w:rFonts w:ascii="Times New Roman" w:hAnsi="Times New Roman"/>
          <w:sz w:val="24"/>
          <w:szCs w:val="24"/>
        </w:rPr>
        <w:t>руб.;</w:t>
      </w:r>
    </w:p>
    <w:p w:rsidR="00F425EE" w:rsidRPr="00716667" w:rsidRDefault="00F425EE" w:rsidP="00F425EE">
      <w:pPr>
        <w:shd w:val="clear" w:color="auto" w:fill="FFFFFF" w:themeFill="background1"/>
        <w:tabs>
          <w:tab w:val="left" w:pos="900"/>
        </w:tabs>
        <w:spacing w:after="0" w:line="240" w:lineRule="auto"/>
        <w:ind w:firstLine="709"/>
        <w:jc w:val="both"/>
        <w:rPr>
          <w:rFonts w:ascii="Times New Roman" w:hAnsi="Times New Roman"/>
          <w:sz w:val="24"/>
          <w:szCs w:val="24"/>
        </w:rPr>
      </w:pPr>
      <w:r w:rsidRPr="00716667">
        <w:rPr>
          <w:rFonts w:ascii="Times New Roman" w:hAnsi="Times New Roman"/>
          <w:sz w:val="24"/>
          <w:szCs w:val="24"/>
        </w:rPr>
        <w:t>- единый социальный налог – 29,0%</w:t>
      </w:r>
      <w:r>
        <w:rPr>
          <w:rFonts w:ascii="Times New Roman" w:hAnsi="Times New Roman"/>
          <w:sz w:val="24"/>
          <w:szCs w:val="24"/>
        </w:rPr>
        <w:t>,</w:t>
      </w:r>
      <w:r w:rsidRPr="00716667">
        <w:rPr>
          <w:rFonts w:ascii="Times New Roman" w:hAnsi="Times New Roman"/>
          <w:sz w:val="24"/>
          <w:szCs w:val="24"/>
        </w:rPr>
        <w:t xml:space="preserve"> или 35,7 </w:t>
      </w:r>
      <w:proofErr w:type="spellStart"/>
      <w:r w:rsidRPr="00716667">
        <w:rPr>
          <w:rFonts w:ascii="Times New Roman" w:hAnsi="Times New Roman"/>
          <w:sz w:val="24"/>
          <w:szCs w:val="24"/>
        </w:rPr>
        <w:t>млн</w:t>
      </w:r>
      <w:proofErr w:type="spellEnd"/>
      <w:r w:rsidRPr="00716667">
        <w:rPr>
          <w:rFonts w:ascii="Times New Roman" w:hAnsi="Times New Roman"/>
          <w:sz w:val="24"/>
          <w:szCs w:val="24"/>
        </w:rPr>
        <w:t xml:space="preserve"> руб.</w:t>
      </w:r>
    </w:p>
    <w:p w:rsidR="00F425EE" w:rsidRPr="00716667"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716667">
        <w:rPr>
          <w:rFonts w:ascii="Times New Roman" w:eastAsia="Calibri" w:hAnsi="Times New Roman"/>
          <w:sz w:val="24"/>
          <w:szCs w:val="24"/>
        </w:rPr>
        <w:t>Кроме организаций негосударственной формы собственности малый бизнес представлен и индивидуальными предпринимателями, осуществляющими свою деятельность по патенту.</w:t>
      </w:r>
    </w:p>
    <w:p w:rsidR="00F425EE" w:rsidRPr="00716667" w:rsidRDefault="00F425EE" w:rsidP="00F425EE">
      <w:pPr>
        <w:shd w:val="clear" w:color="auto" w:fill="FFFFFF" w:themeFill="background1"/>
        <w:spacing w:after="0" w:line="240" w:lineRule="auto"/>
        <w:ind w:firstLine="709"/>
        <w:jc w:val="both"/>
        <w:rPr>
          <w:rFonts w:ascii="Times New Roman" w:eastAsia="Calibri" w:hAnsi="Times New Roman"/>
          <w:sz w:val="24"/>
          <w:szCs w:val="24"/>
        </w:rPr>
      </w:pPr>
      <w:r w:rsidRPr="00716667">
        <w:rPr>
          <w:rFonts w:ascii="Times New Roman" w:hAnsi="Times New Roman"/>
          <w:sz w:val="24"/>
          <w:szCs w:val="24"/>
        </w:rPr>
        <w:t>Количество индивидуальных предпринимателей</w:t>
      </w:r>
      <w:r>
        <w:rPr>
          <w:rFonts w:ascii="Times New Roman" w:hAnsi="Times New Roman"/>
          <w:sz w:val="24"/>
          <w:szCs w:val="24"/>
        </w:rPr>
        <w:t>,</w:t>
      </w:r>
      <w:r w:rsidRPr="00716667">
        <w:rPr>
          <w:rFonts w:ascii="Times New Roman" w:eastAsia="Calibri" w:hAnsi="Times New Roman"/>
          <w:sz w:val="24"/>
          <w:szCs w:val="24"/>
        </w:rPr>
        <w:t xml:space="preserve"> зарегистрированных и получивших патент, без учета количества осуществляемых видов деятельности</w:t>
      </w:r>
      <w:r>
        <w:rPr>
          <w:rFonts w:ascii="Times New Roman" w:eastAsia="Calibri" w:hAnsi="Times New Roman"/>
          <w:sz w:val="24"/>
          <w:szCs w:val="24"/>
        </w:rPr>
        <w:t>,</w:t>
      </w:r>
      <w:r w:rsidR="009B748A">
        <w:rPr>
          <w:rFonts w:ascii="Times New Roman" w:eastAsia="Calibri" w:hAnsi="Times New Roman"/>
          <w:sz w:val="24"/>
          <w:szCs w:val="24"/>
        </w:rPr>
        <w:t xml:space="preserve"> </w:t>
      </w:r>
      <w:r>
        <w:rPr>
          <w:rFonts w:ascii="Times New Roman" w:eastAsia="Calibri" w:hAnsi="Times New Roman"/>
          <w:sz w:val="24"/>
          <w:szCs w:val="24"/>
        </w:rPr>
        <w:t xml:space="preserve">по итогам первого полугодия </w:t>
      </w:r>
      <w:r w:rsidRPr="00716667">
        <w:rPr>
          <w:rFonts w:ascii="Times New Roman" w:eastAsia="Calibri" w:hAnsi="Times New Roman"/>
          <w:sz w:val="24"/>
          <w:szCs w:val="24"/>
        </w:rPr>
        <w:t xml:space="preserve">составило 17 896 человек, что на 9,6% выше базового уровня </w:t>
      </w:r>
      <w:r>
        <w:rPr>
          <w:rFonts w:ascii="Times New Roman" w:eastAsia="Calibri" w:hAnsi="Times New Roman"/>
          <w:sz w:val="24"/>
          <w:szCs w:val="24"/>
        </w:rPr>
        <w:t>(</w:t>
      </w:r>
      <w:r w:rsidRPr="00716667">
        <w:rPr>
          <w:rFonts w:ascii="Times New Roman" w:eastAsia="Calibri" w:hAnsi="Times New Roman"/>
          <w:sz w:val="24"/>
          <w:szCs w:val="24"/>
        </w:rPr>
        <w:t>16 329 человек).</w:t>
      </w:r>
    </w:p>
    <w:p w:rsidR="00F425EE" w:rsidRPr="008E6D66" w:rsidRDefault="00F425EE" w:rsidP="00F425EE">
      <w:pPr>
        <w:shd w:val="clear" w:color="auto" w:fill="FFFFFF" w:themeFill="background1"/>
        <w:spacing w:after="0" w:line="240" w:lineRule="auto"/>
        <w:ind w:firstLine="720"/>
        <w:jc w:val="both"/>
        <w:rPr>
          <w:rFonts w:ascii="Times New Roman" w:hAnsi="Times New Roman"/>
          <w:sz w:val="24"/>
          <w:szCs w:val="24"/>
        </w:rPr>
      </w:pPr>
      <w:proofErr w:type="gramStart"/>
      <w:r w:rsidRPr="00716667">
        <w:rPr>
          <w:rFonts w:ascii="Times New Roman" w:hAnsi="Times New Roman"/>
          <w:sz w:val="24"/>
          <w:szCs w:val="24"/>
        </w:rPr>
        <w:t xml:space="preserve">Наибольшее количество индивидуальных предпринимателей насчитывается в </w:t>
      </w:r>
      <w:r w:rsidR="009B748A">
        <w:rPr>
          <w:rFonts w:ascii="Times New Roman" w:hAnsi="Times New Roman"/>
          <w:sz w:val="24"/>
          <w:szCs w:val="24"/>
        </w:rPr>
        <w:t xml:space="preserve">                  </w:t>
      </w:r>
      <w:r w:rsidRPr="00716667">
        <w:rPr>
          <w:rFonts w:ascii="Times New Roman" w:hAnsi="Times New Roman"/>
          <w:sz w:val="24"/>
          <w:szCs w:val="24"/>
        </w:rPr>
        <w:t xml:space="preserve">г. Тирасполе и г. </w:t>
      </w:r>
      <w:proofErr w:type="spellStart"/>
      <w:r w:rsidRPr="00716667">
        <w:rPr>
          <w:rFonts w:ascii="Times New Roman" w:hAnsi="Times New Roman"/>
          <w:sz w:val="24"/>
          <w:szCs w:val="24"/>
        </w:rPr>
        <w:t>Днестровск</w:t>
      </w:r>
      <w:proofErr w:type="spellEnd"/>
      <w:r w:rsidRPr="00716667">
        <w:rPr>
          <w:rFonts w:ascii="Times New Roman" w:hAnsi="Times New Roman"/>
          <w:sz w:val="24"/>
          <w:szCs w:val="24"/>
        </w:rPr>
        <w:t xml:space="preserve"> – 31,0% от общего количества по республике, в г. Бендеры – 16,8%, в г. Рыбница и </w:t>
      </w:r>
      <w:proofErr w:type="spellStart"/>
      <w:r w:rsidRPr="00716667">
        <w:rPr>
          <w:rFonts w:ascii="Times New Roman" w:hAnsi="Times New Roman"/>
          <w:sz w:val="24"/>
          <w:szCs w:val="24"/>
        </w:rPr>
        <w:t>Рыбницком</w:t>
      </w:r>
      <w:proofErr w:type="spellEnd"/>
      <w:r w:rsidRPr="00716667">
        <w:rPr>
          <w:rFonts w:ascii="Times New Roman" w:hAnsi="Times New Roman"/>
          <w:sz w:val="24"/>
          <w:szCs w:val="24"/>
        </w:rPr>
        <w:t xml:space="preserve"> районе – 14,7%, в г. </w:t>
      </w:r>
      <w:proofErr w:type="spellStart"/>
      <w:r w:rsidRPr="00716667">
        <w:rPr>
          <w:rFonts w:ascii="Times New Roman" w:hAnsi="Times New Roman"/>
          <w:sz w:val="24"/>
          <w:szCs w:val="24"/>
        </w:rPr>
        <w:t>Слободзея</w:t>
      </w:r>
      <w:proofErr w:type="spellEnd"/>
      <w:r w:rsidRPr="00716667">
        <w:rPr>
          <w:rFonts w:ascii="Times New Roman" w:hAnsi="Times New Roman"/>
          <w:sz w:val="24"/>
          <w:szCs w:val="24"/>
        </w:rPr>
        <w:t xml:space="preserve"> и </w:t>
      </w:r>
      <w:proofErr w:type="spellStart"/>
      <w:r>
        <w:rPr>
          <w:rFonts w:ascii="Times New Roman" w:hAnsi="Times New Roman"/>
          <w:sz w:val="24"/>
          <w:szCs w:val="24"/>
        </w:rPr>
        <w:t>Слободзейском</w:t>
      </w:r>
      <w:proofErr w:type="spellEnd"/>
      <w:r>
        <w:rPr>
          <w:rFonts w:ascii="Times New Roman" w:hAnsi="Times New Roman"/>
          <w:sz w:val="24"/>
          <w:szCs w:val="24"/>
        </w:rPr>
        <w:t xml:space="preserve">          районе – 13,8%, в</w:t>
      </w:r>
      <w:r w:rsidRPr="00716667">
        <w:rPr>
          <w:rFonts w:ascii="Times New Roman" w:hAnsi="Times New Roman"/>
          <w:sz w:val="24"/>
          <w:szCs w:val="24"/>
        </w:rPr>
        <w:t xml:space="preserve"> г. Дубоссары и </w:t>
      </w:r>
      <w:proofErr w:type="spellStart"/>
      <w:r w:rsidRPr="00716667">
        <w:rPr>
          <w:rFonts w:ascii="Times New Roman" w:hAnsi="Times New Roman"/>
          <w:sz w:val="24"/>
          <w:szCs w:val="24"/>
        </w:rPr>
        <w:t>Дубоссарском</w:t>
      </w:r>
      <w:proofErr w:type="spellEnd"/>
      <w:r w:rsidRPr="00716667">
        <w:rPr>
          <w:rFonts w:ascii="Times New Roman" w:hAnsi="Times New Roman"/>
          <w:sz w:val="24"/>
          <w:szCs w:val="24"/>
        </w:rPr>
        <w:t xml:space="preserve"> районе – 8,2%, в г. Григориополь и </w:t>
      </w:r>
      <w:proofErr w:type="spellStart"/>
      <w:r w:rsidRPr="00716667">
        <w:rPr>
          <w:rFonts w:ascii="Times New Roman" w:hAnsi="Times New Roman"/>
          <w:sz w:val="24"/>
          <w:szCs w:val="24"/>
        </w:rPr>
        <w:t>Григориопольском</w:t>
      </w:r>
      <w:proofErr w:type="spellEnd"/>
      <w:r w:rsidR="009B748A">
        <w:rPr>
          <w:rFonts w:ascii="Times New Roman" w:hAnsi="Times New Roman"/>
          <w:sz w:val="24"/>
          <w:szCs w:val="24"/>
        </w:rPr>
        <w:t xml:space="preserve"> </w:t>
      </w:r>
      <w:r w:rsidRPr="008E6D66">
        <w:rPr>
          <w:rFonts w:ascii="Times New Roman" w:hAnsi="Times New Roman"/>
          <w:sz w:val="24"/>
          <w:szCs w:val="24"/>
        </w:rPr>
        <w:t>районе – 10,1%, в г. Каменка и Каменском районе – 5,4%.</w:t>
      </w:r>
      <w:proofErr w:type="gramEnd"/>
    </w:p>
    <w:p w:rsidR="00F425EE" w:rsidRDefault="00F425EE" w:rsidP="00F425EE">
      <w:pPr>
        <w:shd w:val="clear" w:color="auto" w:fill="FFFFFF" w:themeFill="background1"/>
        <w:spacing w:after="0" w:line="240" w:lineRule="auto"/>
        <w:ind w:firstLine="720"/>
        <w:jc w:val="both"/>
        <w:rPr>
          <w:rFonts w:ascii="Times New Roman" w:hAnsi="Times New Roman"/>
          <w:sz w:val="24"/>
          <w:szCs w:val="24"/>
        </w:rPr>
      </w:pPr>
      <w:r w:rsidRPr="008E6D66">
        <w:rPr>
          <w:rFonts w:ascii="Times New Roman" w:eastAsia="Calibri" w:hAnsi="Times New Roman"/>
          <w:sz w:val="24"/>
          <w:szCs w:val="24"/>
        </w:rPr>
        <w:t xml:space="preserve">Основное количество </w:t>
      </w:r>
      <w:r>
        <w:rPr>
          <w:rFonts w:ascii="Times New Roman" w:eastAsia="Calibri" w:hAnsi="Times New Roman"/>
          <w:sz w:val="24"/>
          <w:szCs w:val="24"/>
        </w:rPr>
        <w:t>индивидуальных предпринимателей</w:t>
      </w:r>
      <w:r w:rsidRPr="008E6D66">
        <w:rPr>
          <w:rFonts w:ascii="Times New Roman" w:eastAsia="Calibri" w:hAnsi="Times New Roman"/>
          <w:sz w:val="24"/>
          <w:szCs w:val="24"/>
        </w:rPr>
        <w:t xml:space="preserve"> по-прежнему задействовано в сфере торговли и общепита (54,4% от общей численности выданных патентов против 61,6% в январе – июне 2016 года).</w:t>
      </w:r>
      <w:r w:rsidRPr="008E6D66">
        <w:rPr>
          <w:rFonts w:ascii="Times New Roman" w:hAnsi="Times New Roman"/>
          <w:sz w:val="24"/>
          <w:szCs w:val="24"/>
        </w:rPr>
        <w:t xml:space="preserve"> Другими приоритетными направлениями, в которых осуществляют свою деятельность индивидуальные </w:t>
      </w:r>
      <w:r w:rsidRPr="00AB44E2">
        <w:rPr>
          <w:rFonts w:ascii="Times New Roman" w:hAnsi="Times New Roman"/>
          <w:sz w:val="24"/>
          <w:szCs w:val="24"/>
        </w:rPr>
        <w:t xml:space="preserve">предприниматели, являются: сфера услуг – 24,2% (в </w:t>
      </w:r>
      <w:r w:rsidRPr="00AB44E2">
        <w:rPr>
          <w:rFonts w:ascii="Times New Roman" w:hAnsi="Times New Roman"/>
          <w:sz w:val="24"/>
          <w:szCs w:val="24"/>
          <w:lang w:val="en-US"/>
        </w:rPr>
        <w:t>I</w:t>
      </w:r>
      <w:r w:rsidRPr="00AB44E2">
        <w:rPr>
          <w:rFonts w:ascii="Times New Roman" w:hAnsi="Times New Roman"/>
          <w:sz w:val="24"/>
          <w:szCs w:val="24"/>
        </w:rPr>
        <w:t xml:space="preserve"> полугодии 2016 года – 20,7%), сельское хозяйство – 15,4% (12,3% соответственно) и производство – 6,0% (5,4%).</w:t>
      </w:r>
    </w:p>
    <w:p w:rsidR="00F425EE" w:rsidRPr="00CE326F" w:rsidRDefault="00F425EE" w:rsidP="00F425EE">
      <w:pPr>
        <w:shd w:val="clear" w:color="auto" w:fill="FFFFFF" w:themeFill="background1"/>
        <w:spacing w:after="0" w:line="240" w:lineRule="auto"/>
        <w:ind w:firstLine="720"/>
        <w:jc w:val="center"/>
        <w:rPr>
          <w:rFonts w:ascii="Times New Roman" w:hAnsi="Times New Roman"/>
        </w:rPr>
      </w:pPr>
      <w:r w:rsidRPr="00CE326F">
        <w:rPr>
          <w:rFonts w:ascii="Times New Roman" w:hAnsi="Times New Roman"/>
          <w:b/>
          <w:bCs/>
        </w:rPr>
        <w:t>Сумма средств от платы за патент по городам и районам</w:t>
      </w:r>
    </w:p>
    <w:p w:rsidR="00F425EE" w:rsidRDefault="00F425EE" w:rsidP="00F425EE">
      <w:pPr>
        <w:shd w:val="clear" w:color="auto" w:fill="FFFFFF" w:themeFill="background1"/>
        <w:spacing w:after="0" w:line="240" w:lineRule="auto"/>
        <w:jc w:val="center"/>
        <w:rPr>
          <w:rFonts w:ascii="Times New Roman" w:hAnsi="Times New Roman"/>
          <w:b/>
        </w:rPr>
      </w:pPr>
      <w:r w:rsidRPr="00CE326F">
        <w:rPr>
          <w:rFonts w:ascii="Times New Roman" w:hAnsi="Times New Roman"/>
          <w:b/>
        </w:rPr>
        <w:t xml:space="preserve">за </w:t>
      </w:r>
      <w:r w:rsidRPr="00CE326F">
        <w:rPr>
          <w:rFonts w:ascii="Times New Roman" w:hAnsi="Times New Roman"/>
          <w:b/>
          <w:lang w:val="en-US"/>
        </w:rPr>
        <w:t>I</w:t>
      </w:r>
      <w:r w:rsidRPr="00CE326F">
        <w:rPr>
          <w:rFonts w:ascii="Times New Roman" w:hAnsi="Times New Roman"/>
          <w:b/>
        </w:rPr>
        <w:t xml:space="preserve"> полугодие 2016 – 2017 годов</w:t>
      </w:r>
    </w:p>
    <w:tbl>
      <w:tblPr>
        <w:tblW w:w="9654" w:type="dxa"/>
        <w:tblInd w:w="93" w:type="dxa"/>
        <w:tblLook w:val="04A0"/>
      </w:tblPr>
      <w:tblGrid>
        <w:gridCol w:w="2740"/>
        <w:gridCol w:w="2020"/>
        <w:gridCol w:w="2059"/>
        <w:gridCol w:w="2835"/>
      </w:tblGrid>
      <w:tr w:rsidR="00F425EE" w:rsidRPr="00CE326F" w:rsidTr="006A3EF7">
        <w:trPr>
          <w:trHeight w:val="1050"/>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b/>
                <w:bCs/>
              </w:rPr>
            </w:pPr>
            <w:r w:rsidRPr="00CE326F">
              <w:rPr>
                <w:rFonts w:ascii="Times New Roman" w:hAnsi="Times New Roman"/>
                <w:b/>
                <w:bCs/>
              </w:rPr>
              <w:t>Районы республики</w:t>
            </w:r>
          </w:p>
        </w:tc>
        <w:tc>
          <w:tcPr>
            <w:tcW w:w="4079" w:type="dxa"/>
            <w:gridSpan w:val="2"/>
            <w:tcBorders>
              <w:top w:val="single" w:sz="8" w:space="0" w:color="auto"/>
              <w:left w:val="nil"/>
              <w:bottom w:val="single" w:sz="8" w:space="0" w:color="auto"/>
              <w:right w:val="single" w:sz="8" w:space="0" w:color="000000"/>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b/>
                <w:bCs/>
              </w:rPr>
            </w:pPr>
            <w:r w:rsidRPr="00CE326F">
              <w:rPr>
                <w:rFonts w:ascii="Times New Roman" w:hAnsi="Times New Roman"/>
                <w:b/>
                <w:bCs/>
              </w:rPr>
              <w:t>Сумма поступивших в доход местного бюджета и Единого государственного фонда социального страхования отчислений средств от платы за патент по городам и районам ПМР, тыс. руб.</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B748A" w:rsidRDefault="00F425EE" w:rsidP="006A3EF7">
            <w:pPr>
              <w:shd w:val="clear" w:color="auto" w:fill="FFFFFF"/>
              <w:spacing w:after="0" w:line="240" w:lineRule="auto"/>
              <w:ind w:left="-108" w:right="-108"/>
              <w:jc w:val="center"/>
              <w:rPr>
                <w:rFonts w:ascii="Times New Roman" w:hAnsi="Times New Roman"/>
                <w:b/>
                <w:bCs/>
              </w:rPr>
            </w:pPr>
            <w:r w:rsidRPr="00CE326F">
              <w:rPr>
                <w:rFonts w:ascii="Times New Roman" w:hAnsi="Times New Roman"/>
                <w:b/>
                <w:bCs/>
              </w:rPr>
              <w:t xml:space="preserve">Доля поступлений в доход местного бюджета и Единого государственного фонда социального страхования, в разрезе районов республики </w:t>
            </w:r>
            <w:proofErr w:type="gramStart"/>
            <w:r w:rsidRPr="00CE326F">
              <w:rPr>
                <w:rFonts w:ascii="Times New Roman" w:hAnsi="Times New Roman"/>
                <w:b/>
                <w:bCs/>
              </w:rPr>
              <w:t>за</w:t>
            </w:r>
            <w:proofErr w:type="gramEnd"/>
            <w:r w:rsidRPr="00CE326F">
              <w:rPr>
                <w:rFonts w:ascii="Times New Roman" w:hAnsi="Times New Roman"/>
                <w:b/>
                <w:bCs/>
              </w:rPr>
              <w:t xml:space="preserve"> </w:t>
            </w:r>
          </w:p>
          <w:p w:rsidR="00F425EE" w:rsidRPr="00CE326F" w:rsidRDefault="00F425EE" w:rsidP="006A3EF7">
            <w:pPr>
              <w:shd w:val="clear" w:color="auto" w:fill="FFFFFF"/>
              <w:spacing w:after="0" w:line="240" w:lineRule="auto"/>
              <w:ind w:left="-108" w:right="-108"/>
              <w:jc w:val="center"/>
              <w:rPr>
                <w:rFonts w:ascii="Times New Roman" w:hAnsi="Times New Roman"/>
                <w:b/>
                <w:bCs/>
              </w:rPr>
            </w:pPr>
            <w:r w:rsidRPr="00CE326F">
              <w:rPr>
                <w:rFonts w:ascii="Times New Roman" w:hAnsi="Times New Roman"/>
                <w:b/>
                <w:bCs/>
                <w:lang w:val="en-US"/>
              </w:rPr>
              <w:t>I</w:t>
            </w:r>
            <w:r w:rsidRPr="00CE326F">
              <w:rPr>
                <w:rFonts w:ascii="Times New Roman" w:hAnsi="Times New Roman"/>
                <w:b/>
                <w:bCs/>
              </w:rPr>
              <w:t xml:space="preserve"> полугодие 2017 года, %</w:t>
            </w:r>
          </w:p>
        </w:tc>
      </w:tr>
      <w:tr w:rsidR="00F425EE" w:rsidRPr="00CE326F" w:rsidTr="006A3EF7">
        <w:trPr>
          <w:trHeight w:val="106"/>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F425EE" w:rsidRPr="00CE326F" w:rsidRDefault="00F425EE" w:rsidP="006A3EF7">
            <w:pPr>
              <w:shd w:val="clear" w:color="auto" w:fill="FFFFFF"/>
              <w:spacing w:after="0" w:line="240" w:lineRule="auto"/>
              <w:rPr>
                <w:rFonts w:ascii="Times New Roman" w:hAnsi="Times New Roman"/>
                <w:b/>
                <w:bCs/>
              </w:rPr>
            </w:pPr>
          </w:p>
        </w:tc>
        <w:tc>
          <w:tcPr>
            <w:tcW w:w="2020" w:type="dxa"/>
            <w:tcBorders>
              <w:top w:val="nil"/>
              <w:left w:val="nil"/>
              <w:bottom w:val="single" w:sz="8" w:space="0" w:color="auto"/>
              <w:right w:val="single" w:sz="8" w:space="0" w:color="auto"/>
            </w:tcBorders>
            <w:shd w:val="clear" w:color="auto" w:fill="auto"/>
            <w:vAlign w:val="center"/>
            <w:hideMark/>
          </w:tcPr>
          <w:p w:rsidR="009B748A" w:rsidRDefault="00F425EE" w:rsidP="006A3EF7">
            <w:pPr>
              <w:spacing w:after="0" w:line="240" w:lineRule="auto"/>
              <w:contextualSpacing/>
              <w:jc w:val="center"/>
              <w:rPr>
                <w:rFonts w:ascii="Times New Roman" w:hAnsi="Times New Roman"/>
                <w:b/>
                <w:bCs/>
                <w:color w:val="000000"/>
              </w:rPr>
            </w:pPr>
            <w:r w:rsidRPr="00CE326F">
              <w:rPr>
                <w:rFonts w:ascii="Times New Roman" w:hAnsi="Times New Roman"/>
                <w:b/>
                <w:bCs/>
                <w:color w:val="000000"/>
              </w:rPr>
              <w:t xml:space="preserve">1 полугодие </w:t>
            </w:r>
          </w:p>
          <w:p w:rsidR="00F425EE" w:rsidRPr="00CE326F" w:rsidRDefault="00F425EE" w:rsidP="006A3EF7">
            <w:pPr>
              <w:spacing w:after="0" w:line="240" w:lineRule="auto"/>
              <w:contextualSpacing/>
              <w:jc w:val="center"/>
              <w:rPr>
                <w:rFonts w:ascii="Times New Roman" w:hAnsi="Times New Roman"/>
                <w:b/>
                <w:bCs/>
                <w:color w:val="000000"/>
              </w:rPr>
            </w:pPr>
            <w:r w:rsidRPr="00CE326F">
              <w:rPr>
                <w:rFonts w:ascii="Times New Roman" w:hAnsi="Times New Roman"/>
                <w:b/>
                <w:bCs/>
                <w:color w:val="000000"/>
              </w:rPr>
              <w:t>2016 года</w:t>
            </w:r>
          </w:p>
        </w:tc>
        <w:tc>
          <w:tcPr>
            <w:tcW w:w="2059" w:type="dxa"/>
            <w:tcBorders>
              <w:top w:val="nil"/>
              <w:left w:val="nil"/>
              <w:bottom w:val="single" w:sz="8" w:space="0" w:color="auto"/>
              <w:right w:val="single" w:sz="8" w:space="0" w:color="auto"/>
            </w:tcBorders>
            <w:shd w:val="clear" w:color="auto" w:fill="auto"/>
            <w:vAlign w:val="center"/>
            <w:hideMark/>
          </w:tcPr>
          <w:p w:rsidR="00F425EE" w:rsidRPr="00CE326F" w:rsidRDefault="00F425EE" w:rsidP="006A3EF7">
            <w:pPr>
              <w:spacing w:after="0" w:line="240" w:lineRule="auto"/>
              <w:contextualSpacing/>
              <w:jc w:val="center"/>
              <w:rPr>
                <w:rFonts w:ascii="Times New Roman" w:hAnsi="Times New Roman"/>
                <w:b/>
                <w:bCs/>
                <w:color w:val="000000"/>
              </w:rPr>
            </w:pPr>
            <w:r w:rsidRPr="00CE326F">
              <w:rPr>
                <w:rFonts w:ascii="Times New Roman" w:hAnsi="Times New Roman"/>
                <w:b/>
                <w:bCs/>
                <w:color w:val="000000"/>
              </w:rPr>
              <w:t xml:space="preserve">1 полугодие </w:t>
            </w:r>
          </w:p>
          <w:p w:rsidR="00F425EE" w:rsidRPr="00CE326F" w:rsidRDefault="00F425EE" w:rsidP="006A3EF7">
            <w:pPr>
              <w:spacing w:after="0" w:line="240" w:lineRule="auto"/>
              <w:contextualSpacing/>
              <w:jc w:val="center"/>
              <w:rPr>
                <w:rFonts w:ascii="Times New Roman" w:hAnsi="Times New Roman"/>
                <w:b/>
                <w:bCs/>
                <w:color w:val="000000"/>
              </w:rPr>
            </w:pPr>
            <w:r w:rsidRPr="00CE326F">
              <w:rPr>
                <w:rFonts w:ascii="Times New Roman" w:hAnsi="Times New Roman"/>
                <w:b/>
                <w:bCs/>
                <w:color w:val="000000"/>
              </w:rPr>
              <w:t>2017 года</w:t>
            </w: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F425EE" w:rsidRPr="00CE326F" w:rsidRDefault="00F425EE" w:rsidP="006A3EF7">
            <w:pPr>
              <w:shd w:val="clear" w:color="auto" w:fill="FFFFFF"/>
              <w:spacing w:after="0" w:line="240" w:lineRule="auto"/>
              <w:jc w:val="center"/>
              <w:rPr>
                <w:rFonts w:ascii="Times New Roman" w:hAnsi="Times New Roman"/>
                <w:b/>
                <w:bCs/>
              </w:rPr>
            </w:pPr>
          </w:p>
        </w:tc>
      </w:tr>
      <w:tr w:rsidR="00F425EE" w:rsidRPr="00CE326F" w:rsidTr="006A3EF7">
        <w:trPr>
          <w:trHeight w:val="27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b/>
                <w:bCs/>
                <w:i/>
                <w:iCs/>
              </w:rPr>
            </w:pPr>
            <w:r w:rsidRPr="00CE326F">
              <w:rPr>
                <w:rFonts w:ascii="Times New Roman" w:hAnsi="Times New Roman"/>
                <w:b/>
                <w:bCs/>
                <w:i/>
                <w:iCs/>
              </w:rPr>
              <w:t>Всего по районам</w:t>
            </w:r>
          </w:p>
        </w:tc>
        <w:tc>
          <w:tcPr>
            <w:tcW w:w="2020" w:type="dxa"/>
            <w:tcBorders>
              <w:top w:val="nil"/>
              <w:left w:val="nil"/>
              <w:bottom w:val="single" w:sz="8" w:space="0" w:color="auto"/>
              <w:right w:val="single" w:sz="8"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b/>
                <w:bCs/>
                <w:iCs/>
              </w:rPr>
            </w:pPr>
            <w:r w:rsidRPr="00CE326F">
              <w:rPr>
                <w:rFonts w:ascii="Times New Roman" w:hAnsi="Times New Roman"/>
                <w:b/>
                <w:bCs/>
                <w:iCs/>
              </w:rPr>
              <w:t xml:space="preserve">30 837 975 </w:t>
            </w:r>
          </w:p>
        </w:tc>
        <w:tc>
          <w:tcPr>
            <w:tcW w:w="2059" w:type="dxa"/>
            <w:tcBorders>
              <w:top w:val="nil"/>
              <w:left w:val="nil"/>
              <w:bottom w:val="single" w:sz="8" w:space="0" w:color="auto"/>
              <w:right w:val="single" w:sz="8"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b/>
                <w:bCs/>
              </w:rPr>
            </w:pPr>
            <w:r w:rsidRPr="00CE326F">
              <w:rPr>
                <w:rFonts w:ascii="Times New Roman" w:hAnsi="Times New Roman"/>
                <w:b/>
                <w:bCs/>
              </w:rPr>
              <w:t xml:space="preserve">20 951 796 </w:t>
            </w:r>
          </w:p>
        </w:tc>
        <w:tc>
          <w:tcPr>
            <w:tcW w:w="2835" w:type="dxa"/>
            <w:tcBorders>
              <w:top w:val="nil"/>
              <w:left w:val="nil"/>
              <w:bottom w:val="single" w:sz="8" w:space="0" w:color="auto"/>
              <w:right w:val="single" w:sz="8"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b/>
                <w:bCs/>
                <w:i/>
                <w:iCs/>
              </w:rPr>
            </w:pPr>
            <w:r w:rsidRPr="00CE326F">
              <w:rPr>
                <w:rFonts w:ascii="Times New Roman" w:hAnsi="Times New Roman"/>
                <w:b/>
                <w:bCs/>
                <w:i/>
                <w:iCs/>
              </w:rPr>
              <w:t>100,0</w:t>
            </w:r>
          </w:p>
        </w:tc>
      </w:tr>
      <w:tr w:rsidR="00F425EE" w:rsidRPr="00CE326F" w:rsidTr="006A3EF7">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rPr>
            </w:pPr>
            <w:r w:rsidRPr="00CE326F">
              <w:rPr>
                <w:rFonts w:ascii="Times New Roman" w:hAnsi="Times New Roman"/>
              </w:rPr>
              <w:t xml:space="preserve">г. Тирасполь и г. </w:t>
            </w:r>
            <w:proofErr w:type="spellStart"/>
            <w:r w:rsidRPr="00CE326F">
              <w:rPr>
                <w:rFonts w:ascii="Times New Roman" w:hAnsi="Times New Roman"/>
              </w:rPr>
              <w:t>Днестровск</w:t>
            </w:r>
            <w:proofErr w:type="spellEnd"/>
          </w:p>
        </w:tc>
        <w:tc>
          <w:tcPr>
            <w:tcW w:w="2020"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10 241 044 </w:t>
            </w:r>
          </w:p>
        </w:tc>
        <w:tc>
          <w:tcPr>
            <w:tcW w:w="2059"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7 562 090 </w:t>
            </w:r>
          </w:p>
        </w:tc>
        <w:tc>
          <w:tcPr>
            <w:tcW w:w="2835"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36,1</w:t>
            </w:r>
          </w:p>
        </w:tc>
      </w:tr>
      <w:tr w:rsidR="00F425EE" w:rsidRPr="00CE326F" w:rsidTr="006A3EF7">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rPr>
            </w:pPr>
            <w:r w:rsidRPr="00CE326F">
              <w:rPr>
                <w:rFonts w:ascii="Times New Roman" w:hAnsi="Times New Roman"/>
              </w:rPr>
              <w:t>г. Бендеры</w:t>
            </w:r>
          </w:p>
        </w:tc>
        <w:tc>
          <w:tcPr>
            <w:tcW w:w="2020"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7 350 326 </w:t>
            </w:r>
          </w:p>
        </w:tc>
        <w:tc>
          <w:tcPr>
            <w:tcW w:w="2059"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4 823 123 </w:t>
            </w:r>
          </w:p>
        </w:tc>
        <w:tc>
          <w:tcPr>
            <w:tcW w:w="2835"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23,0</w:t>
            </w:r>
          </w:p>
        </w:tc>
      </w:tr>
      <w:tr w:rsidR="00F425EE" w:rsidRPr="00CE326F" w:rsidTr="006A3EF7">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rPr>
            </w:pPr>
            <w:r w:rsidRPr="00CE326F">
              <w:rPr>
                <w:rFonts w:ascii="Times New Roman" w:hAnsi="Times New Roman"/>
              </w:rPr>
              <w:t xml:space="preserve">г. Рыбница и </w:t>
            </w:r>
            <w:proofErr w:type="spellStart"/>
            <w:r w:rsidRPr="00CE326F">
              <w:rPr>
                <w:rFonts w:ascii="Times New Roman" w:hAnsi="Times New Roman"/>
              </w:rPr>
              <w:t>Рыбницкий</w:t>
            </w:r>
            <w:proofErr w:type="spellEnd"/>
            <w:r w:rsidRPr="00CE326F">
              <w:rPr>
                <w:rFonts w:ascii="Times New Roman" w:hAnsi="Times New Roman"/>
              </w:rPr>
              <w:t xml:space="preserve"> район</w:t>
            </w:r>
          </w:p>
        </w:tc>
        <w:tc>
          <w:tcPr>
            <w:tcW w:w="2020"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4 018 312 </w:t>
            </w:r>
          </w:p>
        </w:tc>
        <w:tc>
          <w:tcPr>
            <w:tcW w:w="2059"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2 719 844 </w:t>
            </w:r>
          </w:p>
        </w:tc>
        <w:tc>
          <w:tcPr>
            <w:tcW w:w="2835"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13,0</w:t>
            </w:r>
          </w:p>
        </w:tc>
      </w:tr>
      <w:tr w:rsidR="00F425EE" w:rsidRPr="00CE326F" w:rsidTr="006A3EF7">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rPr>
            </w:pPr>
            <w:r w:rsidRPr="00CE326F">
              <w:rPr>
                <w:rFonts w:ascii="Times New Roman" w:hAnsi="Times New Roman"/>
              </w:rPr>
              <w:t xml:space="preserve">г. Дубоссары и </w:t>
            </w:r>
            <w:proofErr w:type="spellStart"/>
            <w:r w:rsidRPr="00CE326F">
              <w:rPr>
                <w:rFonts w:ascii="Times New Roman" w:hAnsi="Times New Roman"/>
              </w:rPr>
              <w:t>Дубоссарский</w:t>
            </w:r>
            <w:proofErr w:type="spellEnd"/>
            <w:r w:rsidRPr="00CE326F">
              <w:rPr>
                <w:rFonts w:ascii="Times New Roman" w:hAnsi="Times New Roman"/>
              </w:rPr>
              <w:t xml:space="preserve"> район</w:t>
            </w:r>
          </w:p>
        </w:tc>
        <w:tc>
          <w:tcPr>
            <w:tcW w:w="2020"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2 131 818 </w:t>
            </w:r>
          </w:p>
        </w:tc>
        <w:tc>
          <w:tcPr>
            <w:tcW w:w="2059"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1 305 161 </w:t>
            </w:r>
          </w:p>
        </w:tc>
        <w:tc>
          <w:tcPr>
            <w:tcW w:w="2835"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6,2</w:t>
            </w:r>
          </w:p>
        </w:tc>
      </w:tr>
      <w:tr w:rsidR="00F425EE" w:rsidRPr="00CE326F" w:rsidTr="006A3EF7">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rPr>
            </w:pPr>
            <w:r w:rsidRPr="00CE326F">
              <w:rPr>
                <w:rFonts w:ascii="Times New Roman" w:hAnsi="Times New Roman"/>
              </w:rPr>
              <w:t xml:space="preserve">г. </w:t>
            </w:r>
            <w:proofErr w:type="spellStart"/>
            <w:r w:rsidRPr="00CE326F">
              <w:rPr>
                <w:rFonts w:ascii="Times New Roman" w:hAnsi="Times New Roman"/>
              </w:rPr>
              <w:t>Слободзея</w:t>
            </w:r>
            <w:proofErr w:type="spellEnd"/>
            <w:r w:rsidRPr="00CE326F">
              <w:rPr>
                <w:rFonts w:ascii="Times New Roman" w:hAnsi="Times New Roman"/>
              </w:rPr>
              <w:t xml:space="preserve"> и </w:t>
            </w:r>
            <w:proofErr w:type="spellStart"/>
            <w:r w:rsidRPr="00CE326F">
              <w:rPr>
                <w:rFonts w:ascii="Times New Roman" w:hAnsi="Times New Roman"/>
              </w:rPr>
              <w:t>Слободзейский</w:t>
            </w:r>
            <w:proofErr w:type="spellEnd"/>
            <w:r w:rsidRPr="00CE326F">
              <w:rPr>
                <w:rFonts w:ascii="Times New Roman" w:hAnsi="Times New Roman"/>
              </w:rPr>
              <w:t xml:space="preserve"> район</w:t>
            </w:r>
          </w:p>
        </w:tc>
        <w:tc>
          <w:tcPr>
            <w:tcW w:w="2020"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4 611 325 </w:t>
            </w:r>
          </w:p>
        </w:tc>
        <w:tc>
          <w:tcPr>
            <w:tcW w:w="2059"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3 039 553</w:t>
            </w:r>
          </w:p>
        </w:tc>
        <w:tc>
          <w:tcPr>
            <w:tcW w:w="2835"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14,5</w:t>
            </w:r>
          </w:p>
        </w:tc>
      </w:tr>
      <w:tr w:rsidR="00F425EE" w:rsidRPr="00CE326F" w:rsidTr="006A3EF7">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rPr>
            </w:pPr>
            <w:r w:rsidRPr="00CE326F">
              <w:rPr>
                <w:rFonts w:ascii="Times New Roman" w:hAnsi="Times New Roman"/>
              </w:rPr>
              <w:t xml:space="preserve">г. Григориополь и </w:t>
            </w:r>
            <w:proofErr w:type="spellStart"/>
            <w:r w:rsidRPr="00CE326F">
              <w:rPr>
                <w:rFonts w:ascii="Times New Roman" w:hAnsi="Times New Roman"/>
              </w:rPr>
              <w:t>Григориопольский</w:t>
            </w:r>
            <w:proofErr w:type="spellEnd"/>
            <w:r w:rsidRPr="00CE326F">
              <w:rPr>
                <w:rFonts w:ascii="Times New Roman" w:hAnsi="Times New Roman"/>
              </w:rPr>
              <w:t xml:space="preserve"> район</w:t>
            </w:r>
          </w:p>
        </w:tc>
        <w:tc>
          <w:tcPr>
            <w:tcW w:w="2020"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1 555 476 </w:t>
            </w:r>
          </w:p>
        </w:tc>
        <w:tc>
          <w:tcPr>
            <w:tcW w:w="2059"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936 427 </w:t>
            </w:r>
          </w:p>
        </w:tc>
        <w:tc>
          <w:tcPr>
            <w:tcW w:w="2835"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4,5</w:t>
            </w:r>
          </w:p>
        </w:tc>
      </w:tr>
      <w:tr w:rsidR="00F425EE" w:rsidRPr="00CE326F" w:rsidTr="006A3EF7">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rPr>
                <w:rFonts w:ascii="Times New Roman" w:hAnsi="Times New Roman"/>
              </w:rPr>
            </w:pPr>
            <w:r w:rsidRPr="00CE326F">
              <w:rPr>
                <w:rFonts w:ascii="Times New Roman" w:hAnsi="Times New Roman"/>
              </w:rPr>
              <w:t>г. Каменка и Каменский район</w:t>
            </w:r>
          </w:p>
        </w:tc>
        <w:tc>
          <w:tcPr>
            <w:tcW w:w="2020"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929 674</w:t>
            </w:r>
          </w:p>
        </w:tc>
        <w:tc>
          <w:tcPr>
            <w:tcW w:w="2059"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 xml:space="preserve">565 598 </w:t>
            </w:r>
          </w:p>
        </w:tc>
        <w:tc>
          <w:tcPr>
            <w:tcW w:w="2835" w:type="dxa"/>
            <w:tcBorders>
              <w:top w:val="nil"/>
              <w:left w:val="nil"/>
              <w:bottom w:val="single" w:sz="4" w:space="0" w:color="auto"/>
              <w:right w:val="single" w:sz="4" w:space="0" w:color="auto"/>
            </w:tcBorders>
            <w:shd w:val="clear" w:color="auto" w:fill="auto"/>
            <w:vAlign w:val="center"/>
            <w:hideMark/>
          </w:tcPr>
          <w:p w:rsidR="00F425EE" w:rsidRPr="00CE326F" w:rsidRDefault="00F425EE" w:rsidP="006A3EF7">
            <w:pPr>
              <w:shd w:val="clear" w:color="auto" w:fill="FFFFFF"/>
              <w:spacing w:after="0" w:line="240" w:lineRule="auto"/>
              <w:jc w:val="center"/>
              <w:rPr>
                <w:rFonts w:ascii="Times New Roman" w:hAnsi="Times New Roman"/>
              </w:rPr>
            </w:pPr>
            <w:r w:rsidRPr="00CE326F">
              <w:rPr>
                <w:rFonts w:ascii="Times New Roman" w:hAnsi="Times New Roman"/>
              </w:rPr>
              <w:t>2,7</w:t>
            </w:r>
          </w:p>
        </w:tc>
      </w:tr>
    </w:tbl>
    <w:p w:rsidR="00832D29" w:rsidRPr="00832D29" w:rsidRDefault="00832D29" w:rsidP="00F425EE">
      <w:pPr>
        <w:shd w:val="clear" w:color="auto" w:fill="FFFFFF"/>
        <w:spacing w:after="0" w:line="240" w:lineRule="auto"/>
        <w:ind w:firstLine="720"/>
        <w:jc w:val="both"/>
        <w:rPr>
          <w:rFonts w:ascii="Times New Roman" w:eastAsia="Calibri" w:hAnsi="Times New Roman"/>
          <w:sz w:val="16"/>
          <w:szCs w:val="16"/>
        </w:rPr>
      </w:pPr>
    </w:p>
    <w:p w:rsidR="00F425EE" w:rsidRPr="005B4734" w:rsidRDefault="00F425EE" w:rsidP="00F425EE">
      <w:pPr>
        <w:shd w:val="clear" w:color="auto" w:fill="FFFFFF"/>
        <w:spacing w:after="0" w:line="240" w:lineRule="auto"/>
        <w:ind w:firstLine="720"/>
        <w:jc w:val="both"/>
        <w:rPr>
          <w:rFonts w:ascii="Times New Roman" w:eastAsia="Calibri" w:hAnsi="Times New Roman"/>
          <w:sz w:val="24"/>
          <w:szCs w:val="24"/>
        </w:rPr>
      </w:pPr>
      <w:r w:rsidRPr="005B4734">
        <w:rPr>
          <w:rFonts w:ascii="Times New Roman" w:eastAsia="Calibri" w:hAnsi="Times New Roman"/>
          <w:sz w:val="24"/>
          <w:szCs w:val="24"/>
        </w:rPr>
        <w:t>В рамках объявленного в Приднестровской Молдавской Республике 2017 года Годом предпринимателя в целях создания благоприятных условий</w:t>
      </w:r>
      <w:r>
        <w:rPr>
          <w:rFonts w:ascii="Times New Roman" w:eastAsia="Calibri" w:hAnsi="Times New Roman"/>
          <w:sz w:val="24"/>
          <w:szCs w:val="24"/>
        </w:rPr>
        <w:t xml:space="preserve"> для ведения предпринимательской деятельности,</w:t>
      </w:r>
      <w:r w:rsidRPr="005B4734">
        <w:rPr>
          <w:rFonts w:ascii="Times New Roman" w:eastAsia="Calibri" w:hAnsi="Times New Roman"/>
          <w:sz w:val="24"/>
          <w:szCs w:val="24"/>
        </w:rPr>
        <w:t xml:space="preserve"> формирования привлекательно</w:t>
      </w:r>
      <w:r>
        <w:rPr>
          <w:rFonts w:ascii="Times New Roman" w:eastAsia="Calibri" w:hAnsi="Times New Roman"/>
          <w:sz w:val="24"/>
          <w:szCs w:val="24"/>
        </w:rPr>
        <w:t>го</w:t>
      </w:r>
      <w:r w:rsidRPr="005B4734">
        <w:rPr>
          <w:rFonts w:ascii="Times New Roman" w:eastAsia="Calibri" w:hAnsi="Times New Roman"/>
          <w:sz w:val="24"/>
          <w:szCs w:val="24"/>
        </w:rPr>
        <w:t xml:space="preserve"> инвестиционного климата, упрощения ведения бизнеса, уменьшени</w:t>
      </w:r>
      <w:r>
        <w:rPr>
          <w:rFonts w:ascii="Times New Roman" w:eastAsia="Calibri" w:hAnsi="Times New Roman"/>
          <w:sz w:val="24"/>
          <w:szCs w:val="24"/>
        </w:rPr>
        <w:t>я</w:t>
      </w:r>
      <w:r w:rsidRPr="005B4734">
        <w:rPr>
          <w:rFonts w:ascii="Times New Roman" w:eastAsia="Calibri" w:hAnsi="Times New Roman"/>
          <w:sz w:val="24"/>
          <w:szCs w:val="24"/>
        </w:rPr>
        <w:t xml:space="preserve"> административных барьеров Министерством экономического развития Приднестровской Молдавской Республики был разработан проект «Об утверждении плана мероприятий («дорожной карты»), направленных на улучшение внутренних условий ведения предпринимательской деятельности в Приднестровской Молдавской Республике».</w:t>
      </w:r>
    </w:p>
    <w:p w:rsidR="00F425EE" w:rsidRPr="006E5A9E" w:rsidRDefault="00F425EE" w:rsidP="00F425EE">
      <w:pPr>
        <w:shd w:val="clear" w:color="auto" w:fill="FFFFFF"/>
        <w:spacing w:after="0" w:line="240" w:lineRule="auto"/>
        <w:ind w:firstLine="720"/>
        <w:jc w:val="both"/>
        <w:rPr>
          <w:rFonts w:ascii="Times New Roman" w:eastAsia="Calibri" w:hAnsi="Times New Roman"/>
          <w:sz w:val="24"/>
          <w:szCs w:val="24"/>
        </w:rPr>
      </w:pPr>
      <w:r w:rsidRPr="006E5A9E">
        <w:rPr>
          <w:rFonts w:ascii="Times New Roman" w:eastAsia="Calibri" w:hAnsi="Times New Roman"/>
          <w:sz w:val="24"/>
          <w:szCs w:val="24"/>
        </w:rPr>
        <w:t xml:space="preserve">Также, в целях упрощения ведения предпринимательской деятельности </w:t>
      </w:r>
      <w:r>
        <w:rPr>
          <w:rFonts w:ascii="Times New Roman" w:eastAsia="Calibri" w:hAnsi="Times New Roman"/>
          <w:sz w:val="24"/>
          <w:szCs w:val="24"/>
        </w:rPr>
        <w:t xml:space="preserve">были </w:t>
      </w:r>
      <w:r w:rsidRPr="006E5A9E">
        <w:rPr>
          <w:rFonts w:ascii="Times New Roman" w:eastAsia="Calibri" w:hAnsi="Times New Roman"/>
          <w:sz w:val="24"/>
          <w:szCs w:val="24"/>
        </w:rPr>
        <w:t>приняты следующие меры:</w:t>
      </w:r>
    </w:p>
    <w:p w:rsidR="00F425EE" w:rsidRPr="006E5A9E" w:rsidRDefault="00F425EE" w:rsidP="00F425EE">
      <w:pPr>
        <w:shd w:val="clear" w:color="auto" w:fill="FFFFFF"/>
        <w:spacing w:after="0" w:line="240" w:lineRule="auto"/>
        <w:ind w:firstLine="720"/>
        <w:jc w:val="both"/>
        <w:rPr>
          <w:rFonts w:ascii="Times New Roman" w:eastAsia="Calibri" w:hAnsi="Times New Roman"/>
          <w:sz w:val="24"/>
          <w:szCs w:val="24"/>
        </w:rPr>
      </w:pPr>
      <w:r w:rsidRPr="006E5A9E">
        <w:rPr>
          <w:rFonts w:ascii="Times New Roman" w:eastAsia="Calibri" w:hAnsi="Times New Roman"/>
          <w:sz w:val="24"/>
          <w:szCs w:val="24"/>
        </w:rPr>
        <w:lastRenderedPageBreak/>
        <w:t>- снижен размер РУ МЗП для исчисления стоимости индивидуального предпринимательского патента в 2017,2018 и 2019 года</w:t>
      </w:r>
      <w:r>
        <w:rPr>
          <w:rFonts w:ascii="Times New Roman" w:eastAsia="Calibri" w:hAnsi="Times New Roman"/>
          <w:sz w:val="24"/>
          <w:szCs w:val="24"/>
        </w:rPr>
        <w:t>х</w:t>
      </w:r>
      <w:r w:rsidRPr="006E5A9E">
        <w:rPr>
          <w:rFonts w:ascii="Times New Roman" w:eastAsia="Calibri" w:hAnsi="Times New Roman"/>
          <w:sz w:val="24"/>
          <w:szCs w:val="24"/>
        </w:rPr>
        <w:t xml:space="preserve"> на производство товаров (работ, услуг) и на осуществление розничной торговли;</w:t>
      </w:r>
    </w:p>
    <w:p w:rsidR="00F425EE" w:rsidRPr="006E5A9E" w:rsidRDefault="00F425EE" w:rsidP="00F425EE">
      <w:pPr>
        <w:shd w:val="clear" w:color="auto" w:fill="FFFFFF"/>
        <w:spacing w:after="0" w:line="240" w:lineRule="auto"/>
        <w:ind w:firstLine="720"/>
        <w:jc w:val="both"/>
        <w:rPr>
          <w:rFonts w:ascii="Times New Roman" w:eastAsia="Calibri" w:hAnsi="Times New Roman"/>
          <w:sz w:val="24"/>
          <w:szCs w:val="24"/>
        </w:rPr>
      </w:pPr>
      <w:r w:rsidRPr="006E5A9E">
        <w:rPr>
          <w:rFonts w:ascii="Times New Roman" w:eastAsia="Calibri" w:hAnsi="Times New Roman"/>
          <w:sz w:val="24"/>
          <w:szCs w:val="24"/>
        </w:rPr>
        <w:t>- приостановлены проверочные мероприятия по контролю в отношении юридических лих, отнесенных к субъектам малого предпринимательства, физических лиц, в том числе для индивидуальных предпринимателей</w:t>
      </w:r>
      <w:r>
        <w:rPr>
          <w:rFonts w:ascii="Times New Roman" w:eastAsia="Calibri" w:hAnsi="Times New Roman"/>
          <w:sz w:val="24"/>
          <w:szCs w:val="24"/>
        </w:rPr>
        <w:t>,</w:t>
      </w:r>
      <w:r w:rsidRPr="006E5A9E">
        <w:rPr>
          <w:rFonts w:ascii="Times New Roman" w:eastAsia="Calibri" w:hAnsi="Times New Roman"/>
          <w:sz w:val="24"/>
          <w:szCs w:val="24"/>
        </w:rPr>
        <w:t xml:space="preserve"> на период 2017-2018 годы;</w:t>
      </w:r>
    </w:p>
    <w:p w:rsidR="00F425EE" w:rsidRPr="0044785C" w:rsidRDefault="00F425EE" w:rsidP="00F425EE">
      <w:pPr>
        <w:shd w:val="clear" w:color="auto" w:fill="FFFFFF"/>
        <w:spacing w:after="0" w:line="240" w:lineRule="auto"/>
        <w:ind w:firstLine="720"/>
        <w:jc w:val="both"/>
        <w:rPr>
          <w:rFonts w:ascii="Times New Roman" w:eastAsia="Calibri" w:hAnsi="Times New Roman"/>
          <w:sz w:val="24"/>
          <w:szCs w:val="24"/>
        </w:rPr>
      </w:pPr>
      <w:r w:rsidRPr="006E5A9E">
        <w:rPr>
          <w:rFonts w:ascii="Times New Roman" w:eastAsia="Calibri" w:hAnsi="Times New Roman"/>
          <w:sz w:val="24"/>
          <w:szCs w:val="24"/>
        </w:rPr>
        <w:t>- для лиц, состоящих на момент регистрации в 2017, 2018 годах в качестве  индивидуального предпринимателя более одного месяца на учете в центре занятости населения как безработны</w:t>
      </w:r>
      <w:r>
        <w:rPr>
          <w:rFonts w:ascii="Times New Roman" w:eastAsia="Calibri" w:hAnsi="Times New Roman"/>
          <w:sz w:val="24"/>
          <w:szCs w:val="24"/>
        </w:rPr>
        <w:t>е</w:t>
      </w:r>
      <w:r w:rsidRPr="006E5A9E">
        <w:rPr>
          <w:rFonts w:ascii="Times New Roman" w:eastAsia="Calibri" w:hAnsi="Times New Roman"/>
          <w:sz w:val="24"/>
          <w:szCs w:val="24"/>
        </w:rPr>
        <w:t xml:space="preserve">, устанавливается льгота при расчете и внесении платы за </w:t>
      </w:r>
      <w:r w:rsidRPr="0044785C">
        <w:rPr>
          <w:rFonts w:ascii="Times New Roman" w:eastAsia="Calibri" w:hAnsi="Times New Roman"/>
          <w:sz w:val="24"/>
          <w:szCs w:val="24"/>
        </w:rPr>
        <w:t xml:space="preserve">патент в виде </w:t>
      </w:r>
      <w:r>
        <w:rPr>
          <w:rFonts w:ascii="Times New Roman" w:eastAsia="Calibri" w:hAnsi="Times New Roman"/>
          <w:sz w:val="24"/>
          <w:szCs w:val="24"/>
        </w:rPr>
        <w:t xml:space="preserve">ее </w:t>
      </w:r>
      <w:r w:rsidRPr="0044785C">
        <w:rPr>
          <w:rFonts w:ascii="Times New Roman" w:eastAsia="Calibri" w:hAnsi="Times New Roman"/>
          <w:sz w:val="24"/>
          <w:szCs w:val="24"/>
        </w:rPr>
        <w:t>снижения;</w:t>
      </w:r>
    </w:p>
    <w:p w:rsidR="00F425EE" w:rsidRPr="0044785C" w:rsidRDefault="00F425EE" w:rsidP="00F425EE">
      <w:pPr>
        <w:shd w:val="clear" w:color="auto" w:fill="FFFFFF"/>
        <w:spacing w:after="0" w:line="240" w:lineRule="auto"/>
        <w:ind w:firstLine="720"/>
        <w:jc w:val="both"/>
        <w:rPr>
          <w:rFonts w:ascii="Times New Roman" w:eastAsia="Calibri" w:hAnsi="Times New Roman"/>
          <w:sz w:val="24"/>
          <w:szCs w:val="24"/>
        </w:rPr>
      </w:pPr>
      <w:r w:rsidRPr="0044785C">
        <w:rPr>
          <w:rFonts w:ascii="Times New Roman" w:eastAsia="Calibri" w:hAnsi="Times New Roman"/>
          <w:sz w:val="24"/>
          <w:szCs w:val="24"/>
        </w:rPr>
        <w:t>- отменена плата за предпринимательский патент для членов многодетных семей до конца 2017 года;</w:t>
      </w:r>
    </w:p>
    <w:p w:rsidR="00F425EE" w:rsidRPr="0044785C" w:rsidRDefault="00F425EE" w:rsidP="00F425EE">
      <w:pPr>
        <w:shd w:val="clear" w:color="auto" w:fill="FFFFFF"/>
        <w:spacing w:after="0" w:line="240" w:lineRule="auto"/>
        <w:ind w:firstLine="720"/>
        <w:jc w:val="both"/>
        <w:rPr>
          <w:rFonts w:ascii="Times New Roman" w:eastAsia="Calibri" w:hAnsi="Times New Roman"/>
          <w:sz w:val="24"/>
          <w:szCs w:val="24"/>
        </w:rPr>
      </w:pPr>
      <w:r w:rsidRPr="0044785C">
        <w:rPr>
          <w:rFonts w:ascii="Times New Roman" w:eastAsia="Calibri" w:hAnsi="Times New Roman"/>
          <w:sz w:val="24"/>
          <w:szCs w:val="24"/>
        </w:rPr>
        <w:t>- оптимизирована (сокращена) государственная статистическая отчетность;</w:t>
      </w:r>
    </w:p>
    <w:p w:rsidR="00F425EE" w:rsidRPr="0044785C" w:rsidRDefault="00F425EE" w:rsidP="00F425EE">
      <w:pPr>
        <w:shd w:val="clear" w:color="auto" w:fill="FFFFFF"/>
        <w:spacing w:after="0" w:line="240" w:lineRule="auto"/>
        <w:ind w:firstLine="720"/>
        <w:jc w:val="both"/>
        <w:rPr>
          <w:rFonts w:ascii="Times New Roman" w:eastAsia="Calibri" w:hAnsi="Times New Roman"/>
          <w:sz w:val="24"/>
          <w:szCs w:val="24"/>
        </w:rPr>
      </w:pPr>
      <w:r w:rsidRPr="0044785C">
        <w:rPr>
          <w:rFonts w:ascii="Times New Roman" w:eastAsia="Calibri" w:hAnsi="Times New Roman"/>
          <w:sz w:val="24"/>
          <w:szCs w:val="24"/>
        </w:rPr>
        <w:t xml:space="preserve">- продлен срок действия нормы, в соответствии с которой не подлежат налогообложению подоходным налогом с физических лиц доходы в размере не более </w:t>
      </w:r>
      <w:r w:rsidR="009B748A">
        <w:rPr>
          <w:rFonts w:ascii="Times New Roman" w:eastAsia="Calibri" w:hAnsi="Times New Roman"/>
          <w:sz w:val="24"/>
          <w:szCs w:val="24"/>
        </w:rPr>
        <w:t xml:space="preserve">            </w:t>
      </w:r>
      <w:r w:rsidRPr="0044785C">
        <w:rPr>
          <w:rFonts w:ascii="Times New Roman" w:eastAsia="Calibri" w:hAnsi="Times New Roman"/>
          <w:sz w:val="24"/>
          <w:szCs w:val="24"/>
        </w:rPr>
        <w:t>100 тысяч рублей ПМР в месяц, выплаченные юридическим лицом индивидуальному предпринимателю при приобретении у последнего товаров или оказания последним услуг до 31 декабря 2017 года;</w:t>
      </w:r>
    </w:p>
    <w:p w:rsidR="00F425EE" w:rsidRDefault="00F425EE" w:rsidP="00F425EE">
      <w:pPr>
        <w:shd w:val="clear" w:color="auto" w:fill="FFFFFF"/>
        <w:spacing w:after="0" w:line="240" w:lineRule="auto"/>
        <w:ind w:firstLine="720"/>
        <w:jc w:val="both"/>
        <w:rPr>
          <w:rFonts w:ascii="Times New Roman" w:eastAsia="Calibri" w:hAnsi="Times New Roman"/>
          <w:sz w:val="24"/>
          <w:szCs w:val="24"/>
        </w:rPr>
      </w:pPr>
      <w:r w:rsidRPr="0044785C">
        <w:rPr>
          <w:rFonts w:ascii="Times New Roman" w:eastAsia="Calibri" w:hAnsi="Times New Roman"/>
          <w:sz w:val="24"/>
          <w:szCs w:val="24"/>
        </w:rPr>
        <w:t>- установлены льготы в виде снижения платы за предпринимательский патент по всем видам предпринимательской деятельности для лиц, впервые зарегистрированных в качестве индивидуального предпринимателя</w:t>
      </w:r>
      <w:r>
        <w:rPr>
          <w:rFonts w:ascii="Times New Roman" w:eastAsia="Calibri" w:hAnsi="Times New Roman"/>
          <w:sz w:val="24"/>
          <w:szCs w:val="24"/>
        </w:rPr>
        <w:t>,</w:t>
      </w:r>
      <w:r w:rsidRPr="0044785C">
        <w:rPr>
          <w:rFonts w:ascii="Times New Roman" w:eastAsia="Calibri" w:hAnsi="Times New Roman"/>
          <w:sz w:val="24"/>
          <w:szCs w:val="24"/>
        </w:rPr>
        <w:t xml:space="preserve"> в первый и второй годы после получения диплома о высшем профессиональном образовании.</w:t>
      </w:r>
    </w:p>
    <w:p w:rsidR="00F425EE" w:rsidRPr="00C0642B" w:rsidRDefault="00F425EE" w:rsidP="00F425EE">
      <w:pPr>
        <w:shd w:val="clear" w:color="auto" w:fill="FFFFFF"/>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Р</w:t>
      </w:r>
      <w:r w:rsidRPr="00E02940">
        <w:rPr>
          <w:rFonts w:ascii="Times New Roman" w:eastAsia="Calibri" w:hAnsi="Times New Roman"/>
          <w:sz w:val="24"/>
          <w:szCs w:val="24"/>
        </w:rPr>
        <w:t>азвитие малого предпринимательства явля</w:t>
      </w:r>
      <w:r>
        <w:rPr>
          <w:rFonts w:ascii="Times New Roman" w:eastAsia="Calibri" w:hAnsi="Times New Roman"/>
          <w:sz w:val="24"/>
          <w:szCs w:val="24"/>
        </w:rPr>
        <w:t>ется необходимым условием</w:t>
      </w:r>
      <w:r w:rsidRPr="00E02940">
        <w:rPr>
          <w:rFonts w:ascii="Times New Roman" w:eastAsia="Calibri" w:hAnsi="Times New Roman"/>
          <w:sz w:val="24"/>
          <w:szCs w:val="24"/>
        </w:rPr>
        <w:t xml:space="preserve"> успешного развития </w:t>
      </w:r>
      <w:r>
        <w:rPr>
          <w:rFonts w:ascii="Times New Roman" w:eastAsia="Calibri" w:hAnsi="Times New Roman"/>
          <w:sz w:val="24"/>
          <w:szCs w:val="24"/>
        </w:rPr>
        <w:t>республики</w:t>
      </w:r>
      <w:r w:rsidRPr="00E02940">
        <w:rPr>
          <w:rFonts w:ascii="Times New Roman" w:eastAsia="Calibri" w:hAnsi="Times New Roman"/>
          <w:sz w:val="24"/>
          <w:szCs w:val="24"/>
        </w:rPr>
        <w:t>, решения социальных и экономических задач.</w:t>
      </w:r>
      <w:r>
        <w:rPr>
          <w:rFonts w:ascii="Times New Roman" w:eastAsia="Calibri" w:hAnsi="Times New Roman"/>
          <w:sz w:val="24"/>
          <w:szCs w:val="24"/>
        </w:rPr>
        <w:t xml:space="preserve"> </w:t>
      </w:r>
      <w:proofErr w:type="gramStart"/>
      <w:r>
        <w:rPr>
          <w:rFonts w:ascii="Times New Roman" w:eastAsia="Calibri" w:hAnsi="Times New Roman"/>
          <w:sz w:val="24"/>
          <w:szCs w:val="24"/>
        </w:rPr>
        <w:t>С</w:t>
      </w:r>
      <w:r w:rsidRPr="00C0642B">
        <w:rPr>
          <w:rFonts w:ascii="Times New Roman" w:eastAsia="Calibri" w:hAnsi="Times New Roman"/>
          <w:sz w:val="24"/>
          <w:szCs w:val="24"/>
        </w:rPr>
        <w:t>овершенствовани</w:t>
      </w:r>
      <w:r>
        <w:rPr>
          <w:rFonts w:ascii="Times New Roman" w:eastAsia="Calibri" w:hAnsi="Times New Roman"/>
          <w:sz w:val="24"/>
          <w:szCs w:val="24"/>
        </w:rPr>
        <w:t>е</w:t>
      </w:r>
      <w:r w:rsidRPr="00C0642B">
        <w:rPr>
          <w:rFonts w:ascii="Times New Roman" w:eastAsia="Calibri" w:hAnsi="Times New Roman"/>
          <w:sz w:val="24"/>
          <w:szCs w:val="24"/>
        </w:rPr>
        <w:t xml:space="preserve"> механизмов государственного регулирования предпринимательской деятельности в части создания комфортных условий </w:t>
      </w:r>
      <w:r>
        <w:rPr>
          <w:rFonts w:ascii="Times New Roman" w:eastAsia="Calibri" w:hAnsi="Times New Roman"/>
          <w:sz w:val="24"/>
          <w:szCs w:val="24"/>
        </w:rPr>
        <w:t xml:space="preserve">ведения бизнеса, </w:t>
      </w:r>
      <w:r w:rsidRPr="00C0642B">
        <w:rPr>
          <w:rFonts w:ascii="Times New Roman" w:eastAsia="Calibri" w:hAnsi="Times New Roman"/>
          <w:sz w:val="24"/>
          <w:szCs w:val="24"/>
        </w:rPr>
        <w:t>оптими</w:t>
      </w:r>
      <w:r>
        <w:rPr>
          <w:rFonts w:ascii="Times New Roman" w:eastAsia="Calibri" w:hAnsi="Times New Roman"/>
          <w:sz w:val="24"/>
          <w:szCs w:val="24"/>
        </w:rPr>
        <w:t>зации</w:t>
      </w:r>
      <w:r w:rsidRPr="00C0642B">
        <w:rPr>
          <w:rFonts w:ascii="Times New Roman" w:eastAsia="Calibri" w:hAnsi="Times New Roman"/>
          <w:sz w:val="24"/>
          <w:szCs w:val="24"/>
        </w:rPr>
        <w:t xml:space="preserve"> системы</w:t>
      </w:r>
      <w:r>
        <w:rPr>
          <w:rFonts w:ascii="Times New Roman" w:eastAsia="Calibri" w:hAnsi="Times New Roman"/>
          <w:sz w:val="24"/>
          <w:szCs w:val="24"/>
        </w:rPr>
        <w:t xml:space="preserve"> налогообложения</w:t>
      </w:r>
      <w:r w:rsidRPr="00C0642B">
        <w:rPr>
          <w:rFonts w:ascii="Times New Roman" w:eastAsia="Calibri" w:hAnsi="Times New Roman"/>
          <w:sz w:val="24"/>
          <w:szCs w:val="24"/>
        </w:rPr>
        <w:t>, усовершенствовани</w:t>
      </w:r>
      <w:r>
        <w:rPr>
          <w:rFonts w:ascii="Times New Roman" w:eastAsia="Calibri" w:hAnsi="Times New Roman"/>
          <w:sz w:val="24"/>
          <w:szCs w:val="24"/>
        </w:rPr>
        <w:t>я</w:t>
      </w:r>
      <w:r w:rsidRPr="00C0642B">
        <w:rPr>
          <w:rFonts w:ascii="Times New Roman" w:eastAsia="Calibri" w:hAnsi="Times New Roman"/>
          <w:sz w:val="24"/>
          <w:szCs w:val="24"/>
        </w:rPr>
        <w:t xml:space="preserve"> принципов документооборота</w:t>
      </w:r>
      <w:r>
        <w:rPr>
          <w:rFonts w:ascii="Times New Roman" w:eastAsia="Calibri" w:hAnsi="Times New Roman"/>
          <w:sz w:val="24"/>
          <w:szCs w:val="24"/>
        </w:rPr>
        <w:t>,</w:t>
      </w:r>
      <w:r w:rsidR="009B748A">
        <w:rPr>
          <w:rFonts w:ascii="Times New Roman" w:eastAsia="Calibri" w:hAnsi="Times New Roman"/>
          <w:sz w:val="24"/>
          <w:szCs w:val="24"/>
        </w:rPr>
        <w:t xml:space="preserve"> </w:t>
      </w:r>
      <w:r>
        <w:rPr>
          <w:rFonts w:ascii="Times New Roman" w:eastAsia="Calibri" w:hAnsi="Times New Roman"/>
          <w:sz w:val="24"/>
          <w:szCs w:val="24"/>
        </w:rPr>
        <w:t>совершенствования</w:t>
      </w:r>
      <w:r w:rsidRPr="00C0642B">
        <w:rPr>
          <w:rFonts w:ascii="Times New Roman" w:eastAsia="Calibri" w:hAnsi="Times New Roman"/>
          <w:sz w:val="24"/>
          <w:szCs w:val="24"/>
        </w:rPr>
        <w:t xml:space="preserve"> тарифной политики</w:t>
      </w:r>
      <w:r>
        <w:rPr>
          <w:rFonts w:ascii="Times New Roman" w:eastAsia="Calibri" w:hAnsi="Times New Roman"/>
          <w:sz w:val="24"/>
          <w:szCs w:val="24"/>
        </w:rPr>
        <w:t>,</w:t>
      </w:r>
      <w:r w:rsidRPr="00C0642B">
        <w:rPr>
          <w:rFonts w:ascii="Times New Roman" w:eastAsia="Calibri" w:hAnsi="Times New Roman"/>
          <w:sz w:val="24"/>
          <w:szCs w:val="24"/>
        </w:rPr>
        <w:t xml:space="preserve"> упрощени</w:t>
      </w:r>
      <w:r>
        <w:rPr>
          <w:rFonts w:ascii="Times New Roman" w:eastAsia="Calibri" w:hAnsi="Times New Roman"/>
          <w:sz w:val="24"/>
          <w:szCs w:val="24"/>
        </w:rPr>
        <w:t>я</w:t>
      </w:r>
      <w:r w:rsidRPr="00C0642B">
        <w:rPr>
          <w:rFonts w:ascii="Times New Roman" w:eastAsia="Calibri" w:hAnsi="Times New Roman"/>
          <w:sz w:val="24"/>
          <w:szCs w:val="24"/>
        </w:rPr>
        <w:t xml:space="preserve"> вн</w:t>
      </w:r>
      <w:r>
        <w:rPr>
          <w:rFonts w:ascii="Times New Roman" w:eastAsia="Calibri" w:hAnsi="Times New Roman"/>
          <w:sz w:val="24"/>
          <w:szCs w:val="24"/>
        </w:rPr>
        <w:t xml:space="preserve">ешнеэкономической деятельности, </w:t>
      </w:r>
      <w:r w:rsidRPr="00C0642B">
        <w:rPr>
          <w:rFonts w:ascii="Times New Roman" w:eastAsia="Calibri" w:hAnsi="Times New Roman"/>
          <w:sz w:val="24"/>
          <w:szCs w:val="24"/>
        </w:rPr>
        <w:t>совершенствовани</w:t>
      </w:r>
      <w:r>
        <w:rPr>
          <w:rFonts w:ascii="Times New Roman" w:eastAsia="Calibri" w:hAnsi="Times New Roman"/>
          <w:sz w:val="24"/>
          <w:szCs w:val="24"/>
        </w:rPr>
        <w:t>я</w:t>
      </w:r>
      <w:r w:rsidRPr="00C0642B">
        <w:rPr>
          <w:rFonts w:ascii="Times New Roman" w:eastAsia="Calibri" w:hAnsi="Times New Roman"/>
          <w:sz w:val="24"/>
          <w:szCs w:val="24"/>
        </w:rPr>
        <w:t xml:space="preserve"> социально-трудовых отноше</w:t>
      </w:r>
      <w:r>
        <w:rPr>
          <w:rFonts w:ascii="Times New Roman" w:eastAsia="Calibri" w:hAnsi="Times New Roman"/>
          <w:sz w:val="24"/>
          <w:szCs w:val="24"/>
        </w:rPr>
        <w:t xml:space="preserve">ний, а также </w:t>
      </w:r>
      <w:r w:rsidRPr="00C0642B">
        <w:rPr>
          <w:rFonts w:ascii="Times New Roman" w:eastAsia="Calibri" w:hAnsi="Times New Roman"/>
          <w:sz w:val="24"/>
          <w:szCs w:val="24"/>
        </w:rPr>
        <w:t>содействи</w:t>
      </w:r>
      <w:r>
        <w:rPr>
          <w:rFonts w:ascii="Times New Roman" w:eastAsia="Calibri" w:hAnsi="Times New Roman"/>
          <w:sz w:val="24"/>
          <w:szCs w:val="24"/>
        </w:rPr>
        <w:t>я</w:t>
      </w:r>
      <w:r w:rsidRPr="00C0642B">
        <w:rPr>
          <w:rFonts w:ascii="Times New Roman" w:eastAsia="Calibri" w:hAnsi="Times New Roman"/>
          <w:sz w:val="24"/>
          <w:szCs w:val="24"/>
        </w:rPr>
        <w:t xml:space="preserve"> развитию инвестиционной и инновационной деятельности</w:t>
      </w:r>
      <w:r>
        <w:rPr>
          <w:rFonts w:ascii="Times New Roman" w:eastAsia="Calibri" w:hAnsi="Times New Roman"/>
          <w:sz w:val="24"/>
          <w:szCs w:val="24"/>
        </w:rPr>
        <w:t xml:space="preserve"> должны способствовать поступательному росту основных показателей развития малого бизнеса и, как следствие, оказывать стабилизирующее воздействие на социально – экономическое развитие экономики республики.</w:t>
      </w:r>
      <w:proofErr w:type="gramEnd"/>
    </w:p>
    <w:p w:rsidR="00F425EE" w:rsidRDefault="00F425EE" w:rsidP="00335844">
      <w:pPr>
        <w:spacing w:after="0" w:line="240" w:lineRule="auto"/>
        <w:ind w:firstLine="709"/>
        <w:rPr>
          <w:rFonts w:ascii="Times New Roman" w:hAnsi="Times New Roman"/>
          <w:b/>
          <w:sz w:val="24"/>
          <w:szCs w:val="24"/>
        </w:rPr>
      </w:pPr>
    </w:p>
    <w:p w:rsidR="00335844" w:rsidRPr="0080737A" w:rsidRDefault="00335844" w:rsidP="00335844">
      <w:pPr>
        <w:spacing w:after="0" w:line="240" w:lineRule="auto"/>
        <w:ind w:firstLine="709"/>
        <w:rPr>
          <w:rFonts w:ascii="Times New Roman" w:hAnsi="Times New Roman"/>
          <w:b/>
          <w:sz w:val="24"/>
          <w:szCs w:val="24"/>
        </w:rPr>
      </w:pPr>
      <w:r w:rsidRPr="0080737A">
        <w:rPr>
          <w:rFonts w:ascii="Times New Roman" w:hAnsi="Times New Roman"/>
          <w:b/>
          <w:sz w:val="24"/>
          <w:szCs w:val="24"/>
        </w:rPr>
        <w:t>Потребительский рынок</w:t>
      </w:r>
    </w:p>
    <w:p w:rsidR="00335844" w:rsidRDefault="00335844" w:rsidP="00335844">
      <w:pPr>
        <w:spacing w:after="0" w:line="240" w:lineRule="auto"/>
        <w:ind w:firstLine="709"/>
        <w:contextualSpacing/>
        <w:jc w:val="both"/>
        <w:rPr>
          <w:rFonts w:ascii="Times New Roman" w:hAnsi="Times New Roman"/>
          <w:b/>
          <w:sz w:val="24"/>
          <w:szCs w:val="24"/>
        </w:rPr>
      </w:pPr>
    </w:p>
    <w:p w:rsidR="003F5257" w:rsidRDefault="003F5257" w:rsidP="00364F8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Потребительский рынок в январе-июне 2017 года демонстрировал восходящий тренд показателей, при этом </w:t>
      </w:r>
      <w:r w:rsidRPr="00BD1957">
        <w:rPr>
          <w:rFonts w:ascii="Times New Roman" w:hAnsi="Times New Roman"/>
          <w:sz w:val="24"/>
          <w:szCs w:val="24"/>
        </w:rPr>
        <w:t>общая повышательная динамика обеспечена</w:t>
      </w:r>
      <w:r>
        <w:rPr>
          <w:rFonts w:ascii="Times New Roman" w:hAnsi="Times New Roman"/>
          <w:sz w:val="24"/>
          <w:szCs w:val="24"/>
        </w:rPr>
        <w:t xml:space="preserve"> в большей степени расширением объемов розничной торговли. В складывающихся условиях совокупная ёмкость потребительского рынка, включая оборот розничных продаж и общественного питания, а также объем услуг, оказанных населению, расширилась на 9,9%</w:t>
      </w:r>
      <w:r w:rsidR="00364F8A">
        <w:rPr>
          <w:rFonts w:ascii="Times New Roman" w:hAnsi="Times New Roman"/>
          <w:sz w:val="24"/>
          <w:szCs w:val="24"/>
        </w:rPr>
        <w:t>,</w:t>
      </w:r>
      <w:r>
        <w:rPr>
          <w:rFonts w:ascii="Times New Roman" w:hAnsi="Times New Roman"/>
          <w:sz w:val="24"/>
          <w:szCs w:val="24"/>
        </w:rPr>
        <w:t xml:space="preserve"> составив </w:t>
      </w:r>
      <w:r w:rsidR="00364F8A">
        <w:rPr>
          <w:rFonts w:ascii="Times New Roman" w:hAnsi="Times New Roman"/>
          <w:sz w:val="24"/>
          <w:szCs w:val="24"/>
        </w:rPr>
        <w:br/>
      </w:r>
      <w:r>
        <w:rPr>
          <w:rFonts w:ascii="Times New Roman" w:hAnsi="Times New Roman"/>
          <w:sz w:val="24"/>
          <w:szCs w:val="24"/>
        </w:rPr>
        <w:t xml:space="preserve">3 955,5 </w:t>
      </w:r>
      <w:proofErr w:type="spellStart"/>
      <w:proofErr w:type="gramStart"/>
      <w:r>
        <w:rPr>
          <w:rFonts w:ascii="Times New Roman" w:hAnsi="Times New Roman"/>
          <w:sz w:val="24"/>
          <w:szCs w:val="24"/>
        </w:rPr>
        <w:t>млн</w:t>
      </w:r>
      <w:proofErr w:type="spellEnd"/>
      <w:proofErr w:type="gramEnd"/>
      <w:r>
        <w:rPr>
          <w:rFonts w:ascii="Times New Roman" w:hAnsi="Times New Roman"/>
          <w:sz w:val="24"/>
          <w:szCs w:val="24"/>
        </w:rPr>
        <w:t xml:space="preserve"> руб. </w:t>
      </w:r>
      <w:r w:rsidRPr="00125A66">
        <w:rPr>
          <w:rFonts w:ascii="Times New Roman" w:hAnsi="Times New Roman"/>
          <w:sz w:val="24"/>
          <w:szCs w:val="24"/>
        </w:rPr>
        <w:t>В</w:t>
      </w:r>
      <w:r w:rsidR="009B748A">
        <w:rPr>
          <w:rFonts w:ascii="Times New Roman" w:hAnsi="Times New Roman"/>
          <w:sz w:val="24"/>
          <w:szCs w:val="24"/>
        </w:rPr>
        <w:t xml:space="preserve"> </w:t>
      </w:r>
      <w:r w:rsidRPr="00125A66">
        <w:rPr>
          <w:rFonts w:ascii="Times New Roman" w:hAnsi="Times New Roman"/>
          <w:sz w:val="24"/>
          <w:szCs w:val="24"/>
        </w:rPr>
        <w:t>реальном</w:t>
      </w:r>
      <w:r w:rsidR="009B748A">
        <w:rPr>
          <w:rFonts w:ascii="Times New Roman" w:hAnsi="Times New Roman"/>
          <w:sz w:val="24"/>
          <w:szCs w:val="24"/>
        </w:rPr>
        <w:t xml:space="preserve"> </w:t>
      </w:r>
      <w:r w:rsidRPr="00125A66">
        <w:rPr>
          <w:rFonts w:ascii="Times New Roman" w:hAnsi="Times New Roman"/>
          <w:sz w:val="24"/>
          <w:szCs w:val="24"/>
        </w:rPr>
        <w:t>выражении</w:t>
      </w:r>
      <w:r>
        <w:rPr>
          <w:rFonts w:ascii="Times New Roman" w:hAnsi="Times New Roman"/>
          <w:sz w:val="24"/>
          <w:szCs w:val="24"/>
        </w:rPr>
        <w:t xml:space="preserve"> (в сопоставимых ценах) </w:t>
      </w:r>
      <w:r w:rsidRPr="00125A66">
        <w:rPr>
          <w:rFonts w:ascii="Times New Roman" w:hAnsi="Times New Roman"/>
          <w:sz w:val="24"/>
          <w:szCs w:val="24"/>
        </w:rPr>
        <w:t>масштабы</w:t>
      </w:r>
      <w:r w:rsidR="009B748A">
        <w:rPr>
          <w:rFonts w:ascii="Times New Roman" w:hAnsi="Times New Roman"/>
          <w:sz w:val="24"/>
          <w:szCs w:val="24"/>
        </w:rPr>
        <w:t xml:space="preserve"> </w:t>
      </w:r>
      <w:r w:rsidRPr="00125A66">
        <w:rPr>
          <w:rFonts w:ascii="Times New Roman" w:hAnsi="Times New Roman"/>
          <w:sz w:val="24"/>
          <w:szCs w:val="24"/>
        </w:rPr>
        <w:t>текущего</w:t>
      </w:r>
      <w:r w:rsidR="009B748A">
        <w:rPr>
          <w:rFonts w:ascii="Times New Roman" w:hAnsi="Times New Roman"/>
          <w:sz w:val="24"/>
          <w:szCs w:val="24"/>
        </w:rPr>
        <w:t xml:space="preserve"> </w:t>
      </w:r>
      <w:r w:rsidRPr="00125A66">
        <w:rPr>
          <w:rFonts w:ascii="Times New Roman" w:hAnsi="Times New Roman"/>
          <w:sz w:val="24"/>
          <w:szCs w:val="24"/>
        </w:rPr>
        <w:t>потребления</w:t>
      </w:r>
      <w:r>
        <w:rPr>
          <w:rFonts w:ascii="Times New Roman" w:hAnsi="Times New Roman"/>
          <w:sz w:val="24"/>
          <w:szCs w:val="24"/>
        </w:rPr>
        <w:t xml:space="preserve"> впервые за последние два года также возросли на 4,5%. </w:t>
      </w:r>
    </w:p>
    <w:p w:rsidR="00364F8A" w:rsidRDefault="00364F8A" w:rsidP="003F5257">
      <w:pPr>
        <w:spacing w:after="0" w:line="240" w:lineRule="auto"/>
        <w:ind w:firstLine="709"/>
        <w:jc w:val="both"/>
        <w:rPr>
          <w:rFonts w:ascii="Times New Roman" w:hAnsi="Times New Roman"/>
          <w:b/>
          <w:sz w:val="24"/>
          <w:szCs w:val="24"/>
        </w:rPr>
      </w:pPr>
    </w:p>
    <w:p w:rsidR="003F5257" w:rsidRDefault="003F5257" w:rsidP="003F5257">
      <w:pPr>
        <w:spacing w:after="0" w:line="240" w:lineRule="auto"/>
        <w:ind w:firstLine="709"/>
        <w:jc w:val="both"/>
        <w:rPr>
          <w:rFonts w:ascii="Times New Roman" w:hAnsi="Times New Roman"/>
          <w:b/>
          <w:sz w:val="24"/>
          <w:szCs w:val="24"/>
        </w:rPr>
      </w:pPr>
      <w:r>
        <w:rPr>
          <w:rFonts w:ascii="Times New Roman" w:hAnsi="Times New Roman"/>
          <w:b/>
          <w:sz w:val="24"/>
          <w:szCs w:val="24"/>
        </w:rPr>
        <w:t>Розничная торговля</w:t>
      </w:r>
    </w:p>
    <w:p w:rsidR="003F5257" w:rsidRDefault="003F5257" w:rsidP="003F5257">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Суммарная стоимость приобретённых населением товаров в текущих ценах</w:t>
      </w:r>
      <w:r w:rsidR="00364F8A">
        <w:rPr>
          <w:rFonts w:ascii="Times New Roman" w:eastAsia="Calibri" w:hAnsi="Times New Roman"/>
          <w:sz w:val="24"/>
          <w:szCs w:val="24"/>
          <w:lang w:eastAsia="en-US"/>
        </w:rPr>
        <w:t>,</w:t>
      </w:r>
      <w:r>
        <w:rPr>
          <w:rFonts w:ascii="Times New Roman" w:eastAsia="Calibri" w:hAnsi="Times New Roman"/>
          <w:sz w:val="24"/>
          <w:szCs w:val="24"/>
          <w:lang w:eastAsia="en-US"/>
        </w:rPr>
        <w:t xml:space="preserve"> по оценке</w:t>
      </w:r>
      <w:r w:rsidR="00364F8A">
        <w:rPr>
          <w:rFonts w:ascii="Times New Roman" w:eastAsia="Calibri" w:hAnsi="Times New Roman"/>
          <w:sz w:val="24"/>
          <w:szCs w:val="24"/>
          <w:lang w:eastAsia="en-US"/>
        </w:rPr>
        <w:t>,</w:t>
      </w:r>
      <w:r>
        <w:rPr>
          <w:rFonts w:ascii="Times New Roman" w:eastAsia="Calibri" w:hAnsi="Times New Roman"/>
          <w:sz w:val="24"/>
          <w:szCs w:val="24"/>
          <w:lang w:eastAsia="en-US"/>
        </w:rPr>
        <w:t xml:space="preserve"> составила 2 772,4 </w:t>
      </w:r>
      <w:proofErr w:type="spellStart"/>
      <w:r>
        <w:rPr>
          <w:rFonts w:ascii="Times New Roman" w:eastAsia="Calibri" w:hAnsi="Times New Roman"/>
          <w:sz w:val="24"/>
          <w:szCs w:val="24"/>
          <w:lang w:eastAsia="en-US"/>
        </w:rPr>
        <w:t>млн</w:t>
      </w:r>
      <w:proofErr w:type="spellEnd"/>
      <w:r>
        <w:rPr>
          <w:rFonts w:ascii="Times New Roman" w:eastAsia="Calibri" w:hAnsi="Times New Roman"/>
          <w:sz w:val="24"/>
          <w:szCs w:val="24"/>
          <w:lang w:eastAsia="en-US"/>
        </w:rPr>
        <w:t xml:space="preserve"> руб., превысив базовый показатель 2016 года на 13,5%, а с учетом ценового фактора (в с</w:t>
      </w:r>
      <w:r w:rsidR="00364F8A">
        <w:rPr>
          <w:rFonts w:ascii="Times New Roman" w:eastAsia="Calibri" w:hAnsi="Times New Roman"/>
          <w:sz w:val="24"/>
          <w:szCs w:val="24"/>
          <w:lang w:eastAsia="en-US"/>
        </w:rPr>
        <w:t>опоставимых ценах) расширилась –</w:t>
      </w:r>
      <w:r>
        <w:rPr>
          <w:rFonts w:ascii="Times New Roman" w:eastAsia="Calibri" w:hAnsi="Times New Roman"/>
          <w:sz w:val="24"/>
          <w:szCs w:val="24"/>
          <w:lang w:eastAsia="en-US"/>
        </w:rPr>
        <w:t xml:space="preserve"> на 6,0%, в тоже время отставание от уровня 2015 </w:t>
      </w:r>
      <w:r w:rsidR="00832D29">
        <w:rPr>
          <w:rFonts w:ascii="Times New Roman" w:eastAsia="Calibri" w:hAnsi="Times New Roman"/>
          <w:sz w:val="24"/>
          <w:szCs w:val="24"/>
          <w:lang w:eastAsia="en-US"/>
        </w:rPr>
        <w:t>года сохранилось в пределах 3%.</w:t>
      </w:r>
    </w:p>
    <w:p w:rsidR="00A22BDD" w:rsidRDefault="00A22BDD" w:rsidP="003F5257">
      <w:pPr>
        <w:spacing w:after="0"/>
        <w:jc w:val="center"/>
        <w:rPr>
          <w:rFonts w:ascii="Times New Roman" w:hAnsi="Times New Roman"/>
          <w:b/>
          <w:sz w:val="24"/>
          <w:szCs w:val="24"/>
        </w:rPr>
      </w:pPr>
    </w:p>
    <w:p w:rsidR="00A22BDD" w:rsidRDefault="00A22BDD" w:rsidP="003F5257">
      <w:pPr>
        <w:spacing w:after="0"/>
        <w:jc w:val="center"/>
        <w:rPr>
          <w:rFonts w:ascii="Times New Roman" w:hAnsi="Times New Roman"/>
          <w:b/>
          <w:sz w:val="24"/>
          <w:szCs w:val="24"/>
        </w:rPr>
      </w:pPr>
    </w:p>
    <w:p w:rsidR="00A22BDD" w:rsidRDefault="00A22BDD" w:rsidP="003F5257">
      <w:pPr>
        <w:spacing w:after="0"/>
        <w:jc w:val="center"/>
        <w:rPr>
          <w:rFonts w:ascii="Times New Roman" w:hAnsi="Times New Roman"/>
          <w:b/>
          <w:sz w:val="24"/>
          <w:szCs w:val="24"/>
        </w:rPr>
      </w:pPr>
    </w:p>
    <w:p w:rsidR="00A22BDD" w:rsidRDefault="00A22BDD" w:rsidP="003F5257">
      <w:pPr>
        <w:spacing w:after="0"/>
        <w:jc w:val="center"/>
        <w:rPr>
          <w:rFonts w:ascii="Times New Roman" w:hAnsi="Times New Roman"/>
          <w:b/>
          <w:sz w:val="24"/>
          <w:szCs w:val="24"/>
        </w:rPr>
      </w:pPr>
    </w:p>
    <w:p w:rsidR="00A22BDD" w:rsidRDefault="00A22BDD" w:rsidP="003F5257">
      <w:pPr>
        <w:spacing w:after="0"/>
        <w:jc w:val="center"/>
        <w:rPr>
          <w:rFonts w:ascii="Times New Roman" w:hAnsi="Times New Roman"/>
          <w:b/>
          <w:sz w:val="24"/>
          <w:szCs w:val="24"/>
        </w:rPr>
      </w:pPr>
    </w:p>
    <w:p w:rsidR="00A22BDD" w:rsidRDefault="00A22BDD" w:rsidP="003F5257">
      <w:pPr>
        <w:spacing w:after="0"/>
        <w:jc w:val="center"/>
        <w:rPr>
          <w:rFonts w:ascii="Times New Roman" w:hAnsi="Times New Roman"/>
          <w:b/>
          <w:sz w:val="24"/>
          <w:szCs w:val="24"/>
        </w:rPr>
      </w:pPr>
    </w:p>
    <w:p w:rsidR="003F5257" w:rsidRDefault="003F5257" w:rsidP="003F5257">
      <w:pPr>
        <w:spacing w:after="0"/>
        <w:jc w:val="center"/>
        <w:rPr>
          <w:rFonts w:ascii="Times New Roman" w:hAnsi="Times New Roman"/>
          <w:b/>
          <w:sz w:val="24"/>
          <w:szCs w:val="24"/>
        </w:rPr>
      </w:pPr>
      <w:r>
        <w:rPr>
          <w:rFonts w:ascii="Times New Roman" w:hAnsi="Times New Roman"/>
          <w:b/>
          <w:sz w:val="24"/>
          <w:szCs w:val="24"/>
        </w:rPr>
        <w:lastRenderedPageBreak/>
        <w:t>Динамика розничного товарооборота, %</w:t>
      </w:r>
    </w:p>
    <w:p w:rsidR="003F5257" w:rsidRDefault="003F5257" w:rsidP="003F5257">
      <w:pPr>
        <w:spacing w:after="0" w:line="240" w:lineRule="auto"/>
        <w:jc w:val="both"/>
        <w:rPr>
          <w:rFonts w:ascii="Times New Roman" w:hAnsi="Times New Roman"/>
          <w:b/>
          <w:sz w:val="24"/>
          <w:szCs w:val="24"/>
        </w:rPr>
      </w:pPr>
      <w:r>
        <w:rPr>
          <w:b/>
          <w:noProof/>
        </w:rPr>
        <w:drawing>
          <wp:inline distT="0" distB="0" distL="0" distR="0">
            <wp:extent cx="5849013" cy="1470991"/>
            <wp:effectExtent l="19050" t="0" r="0" b="0"/>
            <wp:docPr id="2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666AE" w:rsidRPr="00B666AE" w:rsidRDefault="00B666AE" w:rsidP="003F5257">
      <w:pPr>
        <w:spacing w:after="0" w:line="240" w:lineRule="auto"/>
        <w:jc w:val="both"/>
        <w:rPr>
          <w:rFonts w:ascii="Times New Roman" w:hAnsi="Times New Roman"/>
          <w:b/>
          <w:sz w:val="10"/>
          <w:szCs w:val="10"/>
        </w:rPr>
      </w:pPr>
    </w:p>
    <w:p w:rsidR="003F5257" w:rsidRDefault="003F5257" w:rsidP="003F5257">
      <w:pPr>
        <w:spacing w:line="240" w:lineRule="auto"/>
        <w:ind w:firstLine="709"/>
        <w:jc w:val="both"/>
        <w:rPr>
          <w:rFonts w:ascii="Times New Roman" w:hAnsi="Times New Roman"/>
          <w:sz w:val="24"/>
          <w:szCs w:val="24"/>
        </w:rPr>
      </w:pPr>
      <w:r>
        <w:rPr>
          <w:rFonts w:ascii="Times New Roman" w:hAnsi="Times New Roman"/>
          <w:sz w:val="24"/>
          <w:szCs w:val="24"/>
        </w:rPr>
        <w:t xml:space="preserve">В </w:t>
      </w:r>
      <w:r w:rsidRPr="00DD0CB1">
        <w:rPr>
          <w:rFonts w:ascii="Times New Roman" w:hAnsi="Times New Roman"/>
          <w:sz w:val="24"/>
          <w:szCs w:val="24"/>
        </w:rPr>
        <w:t>товарно</w:t>
      </w:r>
      <w:r>
        <w:rPr>
          <w:rFonts w:ascii="Times New Roman" w:hAnsi="Times New Roman"/>
          <w:sz w:val="24"/>
          <w:szCs w:val="24"/>
        </w:rPr>
        <w:t>й структуре продаж</w:t>
      </w:r>
      <w:r w:rsidR="00B666AE">
        <w:rPr>
          <w:rFonts w:ascii="Times New Roman" w:hAnsi="Times New Roman"/>
          <w:sz w:val="24"/>
          <w:szCs w:val="24"/>
        </w:rPr>
        <w:t xml:space="preserve"> </w:t>
      </w:r>
      <w:r>
        <w:rPr>
          <w:rFonts w:ascii="Times New Roman" w:hAnsi="Times New Roman"/>
          <w:sz w:val="24"/>
          <w:szCs w:val="24"/>
        </w:rPr>
        <w:t xml:space="preserve">в январе-июне текущего года на фоне ценовых колебаний на рынке продуктов питания и высоких инфляционных ожиданий населения </w:t>
      </w:r>
      <w:r w:rsidRPr="00BD1957">
        <w:rPr>
          <w:rFonts w:ascii="Times New Roman" w:hAnsi="Times New Roman"/>
          <w:sz w:val="24"/>
          <w:szCs w:val="24"/>
        </w:rPr>
        <w:t xml:space="preserve">общая повышательная динамика </w:t>
      </w:r>
      <w:r>
        <w:rPr>
          <w:rFonts w:ascii="Times New Roman" w:hAnsi="Times New Roman"/>
          <w:sz w:val="24"/>
          <w:szCs w:val="24"/>
        </w:rPr>
        <w:t xml:space="preserve">была </w:t>
      </w:r>
      <w:r w:rsidRPr="00BD1957">
        <w:rPr>
          <w:rFonts w:ascii="Times New Roman" w:hAnsi="Times New Roman"/>
          <w:sz w:val="24"/>
          <w:szCs w:val="24"/>
        </w:rPr>
        <w:t>обеспечена</w:t>
      </w:r>
      <w:r>
        <w:rPr>
          <w:rFonts w:ascii="Times New Roman" w:hAnsi="Times New Roman"/>
          <w:sz w:val="24"/>
          <w:szCs w:val="24"/>
        </w:rPr>
        <w:t xml:space="preserve"> расширением реализации продовольственных товаров (на 8,4% в сопоставимых ценах до 1 311,8 </w:t>
      </w:r>
      <w:proofErr w:type="spellStart"/>
      <w:proofErr w:type="gramStart"/>
      <w:r>
        <w:rPr>
          <w:rFonts w:ascii="Times New Roman" w:hAnsi="Times New Roman"/>
          <w:sz w:val="24"/>
          <w:szCs w:val="24"/>
        </w:rPr>
        <w:t>млн</w:t>
      </w:r>
      <w:proofErr w:type="spellEnd"/>
      <w:proofErr w:type="gramEnd"/>
      <w:r>
        <w:rPr>
          <w:rFonts w:ascii="Times New Roman" w:hAnsi="Times New Roman"/>
          <w:sz w:val="24"/>
          <w:szCs w:val="24"/>
        </w:rPr>
        <w:t xml:space="preserve"> руб.), что соответственно предопределило расширение долевого представительства данной группы в совокупном показателе до 47,3% против 46,6%. При этом сумма расходов на приобретение населением </w:t>
      </w:r>
      <w:r>
        <w:rPr>
          <w:rFonts w:ascii="Times New Roman" w:eastAsia="Calibri" w:hAnsi="Times New Roman"/>
          <w:sz w:val="24"/>
          <w:szCs w:val="24"/>
          <w:lang w:eastAsia="en-US"/>
        </w:rPr>
        <w:t xml:space="preserve">товаров длительного пользования (непродовольственные товары) возросла </w:t>
      </w:r>
      <w:r>
        <w:rPr>
          <w:rFonts w:ascii="Times New Roman" w:hAnsi="Times New Roman"/>
          <w:sz w:val="24"/>
          <w:szCs w:val="24"/>
        </w:rPr>
        <w:t xml:space="preserve">на 3,8% в сопоставимых ценах до 1 460,6 </w:t>
      </w:r>
      <w:proofErr w:type="spellStart"/>
      <w:r>
        <w:rPr>
          <w:rFonts w:ascii="Times New Roman" w:hAnsi="Times New Roman"/>
          <w:sz w:val="24"/>
          <w:szCs w:val="24"/>
        </w:rPr>
        <w:t>млн</w:t>
      </w:r>
      <w:proofErr w:type="spellEnd"/>
      <w:r>
        <w:rPr>
          <w:rFonts w:ascii="Times New Roman" w:hAnsi="Times New Roman"/>
          <w:sz w:val="24"/>
          <w:szCs w:val="24"/>
        </w:rPr>
        <w:t xml:space="preserve"> руб. </w:t>
      </w:r>
    </w:p>
    <w:p w:rsidR="003F5257" w:rsidRDefault="003F5257" w:rsidP="003F5257">
      <w:pPr>
        <w:rPr>
          <w:sz w:val="10"/>
          <w:szCs w:val="10"/>
        </w:rPr>
      </w:pPr>
      <w:r>
        <w:rPr>
          <w:noProof/>
        </w:rPr>
        <w:drawing>
          <wp:inline distT="0" distB="0" distL="0" distR="0">
            <wp:extent cx="6106602" cy="1216550"/>
            <wp:effectExtent l="0" t="0" r="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5257" w:rsidRDefault="003F5257" w:rsidP="003F5257">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Основная часть товарооборота (99,0%) в первой половине 2017 года была сформирована негосударственными организациями, включая физических лиц, в том числе индивидуальные предприниматели обеспечили</w:t>
      </w:r>
      <w:r w:rsidR="00364F8A">
        <w:rPr>
          <w:rFonts w:ascii="Times New Roman" w:eastAsia="Calibri" w:hAnsi="Times New Roman"/>
          <w:sz w:val="24"/>
          <w:szCs w:val="24"/>
          <w:lang w:eastAsia="en-US"/>
        </w:rPr>
        <w:t>,</w:t>
      </w:r>
      <w:r>
        <w:rPr>
          <w:rFonts w:ascii="Times New Roman" w:eastAsia="Calibri" w:hAnsi="Times New Roman"/>
          <w:sz w:val="24"/>
          <w:szCs w:val="24"/>
          <w:lang w:eastAsia="en-US"/>
        </w:rPr>
        <w:t xml:space="preserve"> по оценке</w:t>
      </w:r>
      <w:r w:rsidR="00364F8A">
        <w:rPr>
          <w:rFonts w:ascii="Times New Roman" w:eastAsia="Calibri" w:hAnsi="Times New Roman"/>
          <w:sz w:val="24"/>
          <w:szCs w:val="24"/>
          <w:lang w:eastAsia="en-US"/>
        </w:rPr>
        <w:t>,</w:t>
      </w:r>
      <w:r>
        <w:rPr>
          <w:rFonts w:ascii="Times New Roman" w:eastAsia="Calibri" w:hAnsi="Times New Roman"/>
          <w:sz w:val="24"/>
          <w:szCs w:val="24"/>
          <w:lang w:eastAsia="en-US"/>
        </w:rPr>
        <w:t xml:space="preserve"> порядка 24,3% от общего объема розничных продаж.</w:t>
      </w:r>
    </w:p>
    <w:p w:rsidR="003F5257" w:rsidRDefault="003F5257" w:rsidP="003F5257">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Деятельность организаций общественного питания в январе-июне 2017 года также характеризовалась восстановительной динамикой спроса на услуги данного сегмента рынка. В результате, абсолютная величина выручки </w:t>
      </w:r>
      <w:r>
        <w:rPr>
          <w:rFonts w:ascii="Times New Roman" w:eastAsia="Calibri" w:hAnsi="Times New Roman"/>
          <w:b/>
          <w:sz w:val="24"/>
          <w:szCs w:val="24"/>
          <w:lang w:eastAsia="en-US"/>
        </w:rPr>
        <w:t>организаций</w:t>
      </w:r>
      <w:r w:rsidR="00B666AE">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общественного питания,</w:t>
      </w:r>
      <w:r>
        <w:rPr>
          <w:rFonts w:ascii="Times New Roman" w:eastAsia="Calibri" w:hAnsi="Times New Roman"/>
          <w:sz w:val="24"/>
          <w:szCs w:val="24"/>
          <w:lang w:eastAsia="en-US"/>
        </w:rPr>
        <w:t xml:space="preserve"> по оценке, составила 85,6 </w:t>
      </w:r>
      <w:proofErr w:type="spellStart"/>
      <w:proofErr w:type="gramStart"/>
      <w:r>
        <w:rPr>
          <w:rFonts w:ascii="Times New Roman" w:eastAsia="Calibri" w:hAnsi="Times New Roman"/>
          <w:sz w:val="24"/>
          <w:szCs w:val="24"/>
          <w:lang w:eastAsia="en-US"/>
        </w:rPr>
        <w:t>млн</w:t>
      </w:r>
      <w:proofErr w:type="spellEnd"/>
      <w:proofErr w:type="gramEnd"/>
      <w:r>
        <w:rPr>
          <w:rFonts w:ascii="Times New Roman" w:eastAsia="Calibri" w:hAnsi="Times New Roman"/>
          <w:sz w:val="24"/>
          <w:szCs w:val="24"/>
          <w:lang w:eastAsia="en-US"/>
        </w:rPr>
        <w:t xml:space="preserve"> руб. (+2,8% в сопоставимых ценах). Преобладающая доля (76,3%) оборота пришлась на организации негосударственной формы собственности, расширивших объем продаж на 10,3%. При этом, организациями государственной и муниципальной формы собственности было сформировано 21,5% емкости оборота общественного питания с сокращением объема по отношению к базовому показателю 2016 года на 0,9%.</w:t>
      </w:r>
    </w:p>
    <w:p w:rsidR="003F5257" w:rsidRDefault="003F5257" w:rsidP="003F5257">
      <w:pPr>
        <w:pStyle w:val="31"/>
        <w:spacing w:after="0"/>
        <w:ind w:firstLine="708"/>
        <w:rPr>
          <w:rFonts w:ascii="Times New Roman" w:hAnsi="Times New Roman"/>
          <w:b/>
          <w:sz w:val="24"/>
          <w:szCs w:val="24"/>
        </w:rPr>
      </w:pPr>
    </w:p>
    <w:p w:rsidR="003F5257" w:rsidRDefault="003F5257" w:rsidP="003F5257">
      <w:pPr>
        <w:spacing w:after="0" w:line="240" w:lineRule="auto"/>
        <w:ind w:firstLine="708"/>
        <w:rPr>
          <w:rFonts w:ascii="Times New Roman" w:hAnsi="Times New Roman"/>
          <w:b/>
          <w:sz w:val="24"/>
          <w:szCs w:val="24"/>
        </w:rPr>
      </w:pPr>
      <w:r>
        <w:rPr>
          <w:rFonts w:ascii="Times New Roman" w:hAnsi="Times New Roman"/>
          <w:b/>
          <w:sz w:val="24"/>
          <w:szCs w:val="24"/>
        </w:rPr>
        <w:t>Рынок платных услуг населению</w:t>
      </w:r>
    </w:p>
    <w:p w:rsidR="003F5257" w:rsidRDefault="003F5257" w:rsidP="003F5257">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Абсолютная стоимость услуг, оказанных населению через все каналы реализации, по итогам января-июня 2017 года увеличилась на 1,9% (в текущих ценах) до 1 097,5 </w:t>
      </w:r>
      <w:proofErr w:type="spellStart"/>
      <w:r>
        <w:rPr>
          <w:rFonts w:ascii="Times New Roman" w:hAnsi="Times New Roman"/>
          <w:sz w:val="24"/>
          <w:szCs w:val="24"/>
        </w:rPr>
        <w:t>млн</w:t>
      </w:r>
      <w:proofErr w:type="spellEnd"/>
      <w:r>
        <w:rPr>
          <w:rFonts w:ascii="Times New Roman" w:hAnsi="Times New Roman"/>
          <w:sz w:val="24"/>
          <w:szCs w:val="24"/>
        </w:rPr>
        <w:t xml:space="preserve"> руб. При этом с учетом действия ценового фактора объем платных услуг населению (в сопоставимых ценах) вырос на 1,3%.</w:t>
      </w:r>
    </w:p>
    <w:p w:rsidR="003F5257" w:rsidRDefault="003F5257" w:rsidP="003F5257">
      <w:pPr>
        <w:spacing w:after="0" w:line="240" w:lineRule="auto"/>
        <w:ind w:firstLine="709"/>
        <w:jc w:val="both"/>
        <w:rPr>
          <w:rFonts w:ascii="Times New Roman" w:hAnsi="Times New Roman"/>
          <w:sz w:val="10"/>
          <w:szCs w:val="10"/>
        </w:rPr>
      </w:pPr>
    </w:p>
    <w:p w:rsidR="003F5257" w:rsidRDefault="003F5257" w:rsidP="003F5257">
      <w:pPr>
        <w:jc w:val="center"/>
        <w:rPr>
          <w:rFonts w:ascii="Times New Roman" w:hAnsi="Times New Roman"/>
          <w:b/>
          <w:sz w:val="24"/>
          <w:szCs w:val="24"/>
        </w:rPr>
      </w:pPr>
      <w:r>
        <w:rPr>
          <w:rFonts w:ascii="Times New Roman" w:hAnsi="Times New Roman"/>
          <w:b/>
          <w:sz w:val="24"/>
          <w:szCs w:val="24"/>
        </w:rPr>
        <w:t>Динамика платных услуг населению (в процентах к предыдущему году)</w:t>
      </w:r>
    </w:p>
    <w:p w:rsidR="003F5257" w:rsidRDefault="003F5257" w:rsidP="003F5257">
      <w:r>
        <w:rPr>
          <w:noProof/>
        </w:rPr>
        <w:drawing>
          <wp:inline distT="0" distB="0" distL="0" distR="0">
            <wp:extent cx="6087248" cy="1343770"/>
            <wp:effectExtent l="19050" t="0" r="8752"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F5257" w:rsidRDefault="003F5257" w:rsidP="003F5257">
      <w:pPr>
        <w:spacing w:after="0" w:line="240" w:lineRule="auto"/>
        <w:ind w:firstLine="709"/>
        <w:jc w:val="both"/>
        <w:rPr>
          <w:rFonts w:ascii="Times New Roman" w:eastAsia="Calibri" w:hAnsi="Times New Roman"/>
          <w:sz w:val="24"/>
          <w:szCs w:val="24"/>
          <w:lang w:eastAsia="en-US"/>
        </w:rPr>
      </w:pPr>
      <w:r w:rsidRPr="009D5F3B">
        <w:rPr>
          <w:rFonts w:ascii="Times New Roman" w:hAnsi="Times New Roman"/>
          <w:sz w:val="24"/>
          <w:szCs w:val="24"/>
        </w:rPr>
        <w:lastRenderedPageBreak/>
        <w:t xml:space="preserve">В </w:t>
      </w:r>
      <w:r w:rsidR="00364F8A">
        <w:rPr>
          <w:rFonts w:ascii="Times New Roman" w:hAnsi="Times New Roman"/>
          <w:sz w:val="24"/>
          <w:szCs w:val="24"/>
        </w:rPr>
        <w:t xml:space="preserve">данном </w:t>
      </w:r>
      <w:r w:rsidRPr="009D5F3B">
        <w:rPr>
          <w:rFonts w:ascii="Times New Roman" w:hAnsi="Times New Roman"/>
          <w:sz w:val="24"/>
          <w:szCs w:val="24"/>
        </w:rPr>
        <w:t>сегменте при относительно стабильном спросе на услуги государственных организаций (9</w:t>
      </w:r>
      <w:r>
        <w:rPr>
          <w:rFonts w:ascii="Times New Roman" w:hAnsi="Times New Roman"/>
          <w:sz w:val="24"/>
          <w:szCs w:val="24"/>
        </w:rPr>
        <w:t>8</w:t>
      </w:r>
      <w:r w:rsidRPr="009D5F3B">
        <w:rPr>
          <w:rFonts w:ascii="Times New Roman" w:hAnsi="Times New Roman"/>
          <w:sz w:val="24"/>
          <w:szCs w:val="24"/>
        </w:rPr>
        <w:t>,</w:t>
      </w:r>
      <w:r>
        <w:rPr>
          <w:rFonts w:ascii="Times New Roman" w:hAnsi="Times New Roman"/>
          <w:sz w:val="24"/>
          <w:szCs w:val="24"/>
        </w:rPr>
        <w:t>2</w:t>
      </w:r>
      <w:r w:rsidRPr="009D5F3B">
        <w:rPr>
          <w:rFonts w:ascii="Times New Roman" w:hAnsi="Times New Roman"/>
          <w:sz w:val="24"/>
          <w:szCs w:val="24"/>
        </w:rPr>
        <w:t xml:space="preserve">% базисного уровня, или </w:t>
      </w:r>
      <w:r>
        <w:rPr>
          <w:rFonts w:ascii="Times New Roman" w:hAnsi="Times New Roman"/>
          <w:sz w:val="24"/>
          <w:szCs w:val="24"/>
        </w:rPr>
        <w:t>589,2</w:t>
      </w:r>
      <w:r w:rsidRPr="009D5F3B">
        <w:rPr>
          <w:rFonts w:ascii="Times New Roman" w:hAnsi="Times New Roman"/>
          <w:sz w:val="24"/>
          <w:szCs w:val="24"/>
        </w:rPr>
        <w:t xml:space="preserve"> </w:t>
      </w:r>
      <w:proofErr w:type="spellStart"/>
      <w:proofErr w:type="gramStart"/>
      <w:r w:rsidRPr="009D5F3B">
        <w:rPr>
          <w:rFonts w:ascii="Times New Roman" w:hAnsi="Times New Roman"/>
          <w:sz w:val="24"/>
          <w:szCs w:val="24"/>
        </w:rPr>
        <w:t>млн</w:t>
      </w:r>
      <w:proofErr w:type="spellEnd"/>
      <w:proofErr w:type="gramEnd"/>
      <w:r w:rsidR="0099377B">
        <w:rPr>
          <w:rFonts w:ascii="Times New Roman" w:hAnsi="Times New Roman"/>
          <w:sz w:val="24"/>
          <w:szCs w:val="24"/>
        </w:rPr>
        <w:t xml:space="preserve"> </w:t>
      </w:r>
      <w:r w:rsidRPr="009D5F3B">
        <w:rPr>
          <w:rFonts w:ascii="Times New Roman" w:hAnsi="Times New Roman"/>
          <w:sz w:val="24"/>
          <w:szCs w:val="24"/>
        </w:rPr>
        <w:t xml:space="preserve">руб.) общая повышательная динамика </w:t>
      </w:r>
      <w:r>
        <w:rPr>
          <w:rFonts w:ascii="Times New Roman" w:hAnsi="Times New Roman"/>
          <w:sz w:val="24"/>
          <w:szCs w:val="24"/>
        </w:rPr>
        <w:t xml:space="preserve">была </w:t>
      </w:r>
      <w:r w:rsidRPr="009D5F3B">
        <w:rPr>
          <w:rFonts w:ascii="Times New Roman" w:hAnsi="Times New Roman"/>
          <w:sz w:val="24"/>
          <w:szCs w:val="24"/>
        </w:rPr>
        <w:t>обеспечена рыночным сектором (106,</w:t>
      </w:r>
      <w:r>
        <w:rPr>
          <w:rFonts w:ascii="Times New Roman" w:hAnsi="Times New Roman"/>
          <w:sz w:val="24"/>
          <w:szCs w:val="24"/>
        </w:rPr>
        <w:t>6</w:t>
      </w:r>
      <w:r w:rsidRPr="009D5F3B">
        <w:rPr>
          <w:rFonts w:ascii="Times New Roman" w:hAnsi="Times New Roman"/>
          <w:sz w:val="24"/>
          <w:szCs w:val="24"/>
        </w:rPr>
        <w:t xml:space="preserve">%, или </w:t>
      </w:r>
      <w:r>
        <w:rPr>
          <w:rFonts w:ascii="Times New Roman" w:hAnsi="Times New Roman"/>
          <w:sz w:val="24"/>
          <w:szCs w:val="24"/>
        </w:rPr>
        <w:t>580,3</w:t>
      </w:r>
      <w:r w:rsidRPr="009D5F3B">
        <w:rPr>
          <w:rFonts w:ascii="Times New Roman" w:hAnsi="Times New Roman"/>
          <w:sz w:val="24"/>
          <w:szCs w:val="24"/>
        </w:rPr>
        <w:t xml:space="preserve"> </w:t>
      </w:r>
      <w:proofErr w:type="spellStart"/>
      <w:r w:rsidRPr="009D5F3B">
        <w:rPr>
          <w:rFonts w:ascii="Times New Roman" w:hAnsi="Times New Roman"/>
          <w:sz w:val="24"/>
          <w:szCs w:val="24"/>
        </w:rPr>
        <w:t>млн</w:t>
      </w:r>
      <w:proofErr w:type="spellEnd"/>
      <w:r w:rsidR="0099377B">
        <w:rPr>
          <w:rFonts w:ascii="Times New Roman" w:hAnsi="Times New Roman"/>
          <w:sz w:val="24"/>
          <w:szCs w:val="24"/>
        </w:rPr>
        <w:t xml:space="preserve"> </w:t>
      </w:r>
      <w:r w:rsidRPr="009D5F3B">
        <w:rPr>
          <w:rFonts w:ascii="Times New Roman" w:hAnsi="Times New Roman"/>
          <w:sz w:val="24"/>
          <w:szCs w:val="24"/>
        </w:rPr>
        <w:t xml:space="preserve">руб.). </w:t>
      </w:r>
    </w:p>
    <w:p w:rsidR="003F5257" w:rsidRPr="00BB4B8A" w:rsidRDefault="003F5257" w:rsidP="003F5257">
      <w:pPr>
        <w:spacing w:after="0" w:line="240" w:lineRule="auto"/>
        <w:ind w:firstLine="709"/>
        <w:jc w:val="both"/>
        <w:rPr>
          <w:rFonts w:ascii="Times New Roman" w:eastAsia="Calibri" w:hAnsi="Times New Roman"/>
          <w:sz w:val="18"/>
          <w:szCs w:val="18"/>
          <w:lang w:eastAsia="en-US"/>
        </w:rPr>
      </w:pPr>
    </w:p>
    <w:p w:rsidR="003F5257" w:rsidRDefault="003F5257" w:rsidP="003F5257">
      <w:pPr>
        <w:widowControl w:val="0"/>
        <w:spacing w:after="0" w:line="240" w:lineRule="auto"/>
        <w:ind w:firstLine="720"/>
        <w:jc w:val="center"/>
        <w:rPr>
          <w:rFonts w:ascii="Times New Roman" w:eastAsia="Calibri" w:hAnsi="Times New Roman"/>
          <w:b/>
          <w:sz w:val="24"/>
          <w:szCs w:val="24"/>
          <w:lang w:eastAsia="en-US"/>
        </w:rPr>
      </w:pPr>
      <w:r>
        <w:rPr>
          <w:rFonts w:ascii="Times New Roman" w:eastAsia="Calibri" w:hAnsi="Times New Roman"/>
          <w:b/>
          <w:sz w:val="24"/>
          <w:szCs w:val="24"/>
          <w:lang w:eastAsia="en-US"/>
        </w:rPr>
        <w:t>Структура потребительских услуг по формам собственности, %</w:t>
      </w:r>
    </w:p>
    <w:p w:rsidR="003F5257" w:rsidRDefault="003F5257" w:rsidP="003F5257">
      <w:pPr>
        <w:widowControl w:val="0"/>
        <w:spacing w:after="0" w:line="240" w:lineRule="auto"/>
        <w:rPr>
          <w:rFonts w:ascii="Times New Roman" w:eastAsia="Calibri" w:hAnsi="Times New Roman"/>
          <w:b/>
          <w:sz w:val="24"/>
          <w:szCs w:val="24"/>
          <w:lang w:eastAsia="en-US"/>
        </w:rPr>
      </w:pPr>
      <w:r>
        <w:rPr>
          <w:b/>
          <w:noProof/>
        </w:rPr>
        <w:drawing>
          <wp:inline distT="0" distB="0" distL="0" distR="0">
            <wp:extent cx="2781300" cy="1371600"/>
            <wp:effectExtent l="19050" t="0" r="0" b="0"/>
            <wp:docPr id="25"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b/>
          <w:noProof/>
        </w:rPr>
        <w:drawing>
          <wp:inline distT="0" distB="0" distL="0" distR="0">
            <wp:extent cx="3095625" cy="1314450"/>
            <wp:effectExtent l="19050" t="0" r="0" b="0"/>
            <wp:docPr id="2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F5257" w:rsidRDefault="003F5257" w:rsidP="003F5257">
      <w:pPr>
        <w:widowControl w:val="0"/>
        <w:tabs>
          <w:tab w:val="left" w:pos="7088"/>
        </w:tabs>
        <w:spacing w:after="0" w:line="240" w:lineRule="auto"/>
        <w:ind w:firstLine="720"/>
        <w:jc w:val="both"/>
        <w:rPr>
          <w:rFonts w:ascii="Times New Roman" w:hAnsi="Times New Roman"/>
          <w:sz w:val="24"/>
          <w:szCs w:val="24"/>
        </w:rPr>
      </w:pPr>
    </w:p>
    <w:p w:rsidR="003F5257" w:rsidRPr="006B6E09" w:rsidRDefault="003F5257" w:rsidP="003F5257">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Увеличение потребления отдельных видов бытовых услуг в январе-июне 2017 года предопределило наращивание их совокупного объема на 2,4% (в сопоставимых ценах) до 36,2 </w:t>
      </w:r>
      <w:proofErr w:type="spellStart"/>
      <w:r>
        <w:rPr>
          <w:rFonts w:ascii="Times New Roman" w:hAnsi="Times New Roman"/>
          <w:sz w:val="24"/>
          <w:szCs w:val="24"/>
        </w:rPr>
        <w:t>млн</w:t>
      </w:r>
      <w:proofErr w:type="spellEnd"/>
      <w:r>
        <w:rPr>
          <w:rFonts w:ascii="Times New Roman" w:hAnsi="Times New Roman"/>
          <w:sz w:val="24"/>
          <w:szCs w:val="24"/>
        </w:rPr>
        <w:t xml:space="preserve"> руб., и базировалось в основном на </w:t>
      </w:r>
      <w:r w:rsidRPr="006B6E09">
        <w:rPr>
          <w:rFonts w:ascii="Times New Roman" w:hAnsi="Times New Roman"/>
          <w:sz w:val="24"/>
          <w:szCs w:val="24"/>
        </w:rPr>
        <w:t>повышении спроса на услуги субъектов негосударственных форм собственности.</w:t>
      </w:r>
    </w:p>
    <w:p w:rsidR="003F5257" w:rsidRDefault="003F5257" w:rsidP="003F5257">
      <w:pPr>
        <w:spacing w:after="0" w:line="240" w:lineRule="auto"/>
        <w:ind w:firstLine="709"/>
        <w:jc w:val="both"/>
        <w:rPr>
          <w:rFonts w:ascii="Times New Roman" w:hAnsi="Times New Roman"/>
          <w:sz w:val="24"/>
          <w:szCs w:val="24"/>
        </w:rPr>
      </w:pPr>
      <w:r w:rsidRPr="0005682B">
        <w:rPr>
          <w:rFonts w:ascii="Times New Roman" w:eastAsia="Calibri" w:hAnsi="Times New Roman"/>
          <w:sz w:val="24"/>
          <w:szCs w:val="24"/>
          <w:lang w:eastAsia="en-US"/>
        </w:rPr>
        <w:t xml:space="preserve">Таким образом, </w:t>
      </w:r>
      <w:r>
        <w:rPr>
          <w:rFonts w:ascii="Times New Roman" w:eastAsia="Calibri" w:hAnsi="Times New Roman"/>
          <w:sz w:val="24"/>
          <w:szCs w:val="24"/>
          <w:lang w:eastAsia="en-US"/>
        </w:rPr>
        <w:t>на потребительское поведение населения оказывали влияние различные по своему вектору факторы, которые в совокупности определили восходящий тренд основных показателей потребительского рынка, что в тоже время во многом носило компенсирующий характер.</w:t>
      </w:r>
    </w:p>
    <w:p w:rsidR="003F5257" w:rsidRPr="003F5257" w:rsidRDefault="003F5257" w:rsidP="003F5257">
      <w:pPr>
        <w:spacing w:after="0" w:line="240" w:lineRule="auto"/>
        <w:ind w:firstLine="709"/>
        <w:jc w:val="both"/>
        <w:rPr>
          <w:rFonts w:ascii="Times New Roman" w:hAnsi="Times New Roman"/>
          <w:sz w:val="24"/>
          <w:szCs w:val="24"/>
        </w:rPr>
      </w:pPr>
    </w:p>
    <w:p w:rsidR="00335844" w:rsidRPr="0080737A" w:rsidRDefault="00335844" w:rsidP="003F5257">
      <w:pPr>
        <w:spacing w:after="0" w:line="240" w:lineRule="auto"/>
        <w:ind w:firstLine="709"/>
        <w:contextualSpacing/>
        <w:rPr>
          <w:rFonts w:ascii="Times New Roman" w:hAnsi="Times New Roman"/>
          <w:b/>
          <w:sz w:val="24"/>
          <w:szCs w:val="24"/>
        </w:rPr>
      </w:pPr>
      <w:r w:rsidRPr="0080737A">
        <w:rPr>
          <w:rFonts w:ascii="Times New Roman" w:hAnsi="Times New Roman"/>
          <w:b/>
          <w:sz w:val="24"/>
          <w:szCs w:val="24"/>
        </w:rPr>
        <w:t>Ценовая и тарифная политика</w:t>
      </w:r>
    </w:p>
    <w:p w:rsidR="00CE326F" w:rsidRDefault="00CE326F" w:rsidP="00CE326F">
      <w:pPr>
        <w:spacing w:after="0" w:line="240" w:lineRule="auto"/>
        <w:ind w:firstLine="708"/>
        <w:jc w:val="both"/>
        <w:rPr>
          <w:rFonts w:ascii="Times New Roman" w:hAnsi="Times New Roman"/>
          <w:sz w:val="24"/>
          <w:szCs w:val="24"/>
        </w:rPr>
      </w:pPr>
    </w:p>
    <w:p w:rsidR="00CE326F" w:rsidRPr="00333EEF" w:rsidRDefault="00CE326F" w:rsidP="00CE326F">
      <w:pPr>
        <w:spacing w:after="0" w:line="240" w:lineRule="auto"/>
        <w:ind w:firstLine="709"/>
        <w:contextualSpacing/>
        <w:rPr>
          <w:rFonts w:ascii="Times New Roman" w:hAnsi="Times New Roman"/>
          <w:b/>
          <w:sz w:val="24"/>
          <w:szCs w:val="24"/>
        </w:rPr>
      </w:pPr>
      <w:r w:rsidRPr="00333EEF">
        <w:rPr>
          <w:rFonts w:ascii="Times New Roman" w:hAnsi="Times New Roman"/>
          <w:b/>
          <w:sz w:val="24"/>
          <w:szCs w:val="24"/>
        </w:rPr>
        <w:t>Тарифная политика в сфере естественных монополий</w:t>
      </w:r>
    </w:p>
    <w:p w:rsidR="00CE326F" w:rsidRPr="001F7537" w:rsidRDefault="00CE326F" w:rsidP="00CE326F">
      <w:pPr>
        <w:spacing w:after="0" w:line="240" w:lineRule="auto"/>
        <w:ind w:firstLine="709"/>
        <w:jc w:val="both"/>
        <w:rPr>
          <w:rFonts w:ascii="Times New Roman" w:hAnsi="Times New Roman"/>
          <w:bCs/>
          <w:sz w:val="24"/>
          <w:szCs w:val="24"/>
        </w:rPr>
      </w:pPr>
      <w:r w:rsidRPr="001F7537">
        <w:rPr>
          <w:rFonts w:ascii="Times New Roman" w:hAnsi="Times New Roman"/>
          <w:bCs/>
          <w:sz w:val="24"/>
          <w:szCs w:val="24"/>
        </w:rPr>
        <w:t xml:space="preserve">Предельные уровни тарифов на услуги, оказываемые в сфере естественных монополий, сформированы на 2017 год с учетом норм действующего законодательства в области ценообразования, а также под влиянием следующих факторов: </w:t>
      </w:r>
    </w:p>
    <w:p w:rsidR="00CE326F" w:rsidRPr="001F7537" w:rsidRDefault="00CE326F" w:rsidP="00CE326F">
      <w:pPr>
        <w:spacing w:after="0" w:line="240" w:lineRule="auto"/>
        <w:ind w:firstLine="709"/>
        <w:jc w:val="both"/>
        <w:rPr>
          <w:rFonts w:ascii="Times New Roman" w:hAnsi="Times New Roman"/>
          <w:bCs/>
          <w:sz w:val="24"/>
          <w:szCs w:val="24"/>
        </w:rPr>
      </w:pPr>
      <w:r w:rsidRPr="001F7537">
        <w:rPr>
          <w:rFonts w:ascii="Times New Roman" w:hAnsi="Times New Roman"/>
          <w:bCs/>
          <w:sz w:val="24"/>
          <w:szCs w:val="24"/>
        </w:rPr>
        <w:t>а) изменени</w:t>
      </w:r>
      <w:r>
        <w:rPr>
          <w:rFonts w:ascii="Times New Roman" w:hAnsi="Times New Roman"/>
          <w:bCs/>
          <w:sz w:val="24"/>
          <w:szCs w:val="24"/>
        </w:rPr>
        <w:t>я</w:t>
      </w:r>
      <w:r w:rsidRPr="001F7537">
        <w:rPr>
          <w:rFonts w:ascii="Times New Roman" w:hAnsi="Times New Roman"/>
          <w:bCs/>
          <w:sz w:val="24"/>
          <w:szCs w:val="24"/>
        </w:rPr>
        <w:t xml:space="preserve"> цен на сырье и материалы, тарифов на энергоносители; </w:t>
      </w:r>
    </w:p>
    <w:p w:rsidR="00CE326F" w:rsidRPr="001F7537" w:rsidRDefault="00CE326F" w:rsidP="00CE326F">
      <w:pPr>
        <w:spacing w:after="0" w:line="240" w:lineRule="auto"/>
        <w:ind w:firstLine="709"/>
        <w:jc w:val="both"/>
        <w:rPr>
          <w:rFonts w:ascii="Times New Roman" w:hAnsi="Times New Roman"/>
          <w:bCs/>
          <w:sz w:val="24"/>
          <w:szCs w:val="24"/>
        </w:rPr>
      </w:pPr>
      <w:r w:rsidRPr="001F7537">
        <w:rPr>
          <w:rFonts w:ascii="Times New Roman" w:hAnsi="Times New Roman"/>
          <w:bCs/>
          <w:sz w:val="24"/>
          <w:szCs w:val="24"/>
        </w:rPr>
        <w:t>б) влияни</w:t>
      </w:r>
      <w:r>
        <w:rPr>
          <w:rFonts w:ascii="Times New Roman" w:hAnsi="Times New Roman"/>
          <w:bCs/>
          <w:sz w:val="24"/>
          <w:szCs w:val="24"/>
        </w:rPr>
        <w:t>я</w:t>
      </w:r>
      <w:r w:rsidRPr="001F7537">
        <w:rPr>
          <w:rFonts w:ascii="Times New Roman" w:hAnsi="Times New Roman"/>
          <w:bCs/>
          <w:sz w:val="24"/>
          <w:szCs w:val="24"/>
        </w:rPr>
        <w:t xml:space="preserve"> прогнозируемой инфляции; </w:t>
      </w:r>
    </w:p>
    <w:p w:rsidR="00CE326F" w:rsidRPr="001F7537" w:rsidRDefault="00CE326F" w:rsidP="00CE326F">
      <w:pPr>
        <w:spacing w:after="0" w:line="240" w:lineRule="auto"/>
        <w:ind w:firstLine="709"/>
        <w:jc w:val="both"/>
        <w:rPr>
          <w:rFonts w:ascii="Times New Roman" w:hAnsi="Times New Roman"/>
          <w:bCs/>
          <w:sz w:val="24"/>
          <w:szCs w:val="24"/>
        </w:rPr>
      </w:pPr>
      <w:r w:rsidRPr="001F7537">
        <w:rPr>
          <w:rFonts w:ascii="Times New Roman" w:hAnsi="Times New Roman"/>
          <w:bCs/>
          <w:sz w:val="24"/>
          <w:szCs w:val="24"/>
        </w:rPr>
        <w:t>в) фактически</w:t>
      </w:r>
      <w:r>
        <w:rPr>
          <w:rFonts w:ascii="Times New Roman" w:hAnsi="Times New Roman"/>
          <w:bCs/>
          <w:sz w:val="24"/>
          <w:szCs w:val="24"/>
        </w:rPr>
        <w:t>х</w:t>
      </w:r>
      <w:r w:rsidRPr="001F7537">
        <w:rPr>
          <w:rFonts w:ascii="Times New Roman" w:hAnsi="Times New Roman"/>
          <w:bCs/>
          <w:sz w:val="24"/>
          <w:szCs w:val="24"/>
        </w:rPr>
        <w:t xml:space="preserve"> результат</w:t>
      </w:r>
      <w:r>
        <w:rPr>
          <w:rFonts w:ascii="Times New Roman" w:hAnsi="Times New Roman"/>
          <w:bCs/>
          <w:sz w:val="24"/>
          <w:szCs w:val="24"/>
        </w:rPr>
        <w:t>ов</w:t>
      </w:r>
      <w:r w:rsidRPr="001F7537">
        <w:rPr>
          <w:rFonts w:ascii="Times New Roman" w:hAnsi="Times New Roman"/>
          <w:bCs/>
          <w:sz w:val="24"/>
          <w:szCs w:val="24"/>
        </w:rPr>
        <w:t xml:space="preserve"> деятельности субъектов естественных монополий по итогам работы за прошедший расчетный период регулирования; </w:t>
      </w:r>
    </w:p>
    <w:p w:rsidR="00CE326F" w:rsidRPr="001F7537" w:rsidRDefault="00CE326F" w:rsidP="00CE326F">
      <w:pPr>
        <w:spacing w:after="0" w:line="240" w:lineRule="auto"/>
        <w:ind w:firstLine="709"/>
        <w:jc w:val="both"/>
        <w:rPr>
          <w:rFonts w:ascii="Times New Roman" w:hAnsi="Times New Roman"/>
          <w:bCs/>
          <w:sz w:val="24"/>
          <w:szCs w:val="24"/>
        </w:rPr>
      </w:pPr>
      <w:r w:rsidRPr="001F7537">
        <w:rPr>
          <w:rFonts w:ascii="Times New Roman" w:hAnsi="Times New Roman"/>
          <w:bCs/>
          <w:sz w:val="24"/>
          <w:szCs w:val="24"/>
        </w:rPr>
        <w:t>г) изменени</w:t>
      </w:r>
      <w:r>
        <w:rPr>
          <w:rFonts w:ascii="Times New Roman" w:hAnsi="Times New Roman"/>
          <w:bCs/>
          <w:sz w:val="24"/>
          <w:szCs w:val="24"/>
        </w:rPr>
        <w:t>я</w:t>
      </w:r>
      <w:r w:rsidRPr="001F7537">
        <w:rPr>
          <w:rFonts w:ascii="Times New Roman" w:hAnsi="Times New Roman"/>
          <w:bCs/>
          <w:sz w:val="24"/>
          <w:szCs w:val="24"/>
        </w:rPr>
        <w:t xml:space="preserve"> цены природного газа, принимаемого для расчета предельных уровней тарифов на услуги субъектов естественных монополий. </w:t>
      </w:r>
    </w:p>
    <w:p w:rsidR="00CE326F" w:rsidRDefault="00CE326F" w:rsidP="00CE326F">
      <w:pPr>
        <w:pStyle w:val="aff0"/>
        <w:tabs>
          <w:tab w:val="left" w:pos="993"/>
        </w:tabs>
        <w:ind w:firstLine="709"/>
        <w:rPr>
          <w:bCs/>
          <w:sz w:val="24"/>
          <w:szCs w:val="24"/>
        </w:rPr>
      </w:pPr>
      <w:r w:rsidRPr="00117971">
        <w:rPr>
          <w:bCs/>
          <w:sz w:val="24"/>
          <w:szCs w:val="24"/>
        </w:rPr>
        <w:t xml:space="preserve">В целях </w:t>
      </w:r>
      <w:r>
        <w:rPr>
          <w:bCs/>
          <w:sz w:val="24"/>
          <w:szCs w:val="24"/>
        </w:rPr>
        <w:t xml:space="preserve">оптимизации тарифной политики и </w:t>
      </w:r>
      <w:r w:rsidRPr="00117971">
        <w:rPr>
          <w:bCs/>
          <w:sz w:val="24"/>
          <w:szCs w:val="24"/>
        </w:rPr>
        <w:t>поддержания платежеспособности населения республики с 1 января по 30 июня 2017 года тарифы на услуги газоснабжения, электроэнергетики для всего населения, а также на услуги по снабжению тепловой энергией (отопление и подогрев воды) для социальной категории населения</w:t>
      </w:r>
      <w:r w:rsidRPr="00117971">
        <w:rPr>
          <w:rStyle w:val="aff"/>
          <w:sz w:val="24"/>
          <w:szCs w:val="24"/>
        </w:rPr>
        <w:footnoteReference w:id="2"/>
      </w:r>
      <w:r w:rsidRPr="00117971">
        <w:rPr>
          <w:bCs/>
          <w:sz w:val="24"/>
          <w:szCs w:val="24"/>
        </w:rPr>
        <w:t xml:space="preserve"> снижены на 7</w:t>
      </w:r>
      <w:r>
        <w:rPr>
          <w:bCs/>
          <w:sz w:val="24"/>
          <w:szCs w:val="24"/>
        </w:rPr>
        <w:t>%</w:t>
      </w:r>
      <w:r w:rsidRPr="00117971">
        <w:rPr>
          <w:bCs/>
          <w:sz w:val="24"/>
          <w:szCs w:val="24"/>
        </w:rPr>
        <w:t xml:space="preserve"> относительно установленных </w:t>
      </w:r>
      <w:r>
        <w:rPr>
          <w:bCs/>
          <w:sz w:val="24"/>
          <w:szCs w:val="24"/>
        </w:rPr>
        <w:t xml:space="preserve">на 2017 год. </w:t>
      </w:r>
    </w:p>
    <w:p w:rsidR="00CE326F" w:rsidRPr="007E612C" w:rsidRDefault="00CE326F" w:rsidP="00CE326F">
      <w:pPr>
        <w:pStyle w:val="aff0"/>
        <w:tabs>
          <w:tab w:val="left" w:pos="993"/>
        </w:tabs>
        <w:ind w:firstLine="709"/>
        <w:rPr>
          <w:bCs/>
          <w:sz w:val="24"/>
          <w:szCs w:val="24"/>
        </w:rPr>
      </w:pPr>
      <w:r w:rsidRPr="007E612C">
        <w:rPr>
          <w:bCs/>
          <w:sz w:val="24"/>
          <w:szCs w:val="24"/>
        </w:rPr>
        <w:t>Тарифы на услуги в сфере естественных монополий для физических и юридических лиц, находящихся под юрисдикцией Республики Молдова и расположенных на территории Приднестровской Молдавской Республики</w:t>
      </w:r>
      <w:r>
        <w:rPr>
          <w:bCs/>
          <w:sz w:val="24"/>
          <w:szCs w:val="24"/>
        </w:rPr>
        <w:t>,</w:t>
      </w:r>
      <w:r w:rsidRPr="007E612C">
        <w:rPr>
          <w:bCs/>
          <w:sz w:val="24"/>
          <w:szCs w:val="24"/>
        </w:rPr>
        <w:t xml:space="preserve"> на цели выработки тепловой энергии установлены на уровне предельных тарифов</w:t>
      </w:r>
      <w:r>
        <w:rPr>
          <w:bCs/>
          <w:sz w:val="24"/>
          <w:szCs w:val="24"/>
        </w:rPr>
        <w:t>,</w:t>
      </w:r>
      <w:r w:rsidRPr="007E612C">
        <w:rPr>
          <w:bCs/>
          <w:sz w:val="24"/>
          <w:szCs w:val="24"/>
        </w:rPr>
        <w:t xml:space="preserve"> применяемых для физических и</w:t>
      </w:r>
      <w:r w:rsidR="00593FEB">
        <w:rPr>
          <w:bCs/>
          <w:sz w:val="24"/>
          <w:szCs w:val="24"/>
        </w:rPr>
        <w:t xml:space="preserve"> юридических лиц Приднестровья.</w:t>
      </w:r>
    </w:p>
    <w:p w:rsidR="00CE326F" w:rsidRPr="004D0ECC" w:rsidRDefault="00CE326F" w:rsidP="00CE326F">
      <w:pPr>
        <w:widowControl w:val="0"/>
        <w:spacing w:after="0" w:line="240" w:lineRule="auto"/>
        <w:ind w:firstLine="709"/>
        <w:jc w:val="both"/>
        <w:rPr>
          <w:rFonts w:ascii="Times New Roman" w:hAnsi="Times New Roman"/>
          <w:b/>
          <w:color w:val="000000"/>
          <w:sz w:val="24"/>
          <w:szCs w:val="24"/>
          <w:lang w:bidi="ru-RU"/>
        </w:rPr>
      </w:pPr>
      <w:r w:rsidRPr="004D0ECC">
        <w:rPr>
          <w:rFonts w:ascii="Times New Roman" w:hAnsi="Times New Roman"/>
          <w:b/>
          <w:color w:val="000000"/>
          <w:sz w:val="24"/>
          <w:szCs w:val="24"/>
          <w:lang w:bidi="ru-RU"/>
        </w:rPr>
        <w:lastRenderedPageBreak/>
        <w:t>1. Тарифы на услуги газоснабжения:</w:t>
      </w:r>
    </w:p>
    <w:p w:rsidR="00CE326F" w:rsidRPr="004D0ECC" w:rsidRDefault="00CE326F" w:rsidP="00CE326F">
      <w:pPr>
        <w:widowControl w:val="0"/>
        <w:spacing w:after="0" w:line="240" w:lineRule="auto"/>
        <w:ind w:firstLine="709"/>
        <w:jc w:val="both"/>
        <w:rPr>
          <w:rFonts w:ascii="Times New Roman" w:hAnsi="Times New Roman"/>
          <w:sz w:val="24"/>
          <w:szCs w:val="24"/>
          <w:u w:val="single"/>
          <w:lang w:eastAsia="en-US"/>
        </w:rPr>
      </w:pPr>
      <w:r w:rsidRPr="004D0ECC">
        <w:rPr>
          <w:rFonts w:ascii="Times New Roman" w:hAnsi="Times New Roman"/>
          <w:sz w:val="24"/>
          <w:szCs w:val="24"/>
          <w:u w:val="single"/>
          <w:lang w:eastAsia="en-US"/>
        </w:rPr>
        <w:t>а) тарифы на природный газ, транспортируемый по магистральным трубопроводам и распределительным сетям и отпускаемый:</w:t>
      </w:r>
    </w:p>
    <w:p w:rsidR="00CE326F" w:rsidRDefault="00CE326F" w:rsidP="00CE326F">
      <w:pPr>
        <w:widowControl w:val="0"/>
        <w:spacing w:after="0" w:line="240" w:lineRule="auto"/>
        <w:ind w:firstLine="709"/>
        <w:jc w:val="both"/>
        <w:rPr>
          <w:rFonts w:ascii="Times New Roman" w:hAnsi="Times New Roman"/>
          <w:sz w:val="24"/>
          <w:szCs w:val="24"/>
          <w:lang w:eastAsia="en-US"/>
        </w:rPr>
      </w:pPr>
      <w:r w:rsidRPr="004D0ECC">
        <w:rPr>
          <w:rFonts w:ascii="Times New Roman" w:hAnsi="Times New Roman"/>
          <w:color w:val="000000"/>
          <w:sz w:val="24"/>
          <w:szCs w:val="24"/>
          <w:lang w:bidi="ru-RU"/>
        </w:rPr>
        <w:t xml:space="preserve">1) для бытовых потребителей (абонентов) </w:t>
      </w:r>
      <w:r>
        <w:rPr>
          <w:rFonts w:ascii="Times New Roman" w:hAnsi="Times New Roman"/>
          <w:sz w:val="24"/>
          <w:szCs w:val="24"/>
          <w:lang w:eastAsia="en-US"/>
        </w:rPr>
        <w:t xml:space="preserve">в пределах </w:t>
      </w:r>
      <w:r w:rsidRPr="004D0ECC">
        <w:rPr>
          <w:rFonts w:ascii="Times New Roman" w:hAnsi="Times New Roman"/>
          <w:color w:val="000000"/>
          <w:sz w:val="24"/>
          <w:szCs w:val="24"/>
          <w:lang w:bidi="ru-RU"/>
        </w:rPr>
        <w:t>установленного лимита</w:t>
      </w:r>
      <w:r>
        <w:rPr>
          <w:rFonts w:ascii="Times New Roman" w:hAnsi="Times New Roman"/>
          <w:color w:val="000000"/>
          <w:sz w:val="24"/>
          <w:szCs w:val="24"/>
          <w:lang w:bidi="ru-RU"/>
        </w:rPr>
        <w:t>,</w:t>
      </w:r>
      <w:r w:rsidR="00BB4B8A">
        <w:rPr>
          <w:rFonts w:ascii="Times New Roman" w:hAnsi="Times New Roman"/>
          <w:color w:val="000000"/>
          <w:sz w:val="24"/>
          <w:szCs w:val="24"/>
          <w:lang w:bidi="ru-RU"/>
        </w:rPr>
        <w:t xml:space="preserve"> </w:t>
      </w:r>
      <w:r w:rsidRPr="008A6CFA">
        <w:rPr>
          <w:rFonts w:ascii="Times New Roman" w:hAnsi="Times New Roman"/>
          <w:sz w:val="24"/>
          <w:szCs w:val="24"/>
          <w:lang w:eastAsia="en-US"/>
        </w:rPr>
        <w:t>применяемый тариф сохранен</w:t>
      </w:r>
      <w:r>
        <w:rPr>
          <w:rFonts w:ascii="Times New Roman" w:hAnsi="Times New Roman"/>
          <w:sz w:val="24"/>
          <w:szCs w:val="24"/>
          <w:lang w:eastAsia="en-US"/>
        </w:rPr>
        <w:t xml:space="preserve"> на уровне </w:t>
      </w:r>
      <w:r w:rsidRPr="004D0ECC">
        <w:rPr>
          <w:rFonts w:ascii="Times New Roman" w:hAnsi="Times New Roman"/>
          <w:color w:val="000000"/>
          <w:sz w:val="24"/>
          <w:szCs w:val="24"/>
          <w:lang w:bidi="ru-RU"/>
        </w:rPr>
        <w:t>базово</w:t>
      </w:r>
      <w:r>
        <w:rPr>
          <w:rFonts w:ascii="Times New Roman" w:hAnsi="Times New Roman"/>
          <w:color w:val="000000"/>
          <w:sz w:val="24"/>
          <w:szCs w:val="24"/>
          <w:lang w:bidi="ru-RU"/>
        </w:rPr>
        <w:t>го</w:t>
      </w:r>
      <w:r w:rsidRPr="004D0ECC">
        <w:rPr>
          <w:rFonts w:ascii="Times New Roman" w:hAnsi="Times New Roman"/>
          <w:color w:val="000000"/>
          <w:sz w:val="24"/>
          <w:szCs w:val="24"/>
          <w:lang w:bidi="ru-RU"/>
        </w:rPr>
        <w:t xml:space="preserve"> показател</w:t>
      </w:r>
      <w:r>
        <w:rPr>
          <w:rFonts w:ascii="Times New Roman" w:hAnsi="Times New Roman"/>
          <w:color w:val="000000"/>
          <w:sz w:val="24"/>
          <w:szCs w:val="24"/>
          <w:lang w:bidi="ru-RU"/>
        </w:rPr>
        <w:t>я</w:t>
      </w:r>
      <w:r w:rsidRPr="004D0ECC">
        <w:rPr>
          <w:rFonts w:ascii="Times New Roman" w:hAnsi="Times New Roman"/>
          <w:color w:val="000000"/>
          <w:sz w:val="24"/>
          <w:szCs w:val="24"/>
          <w:lang w:bidi="ru-RU"/>
        </w:rPr>
        <w:t xml:space="preserve"> минувшего года</w:t>
      </w:r>
      <w:r>
        <w:rPr>
          <w:rFonts w:ascii="Times New Roman" w:hAnsi="Times New Roman"/>
          <w:color w:val="000000"/>
          <w:sz w:val="24"/>
          <w:szCs w:val="24"/>
          <w:lang w:bidi="ru-RU"/>
        </w:rPr>
        <w:t xml:space="preserve"> (в размере   0,81</w:t>
      </w:r>
      <w:r w:rsidRPr="004D0ECC">
        <w:rPr>
          <w:rFonts w:ascii="Times New Roman" w:hAnsi="Times New Roman"/>
          <w:color w:val="000000"/>
          <w:sz w:val="24"/>
          <w:szCs w:val="24"/>
          <w:lang w:bidi="ru-RU"/>
        </w:rPr>
        <w:t xml:space="preserve"> руб.</w:t>
      </w:r>
      <w:r w:rsidRPr="004D0ECC">
        <w:rPr>
          <w:rFonts w:ascii="Times New Roman" w:hAnsi="Times New Roman"/>
          <w:sz w:val="24"/>
          <w:szCs w:val="24"/>
          <w:lang w:eastAsia="en-US"/>
        </w:rPr>
        <w:t xml:space="preserve"> за 1 куб. м</w:t>
      </w:r>
      <w:r>
        <w:rPr>
          <w:rFonts w:ascii="Times New Roman" w:hAnsi="Times New Roman"/>
          <w:sz w:val="24"/>
          <w:szCs w:val="24"/>
          <w:lang w:eastAsia="en-US"/>
        </w:rPr>
        <w:t>), при этом снижен по отношению к предельному уровню тарифа, утвержденного  на 2017 год на 6,9%;</w:t>
      </w:r>
    </w:p>
    <w:p w:rsidR="00CE326F" w:rsidRDefault="00CE326F" w:rsidP="00CE326F">
      <w:pPr>
        <w:widowControl w:val="0"/>
        <w:spacing w:after="0" w:line="240" w:lineRule="auto"/>
        <w:ind w:firstLine="709"/>
        <w:jc w:val="both"/>
        <w:rPr>
          <w:rFonts w:ascii="Times New Roman" w:hAnsi="Times New Roman"/>
          <w:sz w:val="24"/>
          <w:szCs w:val="24"/>
          <w:lang w:eastAsia="en-US"/>
        </w:rPr>
      </w:pPr>
      <w:r w:rsidRPr="004D0ECC">
        <w:rPr>
          <w:rFonts w:ascii="Times New Roman" w:hAnsi="Times New Roman"/>
          <w:color w:val="000000"/>
          <w:sz w:val="24"/>
          <w:szCs w:val="24"/>
          <w:lang w:bidi="ru-RU"/>
        </w:rPr>
        <w:t>2) для бытовых потребителей (абонентов) сельских населенных пунктов (сельских поселений)</w:t>
      </w:r>
      <w:r>
        <w:rPr>
          <w:rFonts w:ascii="Times New Roman" w:hAnsi="Times New Roman"/>
          <w:color w:val="000000"/>
          <w:sz w:val="24"/>
          <w:szCs w:val="24"/>
          <w:lang w:bidi="ru-RU"/>
        </w:rPr>
        <w:t xml:space="preserve">, </w:t>
      </w:r>
      <w:r w:rsidRPr="00BE2CEE">
        <w:rPr>
          <w:rFonts w:ascii="Times New Roman" w:hAnsi="Times New Roman"/>
          <w:color w:val="000000"/>
          <w:sz w:val="24"/>
          <w:szCs w:val="24"/>
          <w:lang w:bidi="ru-RU"/>
        </w:rPr>
        <w:t>применяемый тариф снижен до</w:t>
      </w:r>
      <w:r w:rsidRPr="004D0ECC">
        <w:rPr>
          <w:rFonts w:ascii="Times New Roman" w:hAnsi="Times New Roman"/>
          <w:color w:val="000000"/>
          <w:sz w:val="24"/>
          <w:szCs w:val="24"/>
          <w:lang w:bidi="ru-RU"/>
        </w:rPr>
        <w:t>0,65 руб.</w:t>
      </w:r>
      <w:r w:rsidRPr="004D0ECC">
        <w:rPr>
          <w:rFonts w:ascii="Times New Roman" w:hAnsi="Times New Roman"/>
          <w:sz w:val="24"/>
          <w:szCs w:val="24"/>
          <w:lang w:eastAsia="en-US"/>
        </w:rPr>
        <w:t xml:space="preserve"> за 1 куб. м</w:t>
      </w:r>
      <w:r>
        <w:rPr>
          <w:rFonts w:ascii="Times New Roman" w:hAnsi="Times New Roman"/>
          <w:sz w:val="24"/>
          <w:szCs w:val="24"/>
          <w:lang w:eastAsia="en-US"/>
        </w:rPr>
        <w:t xml:space="preserve">, или на 19,8%, </w:t>
      </w:r>
      <w:r w:rsidRPr="00545126">
        <w:rPr>
          <w:rFonts w:ascii="Times New Roman" w:hAnsi="Times New Roman"/>
          <w:color w:val="000000"/>
          <w:sz w:val="24"/>
          <w:szCs w:val="24"/>
          <w:lang w:bidi="ru-RU"/>
        </w:rPr>
        <w:t>по отношению к показателю 2016 года</w:t>
      </w:r>
      <w:r>
        <w:rPr>
          <w:rFonts w:ascii="Times New Roman" w:hAnsi="Times New Roman"/>
          <w:color w:val="000000"/>
          <w:sz w:val="24"/>
          <w:szCs w:val="24"/>
          <w:lang w:bidi="ru-RU"/>
        </w:rPr>
        <w:t xml:space="preserve"> и на 8,5% сложился ниже предельного уровня тарифа, </w:t>
      </w:r>
      <w:r>
        <w:rPr>
          <w:rFonts w:ascii="Times New Roman" w:hAnsi="Times New Roman"/>
          <w:sz w:val="24"/>
          <w:szCs w:val="24"/>
          <w:lang w:eastAsia="en-US"/>
        </w:rPr>
        <w:t>утвержденного на 2017 год;</w:t>
      </w:r>
    </w:p>
    <w:p w:rsidR="00CE326F" w:rsidRDefault="00CE326F" w:rsidP="00CE326F">
      <w:pPr>
        <w:widowControl w:val="0"/>
        <w:spacing w:after="0" w:line="240" w:lineRule="auto"/>
        <w:ind w:firstLine="709"/>
        <w:jc w:val="both"/>
        <w:rPr>
          <w:rFonts w:ascii="Times New Roman" w:hAnsi="Times New Roman"/>
          <w:sz w:val="24"/>
          <w:szCs w:val="24"/>
          <w:lang w:eastAsia="en-US"/>
        </w:rPr>
      </w:pPr>
      <w:proofErr w:type="gramStart"/>
      <w:r w:rsidRPr="004D0ECC">
        <w:rPr>
          <w:rFonts w:ascii="Times New Roman" w:hAnsi="Times New Roman"/>
          <w:color w:val="000000"/>
          <w:sz w:val="24"/>
          <w:szCs w:val="24"/>
          <w:lang w:bidi="ru-RU"/>
        </w:rPr>
        <w:t xml:space="preserve">3) для организаций, осуществляющих производство </w:t>
      </w:r>
      <w:r w:rsidRPr="004D0ECC">
        <w:rPr>
          <w:rFonts w:ascii="Times New Roman" w:hAnsi="Times New Roman"/>
          <w:color w:val="000000"/>
          <w:sz w:val="24"/>
          <w:szCs w:val="24"/>
        </w:rPr>
        <w:t>промышленной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 процентов</w:t>
      </w:r>
      <w:r>
        <w:rPr>
          <w:rFonts w:ascii="Times New Roman" w:hAnsi="Times New Roman"/>
          <w:color w:val="000000"/>
          <w:sz w:val="24"/>
          <w:szCs w:val="24"/>
        </w:rPr>
        <w:t xml:space="preserve">, </w:t>
      </w:r>
      <w:r w:rsidRPr="00BE2CEE">
        <w:rPr>
          <w:rFonts w:ascii="Times New Roman" w:hAnsi="Times New Roman"/>
          <w:color w:val="000000"/>
          <w:sz w:val="24"/>
          <w:szCs w:val="24"/>
        </w:rPr>
        <w:t>предельные и применяемые тарифы</w:t>
      </w:r>
      <w:r w:rsidR="00F45CC9">
        <w:rPr>
          <w:rFonts w:ascii="Times New Roman" w:hAnsi="Times New Roman"/>
          <w:color w:val="000000"/>
          <w:sz w:val="24"/>
          <w:szCs w:val="24"/>
        </w:rPr>
        <w:t xml:space="preserve"> </w:t>
      </w:r>
      <w:r w:rsidRPr="004D0ECC">
        <w:rPr>
          <w:rFonts w:ascii="Times New Roman" w:hAnsi="Times New Roman"/>
          <w:color w:val="000000"/>
          <w:sz w:val="24"/>
          <w:szCs w:val="24"/>
        </w:rPr>
        <w:t xml:space="preserve">установлены в размере </w:t>
      </w:r>
      <w:r w:rsidR="00F45CC9">
        <w:rPr>
          <w:rFonts w:ascii="Times New Roman" w:hAnsi="Times New Roman"/>
          <w:color w:val="000000"/>
          <w:sz w:val="24"/>
          <w:szCs w:val="24"/>
        </w:rPr>
        <w:t xml:space="preserve">            </w:t>
      </w:r>
      <w:r w:rsidRPr="004D0ECC">
        <w:rPr>
          <w:rFonts w:ascii="Times New Roman" w:hAnsi="Times New Roman"/>
          <w:color w:val="000000"/>
          <w:sz w:val="24"/>
          <w:szCs w:val="24"/>
        </w:rPr>
        <w:t>1</w:t>
      </w:r>
      <w:r>
        <w:rPr>
          <w:rFonts w:ascii="Times New Roman" w:hAnsi="Times New Roman"/>
          <w:color w:val="000000"/>
          <w:sz w:val="24"/>
          <w:szCs w:val="24"/>
        </w:rPr>
        <w:t> 455,99</w:t>
      </w:r>
      <w:r w:rsidRPr="004D0ECC">
        <w:rPr>
          <w:rFonts w:ascii="Times New Roman" w:hAnsi="Times New Roman"/>
          <w:sz w:val="24"/>
          <w:szCs w:val="24"/>
          <w:lang w:eastAsia="en-US"/>
        </w:rPr>
        <w:t xml:space="preserve"> руб. за </w:t>
      </w:r>
      <w:r>
        <w:rPr>
          <w:rFonts w:ascii="Times New Roman" w:hAnsi="Times New Roman"/>
          <w:sz w:val="24"/>
          <w:szCs w:val="24"/>
          <w:lang w:eastAsia="en-US"/>
        </w:rPr>
        <w:t xml:space="preserve">1 </w:t>
      </w:r>
      <w:r w:rsidRPr="004D0ECC">
        <w:rPr>
          <w:rFonts w:ascii="Times New Roman" w:hAnsi="Times New Roman"/>
          <w:sz w:val="24"/>
          <w:szCs w:val="24"/>
          <w:lang w:eastAsia="en-US"/>
        </w:rPr>
        <w:t>тыс. куб. м</w:t>
      </w:r>
      <w:r>
        <w:rPr>
          <w:rFonts w:ascii="Times New Roman" w:hAnsi="Times New Roman"/>
          <w:sz w:val="24"/>
          <w:szCs w:val="24"/>
          <w:lang w:eastAsia="en-US"/>
        </w:rPr>
        <w:t xml:space="preserve">, при этом </w:t>
      </w:r>
      <w:r>
        <w:rPr>
          <w:rFonts w:ascii="Times New Roman" w:hAnsi="Times New Roman"/>
          <w:color w:val="000000"/>
          <w:sz w:val="24"/>
          <w:szCs w:val="24"/>
        </w:rPr>
        <w:t>применяемый тариф снижен по отношению к уровню 2016 года на</w:t>
      </w:r>
      <w:proofErr w:type="gramEnd"/>
      <w:r>
        <w:rPr>
          <w:rFonts w:ascii="Times New Roman" w:hAnsi="Times New Roman"/>
          <w:color w:val="000000"/>
          <w:sz w:val="24"/>
          <w:szCs w:val="24"/>
        </w:rPr>
        <w:t xml:space="preserve"> 0,3%</w:t>
      </w:r>
      <w:r>
        <w:rPr>
          <w:rFonts w:ascii="Times New Roman" w:hAnsi="Times New Roman"/>
          <w:sz w:val="24"/>
          <w:szCs w:val="24"/>
          <w:lang w:eastAsia="en-US"/>
        </w:rPr>
        <w:t>;</w:t>
      </w:r>
    </w:p>
    <w:p w:rsidR="00CE326F" w:rsidRDefault="00CE326F" w:rsidP="00CE326F">
      <w:pPr>
        <w:widowControl w:val="0"/>
        <w:spacing w:after="0" w:line="240" w:lineRule="auto"/>
        <w:ind w:firstLine="709"/>
        <w:jc w:val="both"/>
        <w:rPr>
          <w:rFonts w:ascii="Times New Roman" w:hAnsi="Times New Roman"/>
          <w:sz w:val="24"/>
          <w:szCs w:val="24"/>
          <w:lang w:eastAsia="en-US"/>
        </w:rPr>
      </w:pPr>
      <w:proofErr w:type="gramStart"/>
      <w:r w:rsidRPr="004D0ECC">
        <w:rPr>
          <w:rFonts w:ascii="Times New Roman" w:hAnsi="Times New Roman"/>
          <w:color w:val="000000"/>
          <w:sz w:val="24"/>
          <w:szCs w:val="24"/>
          <w:lang w:bidi="ru-RU"/>
        </w:rPr>
        <w:t xml:space="preserve">4) для организаций, осуществляющих производство мяса, молока, куриных яиц и (или) переработку мясомолочного сырья, в общем объеме дохода от продаж (выручки) которых доля дохода от продаж (выручки) собственного производства по итогам последнего отчетного периода составляет не менее </w:t>
      </w:r>
      <w:r>
        <w:rPr>
          <w:rFonts w:ascii="Times New Roman" w:hAnsi="Times New Roman"/>
          <w:color w:val="000000"/>
          <w:sz w:val="24"/>
          <w:szCs w:val="24"/>
          <w:lang w:bidi="ru-RU"/>
        </w:rPr>
        <w:t>50</w:t>
      </w:r>
      <w:r w:rsidR="00F45CC9">
        <w:rPr>
          <w:rFonts w:ascii="Times New Roman" w:hAnsi="Times New Roman"/>
          <w:color w:val="000000"/>
          <w:sz w:val="24"/>
          <w:szCs w:val="24"/>
          <w:lang w:bidi="ru-RU"/>
        </w:rPr>
        <w:t xml:space="preserve"> </w:t>
      </w:r>
      <w:r w:rsidRPr="005D4C04">
        <w:rPr>
          <w:rFonts w:ascii="Times New Roman" w:hAnsi="Times New Roman"/>
          <w:color w:val="000000"/>
          <w:sz w:val="24"/>
          <w:szCs w:val="24"/>
          <w:lang w:bidi="ru-RU"/>
        </w:rPr>
        <w:t>процентов</w:t>
      </w:r>
      <w:r>
        <w:rPr>
          <w:rFonts w:ascii="Times New Roman" w:hAnsi="Times New Roman"/>
          <w:color w:val="000000"/>
          <w:sz w:val="24"/>
          <w:szCs w:val="24"/>
          <w:lang w:bidi="ru-RU"/>
        </w:rPr>
        <w:t>,</w:t>
      </w:r>
      <w:r w:rsidRPr="005D4C04">
        <w:rPr>
          <w:rFonts w:ascii="Times New Roman" w:hAnsi="Times New Roman"/>
          <w:color w:val="000000"/>
          <w:sz w:val="24"/>
          <w:szCs w:val="24"/>
          <w:lang w:bidi="ru-RU"/>
        </w:rPr>
        <w:t xml:space="preserve"> предельный и применяемый тариф установлен на уровне 1 047,58 </w:t>
      </w:r>
      <w:r w:rsidRPr="005D4C04">
        <w:rPr>
          <w:rFonts w:ascii="Times New Roman" w:hAnsi="Times New Roman"/>
          <w:sz w:val="24"/>
          <w:szCs w:val="24"/>
          <w:lang w:eastAsia="en-US"/>
        </w:rPr>
        <w:t xml:space="preserve">руб. за </w:t>
      </w:r>
      <w:r>
        <w:rPr>
          <w:rFonts w:ascii="Times New Roman" w:hAnsi="Times New Roman"/>
          <w:sz w:val="24"/>
          <w:szCs w:val="24"/>
          <w:lang w:eastAsia="en-US"/>
        </w:rPr>
        <w:t xml:space="preserve">1 </w:t>
      </w:r>
      <w:r w:rsidRPr="005D4C04">
        <w:rPr>
          <w:rFonts w:ascii="Times New Roman" w:hAnsi="Times New Roman"/>
          <w:sz w:val="24"/>
          <w:szCs w:val="24"/>
          <w:lang w:eastAsia="en-US"/>
        </w:rPr>
        <w:t>тыс. куб</w:t>
      </w:r>
      <w:r w:rsidRPr="004D0ECC">
        <w:rPr>
          <w:rFonts w:ascii="Times New Roman" w:hAnsi="Times New Roman"/>
          <w:sz w:val="24"/>
          <w:szCs w:val="24"/>
          <w:lang w:eastAsia="en-US"/>
        </w:rPr>
        <w:t>. м</w:t>
      </w:r>
      <w:r>
        <w:rPr>
          <w:rFonts w:ascii="Times New Roman" w:hAnsi="Times New Roman"/>
          <w:sz w:val="24"/>
          <w:szCs w:val="24"/>
          <w:lang w:eastAsia="en-US"/>
        </w:rPr>
        <w:t xml:space="preserve">, при этом применяемый </w:t>
      </w:r>
      <w:r>
        <w:rPr>
          <w:rFonts w:ascii="Times New Roman" w:hAnsi="Times New Roman"/>
          <w:color w:val="000000"/>
          <w:sz w:val="24"/>
          <w:szCs w:val="24"/>
        </w:rPr>
        <w:t>тариф снижен по</w:t>
      </w:r>
      <w:proofErr w:type="gramEnd"/>
      <w:r>
        <w:rPr>
          <w:rFonts w:ascii="Times New Roman" w:hAnsi="Times New Roman"/>
          <w:color w:val="000000"/>
          <w:sz w:val="24"/>
          <w:szCs w:val="24"/>
        </w:rPr>
        <w:t xml:space="preserve"> отношению к уровню 2016 года на 28,3%</w:t>
      </w:r>
      <w:r>
        <w:rPr>
          <w:rFonts w:ascii="Times New Roman" w:hAnsi="Times New Roman"/>
          <w:sz w:val="24"/>
          <w:szCs w:val="24"/>
          <w:lang w:eastAsia="en-US"/>
        </w:rPr>
        <w:t>;</w:t>
      </w:r>
    </w:p>
    <w:p w:rsidR="00CE326F" w:rsidRDefault="00CE326F" w:rsidP="00CE326F">
      <w:pPr>
        <w:widowControl w:val="0"/>
        <w:spacing w:after="0" w:line="240" w:lineRule="auto"/>
        <w:ind w:firstLine="709"/>
        <w:jc w:val="both"/>
        <w:rPr>
          <w:rFonts w:ascii="Times New Roman" w:hAnsi="Times New Roman"/>
          <w:sz w:val="24"/>
          <w:szCs w:val="24"/>
          <w:lang w:eastAsia="en-US"/>
        </w:rPr>
      </w:pPr>
      <w:r w:rsidRPr="004D0ECC">
        <w:rPr>
          <w:rFonts w:ascii="Times New Roman" w:hAnsi="Times New Roman"/>
          <w:sz w:val="24"/>
          <w:szCs w:val="24"/>
          <w:lang w:eastAsia="en-US"/>
        </w:rPr>
        <w:t>5) для прочих потребителей</w:t>
      </w:r>
      <w:r w:rsidRPr="00761A17">
        <w:rPr>
          <w:rFonts w:ascii="Times New Roman" w:hAnsi="Times New Roman"/>
          <w:sz w:val="24"/>
          <w:szCs w:val="24"/>
          <w:lang w:eastAsia="en-US"/>
        </w:rPr>
        <w:t>, зарегистрированных в сельском населенном пункте (сельском поселении) и осуществляющим потребление природного газа исключительно в сельском населенном пункте</w:t>
      </w:r>
      <w:r>
        <w:rPr>
          <w:rFonts w:ascii="Times New Roman" w:hAnsi="Times New Roman"/>
          <w:sz w:val="24"/>
          <w:szCs w:val="24"/>
          <w:lang w:eastAsia="en-US"/>
        </w:rPr>
        <w:t>,</w:t>
      </w:r>
      <w:r w:rsidR="00F45CC9">
        <w:rPr>
          <w:rFonts w:ascii="Times New Roman" w:hAnsi="Times New Roman"/>
          <w:sz w:val="24"/>
          <w:szCs w:val="24"/>
          <w:lang w:eastAsia="en-US"/>
        </w:rPr>
        <w:t xml:space="preserve"> </w:t>
      </w:r>
      <w:r w:rsidRPr="005D4C04">
        <w:rPr>
          <w:rFonts w:ascii="Times New Roman" w:hAnsi="Times New Roman"/>
          <w:color w:val="000000"/>
          <w:sz w:val="24"/>
          <w:szCs w:val="24"/>
          <w:lang w:bidi="ru-RU"/>
        </w:rPr>
        <w:t>предельный и применяемый тариф</w:t>
      </w:r>
      <w:r w:rsidR="00F45CC9">
        <w:rPr>
          <w:rFonts w:ascii="Times New Roman" w:hAnsi="Times New Roman"/>
          <w:color w:val="000000"/>
          <w:sz w:val="24"/>
          <w:szCs w:val="24"/>
          <w:lang w:bidi="ru-RU"/>
        </w:rPr>
        <w:t xml:space="preserve"> </w:t>
      </w:r>
      <w:r w:rsidRPr="004D0ECC">
        <w:rPr>
          <w:rFonts w:ascii="Times New Roman" w:hAnsi="Times New Roman"/>
          <w:sz w:val="24"/>
          <w:szCs w:val="24"/>
          <w:lang w:eastAsia="en-US"/>
        </w:rPr>
        <w:t xml:space="preserve">установлен в размере </w:t>
      </w:r>
      <w:r w:rsidRPr="00761A17">
        <w:rPr>
          <w:rFonts w:ascii="Times New Roman" w:hAnsi="Times New Roman"/>
          <w:sz w:val="24"/>
          <w:szCs w:val="24"/>
          <w:lang w:eastAsia="en-US"/>
        </w:rPr>
        <w:t>1 604,69</w:t>
      </w:r>
      <w:r w:rsidRPr="004D0ECC">
        <w:rPr>
          <w:rFonts w:ascii="Times New Roman" w:hAnsi="Times New Roman"/>
          <w:sz w:val="24"/>
          <w:szCs w:val="24"/>
          <w:lang w:eastAsia="en-US"/>
        </w:rPr>
        <w:t xml:space="preserve"> руб. за </w:t>
      </w:r>
      <w:r>
        <w:rPr>
          <w:rFonts w:ascii="Times New Roman" w:hAnsi="Times New Roman"/>
          <w:sz w:val="24"/>
          <w:szCs w:val="24"/>
          <w:lang w:eastAsia="en-US"/>
        </w:rPr>
        <w:t xml:space="preserve">1 </w:t>
      </w:r>
      <w:r w:rsidRPr="004D0ECC">
        <w:rPr>
          <w:rFonts w:ascii="Times New Roman" w:hAnsi="Times New Roman"/>
          <w:sz w:val="24"/>
          <w:szCs w:val="24"/>
          <w:lang w:eastAsia="en-US"/>
        </w:rPr>
        <w:t>тыс. куб</w:t>
      </w:r>
      <w:proofErr w:type="gramStart"/>
      <w:r w:rsidRPr="004D0ECC">
        <w:rPr>
          <w:rFonts w:ascii="Times New Roman" w:hAnsi="Times New Roman"/>
          <w:sz w:val="24"/>
          <w:szCs w:val="24"/>
          <w:lang w:eastAsia="en-US"/>
        </w:rPr>
        <w:t>.</w:t>
      </w:r>
      <w:r>
        <w:rPr>
          <w:rFonts w:ascii="Times New Roman" w:hAnsi="Times New Roman"/>
          <w:sz w:val="24"/>
          <w:szCs w:val="24"/>
          <w:lang w:eastAsia="en-US"/>
        </w:rPr>
        <w:t>м</w:t>
      </w:r>
      <w:proofErr w:type="gramEnd"/>
      <w:r w:rsidRPr="00761A17">
        <w:rPr>
          <w:rFonts w:ascii="Times New Roman" w:hAnsi="Times New Roman"/>
          <w:sz w:val="24"/>
          <w:szCs w:val="24"/>
          <w:lang w:eastAsia="en-US"/>
        </w:rPr>
        <w:t xml:space="preserve">, при этом </w:t>
      </w:r>
      <w:r>
        <w:rPr>
          <w:rFonts w:ascii="Times New Roman" w:hAnsi="Times New Roman"/>
          <w:sz w:val="24"/>
          <w:szCs w:val="24"/>
          <w:lang w:eastAsia="en-US"/>
        </w:rPr>
        <w:t xml:space="preserve">применяемый </w:t>
      </w:r>
      <w:r>
        <w:rPr>
          <w:rFonts w:ascii="Times New Roman" w:hAnsi="Times New Roman"/>
          <w:color w:val="000000"/>
          <w:sz w:val="24"/>
          <w:szCs w:val="24"/>
        </w:rPr>
        <w:t>тариф снижен по отношению к уровню 2016 года на 22,6%</w:t>
      </w:r>
      <w:r>
        <w:rPr>
          <w:rFonts w:ascii="Times New Roman" w:hAnsi="Times New Roman"/>
          <w:sz w:val="24"/>
          <w:szCs w:val="24"/>
          <w:lang w:eastAsia="en-US"/>
        </w:rPr>
        <w:t>;</w:t>
      </w:r>
    </w:p>
    <w:p w:rsidR="00CE326F" w:rsidRDefault="00CE326F" w:rsidP="00CE326F">
      <w:pPr>
        <w:widowControl w:val="0"/>
        <w:spacing w:after="0" w:line="240" w:lineRule="auto"/>
        <w:ind w:firstLine="709"/>
        <w:jc w:val="both"/>
        <w:rPr>
          <w:rFonts w:ascii="Times New Roman" w:hAnsi="Times New Roman"/>
          <w:sz w:val="24"/>
          <w:szCs w:val="24"/>
          <w:lang w:eastAsia="en-US"/>
        </w:rPr>
      </w:pPr>
      <w:proofErr w:type="gramStart"/>
      <w:r w:rsidRPr="004D0ECC">
        <w:rPr>
          <w:rFonts w:ascii="Times New Roman" w:hAnsi="Times New Roman"/>
          <w:sz w:val="24"/>
          <w:szCs w:val="24"/>
          <w:lang w:eastAsia="en-US"/>
        </w:rPr>
        <w:t>6)</w:t>
      </w:r>
      <w:r w:rsidRPr="004D0ECC">
        <w:rPr>
          <w:rFonts w:ascii="Times New Roman" w:hAnsi="Times New Roman"/>
          <w:bCs/>
          <w:color w:val="000000"/>
          <w:sz w:val="24"/>
          <w:szCs w:val="24"/>
          <w:lang w:bidi="ru-RU"/>
        </w:rPr>
        <w:t xml:space="preserve"> организациям, учредителем либо акционером которых являются организации, зарегистрированные в государствах и на территориях, предоставляющих льготный режим налогообложения и (или) </w:t>
      </w:r>
      <w:r w:rsidRPr="004D0ECC">
        <w:rPr>
          <w:rFonts w:ascii="Times New Roman" w:hAnsi="Times New Roman"/>
          <w:color w:val="000000"/>
          <w:sz w:val="24"/>
          <w:szCs w:val="24"/>
        </w:rPr>
        <w:t xml:space="preserve">не предусматривающих раскрытия и предоставления информации при проведении финансовых </w:t>
      </w:r>
      <w:r w:rsidRPr="005D4C04">
        <w:rPr>
          <w:rFonts w:ascii="Times New Roman" w:hAnsi="Times New Roman"/>
          <w:color w:val="000000"/>
          <w:sz w:val="24"/>
          <w:szCs w:val="24"/>
        </w:rPr>
        <w:t>операций</w:t>
      </w:r>
      <w:r>
        <w:rPr>
          <w:rFonts w:ascii="Times New Roman" w:hAnsi="Times New Roman"/>
          <w:color w:val="000000"/>
          <w:sz w:val="24"/>
          <w:szCs w:val="24"/>
        </w:rPr>
        <w:t>,</w:t>
      </w:r>
      <w:r w:rsidR="00F45CC9">
        <w:rPr>
          <w:rFonts w:ascii="Times New Roman" w:hAnsi="Times New Roman"/>
          <w:color w:val="000000"/>
          <w:sz w:val="24"/>
          <w:szCs w:val="24"/>
        </w:rPr>
        <w:t xml:space="preserve"> </w:t>
      </w:r>
      <w:r w:rsidRPr="005D4C04">
        <w:rPr>
          <w:rFonts w:ascii="Times New Roman" w:hAnsi="Times New Roman"/>
          <w:color w:val="000000"/>
          <w:sz w:val="24"/>
          <w:szCs w:val="24"/>
          <w:lang w:bidi="ru-RU"/>
        </w:rPr>
        <w:t>предельный и применяемый тариф</w:t>
      </w:r>
      <w:r w:rsidR="00F45CC9">
        <w:rPr>
          <w:rFonts w:ascii="Times New Roman" w:hAnsi="Times New Roman"/>
          <w:color w:val="000000"/>
          <w:sz w:val="24"/>
          <w:szCs w:val="24"/>
          <w:lang w:bidi="ru-RU"/>
        </w:rPr>
        <w:t xml:space="preserve"> </w:t>
      </w:r>
      <w:r w:rsidRPr="004D0ECC">
        <w:rPr>
          <w:rFonts w:ascii="Times New Roman" w:hAnsi="Times New Roman"/>
          <w:color w:val="000000"/>
          <w:sz w:val="24"/>
          <w:szCs w:val="24"/>
        </w:rPr>
        <w:t xml:space="preserve">установлен на уровне </w:t>
      </w:r>
      <w:r w:rsidRPr="00DD2A76">
        <w:rPr>
          <w:rFonts w:ascii="Times New Roman" w:hAnsi="Times New Roman"/>
          <w:color w:val="000000"/>
          <w:sz w:val="24"/>
          <w:szCs w:val="24"/>
        </w:rPr>
        <w:t>2 681,23</w:t>
      </w:r>
      <w:r w:rsidRPr="004D0ECC">
        <w:rPr>
          <w:rFonts w:ascii="Times New Roman" w:hAnsi="Times New Roman"/>
          <w:sz w:val="24"/>
          <w:szCs w:val="24"/>
          <w:lang w:eastAsia="en-US"/>
        </w:rPr>
        <w:t xml:space="preserve">руб. за </w:t>
      </w:r>
      <w:r>
        <w:rPr>
          <w:rFonts w:ascii="Times New Roman" w:hAnsi="Times New Roman"/>
          <w:sz w:val="24"/>
          <w:szCs w:val="24"/>
          <w:lang w:eastAsia="en-US"/>
        </w:rPr>
        <w:t xml:space="preserve">1 </w:t>
      </w:r>
      <w:r w:rsidRPr="004D0ECC">
        <w:rPr>
          <w:rFonts w:ascii="Times New Roman" w:hAnsi="Times New Roman"/>
          <w:sz w:val="24"/>
          <w:szCs w:val="24"/>
          <w:lang w:eastAsia="en-US"/>
        </w:rPr>
        <w:t xml:space="preserve">тыс. куб. м, </w:t>
      </w:r>
      <w:r w:rsidRPr="00761A17">
        <w:rPr>
          <w:rFonts w:ascii="Times New Roman" w:hAnsi="Times New Roman"/>
          <w:sz w:val="24"/>
          <w:szCs w:val="24"/>
          <w:lang w:eastAsia="en-US"/>
        </w:rPr>
        <w:t xml:space="preserve">при этом </w:t>
      </w:r>
      <w:r>
        <w:rPr>
          <w:rFonts w:ascii="Times New Roman" w:hAnsi="Times New Roman"/>
          <w:sz w:val="24"/>
          <w:szCs w:val="24"/>
          <w:lang w:eastAsia="en-US"/>
        </w:rPr>
        <w:t xml:space="preserve">применяемый </w:t>
      </w:r>
      <w:r>
        <w:rPr>
          <w:rFonts w:ascii="Times New Roman" w:hAnsi="Times New Roman"/>
          <w:color w:val="000000"/>
          <w:sz w:val="24"/>
          <w:szCs w:val="24"/>
        </w:rPr>
        <w:t>тариф снижен по отношению к уровню 2016 года на 0,2%</w:t>
      </w:r>
      <w:r>
        <w:rPr>
          <w:rFonts w:ascii="Times New Roman" w:hAnsi="Times New Roman"/>
          <w:sz w:val="24"/>
          <w:szCs w:val="24"/>
          <w:lang w:eastAsia="en-US"/>
        </w:rPr>
        <w:t>;</w:t>
      </w:r>
      <w:proofErr w:type="gramEnd"/>
    </w:p>
    <w:p w:rsidR="00CE326F" w:rsidRDefault="00CE326F" w:rsidP="00CE326F">
      <w:pPr>
        <w:widowControl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7)</w:t>
      </w:r>
      <w:r w:rsidR="00F45CC9">
        <w:rPr>
          <w:rFonts w:ascii="Times New Roman" w:hAnsi="Times New Roman"/>
          <w:sz w:val="24"/>
          <w:szCs w:val="24"/>
          <w:lang w:eastAsia="en-US"/>
        </w:rPr>
        <w:t xml:space="preserve"> </w:t>
      </w:r>
      <w:r w:rsidRPr="00AD5CDB">
        <w:rPr>
          <w:rFonts w:ascii="Times New Roman" w:hAnsi="Times New Roman"/>
          <w:sz w:val="24"/>
          <w:szCs w:val="24"/>
          <w:lang w:eastAsia="en-US"/>
        </w:rPr>
        <w:t>государственным коммерческим организациям: государственным унитарным предприятиям, обществам, в которых не менее 50 процентов акций (доли) в уставном (складочном) капитале принадлежат Приднестровской Молдавской Республике</w:t>
      </w:r>
      <w:r>
        <w:rPr>
          <w:rFonts w:ascii="Times New Roman" w:hAnsi="Times New Roman"/>
          <w:sz w:val="24"/>
          <w:szCs w:val="24"/>
          <w:lang w:eastAsia="en-US"/>
        </w:rPr>
        <w:t>,</w:t>
      </w:r>
      <w:r w:rsidR="00F45CC9">
        <w:rPr>
          <w:rFonts w:ascii="Times New Roman" w:hAnsi="Times New Roman"/>
          <w:sz w:val="24"/>
          <w:szCs w:val="24"/>
          <w:lang w:eastAsia="en-US"/>
        </w:rPr>
        <w:t xml:space="preserve"> </w:t>
      </w:r>
      <w:r w:rsidRPr="005D4C04">
        <w:rPr>
          <w:rFonts w:ascii="Times New Roman" w:hAnsi="Times New Roman"/>
          <w:color w:val="000000"/>
          <w:sz w:val="24"/>
          <w:szCs w:val="24"/>
          <w:lang w:bidi="ru-RU"/>
        </w:rPr>
        <w:t>предельный и применяемый тариф</w:t>
      </w:r>
      <w:r w:rsidRPr="005D4C04">
        <w:rPr>
          <w:rFonts w:ascii="Times New Roman" w:hAnsi="Times New Roman"/>
          <w:sz w:val="24"/>
          <w:szCs w:val="24"/>
          <w:lang w:eastAsia="en-US"/>
        </w:rPr>
        <w:t xml:space="preserve"> установлен</w:t>
      </w:r>
      <w:r w:rsidRPr="004D0ECC">
        <w:rPr>
          <w:rFonts w:ascii="Times New Roman" w:hAnsi="Times New Roman"/>
          <w:sz w:val="24"/>
          <w:szCs w:val="24"/>
          <w:lang w:eastAsia="en-US"/>
        </w:rPr>
        <w:t xml:space="preserve"> в размере </w:t>
      </w:r>
      <w:r>
        <w:rPr>
          <w:rFonts w:ascii="Times New Roman" w:hAnsi="Times New Roman"/>
          <w:sz w:val="24"/>
          <w:szCs w:val="24"/>
          <w:lang w:eastAsia="en-US"/>
        </w:rPr>
        <w:t>1 460,72</w:t>
      </w:r>
      <w:r w:rsidRPr="004D0ECC">
        <w:rPr>
          <w:rFonts w:ascii="Times New Roman" w:hAnsi="Times New Roman"/>
          <w:sz w:val="24"/>
          <w:szCs w:val="24"/>
          <w:lang w:eastAsia="en-US"/>
        </w:rPr>
        <w:t xml:space="preserve"> руб. за </w:t>
      </w:r>
      <w:r>
        <w:rPr>
          <w:rFonts w:ascii="Times New Roman" w:hAnsi="Times New Roman"/>
          <w:sz w:val="24"/>
          <w:szCs w:val="24"/>
          <w:lang w:eastAsia="en-US"/>
        </w:rPr>
        <w:t xml:space="preserve">1 </w:t>
      </w:r>
      <w:r w:rsidRPr="004D0ECC">
        <w:rPr>
          <w:rFonts w:ascii="Times New Roman" w:hAnsi="Times New Roman"/>
          <w:sz w:val="24"/>
          <w:szCs w:val="24"/>
          <w:lang w:eastAsia="en-US"/>
        </w:rPr>
        <w:t>тыс. куб</w:t>
      </w:r>
      <w:proofErr w:type="gramStart"/>
      <w:r w:rsidRPr="004D0ECC">
        <w:rPr>
          <w:rFonts w:ascii="Times New Roman" w:hAnsi="Times New Roman"/>
          <w:sz w:val="24"/>
          <w:szCs w:val="24"/>
          <w:lang w:eastAsia="en-US"/>
        </w:rPr>
        <w:t>.</w:t>
      </w:r>
      <w:r>
        <w:rPr>
          <w:rFonts w:ascii="Times New Roman" w:hAnsi="Times New Roman"/>
          <w:sz w:val="24"/>
          <w:szCs w:val="24"/>
          <w:lang w:eastAsia="en-US"/>
        </w:rPr>
        <w:t>м</w:t>
      </w:r>
      <w:proofErr w:type="gramEnd"/>
      <w:r w:rsidRPr="00761A17">
        <w:rPr>
          <w:rFonts w:ascii="Times New Roman" w:hAnsi="Times New Roman"/>
          <w:sz w:val="24"/>
          <w:szCs w:val="24"/>
          <w:lang w:eastAsia="en-US"/>
        </w:rPr>
        <w:t xml:space="preserve">, при этом </w:t>
      </w:r>
      <w:r>
        <w:rPr>
          <w:rFonts w:ascii="Times New Roman" w:hAnsi="Times New Roman"/>
          <w:sz w:val="24"/>
          <w:szCs w:val="24"/>
          <w:lang w:eastAsia="en-US"/>
        </w:rPr>
        <w:t xml:space="preserve">применяемый </w:t>
      </w:r>
      <w:r>
        <w:rPr>
          <w:rFonts w:ascii="Times New Roman" w:hAnsi="Times New Roman"/>
          <w:color w:val="000000"/>
          <w:sz w:val="24"/>
          <w:szCs w:val="24"/>
        </w:rPr>
        <w:t>тариф снижен по отношению к уровню 2016 года на 0,3%</w:t>
      </w:r>
      <w:r>
        <w:rPr>
          <w:rFonts w:ascii="Times New Roman" w:hAnsi="Times New Roman"/>
          <w:sz w:val="24"/>
          <w:szCs w:val="24"/>
          <w:lang w:eastAsia="en-US"/>
        </w:rPr>
        <w:t>;</w:t>
      </w:r>
    </w:p>
    <w:p w:rsidR="00CE326F" w:rsidRDefault="00CE326F" w:rsidP="00CE326F">
      <w:pPr>
        <w:widowControl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8)</w:t>
      </w:r>
      <w:r w:rsidR="00F45CC9">
        <w:rPr>
          <w:rFonts w:ascii="Times New Roman" w:hAnsi="Times New Roman"/>
          <w:sz w:val="24"/>
          <w:szCs w:val="24"/>
          <w:lang w:eastAsia="en-US"/>
        </w:rPr>
        <w:t xml:space="preserve"> </w:t>
      </w:r>
      <w:r w:rsidRPr="00AD5CDB">
        <w:rPr>
          <w:rFonts w:ascii="Times New Roman" w:hAnsi="Times New Roman"/>
          <w:sz w:val="24"/>
          <w:szCs w:val="24"/>
          <w:lang w:eastAsia="en-US"/>
        </w:rPr>
        <w:t xml:space="preserve">муниципальным коммерческим организациям: муниципальным унитарным предприятиям, обществам, в которых не менее 50 </w:t>
      </w:r>
      <w:r w:rsidRPr="005D4C04">
        <w:rPr>
          <w:rFonts w:ascii="Times New Roman" w:hAnsi="Times New Roman"/>
          <w:sz w:val="24"/>
          <w:szCs w:val="24"/>
          <w:lang w:eastAsia="en-US"/>
        </w:rPr>
        <w:t>процентов акций (доли) в уставном (складочном) капитале принадлежат муниципальному образованию</w:t>
      </w:r>
      <w:r>
        <w:rPr>
          <w:rFonts w:ascii="Times New Roman" w:hAnsi="Times New Roman"/>
          <w:sz w:val="24"/>
          <w:szCs w:val="24"/>
          <w:lang w:eastAsia="en-US"/>
        </w:rPr>
        <w:t>,</w:t>
      </w:r>
      <w:r w:rsidRPr="005D4C04">
        <w:rPr>
          <w:rFonts w:ascii="Times New Roman" w:hAnsi="Times New Roman"/>
          <w:color w:val="000000"/>
          <w:sz w:val="24"/>
          <w:szCs w:val="24"/>
          <w:lang w:bidi="ru-RU"/>
        </w:rPr>
        <w:t xml:space="preserve"> предельный и применяемый тариф</w:t>
      </w:r>
      <w:r w:rsidRPr="005D4C04">
        <w:rPr>
          <w:rFonts w:ascii="Times New Roman" w:hAnsi="Times New Roman"/>
          <w:sz w:val="24"/>
          <w:szCs w:val="24"/>
          <w:lang w:eastAsia="en-US"/>
        </w:rPr>
        <w:t xml:space="preserve"> установлен в размере 2 012,30 руб. за </w:t>
      </w:r>
      <w:r>
        <w:rPr>
          <w:rFonts w:ascii="Times New Roman" w:hAnsi="Times New Roman"/>
          <w:sz w:val="24"/>
          <w:szCs w:val="24"/>
          <w:lang w:eastAsia="en-US"/>
        </w:rPr>
        <w:t xml:space="preserve">1 </w:t>
      </w:r>
      <w:r w:rsidRPr="005D4C04">
        <w:rPr>
          <w:rFonts w:ascii="Times New Roman" w:hAnsi="Times New Roman"/>
          <w:sz w:val="24"/>
          <w:szCs w:val="24"/>
          <w:lang w:eastAsia="en-US"/>
        </w:rPr>
        <w:t>тыс. куб</w:t>
      </w:r>
      <w:proofErr w:type="gramStart"/>
      <w:r w:rsidRPr="005D4C04">
        <w:rPr>
          <w:rFonts w:ascii="Times New Roman" w:hAnsi="Times New Roman"/>
          <w:sz w:val="24"/>
          <w:szCs w:val="24"/>
          <w:lang w:eastAsia="en-US"/>
        </w:rPr>
        <w:t>.</w:t>
      </w:r>
      <w:r>
        <w:rPr>
          <w:rFonts w:ascii="Times New Roman" w:hAnsi="Times New Roman"/>
          <w:sz w:val="24"/>
          <w:szCs w:val="24"/>
          <w:lang w:eastAsia="en-US"/>
        </w:rPr>
        <w:t>м</w:t>
      </w:r>
      <w:proofErr w:type="gramEnd"/>
      <w:r w:rsidRPr="005D4C04">
        <w:rPr>
          <w:rFonts w:ascii="Times New Roman" w:hAnsi="Times New Roman"/>
          <w:sz w:val="24"/>
          <w:szCs w:val="24"/>
          <w:lang w:eastAsia="en-US"/>
        </w:rPr>
        <w:t xml:space="preserve">, при этом применяемый </w:t>
      </w:r>
      <w:r w:rsidRPr="005D4C04">
        <w:rPr>
          <w:rFonts w:ascii="Times New Roman" w:hAnsi="Times New Roman"/>
          <w:color w:val="000000"/>
          <w:sz w:val="24"/>
          <w:szCs w:val="24"/>
        </w:rPr>
        <w:t>тариф снижен по отношению к уровню 2016 года на 0,2%</w:t>
      </w:r>
      <w:r>
        <w:rPr>
          <w:rFonts w:ascii="Times New Roman" w:hAnsi="Times New Roman"/>
          <w:sz w:val="24"/>
          <w:szCs w:val="24"/>
          <w:lang w:eastAsia="en-US"/>
        </w:rPr>
        <w:t>;</w:t>
      </w:r>
    </w:p>
    <w:p w:rsidR="00CE326F" w:rsidRPr="001B7279" w:rsidRDefault="00CE326F" w:rsidP="00CE326F">
      <w:pPr>
        <w:widowControl w:val="0"/>
        <w:spacing w:after="0" w:line="240" w:lineRule="auto"/>
        <w:ind w:firstLine="709"/>
        <w:jc w:val="both"/>
        <w:rPr>
          <w:rFonts w:ascii="Times New Roman" w:hAnsi="Times New Roman"/>
          <w:color w:val="000000"/>
          <w:sz w:val="24"/>
          <w:szCs w:val="24"/>
          <w:lang w:bidi="ru-RU"/>
        </w:rPr>
      </w:pPr>
      <w:r w:rsidRPr="001B7279">
        <w:rPr>
          <w:rFonts w:ascii="Times New Roman" w:hAnsi="Times New Roman"/>
          <w:color w:val="000000"/>
          <w:sz w:val="24"/>
          <w:szCs w:val="24"/>
          <w:lang w:bidi="ru-RU"/>
        </w:rPr>
        <w:t xml:space="preserve">б) </w:t>
      </w:r>
      <w:r w:rsidRPr="001B7279">
        <w:rPr>
          <w:rFonts w:ascii="Times New Roman" w:hAnsi="Times New Roman"/>
          <w:sz w:val="24"/>
          <w:szCs w:val="24"/>
          <w:u w:val="single"/>
          <w:lang w:eastAsia="en-US"/>
        </w:rPr>
        <w:t>тарифы на природный газ, транспортируемый по магистральным трубопроводам, распределительным сетями отпускаемый</w:t>
      </w:r>
      <w:r w:rsidRPr="001B7279">
        <w:rPr>
          <w:rFonts w:ascii="Times New Roman" w:hAnsi="Times New Roman"/>
          <w:sz w:val="24"/>
          <w:szCs w:val="24"/>
          <w:lang w:eastAsia="en-US"/>
        </w:rPr>
        <w:t>:</w:t>
      </w:r>
    </w:p>
    <w:p w:rsidR="00CE326F" w:rsidRPr="001B7279" w:rsidRDefault="00CE326F" w:rsidP="00CE326F">
      <w:pPr>
        <w:widowControl w:val="0"/>
        <w:spacing w:after="0" w:line="240" w:lineRule="auto"/>
        <w:ind w:firstLine="709"/>
        <w:jc w:val="both"/>
        <w:rPr>
          <w:rFonts w:ascii="Times New Roman" w:hAnsi="Times New Roman"/>
          <w:sz w:val="24"/>
          <w:szCs w:val="24"/>
          <w:lang w:eastAsia="en-US"/>
        </w:rPr>
      </w:pPr>
      <w:proofErr w:type="gramStart"/>
      <w:r w:rsidRPr="001B7279">
        <w:rPr>
          <w:rFonts w:ascii="Times New Roman" w:hAnsi="Times New Roman"/>
          <w:color w:val="000000"/>
          <w:sz w:val="24"/>
          <w:szCs w:val="24"/>
          <w:lang w:bidi="ru-RU"/>
        </w:rPr>
        <w:t xml:space="preserve">1) организациям, осуществляющих производство </w:t>
      </w:r>
      <w:r w:rsidRPr="001B7279">
        <w:rPr>
          <w:rFonts w:ascii="Times New Roman" w:hAnsi="Times New Roman"/>
          <w:color w:val="000000"/>
          <w:sz w:val="24"/>
          <w:szCs w:val="24"/>
        </w:rPr>
        <w:t>промышленной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 процентов</w:t>
      </w:r>
      <w:r>
        <w:rPr>
          <w:rFonts w:ascii="Times New Roman" w:hAnsi="Times New Roman"/>
          <w:color w:val="000000"/>
          <w:sz w:val="24"/>
          <w:szCs w:val="24"/>
        </w:rPr>
        <w:t>,</w:t>
      </w:r>
      <w:r w:rsidR="00F45CC9">
        <w:rPr>
          <w:rFonts w:ascii="Times New Roman" w:hAnsi="Times New Roman"/>
          <w:color w:val="000000"/>
          <w:sz w:val="24"/>
          <w:szCs w:val="24"/>
        </w:rPr>
        <w:t xml:space="preserve"> </w:t>
      </w:r>
      <w:r w:rsidRPr="005D4C04">
        <w:rPr>
          <w:rFonts w:ascii="Times New Roman" w:hAnsi="Times New Roman"/>
          <w:color w:val="000000"/>
          <w:sz w:val="24"/>
          <w:szCs w:val="24"/>
          <w:lang w:bidi="ru-RU"/>
        </w:rPr>
        <w:t>предельный и применяемый тариф</w:t>
      </w:r>
      <w:r w:rsidR="00F45CC9">
        <w:rPr>
          <w:rFonts w:ascii="Times New Roman" w:hAnsi="Times New Roman"/>
          <w:color w:val="000000"/>
          <w:sz w:val="24"/>
          <w:szCs w:val="24"/>
          <w:lang w:bidi="ru-RU"/>
        </w:rPr>
        <w:t xml:space="preserve"> </w:t>
      </w:r>
      <w:r w:rsidRPr="001B7279">
        <w:rPr>
          <w:rFonts w:ascii="Times New Roman" w:hAnsi="Times New Roman"/>
          <w:color w:val="000000"/>
          <w:sz w:val="24"/>
          <w:szCs w:val="24"/>
        </w:rPr>
        <w:t>установлен в размере 1 706,99</w:t>
      </w:r>
      <w:r w:rsidRPr="001B7279">
        <w:rPr>
          <w:rFonts w:ascii="Times New Roman" w:hAnsi="Times New Roman"/>
          <w:sz w:val="24"/>
          <w:szCs w:val="24"/>
          <w:lang w:eastAsia="en-US"/>
        </w:rPr>
        <w:t xml:space="preserve"> руб. за </w:t>
      </w:r>
      <w:r w:rsidR="00F45CC9">
        <w:rPr>
          <w:rFonts w:ascii="Times New Roman" w:hAnsi="Times New Roman"/>
          <w:sz w:val="24"/>
          <w:szCs w:val="24"/>
          <w:lang w:eastAsia="en-US"/>
        </w:rPr>
        <w:t xml:space="preserve">            </w:t>
      </w:r>
      <w:r>
        <w:rPr>
          <w:rFonts w:ascii="Times New Roman" w:hAnsi="Times New Roman"/>
          <w:sz w:val="24"/>
          <w:szCs w:val="24"/>
          <w:lang w:eastAsia="en-US"/>
        </w:rPr>
        <w:t xml:space="preserve">         1 </w:t>
      </w:r>
      <w:r w:rsidRPr="001B7279">
        <w:rPr>
          <w:rFonts w:ascii="Times New Roman" w:hAnsi="Times New Roman"/>
          <w:sz w:val="24"/>
          <w:szCs w:val="24"/>
          <w:lang w:eastAsia="en-US"/>
        </w:rPr>
        <w:t xml:space="preserve">тыс. куб. м, при этом применяемый </w:t>
      </w:r>
      <w:r w:rsidRPr="001B7279">
        <w:rPr>
          <w:rFonts w:ascii="Times New Roman" w:hAnsi="Times New Roman"/>
          <w:color w:val="000000"/>
          <w:sz w:val="24"/>
          <w:szCs w:val="24"/>
        </w:rPr>
        <w:t>тариф снижен по отношению к уровню 2016 года на 0,6%</w:t>
      </w:r>
      <w:r w:rsidRPr="001B7279">
        <w:rPr>
          <w:rFonts w:ascii="Times New Roman" w:hAnsi="Times New Roman"/>
          <w:sz w:val="24"/>
          <w:szCs w:val="24"/>
          <w:lang w:eastAsia="en-US"/>
        </w:rPr>
        <w:t>;</w:t>
      </w:r>
      <w:proofErr w:type="gramEnd"/>
    </w:p>
    <w:p w:rsidR="00CE326F" w:rsidRPr="001B7279" w:rsidRDefault="00CE326F" w:rsidP="00CE326F">
      <w:pPr>
        <w:widowControl w:val="0"/>
        <w:spacing w:after="0" w:line="240" w:lineRule="auto"/>
        <w:ind w:firstLine="709"/>
        <w:jc w:val="both"/>
        <w:rPr>
          <w:rFonts w:ascii="Times New Roman" w:hAnsi="Times New Roman"/>
          <w:sz w:val="24"/>
          <w:szCs w:val="24"/>
          <w:lang w:eastAsia="en-US"/>
        </w:rPr>
      </w:pPr>
      <w:r w:rsidRPr="001B7279">
        <w:rPr>
          <w:rFonts w:ascii="Times New Roman" w:hAnsi="Times New Roman"/>
          <w:sz w:val="24"/>
          <w:szCs w:val="24"/>
          <w:lang w:eastAsia="en-US"/>
        </w:rPr>
        <w:t>2)</w:t>
      </w:r>
      <w:r w:rsidRPr="001B7279">
        <w:rPr>
          <w:rFonts w:ascii="Times New Roman" w:hAnsi="Times New Roman"/>
          <w:color w:val="000000"/>
          <w:sz w:val="24"/>
          <w:szCs w:val="24"/>
          <w:lang w:bidi="ru-RU"/>
        </w:rPr>
        <w:t xml:space="preserve"> организациям, осуществляющих производство мяса, молока, куриных яиц и (или) переработку мясомолочного сырья, в общем объеме дохода от продаж (выручки) которых </w:t>
      </w:r>
      <w:r w:rsidRPr="001B7279">
        <w:rPr>
          <w:rFonts w:ascii="Times New Roman" w:hAnsi="Times New Roman"/>
          <w:color w:val="000000"/>
          <w:sz w:val="24"/>
          <w:szCs w:val="24"/>
          <w:lang w:bidi="ru-RU"/>
        </w:rPr>
        <w:lastRenderedPageBreak/>
        <w:t xml:space="preserve">доля дохода от продаж (выручки) собственного производства по итогам последнего отчетного периода составляет не менее 70 </w:t>
      </w:r>
      <w:r w:rsidRPr="005D4C04">
        <w:rPr>
          <w:rFonts w:ascii="Times New Roman" w:hAnsi="Times New Roman"/>
          <w:color w:val="000000"/>
          <w:sz w:val="24"/>
          <w:szCs w:val="24"/>
          <w:lang w:bidi="ru-RU"/>
        </w:rPr>
        <w:t>процентов</w:t>
      </w:r>
      <w:r>
        <w:rPr>
          <w:rFonts w:ascii="Times New Roman" w:hAnsi="Times New Roman"/>
          <w:color w:val="000000"/>
          <w:sz w:val="24"/>
          <w:szCs w:val="24"/>
          <w:lang w:bidi="ru-RU"/>
        </w:rPr>
        <w:t>,</w:t>
      </w:r>
      <w:r w:rsidRPr="005D4C04">
        <w:rPr>
          <w:rFonts w:ascii="Times New Roman" w:hAnsi="Times New Roman"/>
          <w:color w:val="000000"/>
          <w:sz w:val="24"/>
          <w:szCs w:val="24"/>
          <w:lang w:bidi="ru-RU"/>
        </w:rPr>
        <w:t xml:space="preserve"> предельный и применяемый тариф установлен на уровне 1 298,58 </w:t>
      </w:r>
      <w:r w:rsidRPr="005D4C04">
        <w:rPr>
          <w:rFonts w:ascii="Times New Roman" w:hAnsi="Times New Roman"/>
          <w:sz w:val="24"/>
          <w:szCs w:val="24"/>
          <w:lang w:eastAsia="en-US"/>
        </w:rPr>
        <w:t xml:space="preserve">руб. за </w:t>
      </w:r>
      <w:r>
        <w:rPr>
          <w:rFonts w:ascii="Times New Roman" w:hAnsi="Times New Roman"/>
          <w:sz w:val="24"/>
          <w:szCs w:val="24"/>
          <w:lang w:eastAsia="en-US"/>
        </w:rPr>
        <w:t xml:space="preserve">1 </w:t>
      </w:r>
      <w:r w:rsidRPr="005D4C04">
        <w:rPr>
          <w:rFonts w:ascii="Times New Roman" w:hAnsi="Times New Roman"/>
          <w:sz w:val="24"/>
          <w:szCs w:val="24"/>
          <w:lang w:eastAsia="en-US"/>
        </w:rPr>
        <w:t>тыс. куб.</w:t>
      </w:r>
      <w:r w:rsidRPr="001B7279">
        <w:rPr>
          <w:rFonts w:ascii="Times New Roman" w:hAnsi="Times New Roman"/>
          <w:sz w:val="24"/>
          <w:szCs w:val="24"/>
          <w:lang w:eastAsia="en-US"/>
        </w:rPr>
        <w:t xml:space="preserve"> м, при этом применяемый </w:t>
      </w:r>
      <w:r w:rsidRPr="001B7279">
        <w:rPr>
          <w:rFonts w:ascii="Times New Roman" w:hAnsi="Times New Roman"/>
          <w:color w:val="000000"/>
          <w:sz w:val="24"/>
          <w:szCs w:val="24"/>
        </w:rPr>
        <w:t xml:space="preserve">тариф снижен по отношению к уровню 2016 года </w:t>
      </w:r>
      <w:r w:rsidRPr="001B7279">
        <w:rPr>
          <w:rFonts w:ascii="Times New Roman" w:hAnsi="Times New Roman"/>
          <w:sz w:val="24"/>
          <w:szCs w:val="24"/>
        </w:rPr>
        <w:t>на 0,8%</w:t>
      </w:r>
      <w:r w:rsidRPr="001B7279">
        <w:rPr>
          <w:rFonts w:ascii="Times New Roman" w:hAnsi="Times New Roman"/>
          <w:sz w:val="24"/>
          <w:szCs w:val="24"/>
          <w:lang w:eastAsia="en-US"/>
        </w:rPr>
        <w:t>;</w:t>
      </w:r>
    </w:p>
    <w:p w:rsidR="00CE326F" w:rsidRPr="001B7279" w:rsidRDefault="00CE326F" w:rsidP="00CE326F">
      <w:pPr>
        <w:widowControl w:val="0"/>
        <w:spacing w:after="0" w:line="240" w:lineRule="auto"/>
        <w:ind w:firstLine="709"/>
        <w:jc w:val="both"/>
        <w:rPr>
          <w:rFonts w:ascii="Times New Roman" w:hAnsi="Times New Roman"/>
          <w:sz w:val="24"/>
          <w:szCs w:val="24"/>
          <w:lang w:eastAsia="en-US"/>
        </w:rPr>
      </w:pPr>
      <w:r w:rsidRPr="001B7279">
        <w:rPr>
          <w:rFonts w:ascii="Times New Roman" w:hAnsi="Times New Roman"/>
          <w:sz w:val="24"/>
          <w:szCs w:val="24"/>
          <w:lang w:eastAsia="en-US"/>
        </w:rPr>
        <w:t>3) прочим потребителям, зарегистрированным в сельском населенном пункте (сельском поселении) и осуществляющим потребление природного газа исключительно в сельском населенном пункте</w:t>
      </w:r>
      <w:r>
        <w:rPr>
          <w:rFonts w:ascii="Times New Roman" w:hAnsi="Times New Roman"/>
          <w:sz w:val="24"/>
          <w:szCs w:val="24"/>
          <w:lang w:eastAsia="en-US"/>
        </w:rPr>
        <w:t>,</w:t>
      </w:r>
      <w:r w:rsidR="00F45CC9">
        <w:rPr>
          <w:rFonts w:ascii="Times New Roman" w:hAnsi="Times New Roman"/>
          <w:sz w:val="24"/>
          <w:szCs w:val="24"/>
          <w:lang w:eastAsia="en-US"/>
        </w:rPr>
        <w:t xml:space="preserve"> </w:t>
      </w:r>
      <w:r w:rsidRPr="005D4C04">
        <w:rPr>
          <w:rFonts w:ascii="Times New Roman" w:hAnsi="Times New Roman"/>
          <w:color w:val="000000"/>
          <w:sz w:val="24"/>
          <w:szCs w:val="24"/>
          <w:lang w:bidi="ru-RU"/>
        </w:rPr>
        <w:t>предельный и применяемый тариф</w:t>
      </w:r>
      <w:r w:rsidRPr="005D4C04">
        <w:rPr>
          <w:rFonts w:ascii="Times New Roman" w:hAnsi="Times New Roman"/>
          <w:sz w:val="24"/>
          <w:szCs w:val="24"/>
          <w:lang w:eastAsia="en-US"/>
        </w:rPr>
        <w:t xml:space="preserve"> установлен в размере 1 855,69 руб. за </w:t>
      </w:r>
      <w:r>
        <w:rPr>
          <w:rFonts w:ascii="Times New Roman" w:hAnsi="Times New Roman"/>
          <w:sz w:val="24"/>
          <w:szCs w:val="24"/>
          <w:lang w:eastAsia="en-US"/>
        </w:rPr>
        <w:t xml:space="preserve">1 </w:t>
      </w:r>
      <w:r w:rsidRPr="005D4C04">
        <w:rPr>
          <w:rFonts w:ascii="Times New Roman" w:hAnsi="Times New Roman"/>
          <w:sz w:val="24"/>
          <w:szCs w:val="24"/>
          <w:lang w:eastAsia="en-US"/>
        </w:rPr>
        <w:t>тыс. куб</w:t>
      </w:r>
      <w:proofErr w:type="gramStart"/>
      <w:r w:rsidRPr="005D4C04">
        <w:rPr>
          <w:rFonts w:ascii="Times New Roman" w:hAnsi="Times New Roman"/>
          <w:sz w:val="24"/>
          <w:szCs w:val="24"/>
          <w:lang w:eastAsia="en-US"/>
        </w:rPr>
        <w:t>.</w:t>
      </w:r>
      <w:r>
        <w:rPr>
          <w:rFonts w:ascii="Times New Roman" w:hAnsi="Times New Roman"/>
          <w:sz w:val="24"/>
          <w:szCs w:val="24"/>
          <w:lang w:eastAsia="en-US"/>
        </w:rPr>
        <w:t>м</w:t>
      </w:r>
      <w:proofErr w:type="gramEnd"/>
      <w:r w:rsidRPr="005D4C04">
        <w:rPr>
          <w:rFonts w:ascii="Times New Roman" w:hAnsi="Times New Roman"/>
          <w:sz w:val="24"/>
          <w:szCs w:val="24"/>
          <w:lang w:eastAsia="en-US"/>
        </w:rPr>
        <w:t xml:space="preserve">, при этом применяемый </w:t>
      </w:r>
      <w:r w:rsidRPr="005D4C04">
        <w:rPr>
          <w:rFonts w:ascii="Times New Roman" w:hAnsi="Times New Roman"/>
          <w:color w:val="000000"/>
          <w:sz w:val="24"/>
          <w:szCs w:val="24"/>
        </w:rPr>
        <w:t>тариф снижен по отношению к уровню 2016 года на 20,3</w:t>
      </w:r>
      <w:r>
        <w:rPr>
          <w:rFonts w:ascii="Times New Roman" w:hAnsi="Times New Roman"/>
          <w:color w:val="000000"/>
          <w:sz w:val="24"/>
          <w:szCs w:val="24"/>
        </w:rPr>
        <w:t>%</w:t>
      </w:r>
      <w:r w:rsidRPr="001B7279">
        <w:rPr>
          <w:rFonts w:ascii="Times New Roman" w:hAnsi="Times New Roman"/>
          <w:sz w:val="24"/>
          <w:szCs w:val="24"/>
          <w:lang w:eastAsia="en-US"/>
        </w:rPr>
        <w:t>;</w:t>
      </w:r>
    </w:p>
    <w:p w:rsidR="00CE326F" w:rsidRPr="001B7279" w:rsidRDefault="00CE326F" w:rsidP="00CE326F">
      <w:pPr>
        <w:widowControl w:val="0"/>
        <w:spacing w:after="0" w:line="240" w:lineRule="auto"/>
        <w:ind w:firstLine="709"/>
        <w:jc w:val="both"/>
        <w:rPr>
          <w:rFonts w:ascii="Times New Roman" w:hAnsi="Times New Roman"/>
          <w:sz w:val="24"/>
          <w:szCs w:val="24"/>
          <w:lang w:eastAsia="en-US"/>
        </w:rPr>
      </w:pPr>
      <w:r w:rsidRPr="001B7279">
        <w:rPr>
          <w:rFonts w:ascii="Times New Roman" w:hAnsi="Times New Roman"/>
          <w:sz w:val="24"/>
          <w:szCs w:val="24"/>
          <w:lang w:eastAsia="en-US"/>
        </w:rPr>
        <w:t>4)</w:t>
      </w:r>
      <w:r w:rsidRPr="001B7279">
        <w:rPr>
          <w:rFonts w:ascii="Times New Roman" w:hAnsi="Times New Roman"/>
          <w:bCs/>
          <w:color w:val="000000"/>
          <w:sz w:val="24"/>
          <w:szCs w:val="24"/>
          <w:lang w:bidi="ru-RU"/>
        </w:rPr>
        <w:t xml:space="preserve"> организациям, учредителем либо акционером которых являются организации, зарегистрированные в государствах и на территориях, предоставляющих льготный режим налогообложения и (или) </w:t>
      </w:r>
      <w:r w:rsidRPr="001B7279">
        <w:rPr>
          <w:rFonts w:ascii="Times New Roman" w:hAnsi="Times New Roman"/>
          <w:color w:val="000000"/>
          <w:sz w:val="24"/>
          <w:szCs w:val="24"/>
        </w:rPr>
        <w:t xml:space="preserve">не предусматривающих раскрытия и предоставления информации при проведении финансовых </w:t>
      </w:r>
      <w:r w:rsidRPr="00B004BB">
        <w:rPr>
          <w:rFonts w:ascii="Times New Roman" w:hAnsi="Times New Roman"/>
          <w:color w:val="000000"/>
          <w:sz w:val="24"/>
          <w:szCs w:val="24"/>
        </w:rPr>
        <w:t>операций</w:t>
      </w:r>
      <w:r>
        <w:rPr>
          <w:rFonts w:ascii="Times New Roman" w:hAnsi="Times New Roman"/>
          <w:color w:val="000000"/>
          <w:sz w:val="24"/>
          <w:szCs w:val="24"/>
        </w:rPr>
        <w:t>,</w:t>
      </w:r>
      <w:r w:rsidR="00F45CC9">
        <w:rPr>
          <w:rFonts w:ascii="Times New Roman" w:hAnsi="Times New Roman"/>
          <w:color w:val="000000"/>
          <w:sz w:val="24"/>
          <w:szCs w:val="24"/>
        </w:rPr>
        <w:t xml:space="preserve"> </w:t>
      </w:r>
      <w:r w:rsidRPr="00B004BB">
        <w:rPr>
          <w:rFonts w:ascii="Times New Roman" w:hAnsi="Times New Roman"/>
          <w:color w:val="000000"/>
          <w:sz w:val="24"/>
          <w:szCs w:val="24"/>
          <w:lang w:bidi="ru-RU"/>
        </w:rPr>
        <w:t>предельный и применяемый тариф</w:t>
      </w:r>
      <w:r w:rsidRPr="00B004BB">
        <w:rPr>
          <w:rFonts w:ascii="Times New Roman" w:hAnsi="Times New Roman"/>
          <w:sz w:val="24"/>
          <w:szCs w:val="24"/>
          <w:lang w:eastAsia="en-US"/>
        </w:rPr>
        <w:t xml:space="preserve"> установлен в размере 2 932,23 руб. за </w:t>
      </w:r>
      <w:r>
        <w:rPr>
          <w:rFonts w:ascii="Times New Roman" w:hAnsi="Times New Roman"/>
          <w:sz w:val="24"/>
          <w:szCs w:val="24"/>
          <w:lang w:eastAsia="en-US"/>
        </w:rPr>
        <w:t xml:space="preserve">1 </w:t>
      </w:r>
      <w:r w:rsidRPr="00B004BB">
        <w:rPr>
          <w:rFonts w:ascii="Times New Roman" w:hAnsi="Times New Roman"/>
          <w:sz w:val="24"/>
          <w:szCs w:val="24"/>
          <w:lang w:eastAsia="en-US"/>
        </w:rPr>
        <w:t>тыс. куб</w:t>
      </w:r>
      <w:proofErr w:type="gramStart"/>
      <w:r w:rsidRPr="00B004BB">
        <w:rPr>
          <w:rFonts w:ascii="Times New Roman" w:hAnsi="Times New Roman"/>
          <w:sz w:val="24"/>
          <w:szCs w:val="24"/>
          <w:lang w:eastAsia="en-US"/>
        </w:rPr>
        <w:t>.</w:t>
      </w:r>
      <w:r>
        <w:rPr>
          <w:rFonts w:ascii="Times New Roman" w:hAnsi="Times New Roman"/>
          <w:sz w:val="24"/>
          <w:szCs w:val="24"/>
          <w:lang w:eastAsia="en-US"/>
        </w:rPr>
        <w:t>м</w:t>
      </w:r>
      <w:proofErr w:type="gramEnd"/>
      <w:r w:rsidRPr="00B004BB">
        <w:rPr>
          <w:rFonts w:ascii="Times New Roman" w:hAnsi="Times New Roman"/>
          <w:sz w:val="24"/>
          <w:szCs w:val="24"/>
          <w:lang w:eastAsia="en-US"/>
        </w:rPr>
        <w:t xml:space="preserve">, при этом применяемый </w:t>
      </w:r>
      <w:r w:rsidRPr="00B004BB">
        <w:rPr>
          <w:rFonts w:ascii="Times New Roman" w:hAnsi="Times New Roman"/>
          <w:color w:val="000000"/>
          <w:sz w:val="24"/>
          <w:szCs w:val="24"/>
        </w:rPr>
        <w:t>тариф снижен по отношению к уровню 2016 года на 0,3%</w:t>
      </w:r>
      <w:r w:rsidRPr="001B7279">
        <w:rPr>
          <w:rFonts w:ascii="Times New Roman" w:hAnsi="Times New Roman"/>
          <w:sz w:val="24"/>
          <w:szCs w:val="24"/>
          <w:lang w:eastAsia="en-US"/>
        </w:rPr>
        <w:t xml:space="preserve">; </w:t>
      </w:r>
    </w:p>
    <w:p w:rsidR="00CE326F" w:rsidRPr="001B7279" w:rsidRDefault="00CE326F" w:rsidP="00CE326F">
      <w:pPr>
        <w:widowControl w:val="0"/>
        <w:spacing w:after="0" w:line="240" w:lineRule="auto"/>
        <w:ind w:firstLine="709"/>
        <w:jc w:val="both"/>
        <w:rPr>
          <w:rFonts w:ascii="Times New Roman" w:hAnsi="Times New Roman"/>
          <w:sz w:val="24"/>
          <w:szCs w:val="24"/>
          <w:lang w:eastAsia="en-US"/>
        </w:rPr>
      </w:pPr>
      <w:proofErr w:type="gramStart"/>
      <w:r w:rsidRPr="001B7279">
        <w:rPr>
          <w:rFonts w:ascii="Times New Roman" w:hAnsi="Times New Roman"/>
          <w:sz w:val="24"/>
          <w:szCs w:val="24"/>
          <w:lang w:eastAsia="en-US"/>
        </w:rPr>
        <w:t>5)</w:t>
      </w:r>
      <w:r w:rsidR="00F45CC9">
        <w:rPr>
          <w:rFonts w:ascii="Times New Roman" w:hAnsi="Times New Roman"/>
          <w:sz w:val="24"/>
          <w:szCs w:val="24"/>
          <w:lang w:eastAsia="en-US"/>
        </w:rPr>
        <w:t xml:space="preserve"> </w:t>
      </w:r>
      <w:r w:rsidRPr="001B7279">
        <w:rPr>
          <w:rFonts w:ascii="Times New Roman" w:hAnsi="Times New Roman"/>
          <w:sz w:val="24"/>
          <w:szCs w:val="24"/>
          <w:lang w:eastAsia="en-US"/>
        </w:rPr>
        <w:t>государственным коммерческим организациям: государственным унитарным предприятиям, обществам, в которых не менее 50 процентов акций (доли) в уставном (складочном) капитале принадлежат Приднестровской Молдавской Республике</w:t>
      </w:r>
      <w:r>
        <w:rPr>
          <w:rFonts w:ascii="Times New Roman" w:hAnsi="Times New Roman"/>
          <w:sz w:val="24"/>
          <w:szCs w:val="24"/>
          <w:lang w:eastAsia="en-US"/>
        </w:rPr>
        <w:t>,</w:t>
      </w:r>
      <w:r w:rsidR="007745D9">
        <w:rPr>
          <w:rFonts w:ascii="Times New Roman" w:hAnsi="Times New Roman"/>
          <w:sz w:val="24"/>
          <w:szCs w:val="24"/>
          <w:lang w:eastAsia="en-US"/>
        </w:rPr>
        <w:t xml:space="preserve"> </w:t>
      </w:r>
      <w:r w:rsidRPr="00B004BB">
        <w:rPr>
          <w:rFonts w:ascii="Times New Roman" w:hAnsi="Times New Roman"/>
          <w:color w:val="000000"/>
          <w:sz w:val="24"/>
          <w:szCs w:val="24"/>
          <w:lang w:bidi="ru-RU"/>
        </w:rPr>
        <w:t>предельный и применяемый тариф</w:t>
      </w:r>
      <w:r w:rsidRPr="001B7279">
        <w:rPr>
          <w:rFonts w:ascii="Times New Roman" w:hAnsi="Times New Roman"/>
          <w:sz w:val="24"/>
          <w:szCs w:val="24"/>
          <w:lang w:eastAsia="en-US"/>
        </w:rPr>
        <w:t xml:space="preserve"> установлен в размере 1 711,72 руб. за </w:t>
      </w:r>
      <w:r>
        <w:rPr>
          <w:rFonts w:ascii="Times New Roman" w:hAnsi="Times New Roman"/>
          <w:sz w:val="24"/>
          <w:szCs w:val="24"/>
          <w:lang w:eastAsia="en-US"/>
        </w:rPr>
        <w:t xml:space="preserve">1 </w:t>
      </w:r>
      <w:r w:rsidRPr="001B7279">
        <w:rPr>
          <w:rFonts w:ascii="Times New Roman" w:hAnsi="Times New Roman"/>
          <w:sz w:val="24"/>
          <w:szCs w:val="24"/>
          <w:lang w:eastAsia="en-US"/>
        </w:rPr>
        <w:t>тыс. куб.</w:t>
      </w:r>
      <w:r w:rsidR="007745D9">
        <w:rPr>
          <w:rFonts w:ascii="Times New Roman" w:hAnsi="Times New Roman"/>
          <w:sz w:val="24"/>
          <w:szCs w:val="24"/>
          <w:lang w:eastAsia="en-US"/>
        </w:rPr>
        <w:t xml:space="preserve"> </w:t>
      </w:r>
      <w:r>
        <w:rPr>
          <w:rFonts w:ascii="Times New Roman" w:hAnsi="Times New Roman"/>
          <w:sz w:val="24"/>
          <w:szCs w:val="24"/>
          <w:lang w:eastAsia="en-US"/>
        </w:rPr>
        <w:t>м</w:t>
      </w:r>
      <w:r w:rsidRPr="001B7279">
        <w:rPr>
          <w:rFonts w:ascii="Times New Roman" w:hAnsi="Times New Roman"/>
          <w:sz w:val="24"/>
          <w:szCs w:val="24"/>
          <w:lang w:eastAsia="en-US"/>
        </w:rPr>
        <w:t xml:space="preserve">, при этом применяемый </w:t>
      </w:r>
      <w:r w:rsidRPr="001B7279">
        <w:rPr>
          <w:rFonts w:ascii="Times New Roman" w:hAnsi="Times New Roman"/>
          <w:color w:val="000000"/>
          <w:sz w:val="24"/>
          <w:szCs w:val="24"/>
        </w:rPr>
        <w:t>тариф снижен по отношению к уровню 2016 года на 0,6%</w:t>
      </w:r>
      <w:r w:rsidRPr="001B7279">
        <w:rPr>
          <w:rFonts w:ascii="Times New Roman" w:hAnsi="Times New Roman"/>
          <w:sz w:val="24"/>
          <w:szCs w:val="24"/>
          <w:lang w:eastAsia="en-US"/>
        </w:rPr>
        <w:t xml:space="preserve">; </w:t>
      </w:r>
      <w:proofErr w:type="gramEnd"/>
    </w:p>
    <w:p w:rsidR="00CE326F" w:rsidRDefault="00CE326F" w:rsidP="00CE326F">
      <w:pPr>
        <w:widowControl w:val="0"/>
        <w:spacing w:after="0" w:line="240" w:lineRule="auto"/>
        <w:ind w:firstLine="709"/>
        <w:jc w:val="both"/>
        <w:rPr>
          <w:rFonts w:ascii="Times New Roman" w:hAnsi="Times New Roman"/>
          <w:color w:val="000000"/>
          <w:sz w:val="24"/>
          <w:szCs w:val="24"/>
        </w:rPr>
      </w:pPr>
      <w:proofErr w:type="gramStart"/>
      <w:r w:rsidRPr="001B7279">
        <w:rPr>
          <w:rFonts w:ascii="Times New Roman" w:hAnsi="Times New Roman"/>
          <w:sz w:val="24"/>
          <w:szCs w:val="24"/>
          <w:lang w:eastAsia="en-US"/>
        </w:rPr>
        <w:t>6)</w:t>
      </w:r>
      <w:r w:rsidR="007745D9">
        <w:rPr>
          <w:rFonts w:ascii="Times New Roman" w:hAnsi="Times New Roman"/>
          <w:sz w:val="24"/>
          <w:szCs w:val="24"/>
          <w:lang w:eastAsia="en-US"/>
        </w:rPr>
        <w:t xml:space="preserve"> </w:t>
      </w:r>
      <w:r w:rsidRPr="001B7279">
        <w:rPr>
          <w:rFonts w:ascii="Times New Roman" w:hAnsi="Times New Roman"/>
          <w:sz w:val="24"/>
          <w:szCs w:val="24"/>
          <w:lang w:eastAsia="en-US"/>
        </w:rPr>
        <w:t xml:space="preserve">муниципальным коммерческим организациям: муниципальным унитарным предприятиям, обществам, в которых не менее 50 процентов акций (доли) в уставном (складочном) капитале принадлежат муниципальному </w:t>
      </w:r>
      <w:r w:rsidRPr="00B004BB">
        <w:rPr>
          <w:rFonts w:ascii="Times New Roman" w:hAnsi="Times New Roman"/>
          <w:sz w:val="24"/>
          <w:szCs w:val="24"/>
          <w:lang w:eastAsia="en-US"/>
        </w:rPr>
        <w:t>образованию</w:t>
      </w:r>
      <w:r>
        <w:rPr>
          <w:rFonts w:ascii="Times New Roman" w:hAnsi="Times New Roman"/>
          <w:sz w:val="24"/>
          <w:szCs w:val="24"/>
          <w:lang w:eastAsia="en-US"/>
        </w:rPr>
        <w:t>,</w:t>
      </w:r>
      <w:r w:rsidRPr="00B004BB">
        <w:rPr>
          <w:rFonts w:ascii="Times New Roman" w:hAnsi="Times New Roman"/>
          <w:color w:val="000000"/>
          <w:sz w:val="24"/>
          <w:szCs w:val="24"/>
          <w:lang w:bidi="ru-RU"/>
        </w:rPr>
        <w:t xml:space="preserve"> предельный и применяемый тариф</w:t>
      </w:r>
      <w:r w:rsidRPr="00B004BB">
        <w:rPr>
          <w:rFonts w:ascii="Times New Roman" w:hAnsi="Times New Roman"/>
          <w:sz w:val="24"/>
          <w:szCs w:val="24"/>
          <w:lang w:eastAsia="en-US"/>
        </w:rPr>
        <w:t xml:space="preserve"> установлен в размере 2 263,30 руб. за </w:t>
      </w:r>
      <w:r>
        <w:rPr>
          <w:rFonts w:ascii="Times New Roman" w:hAnsi="Times New Roman"/>
          <w:sz w:val="24"/>
          <w:szCs w:val="24"/>
          <w:lang w:eastAsia="en-US"/>
        </w:rPr>
        <w:t xml:space="preserve">1 </w:t>
      </w:r>
      <w:r w:rsidRPr="00B004BB">
        <w:rPr>
          <w:rFonts w:ascii="Times New Roman" w:hAnsi="Times New Roman"/>
          <w:sz w:val="24"/>
          <w:szCs w:val="24"/>
          <w:lang w:eastAsia="en-US"/>
        </w:rPr>
        <w:t>тыс. куб.</w:t>
      </w:r>
      <w:r w:rsidR="007745D9">
        <w:rPr>
          <w:rFonts w:ascii="Times New Roman" w:hAnsi="Times New Roman"/>
          <w:sz w:val="24"/>
          <w:szCs w:val="24"/>
          <w:lang w:eastAsia="en-US"/>
        </w:rPr>
        <w:t xml:space="preserve"> </w:t>
      </w:r>
      <w:r>
        <w:rPr>
          <w:rFonts w:ascii="Times New Roman" w:hAnsi="Times New Roman"/>
          <w:sz w:val="24"/>
          <w:szCs w:val="24"/>
          <w:lang w:eastAsia="en-US"/>
        </w:rPr>
        <w:t>м</w:t>
      </w:r>
      <w:r w:rsidRPr="00B004BB">
        <w:rPr>
          <w:rFonts w:ascii="Times New Roman" w:hAnsi="Times New Roman"/>
          <w:sz w:val="24"/>
          <w:szCs w:val="24"/>
          <w:lang w:eastAsia="en-US"/>
        </w:rPr>
        <w:t xml:space="preserve">, при этом применяемый </w:t>
      </w:r>
      <w:r w:rsidRPr="00B004BB">
        <w:rPr>
          <w:rFonts w:ascii="Times New Roman" w:hAnsi="Times New Roman"/>
          <w:color w:val="000000"/>
          <w:sz w:val="24"/>
          <w:szCs w:val="24"/>
        </w:rPr>
        <w:t xml:space="preserve">тариф снижен по отношению к уровню 2016 года на </w:t>
      </w:r>
      <w:r w:rsidRPr="001B7279">
        <w:rPr>
          <w:rFonts w:ascii="Times New Roman" w:hAnsi="Times New Roman"/>
          <w:color w:val="000000"/>
          <w:sz w:val="24"/>
          <w:szCs w:val="24"/>
        </w:rPr>
        <w:t>0,4%</w:t>
      </w:r>
      <w:r>
        <w:rPr>
          <w:rFonts w:ascii="Times New Roman" w:hAnsi="Times New Roman"/>
          <w:color w:val="000000"/>
          <w:sz w:val="24"/>
          <w:szCs w:val="24"/>
        </w:rPr>
        <w:t>;</w:t>
      </w:r>
      <w:proofErr w:type="gramEnd"/>
    </w:p>
    <w:p w:rsidR="00CE326F" w:rsidRDefault="00CE326F" w:rsidP="00CE326F">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7) организациям и учреждениям, финансируемым из бюджетов всех уровней, </w:t>
      </w:r>
      <w:r w:rsidRPr="00B004BB">
        <w:rPr>
          <w:rFonts w:ascii="Times New Roman" w:hAnsi="Times New Roman"/>
          <w:color w:val="000000"/>
          <w:sz w:val="24"/>
          <w:szCs w:val="24"/>
          <w:lang w:bidi="ru-RU"/>
        </w:rPr>
        <w:t>предельный и применяемый тариф</w:t>
      </w:r>
      <w:r w:rsidRPr="00B004BB">
        <w:rPr>
          <w:rFonts w:ascii="Times New Roman" w:hAnsi="Times New Roman"/>
          <w:sz w:val="24"/>
          <w:szCs w:val="24"/>
          <w:lang w:eastAsia="en-US"/>
        </w:rPr>
        <w:t xml:space="preserve"> установлен в размере </w:t>
      </w:r>
      <w:r>
        <w:rPr>
          <w:rFonts w:ascii="Times New Roman" w:hAnsi="Times New Roman"/>
          <w:sz w:val="24"/>
          <w:szCs w:val="24"/>
          <w:lang w:eastAsia="en-US"/>
        </w:rPr>
        <w:t>1 970,19</w:t>
      </w:r>
      <w:r w:rsidRPr="00B004BB">
        <w:rPr>
          <w:rFonts w:ascii="Times New Roman" w:hAnsi="Times New Roman"/>
          <w:sz w:val="24"/>
          <w:szCs w:val="24"/>
          <w:lang w:eastAsia="en-US"/>
        </w:rPr>
        <w:t xml:space="preserve"> руб. за </w:t>
      </w:r>
      <w:r>
        <w:rPr>
          <w:rFonts w:ascii="Times New Roman" w:hAnsi="Times New Roman"/>
          <w:sz w:val="24"/>
          <w:szCs w:val="24"/>
          <w:lang w:eastAsia="en-US"/>
        </w:rPr>
        <w:t xml:space="preserve">1 </w:t>
      </w:r>
      <w:r w:rsidRPr="00B004BB">
        <w:rPr>
          <w:rFonts w:ascii="Times New Roman" w:hAnsi="Times New Roman"/>
          <w:sz w:val="24"/>
          <w:szCs w:val="24"/>
          <w:lang w:eastAsia="en-US"/>
        </w:rPr>
        <w:t>тыс. куб.</w:t>
      </w:r>
      <w:r w:rsidR="007745D9">
        <w:rPr>
          <w:rFonts w:ascii="Times New Roman" w:hAnsi="Times New Roman"/>
          <w:sz w:val="24"/>
          <w:szCs w:val="24"/>
          <w:lang w:eastAsia="en-US"/>
        </w:rPr>
        <w:t xml:space="preserve"> </w:t>
      </w:r>
      <w:r>
        <w:rPr>
          <w:rFonts w:ascii="Times New Roman" w:hAnsi="Times New Roman"/>
          <w:sz w:val="24"/>
          <w:szCs w:val="24"/>
          <w:lang w:eastAsia="en-US"/>
        </w:rPr>
        <w:t>м</w:t>
      </w:r>
      <w:r w:rsidRPr="00B004BB">
        <w:rPr>
          <w:rFonts w:ascii="Times New Roman" w:hAnsi="Times New Roman"/>
          <w:sz w:val="24"/>
          <w:szCs w:val="24"/>
          <w:lang w:eastAsia="en-US"/>
        </w:rPr>
        <w:t xml:space="preserve">, при этом применяемый </w:t>
      </w:r>
      <w:r w:rsidRPr="00B004BB">
        <w:rPr>
          <w:rFonts w:ascii="Times New Roman" w:hAnsi="Times New Roman"/>
          <w:color w:val="000000"/>
          <w:sz w:val="24"/>
          <w:szCs w:val="24"/>
        </w:rPr>
        <w:t xml:space="preserve">тариф снижен по отношению к уровню 2016 года на </w:t>
      </w:r>
      <w:r w:rsidRPr="001B7279">
        <w:rPr>
          <w:rFonts w:ascii="Times New Roman" w:hAnsi="Times New Roman"/>
          <w:color w:val="000000"/>
          <w:sz w:val="24"/>
          <w:szCs w:val="24"/>
        </w:rPr>
        <w:t>0,</w:t>
      </w:r>
      <w:r>
        <w:rPr>
          <w:rFonts w:ascii="Times New Roman" w:hAnsi="Times New Roman"/>
          <w:color w:val="000000"/>
          <w:sz w:val="24"/>
          <w:szCs w:val="24"/>
        </w:rPr>
        <w:t>5</w:t>
      </w:r>
      <w:r w:rsidRPr="001B7279">
        <w:rPr>
          <w:rFonts w:ascii="Times New Roman" w:hAnsi="Times New Roman"/>
          <w:color w:val="000000"/>
          <w:sz w:val="24"/>
          <w:szCs w:val="24"/>
        </w:rPr>
        <w:t>%</w:t>
      </w:r>
      <w:r>
        <w:rPr>
          <w:rFonts w:ascii="Times New Roman" w:hAnsi="Times New Roman"/>
          <w:color w:val="000000"/>
          <w:sz w:val="24"/>
          <w:szCs w:val="24"/>
        </w:rPr>
        <w:t>;</w:t>
      </w:r>
    </w:p>
    <w:p w:rsidR="00CE326F" w:rsidRDefault="00CE326F" w:rsidP="00CE326F">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8) религиозным организациям при осуществлении уставной деятельности, за исключением предпринимательской деятельности,</w:t>
      </w:r>
      <w:r w:rsidR="007745D9">
        <w:rPr>
          <w:rFonts w:ascii="Times New Roman" w:hAnsi="Times New Roman"/>
          <w:color w:val="000000"/>
          <w:sz w:val="24"/>
          <w:szCs w:val="24"/>
        </w:rPr>
        <w:t xml:space="preserve"> </w:t>
      </w:r>
      <w:r w:rsidRPr="00B004BB">
        <w:rPr>
          <w:rFonts w:ascii="Times New Roman" w:hAnsi="Times New Roman"/>
          <w:color w:val="000000"/>
          <w:sz w:val="24"/>
          <w:szCs w:val="24"/>
          <w:lang w:bidi="ru-RU"/>
        </w:rPr>
        <w:t>предельный и применяемый тариф</w:t>
      </w:r>
      <w:r w:rsidRPr="00B004BB">
        <w:rPr>
          <w:rFonts w:ascii="Times New Roman" w:hAnsi="Times New Roman"/>
          <w:sz w:val="24"/>
          <w:szCs w:val="24"/>
          <w:lang w:eastAsia="en-US"/>
        </w:rPr>
        <w:t xml:space="preserve"> установлен в размере </w:t>
      </w:r>
      <w:r>
        <w:rPr>
          <w:rFonts w:ascii="Times New Roman" w:hAnsi="Times New Roman"/>
          <w:sz w:val="24"/>
          <w:szCs w:val="24"/>
          <w:lang w:eastAsia="en-US"/>
        </w:rPr>
        <w:t>1 926,42</w:t>
      </w:r>
      <w:r w:rsidRPr="00B004BB">
        <w:rPr>
          <w:rFonts w:ascii="Times New Roman" w:hAnsi="Times New Roman"/>
          <w:sz w:val="24"/>
          <w:szCs w:val="24"/>
          <w:lang w:eastAsia="en-US"/>
        </w:rPr>
        <w:t xml:space="preserve"> руб. за </w:t>
      </w:r>
      <w:r>
        <w:rPr>
          <w:rFonts w:ascii="Times New Roman" w:hAnsi="Times New Roman"/>
          <w:sz w:val="24"/>
          <w:szCs w:val="24"/>
          <w:lang w:eastAsia="en-US"/>
        </w:rPr>
        <w:t xml:space="preserve">1 </w:t>
      </w:r>
      <w:r w:rsidRPr="00B004BB">
        <w:rPr>
          <w:rFonts w:ascii="Times New Roman" w:hAnsi="Times New Roman"/>
          <w:sz w:val="24"/>
          <w:szCs w:val="24"/>
          <w:lang w:eastAsia="en-US"/>
        </w:rPr>
        <w:t>тыс. куб.</w:t>
      </w:r>
      <w:r w:rsidR="007745D9">
        <w:rPr>
          <w:rFonts w:ascii="Times New Roman" w:hAnsi="Times New Roman"/>
          <w:sz w:val="24"/>
          <w:szCs w:val="24"/>
          <w:lang w:eastAsia="en-US"/>
        </w:rPr>
        <w:t xml:space="preserve"> </w:t>
      </w:r>
      <w:r>
        <w:rPr>
          <w:rFonts w:ascii="Times New Roman" w:hAnsi="Times New Roman"/>
          <w:sz w:val="24"/>
          <w:szCs w:val="24"/>
          <w:lang w:eastAsia="en-US"/>
        </w:rPr>
        <w:t>м</w:t>
      </w:r>
      <w:r w:rsidRPr="00B004BB">
        <w:rPr>
          <w:rFonts w:ascii="Times New Roman" w:hAnsi="Times New Roman"/>
          <w:sz w:val="24"/>
          <w:szCs w:val="24"/>
          <w:lang w:eastAsia="en-US"/>
        </w:rPr>
        <w:t xml:space="preserve">, при этом применяемый </w:t>
      </w:r>
      <w:r w:rsidRPr="00B004BB">
        <w:rPr>
          <w:rFonts w:ascii="Times New Roman" w:hAnsi="Times New Roman"/>
          <w:color w:val="000000"/>
          <w:sz w:val="24"/>
          <w:szCs w:val="24"/>
        </w:rPr>
        <w:t xml:space="preserve">тариф снижен по отношению к уровню 2016 года на </w:t>
      </w:r>
      <w:r w:rsidRPr="001B7279">
        <w:rPr>
          <w:rFonts w:ascii="Times New Roman" w:hAnsi="Times New Roman"/>
          <w:color w:val="000000"/>
          <w:sz w:val="24"/>
          <w:szCs w:val="24"/>
        </w:rPr>
        <w:t>0,</w:t>
      </w:r>
      <w:r>
        <w:rPr>
          <w:rFonts w:ascii="Times New Roman" w:hAnsi="Times New Roman"/>
          <w:color w:val="000000"/>
          <w:sz w:val="24"/>
          <w:szCs w:val="24"/>
        </w:rPr>
        <w:t>5</w:t>
      </w:r>
      <w:r w:rsidRPr="001B7279">
        <w:rPr>
          <w:rFonts w:ascii="Times New Roman" w:hAnsi="Times New Roman"/>
          <w:color w:val="000000"/>
          <w:sz w:val="24"/>
          <w:szCs w:val="24"/>
        </w:rPr>
        <w:t>%</w:t>
      </w:r>
      <w:r>
        <w:rPr>
          <w:rFonts w:ascii="Times New Roman" w:hAnsi="Times New Roman"/>
          <w:color w:val="000000"/>
          <w:sz w:val="24"/>
          <w:szCs w:val="24"/>
        </w:rPr>
        <w:t>.</w:t>
      </w:r>
    </w:p>
    <w:p w:rsidR="00CE326F" w:rsidRPr="0026396E"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b/>
          <w:sz w:val="24"/>
          <w:szCs w:val="24"/>
        </w:rPr>
      </w:pPr>
      <w:r w:rsidRPr="0026396E">
        <w:rPr>
          <w:rFonts w:ascii="Times New Roman" w:hAnsi="Times New Roman"/>
          <w:b/>
          <w:sz w:val="24"/>
          <w:szCs w:val="24"/>
        </w:rPr>
        <w:t>2. Услуги в сфере электроэнергетики</w:t>
      </w:r>
    </w:p>
    <w:p w:rsidR="00CE326F" w:rsidRPr="0026396E"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1B4045">
        <w:rPr>
          <w:rFonts w:ascii="Times New Roman" w:hAnsi="Times New Roman"/>
          <w:sz w:val="24"/>
          <w:szCs w:val="24"/>
        </w:rPr>
        <w:t>Предельные и применяемые тарифы на услуги в сфере электроэнергетики</w:t>
      </w:r>
      <w:r w:rsidRPr="0026396E">
        <w:rPr>
          <w:rFonts w:ascii="Times New Roman" w:hAnsi="Times New Roman"/>
          <w:sz w:val="24"/>
          <w:szCs w:val="24"/>
        </w:rPr>
        <w:t xml:space="preserve"> по категориям потребителей в 2017 году снижены либо сохранены на уровне тарифов, действовавших в 2016 году.</w:t>
      </w:r>
    </w:p>
    <w:p w:rsidR="00CE326F" w:rsidRDefault="00CE326F" w:rsidP="00CE326F">
      <w:pPr>
        <w:widowControl w:val="0"/>
        <w:spacing w:after="0" w:line="240" w:lineRule="auto"/>
        <w:ind w:firstLine="709"/>
        <w:jc w:val="both"/>
        <w:rPr>
          <w:rFonts w:ascii="Times New Roman" w:hAnsi="Times New Roman"/>
          <w:i/>
          <w:sz w:val="24"/>
          <w:szCs w:val="24"/>
        </w:rPr>
      </w:pPr>
      <w:r w:rsidRPr="0026396E">
        <w:rPr>
          <w:rFonts w:ascii="Times New Roman" w:hAnsi="Times New Roman"/>
          <w:i/>
          <w:sz w:val="24"/>
          <w:szCs w:val="24"/>
        </w:rPr>
        <w:t>а) для  организаций, осуществляющих производство промышленной и сельскохозяйственной продукции</w:t>
      </w:r>
      <w:r>
        <w:rPr>
          <w:rFonts w:ascii="Times New Roman" w:hAnsi="Times New Roman"/>
          <w:i/>
          <w:sz w:val="24"/>
          <w:szCs w:val="24"/>
        </w:rPr>
        <w:t>:</w:t>
      </w:r>
    </w:p>
    <w:p w:rsidR="00CE326F" w:rsidRPr="0026396E" w:rsidRDefault="00CE326F" w:rsidP="00CE326F">
      <w:pPr>
        <w:widowControl w:val="0"/>
        <w:spacing w:after="0" w:line="240" w:lineRule="auto"/>
        <w:ind w:firstLine="709"/>
        <w:jc w:val="both"/>
        <w:rPr>
          <w:rFonts w:ascii="Times New Roman" w:hAnsi="Times New Roman"/>
          <w:sz w:val="24"/>
          <w:szCs w:val="24"/>
          <w:lang w:eastAsia="en-US"/>
        </w:rPr>
      </w:pPr>
      <w:r w:rsidRPr="00657D30">
        <w:rPr>
          <w:rFonts w:ascii="Times New Roman" w:hAnsi="Times New Roman"/>
          <w:sz w:val="24"/>
          <w:szCs w:val="24"/>
        </w:rPr>
        <w:t>-</w:t>
      </w:r>
      <w:r w:rsidRPr="0026396E">
        <w:rPr>
          <w:rFonts w:ascii="Times New Roman" w:hAnsi="Times New Roman"/>
          <w:sz w:val="24"/>
          <w:szCs w:val="24"/>
        </w:rPr>
        <w:t xml:space="preserve">присоединенных к передающим и распределительным </w:t>
      </w:r>
      <w:r w:rsidRPr="00B004BB">
        <w:rPr>
          <w:rFonts w:ascii="Times New Roman" w:hAnsi="Times New Roman"/>
          <w:sz w:val="24"/>
          <w:szCs w:val="24"/>
        </w:rPr>
        <w:t>сетям</w:t>
      </w:r>
      <w:r>
        <w:rPr>
          <w:rFonts w:ascii="Times New Roman" w:hAnsi="Times New Roman"/>
          <w:sz w:val="24"/>
          <w:szCs w:val="24"/>
        </w:rPr>
        <w:t>,</w:t>
      </w:r>
      <w:r w:rsidR="007745D9">
        <w:rPr>
          <w:rFonts w:ascii="Times New Roman" w:hAnsi="Times New Roman"/>
          <w:sz w:val="24"/>
          <w:szCs w:val="24"/>
        </w:rPr>
        <w:t xml:space="preserve"> </w:t>
      </w:r>
      <w:r w:rsidRPr="00B004BB">
        <w:rPr>
          <w:rFonts w:ascii="Times New Roman" w:hAnsi="Times New Roman"/>
          <w:color w:val="000000"/>
          <w:sz w:val="24"/>
          <w:szCs w:val="24"/>
          <w:lang w:bidi="ru-RU"/>
        </w:rPr>
        <w:t>предельны</w:t>
      </w:r>
      <w:r>
        <w:rPr>
          <w:rFonts w:ascii="Times New Roman" w:hAnsi="Times New Roman"/>
          <w:color w:val="000000"/>
          <w:sz w:val="24"/>
          <w:szCs w:val="24"/>
          <w:lang w:bidi="ru-RU"/>
        </w:rPr>
        <w:t>е</w:t>
      </w:r>
      <w:r w:rsidRPr="00B004BB">
        <w:rPr>
          <w:rFonts w:ascii="Times New Roman" w:hAnsi="Times New Roman"/>
          <w:color w:val="000000"/>
          <w:sz w:val="24"/>
          <w:szCs w:val="24"/>
          <w:lang w:bidi="ru-RU"/>
        </w:rPr>
        <w:t xml:space="preserve"> и применяемы</w:t>
      </w:r>
      <w:r>
        <w:rPr>
          <w:rFonts w:ascii="Times New Roman" w:hAnsi="Times New Roman"/>
          <w:color w:val="000000"/>
          <w:sz w:val="24"/>
          <w:szCs w:val="24"/>
          <w:lang w:bidi="ru-RU"/>
        </w:rPr>
        <w:t>е</w:t>
      </w:r>
      <w:r w:rsidRPr="00B004BB">
        <w:rPr>
          <w:rFonts w:ascii="Times New Roman" w:hAnsi="Times New Roman"/>
          <w:color w:val="000000"/>
          <w:sz w:val="24"/>
          <w:szCs w:val="24"/>
          <w:lang w:bidi="ru-RU"/>
        </w:rPr>
        <w:t xml:space="preserve"> тариф</w:t>
      </w:r>
      <w:r>
        <w:rPr>
          <w:rFonts w:ascii="Times New Roman" w:hAnsi="Times New Roman"/>
          <w:color w:val="000000"/>
          <w:sz w:val="24"/>
          <w:szCs w:val="24"/>
          <w:lang w:bidi="ru-RU"/>
        </w:rPr>
        <w:t>ы</w:t>
      </w:r>
      <w:r w:rsidRPr="0026396E">
        <w:rPr>
          <w:rFonts w:ascii="Times New Roman" w:hAnsi="Times New Roman"/>
          <w:sz w:val="24"/>
          <w:szCs w:val="24"/>
          <w:lang w:eastAsia="en-US"/>
        </w:rPr>
        <w:t xml:space="preserve"> установлен</w:t>
      </w:r>
      <w:r>
        <w:rPr>
          <w:rFonts w:ascii="Times New Roman" w:hAnsi="Times New Roman"/>
          <w:sz w:val="24"/>
          <w:szCs w:val="24"/>
          <w:lang w:eastAsia="en-US"/>
        </w:rPr>
        <w:t>ы</w:t>
      </w:r>
      <w:r w:rsidRPr="0026396E">
        <w:rPr>
          <w:rFonts w:ascii="Times New Roman" w:hAnsi="Times New Roman"/>
          <w:sz w:val="24"/>
          <w:szCs w:val="24"/>
          <w:lang w:eastAsia="en-US"/>
        </w:rPr>
        <w:t xml:space="preserve"> в размере 0,73 руб. </w:t>
      </w:r>
      <w:r>
        <w:rPr>
          <w:rFonts w:ascii="Times New Roman" w:hAnsi="Times New Roman"/>
          <w:sz w:val="24"/>
          <w:szCs w:val="24"/>
          <w:lang w:eastAsia="en-US"/>
        </w:rPr>
        <w:t xml:space="preserve">и 0,99 руб. </w:t>
      </w:r>
      <w:r w:rsidRPr="0026396E">
        <w:rPr>
          <w:rFonts w:ascii="Times New Roman" w:hAnsi="Times New Roman"/>
          <w:sz w:val="24"/>
          <w:szCs w:val="24"/>
          <w:lang w:eastAsia="en-US"/>
        </w:rPr>
        <w:t xml:space="preserve">за 1 </w:t>
      </w:r>
      <w:r w:rsidRPr="0026396E">
        <w:rPr>
          <w:rFonts w:ascii="Times New Roman" w:hAnsi="Times New Roman"/>
          <w:sz w:val="24"/>
          <w:szCs w:val="24"/>
        </w:rPr>
        <w:t>кВт</w:t>
      </w:r>
      <w:proofErr w:type="gramStart"/>
      <w:r w:rsidRPr="0026396E">
        <w:rPr>
          <w:rFonts w:ascii="Times New Roman" w:hAnsi="Times New Roman"/>
          <w:sz w:val="24"/>
          <w:szCs w:val="24"/>
        </w:rPr>
        <w:t>.</w:t>
      </w:r>
      <w:proofErr w:type="gramEnd"/>
      <w:r w:rsidR="007745D9">
        <w:rPr>
          <w:rFonts w:ascii="Times New Roman" w:hAnsi="Times New Roman"/>
          <w:sz w:val="24"/>
          <w:szCs w:val="24"/>
        </w:rPr>
        <w:t xml:space="preserve"> </w:t>
      </w:r>
      <w:proofErr w:type="gramStart"/>
      <w:r w:rsidRPr="0026396E">
        <w:rPr>
          <w:rFonts w:ascii="Times New Roman" w:hAnsi="Times New Roman"/>
          <w:sz w:val="24"/>
          <w:szCs w:val="24"/>
        </w:rPr>
        <w:t>ч</w:t>
      </w:r>
      <w:proofErr w:type="gramEnd"/>
      <w:r>
        <w:rPr>
          <w:rFonts w:ascii="Times New Roman" w:hAnsi="Times New Roman"/>
          <w:sz w:val="24"/>
          <w:szCs w:val="24"/>
        </w:rPr>
        <w:t xml:space="preserve"> соответственно и сохранены на уровне тарифов 2016 года;</w:t>
      </w:r>
    </w:p>
    <w:p w:rsidR="00CE326F" w:rsidRPr="0026396E"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rPr>
      </w:pPr>
      <w:r w:rsidRPr="0026396E">
        <w:rPr>
          <w:rFonts w:ascii="Times New Roman" w:hAnsi="Times New Roman"/>
          <w:i/>
          <w:sz w:val="24"/>
          <w:szCs w:val="24"/>
        </w:rPr>
        <w:t>б) организаци</w:t>
      </w:r>
      <w:r>
        <w:rPr>
          <w:rFonts w:ascii="Times New Roman" w:hAnsi="Times New Roman"/>
          <w:i/>
          <w:sz w:val="24"/>
          <w:szCs w:val="24"/>
        </w:rPr>
        <w:t>й</w:t>
      </w:r>
      <w:r w:rsidRPr="0026396E">
        <w:rPr>
          <w:rFonts w:ascii="Times New Roman" w:hAnsi="Times New Roman"/>
          <w:i/>
          <w:sz w:val="24"/>
          <w:szCs w:val="24"/>
        </w:rPr>
        <w:t>, осуществляющи</w:t>
      </w:r>
      <w:r>
        <w:rPr>
          <w:rFonts w:ascii="Times New Roman" w:hAnsi="Times New Roman"/>
          <w:i/>
          <w:sz w:val="24"/>
          <w:szCs w:val="24"/>
        </w:rPr>
        <w:t>х</w:t>
      </w:r>
      <w:r w:rsidRPr="0026396E">
        <w:rPr>
          <w:rFonts w:ascii="Times New Roman" w:hAnsi="Times New Roman"/>
          <w:i/>
          <w:sz w:val="24"/>
          <w:szCs w:val="24"/>
        </w:rPr>
        <w:t xml:space="preserve"> производство мяса, молока, куриных яиц, и переработку мясомолочного сырья:</w:t>
      </w:r>
    </w:p>
    <w:p w:rsidR="00CE326F" w:rsidRPr="0026396E" w:rsidRDefault="00CE326F" w:rsidP="00CE326F">
      <w:pPr>
        <w:widowControl w:val="0"/>
        <w:spacing w:after="0" w:line="240" w:lineRule="auto"/>
        <w:ind w:firstLine="709"/>
        <w:jc w:val="both"/>
        <w:rPr>
          <w:rFonts w:ascii="Times New Roman" w:hAnsi="Times New Roman"/>
          <w:sz w:val="24"/>
          <w:szCs w:val="24"/>
          <w:lang w:eastAsia="en-US"/>
        </w:rPr>
      </w:pPr>
      <w:r w:rsidRPr="0026396E">
        <w:rPr>
          <w:rFonts w:ascii="Times New Roman" w:hAnsi="Times New Roman"/>
          <w:sz w:val="24"/>
          <w:szCs w:val="24"/>
        </w:rPr>
        <w:t>- </w:t>
      </w:r>
      <w:r w:rsidRPr="00EA63F8">
        <w:rPr>
          <w:rFonts w:ascii="Times New Roman" w:hAnsi="Times New Roman"/>
          <w:sz w:val="24"/>
          <w:szCs w:val="24"/>
        </w:rPr>
        <w:t>присоединенны</w:t>
      </w:r>
      <w:r>
        <w:rPr>
          <w:rFonts w:ascii="Times New Roman" w:hAnsi="Times New Roman"/>
          <w:sz w:val="24"/>
          <w:szCs w:val="24"/>
        </w:rPr>
        <w:t>х</w:t>
      </w:r>
      <w:r w:rsidRPr="00EA63F8">
        <w:rPr>
          <w:rFonts w:ascii="Times New Roman" w:hAnsi="Times New Roman"/>
          <w:sz w:val="24"/>
          <w:szCs w:val="24"/>
        </w:rPr>
        <w:t xml:space="preserve"> к передающим и распределительным сетям</w:t>
      </w:r>
      <w:r>
        <w:rPr>
          <w:rFonts w:ascii="Times New Roman" w:hAnsi="Times New Roman"/>
          <w:sz w:val="24"/>
          <w:szCs w:val="24"/>
        </w:rPr>
        <w:t>,</w:t>
      </w:r>
      <w:r w:rsidR="007745D9">
        <w:rPr>
          <w:rFonts w:ascii="Times New Roman" w:hAnsi="Times New Roman"/>
          <w:sz w:val="24"/>
          <w:szCs w:val="24"/>
        </w:rPr>
        <w:t xml:space="preserve"> </w:t>
      </w:r>
      <w:r w:rsidRPr="00B004BB">
        <w:rPr>
          <w:rFonts w:ascii="Times New Roman" w:hAnsi="Times New Roman"/>
          <w:sz w:val="24"/>
          <w:szCs w:val="24"/>
        </w:rPr>
        <w:t>предельные и применяемые тарифы установлены в размере 0,60 руб. и 0,86 руб.</w:t>
      </w:r>
      <w:r w:rsidRPr="0026396E">
        <w:rPr>
          <w:rFonts w:ascii="Times New Roman" w:hAnsi="Times New Roman"/>
          <w:sz w:val="24"/>
          <w:szCs w:val="24"/>
        </w:rPr>
        <w:t xml:space="preserve"> за 1 кВт</w:t>
      </w:r>
      <w:proofErr w:type="gramStart"/>
      <w:r w:rsidRPr="0026396E">
        <w:rPr>
          <w:rFonts w:ascii="Times New Roman" w:hAnsi="Times New Roman"/>
          <w:sz w:val="24"/>
          <w:szCs w:val="24"/>
        </w:rPr>
        <w:t>.</w:t>
      </w:r>
      <w:proofErr w:type="gramEnd"/>
      <w:r w:rsidR="007745D9">
        <w:rPr>
          <w:rFonts w:ascii="Times New Roman" w:hAnsi="Times New Roman"/>
          <w:sz w:val="24"/>
          <w:szCs w:val="24"/>
        </w:rPr>
        <w:t xml:space="preserve"> </w:t>
      </w:r>
      <w:proofErr w:type="gramStart"/>
      <w:r w:rsidRPr="0026396E">
        <w:rPr>
          <w:rFonts w:ascii="Times New Roman" w:hAnsi="Times New Roman"/>
          <w:sz w:val="24"/>
          <w:szCs w:val="24"/>
        </w:rPr>
        <w:t>ч</w:t>
      </w:r>
      <w:proofErr w:type="gramEnd"/>
      <w:r w:rsidRPr="0026396E">
        <w:rPr>
          <w:rFonts w:ascii="Times New Roman" w:hAnsi="Times New Roman"/>
          <w:sz w:val="24"/>
          <w:szCs w:val="24"/>
        </w:rPr>
        <w:t xml:space="preserve"> соответственно</w:t>
      </w:r>
      <w:r w:rsidR="007745D9">
        <w:rPr>
          <w:rFonts w:ascii="Times New Roman" w:hAnsi="Times New Roman"/>
          <w:sz w:val="24"/>
          <w:szCs w:val="24"/>
        </w:rPr>
        <w:t xml:space="preserve"> и сохранены на уровне тарифов </w:t>
      </w:r>
      <w:r>
        <w:rPr>
          <w:rFonts w:ascii="Times New Roman" w:hAnsi="Times New Roman"/>
          <w:sz w:val="24"/>
          <w:szCs w:val="24"/>
        </w:rPr>
        <w:t>2016 года;</w:t>
      </w:r>
    </w:p>
    <w:p w:rsidR="00CE326F" w:rsidRPr="00AE0518"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rPr>
      </w:pPr>
      <w:r w:rsidRPr="00AE0518">
        <w:rPr>
          <w:rFonts w:ascii="Times New Roman" w:hAnsi="Times New Roman"/>
          <w:i/>
          <w:sz w:val="24"/>
          <w:szCs w:val="24"/>
        </w:rPr>
        <w:t>в) прочим потребителям, зарегистрированным в сельском населенном пункте (сельском поселении) и осуществляющим потребление электрической энергии в сельском населенном пункте (сельском поселении</w:t>
      </w:r>
      <w:r>
        <w:rPr>
          <w:rFonts w:ascii="Times New Roman" w:hAnsi="Times New Roman"/>
          <w:i/>
          <w:sz w:val="24"/>
          <w:szCs w:val="24"/>
        </w:rPr>
        <w:t>):</w:t>
      </w:r>
    </w:p>
    <w:p w:rsidR="00CE326F" w:rsidRDefault="00CE326F" w:rsidP="00CE326F">
      <w:pPr>
        <w:widowControl w:val="0"/>
        <w:spacing w:after="0" w:line="240" w:lineRule="auto"/>
        <w:ind w:firstLine="709"/>
        <w:jc w:val="both"/>
        <w:rPr>
          <w:rFonts w:ascii="Times New Roman" w:hAnsi="Times New Roman"/>
          <w:sz w:val="24"/>
          <w:szCs w:val="24"/>
          <w:lang w:eastAsia="en-US"/>
        </w:rPr>
      </w:pPr>
      <w:r w:rsidRPr="0026396E">
        <w:rPr>
          <w:rFonts w:ascii="Times New Roman" w:hAnsi="Times New Roman"/>
          <w:sz w:val="24"/>
          <w:szCs w:val="24"/>
        </w:rPr>
        <w:t>- </w:t>
      </w:r>
      <w:r w:rsidRPr="00A66245">
        <w:rPr>
          <w:rFonts w:ascii="Times New Roman" w:hAnsi="Times New Roman"/>
          <w:sz w:val="24"/>
          <w:szCs w:val="24"/>
        </w:rPr>
        <w:t>присоединенны</w:t>
      </w:r>
      <w:r>
        <w:rPr>
          <w:rFonts w:ascii="Times New Roman" w:hAnsi="Times New Roman"/>
          <w:sz w:val="24"/>
          <w:szCs w:val="24"/>
        </w:rPr>
        <w:t>х</w:t>
      </w:r>
      <w:r w:rsidRPr="00A66245">
        <w:rPr>
          <w:rFonts w:ascii="Times New Roman" w:hAnsi="Times New Roman"/>
          <w:sz w:val="24"/>
          <w:szCs w:val="24"/>
        </w:rPr>
        <w:t xml:space="preserve"> к передающим и распределительным сетям</w:t>
      </w:r>
      <w:r>
        <w:rPr>
          <w:rFonts w:ascii="Times New Roman" w:hAnsi="Times New Roman"/>
          <w:sz w:val="24"/>
          <w:szCs w:val="24"/>
        </w:rPr>
        <w:t>,</w:t>
      </w:r>
      <w:r w:rsidR="007745D9">
        <w:rPr>
          <w:rFonts w:ascii="Times New Roman" w:hAnsi="Times New Roman"/>
          <w:sz w:val="24"/>
          <w:szCs w:val="24"/>
        </w:rPr>
        <w:t xml:space="preserve"> </w:t>
      </w:r>
      <w:r w:rsidRPr="00B004BB">
        <w:rPr>
          <w:rFonts w:ascii="Times New Roman" w:hAnsi="Times New Roman"/>
          <w:sz w:val="24"/>
          <w:szCs w:val="24"/>
        </w:rPr>
        <w:t>предельные и применяемые тарифы установлены в размере 0,59 руб. и 0,85 руб.</w:t>
      </w:r>
      <w:r w:rsidRPr="0026396E">
        <w:rPr>
          <w:rFonts w:ascii="Times New Roman" w:hAnsi="Times New Roman"/>
          <w:sz w:val="24"/>
          <w:szCs w:val="24"/>
        </w:rPr>
        <w:t xml:space="preserve"> за 1 кВт</w:t>
      </w:r>
      <w:proofErr w:type="gramStart"/>
      <w:r w:rsidRPr="0026396E">
        <w:rPr>
          <w:rFonts w:ascii="Times New Roman" w:hAnsi="Times New Roman"/>
          <w:sz w:val="24"/>
          <w:szCs w:val="24"/>
        </w:rPr>
        <w:t>.</w:t>
      </w:r>
      <w:proofErr w:type="gramEnd"/>
      <w:r w:rsidR="007745D9">
        <w:rPr>
          <w:rFonts w:ascii="Times New Roman" w:hAnsi="Times New Roman"/>
          <w:sz w:val="24"/>
          <w:szCs w:val="24"/>
        </w:rPr>
        <w:t xml:space="preserve"> </w:t>
      </w:r>
      <w:proofErr w:type="gramStart"/>
      <w:r w:rsidRPr="0026396E">
        <w:rPr>
          <w:rFonts w:ascii="Times New Roman" w:hAnsi="Times New Roman"/>
          <w:sz w:val="24"/>
          <w:szCs w:val="24"/>
        </w:rPr>
        <w:t>ч</w:t>
      </w:r>
      <w:proofErr w:type="gramEnd"/>
      <w:r w:rsidRPr="0026396E">
        <w:rPr>
          <w:rFonts w:ascii="Times New Roman" w:hAnsi="Times New Roman"/>
          <w:sz w:val="24"/>
          <w:szCs w:val="24"/>
        </w:rPr>
        <w:t xml:space="preserve"> соответственно,</w:t>
      </w:r>
      <w:r w:rsidRPr="0026396E">
        <w:rPr>
          <w:rFonts w:ascii="Times New Roman" w:hAnsi="Times New Roman"/>
          <w:sz w:val="24"/>
          <w:szCs w:val="24"/>
          <w:lang w:eastAsia="en-US"/>
        </w:rPr>
        <w:t xml:space="preserve"> при этом применяемые </w:t>
      </w:r>
      <w:r w:rsidRPr="0026396E">
        <w:rPr>
          <w:rFonts w:ascii="Times New Roman" w:hAnsi="Times New Roman"/>
          <w:color w:val="000000"/>
          <w:sz w:val="24"/>
          <w:szCs w:val="24"/>
        </w:rPr>
        <w:t xml:space="preserve">тарифы снижены на </w:t>
      </w:r>
      <w:r>
        <w:rPr>
          <w:rFonts w:ascii="Times New Roman" w:hAnsi="Times New Roman"/>
          <w:color w:val="000000"/>
          <w:sz w:val="24"/>
          <w:szCs w:val="24"/>
        </w:rPr>
        <w:t>26,2</w:t>
      </w:r>
      <w:r w:rsidRPr="0026396E">
        <w:rPr>
          <w:rFonts w:ascii="Times New Roman" w:hAnsi="Times New Roman"/>
          <w:color w:val="000000"/>
          <w:sz w:val="24"/>
          <w:szCs w:val="24"/>
        </w:rPr>
        <w:t xml:space="preserve">% и 19,8% соответственно </w:t>
      </w:r>
      <w:r>
        <w:rPr>
          <w:rFonts w:ascii="Times New Roman" w:hAnsi="Times New Roman"/>
          <w:color w:val="000000"/>
          <w:sz w:val="24"/>
          <w:szCs w:val="24"/>
        </w:rPr>
        <w:t>к уровню         2016 года</w:t>
      </w:r>
      <w:r>
        <w:rPr>
          <w:rFonts w:ascii="Times New Roman" w:hAnsi="Times New Roman"/>
          <w:sz w:val="24"/>
          <w:szCs w:val="24"/>
        </w:rPr>
        <w:t>;</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i/>
          <w:sz w:val="24"/>
          <w:szCs w:val="24"/>
          <w:highlight w:val="yellow"/>
        </w:rPr>
      </w:pPr>
      <w:r w:rsidRPr="00F22CA4">
        <w:rPr>
          <w:rFonts w:ascii="Times New Roman" w:hAnsi="Times New Roman"/>
          <w:i/>
          <w:sz w:val="24"/>
          <w:szCs w:val="24"/>
        </w:rPr>
        <w:lastRenderedPageBreak/>
        <w:t>г)</w:t>
      </w:r>
      <w:r w:rsidRPr="008B75A6">
        <w:rPr>
          <w:rFonts w:ascii="Times New Roman" w:hAnsi="Times New Roman"/>
          <w:i/>
          <w:sz w:val="24"/>
          <w:szCs w:val="24"/>
        </w:rPr>
        <w:t>организациям, учредителем либо акционером которых являются организации, зарегистрированные в государствах и на территориях, предоставляющих льготный режим налогообложения и (или) не предусматривающих раскрытия и предоставления информации при проведении финансовых операций:</w:t>
      </w:r>
    </w:p>
    <w:p w:rsidR="00CE326F" w:rsidRPr="008552B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8552BF">
        <w:rPr>
          <w:rFonts w:ascii="Times New Roman" w:hAnsi="Times New Roman"/>
          <w:sz w:val="24"/>
          <w:szCs w:val="24"/>
        </w:rPr>
        <w:t>- </w:t>
      </w:r>
      <w:r w:rsidRPr="001C5554">
        <w:rPr>
          <w:rFonts w:ascii="Times New Roman" w:hAnsi="Times New Roman"/>
          <w:sz w:val="24"/>
          <w:szCs w:val="24"/>
        </w:rPr>
        <w:t>присоединенны</w:t>
      </w:r>
      <w:r>
        <w:rPr>
          <w:rFonts w:ascii="Times New Roman" w:hAnsi="Times New Roman"/>
          <w:sz w:val="24"/>
          <w:szCs w:val="24"/>
        </w:rPr>
        <w:t>м</w:t>
      </w:r>
      <w:r w:rsidRPr="001C5554">
        <w:rPr>
          <w:rFonts w:ascii="Times New Roman" w:hAnsi="Times New Roman"/>
          <w:sz w:val="24"/>
          <w:szCs w:val="24"/>
        </w:rPr>
        <w:t xml:space="preserve"> к передающим и распределительным сетям</w:t>
      </w:r>
      <w:r>
        <w:rPr>
          <w:rFonts w:ascii="Times New Roman" w:hAnsi="Times New Roman"/>
          <w:sz w:val="24"/>
          <w:szCs w:val="24"/>
        </w:rPr>
        <w:t>,</w:t>
      </w:r>
      <w:r w:rsidR="007745D9">
        <w:rPr>
          <w:rFonts w:ascii="Times New Roman" w:hAnsi="Times New Roman"/>
          <w:sz w:val="24"/>
          <w:szCs w:val="24"/>
        </w:rPr>
        <w:t xml:space="preserve"> </w:t>
      </w:r>
      <w:r w:rsidRPr="00B004BB">
        <w:rPr>
          <w:rFonts w:ascii="Times New Roman" w:hAnsi="Times New Roman"/>
          <w:sz w:val="24"/>
          <w:szCs w:val="24"/>
        </w:rPr>
        <w:t>предельные и применяемые тарифы установлены в размере 0,80 руб. и 1,06 руб. за 1 кВт</w:t>
      </w:r>
      <w:proofErr w:type="gramStart"/>
      <w:r w:rsidRPr="00B004BB">
        <w:rPr>
          <w:rFonts w:ascii="Times New Roman" w:hAnsi="Times New Roman"/>
          <w:sz w:val="24"/>
          <w:szCs w:val="24"/>
        </w:rPr>
        <w:t>.</w:t>
      </w:r>
      <w:proofErr w:type="gramEnd"/>
      <w:r w:rsidR="007745D9">
        <w:rPr>
          <w:rFonts w:ascii="Times New Roman" w:hAnsi="Times New Roman"/>
          <w:sz w:val="24"/>
          <w:szCs w:val="24"/>
        </w:rPr>
        <w:t xml:space="preserve"> </w:t>
      </w:r>
      <w:proofErr w:type="gramStart"/>
      <w:r w:rsidRPr="00B004BB">
        <w:rPr>
          <w:rFonts w:ascii="Times New Roman" w:hAnsi="Times New Roman"/>
          <w:sz w:val="24"/>
          <w:szCs w:val="24"/>
        </w:rPr>
        <w:t>ч</w:t>
      </w:r>
      <w:proofErr w:type="gramEnd"/>
      <w:r w:rsidRPr="00B004BB">
        <w:rPr>
          <w:rFonts w:ascii="Times New Roman" w:hAnsi="Times New Roman"/>
          <w:sz w:val="24"/>
          <w:szCs w:val="24"/>
        </w:rPr>
        <w:t xml:space="preserve">, </w:t>
      </w:r>
      <w:r w:rsidRPr="00B004BB">
        <w:rPr>
          <w:rFonts w:ascii="Times New Roman" w:hAnsi="Times New Roman"/>
          <w:sz w:val="24"/>
          <w:szCs w:val="24"/>
          <w:lang w:eastAsia="en-US"/>
        </w:rPr>
        <w:t xml:space="preserve">при этом применяемые </w:t>
      </w:r>
      <w:r w:rsidRPr="00B004BB">
        <w:rPr>
          <w:rFonts w:ascii="Times New Roman" w:hAnsi="Times New Roman"/>
          <w:color w:val="000000"/>
          <w:sz w:val="24"/>
          <w:szCs w:val="24"/>
        </w:rPr>
        <w:t>тарифы снижены на 22,3% и 17,8% соответственно</w:t>
      </w:r>
      <w:r>
        <w:rPr>
          <w:rFonts w:ascii="Times New Roman" w:hAnsi="Times New Roman"/>
          <w:color w:val="000000"/>
          <w:sz w:val="24"/>
          <w:szCs w:val="24"/>
        </w:rPr>
        <w:t xml:space="preserve"> к уровню 2016 года;</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8552BF">
        <w:rPr>
          <w:rFonts w:ascii="Times New Roman" w:hAnsi="Times New Roman"/>
          <w:sz w:val="24"/>
          <w:szCs w:val="24"/>
        </w:rPr>
        <w:t>Для остальных категорий потребителей</w:t>
      </w:r>
      <w:r>
        <w:rPr>
          <w:rFonts w:ascii="Times New Roman" w:hAnsi="Times New Roman"/>
          <w:sz w:val="24"/>
          <w:szCs w:val="24"/>
        </w:rPr>
        <w:t>,</w:t>
      </w:r>
      <w:r w:rsidRPr="008552BF">
        <w:rPr>
          <w:rFonts w:ascii="Times New Roman" w:hAnsi="Times New Roman"/>
          <w:sz w:val="24"/>
          <w:szCs w:val="24"/>
        </w:rPr>
        <w:t xml:space="preserve"> включая население, тарифы в сфере электроэнергетики в январе-июне 2017 года по сравнению с 2016 годом остались неизменными.</w:t>
      </w:r>
    </w:p>
    <w:p w:rsidR="00CE326F" w:rsidRPr="00DC4985" w:rsidRDefault="00CE326F" w:rsidP="00CE326F">
      <w:pPr>
        <w:tabs>
          <w:tab w:val="left" w:pos="567"/>
          <w:tab w:val="left" w:pos="993"/>
          <w:tab w:val="left" w:pos="1276"/>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b/>
          <w:sz w:val="24"/>
          <w:szCs w:val="24"/>
        </w:rPr>
      </w:pPr>
      <w:r w:rsidRPr="00DC4985">
        <w:rPr>
          <w:rFonts w:ascii="Times New Roman" w:hAnsi="Times New Roman"/>
          <w:b/>
          <w:sz w:val="24"/>
          <w:szCs w:val="24"/>
        </w:rPr>
        <w:t>3. Услуги по снабжению тепловой энергией (отопление и подогрев воды)</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sidRPr="00B74117">
        <w:rPr>
          <w:rFonts w:ascii="Times New Roman" w:hAnsi="Times New Roman"/>
          <w:sz w:val="24"/>
          <w:szCs w:val="24"/>
        </w:rPr>
        <w:t>П</w:t>
      </w:r>
      <w:r w:rsidRPr="00DC4985">
        <w:rPr>
          <w:rFonts w:ascii="Times New Roman" w:hAnsi="Times New Roman"/>
          <w:sz w:val="24"/>
          <w:szCs w:val="24"/>
        </w:rPr>
        <w:t xml:space="preserve">редельные и применяемые тарифы по снабжению тепловой энергией </w:t>
      </w:r>
      <w:r>
        <w:rPr>
          <w:rFonts w:ascii="Times New Roman" w:hAnsi="Times New Roman"/>
          <w:sz w:val="24"/>
          <w:szCs w:val="24"/>
        </w:rPr>
        <w:t xml:space="preserve">                            (</w:t>
      </w:r>
      <w:r w:rsidRPr="00DC4985">
        <w:rPr>
          <w:rFonts w:ascii="Times New Roman" w:hAnsi="Times New Roman"/>
          <w:sz w:val="24"/>
          <w:szCs w:val="24"/>
        </w:rPr>
        <w:t>отопление</w:t>
      </w:r>
      <w:r>
        <w:rPr>
          <w:rFonts w:ascii="Times New Roman" w:hAnsi="Times New Roman"/>
          <w:sz w:val="24"/>
          <w:szCs w:val="24"/>
        </w:rPr>
        <w:t>) представлены следующим образом:</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Pr>
          <w:rFonts w:ascii="Times New Roman" w:hAnsi="Times New Roman"/>
          <w:sz w:val="24"/>
          <w:szCs w:val="24"/>
        </w:rPr>
        <w:t>1) Отопление для</w:t>
      </w:r>
      <w:r w:rsidRPr="00DC4985">
        <w:rPr>
          <w:rFonts w:ascii="Times New Roman" w:hAnsi="Times New Roman"/>
          <w:sz w:val="24"/>
          <w:szCs w:val="24"/>
        </w:rPr>
        <w:t xml:space="preserve"> бытовых нужд</w:t>
      </w:r>
      <w:r>
        <w:rPr>
          <w:rFonts w:ascii="Times New Roman" w:hAnsi="Times New Roman"/>
          <w:sz w:val="24"/>
          <w:szCs w:val="24"/>
        </w:rPr>
        <w:t xml:space="preserve"> населения:</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Pr>
          <w:rFonts w:ascii="Times New Roman" w:hAnsi="Times New Roman"/>
          <w:i/>
          <w:sz w:val="24"/>
          <w:szCs w:val="24"/>
        </w:rPr>
        <w:t xml:space="preserve">а) </w:t>
      </w:r>
      <w:r w:rsidRPr="009F369F">
        <w:rPr>
          <w:rFonts w:ascii="Times New Roman" w:hAnsi="Times New Roman"/>
          <w:i/>
          <w:sz w:val="24"/>
          <w:szCs w:val="24"/>
        </w:rPr>
        <w:t>для социальной категории населения</w:t>
      </w:r>
      <w:r>
        <w:rPr>
          <w:rFonts w:ascii="Times New Roman" w:hAnsi="Times New Roman"/>
          <w:i/>
          <w:sz w:val="24"/>
          <w:szCs w:val="24"/>
        </w:rPr>
        <w:t xml:space="preserve">, </w:t>
      </w:r>
      <w:r w:rsidRPr="00550D07">
        <w:rPr>
          <w:rFonts w:ascii="Times New Roman" w:hAnsi="Times New Roman"/>
          <w:sz w:val="24"/>
          <w:szCs w:val="24"/>
        </w:rPr>
        <w:t>применяемые тарифы</w:t>
      </w:r>
      <w:r w:rsidR="007745D9">
        <w:rPr>
          <w:rFonts w:ascii="Times New Roman" w:hAnsi="Times New Roman"/>
          <w:sz w:val="24"/>
          <w:szCs w:val="24"/>
        </w:rPr>
        <w:t xml:space="preserve"> </w:t>
      </w:r>
      <w:r w:rsidRPr="00DC4985">
        <w:rPr>
          <w:rFonts w:ascii="Times New Roman" w:hAnsi="Times New Roman"/>
          <w:sz w:val="24"/>
          <w:szCs w:val="24"/>
        </w:rPr>
        <w:t>по всем городам и районам республики сохранены на уровне тарифов, действовавших в 2016 году</w:t>
      </w:r>
      <w:r>
        <w:rPr>
          <w:rFonts w:ascii="Times New Roman" w:hAnsi="Times New Roman"/>
          <w:sz w:val="24"/>
          <w:szCs w:val="24"/>
        </w:rPr>
        <w:t xml:space="preserve">, за исключением </w:t>
      </w:r>
      <w:r w:rsidRPr="00DC4985">
        <w:rPr>
          <w:rFonts w:ascii="Times New Roman" w:hAnsi="Times New Roman"/>
          <w:sz w:val="24"/>
          <w:szCs w:val="24"/>
        </w:rPr>
        <w:t>г. Бендеры</w:t>
      </w:r>
      <w:r>
        <w:rPr>
          <w:rFonts w:ascii="Times New Roman" w:hAnsi="Times New Roman"/>
          <w:sz w:val="24"/>
          <w:szCs w:val="24"/>
        </w:rPr>
        <w:t xml:space="preserve"> (-1,0%)</w:t>
      </w:r>
      <w:r w:rsidRPr="00DC4985">
        <w:rPr>
          <w:rFonts w:ascii="Times New Roman" w:hAnsi="Times New Roman"/>
          <w:sz w:val="24"/>
          <w:szCs w:val="24"/>
        </w:rPr>
        <w:t xml:space="preserve">,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w:t>
      </w:r>
      <w:r w:rsidR="007745D9">
        <w:rPr>
          <w:rFonts w:ascii="Times New Roman" w:hAnsi="Times New Roman"/>
          <w:sz w:val="24"/>
          <w:szCs w:val="24"/>
        </w:rPr>
        <w:t xml:space="preserve"> </w:t>
      </w:r>
      <w:proofErr w:type="gramStart"/>
      <w:r w:rsidRPr="00DC4985">
        <w:rPr>
          <w:rFonts w:ascii="Times New Roman" w:hAnsi="Times New Roman"/>
          <w:sz w:val="24"/>
          <w:szCs w:val="24"/>
        </w:rPr>
        <w:t>с</w:t>
      </w:r>
      <w:proofErr w:type="gramEnd"/>
      <w:r w:rsidRPr="00DC4985">
        <w:rPr>
          <w:rFonts w:ascii="Times New Roman" w:hAnsi="Times New Roman"/>
          <w:sz w:val="24"/>
          <w:szCs w:val="24"/>
        </w:rPr>
        <w:t>. Незавертайловка</w:t>
      </w:r>
      <w:r>
        <w:rPr>
          <w:rFonts w:ascii="Times New Roman" w:hAnsi="Times New Roman"/>
          <w:sz w:val="24"/>
          <w:szCs w:val="24"/>
        </w:rPr>
        <w:t xml:space="preserve"> (-15,4%). П</w:t>
      </w:r>
      <w:r w:rsidRPr="00DC4985">
        <w:rPr>
          <w:rFonts w:ascii="Times New Roman" w:hAnsi="Times New Roman"/>
          <w:sz w:val="24"/>
          <w:szCs w:val="24"/>
        </w:rPr>
        <w:t>рименяемы</w:t>
      </w:r>
      <w:r>
        <w:rPr>
          <w:rFonts w:ascii="Times New Roman" w:hAnsi="Times New Roman"/>
          <w:sz w:val="24"/>
          <w:szCs w:val="24"/>
        </w:rPr>
        <w:t>е</w:t>
      </w:r>
      <w:r w:rsidRPr="00DC4985">
        <w:rPr>
          <w:rFonts w:ascii="Times New Roman" w:hAnsi="Times New Roman"/>
          <w:sz w:val="24"/>
          <w:szCs w:val="24"/>
        </w:rPr>
        <w:t xml:space="preserve"> тариф</w:t>
      </w:r>
      <w:r>
        <w:rPr>
          <w:rFonts w:ascii="Times New Roman" w:hAnsi="Times New Roman"/>
          <w:sz w:val="24"/>
          <w:szCs w:val="24"/>
        </w:rPr>
        <w:t>ы</w:t>
      </w:r>
      <w:r w:rsidRPr="00DC4985">
        <w:rPr>
          <w:rFonts w:ascii="Times New Roman" w:hAnsi="Times New Roman"/>
          <w:sz w:val="24"/>
          <w:szCs w:val="24"/>
        </w:rPr>
        <w:t xml:space="preserve"> снижен</w:t>
      </w:r>
      <w:r>
        <w:rPr>
          <w:rFonts w:ascii="Times New Roman" w:hAnsi="Times New Roman"/>
          <w:sz w:val="24"/>
          <w:szCs w:val="24"/>
        </w:rPr>
        <w:t>ы</w:t>
      </w:r>
      <w:r w:rsidR="007745D9">
        <w:rPr>
          <w:rFonts w:ascii="Times New Roman" w:hAnsi="Times New Roman"/>
          <w:sz w:val="24"/>
          <w:szCs w:val="24"/>
        </w:rPr>
        <w:t xml:space="preserve"> </w:t>
      </w:r>
      <w:r w:rsidRPr="00DC4985">
        <w:rPr>
          <w:rFonts w:ascii="Times New Roman" w:hAnsi="Times New Roman"/>
          <w:sz w:val="24"/>
          <w:szCs w:val="24"/>
        </w:rPr>
        <w:t>на 6,9-7,0%% относительно предельн</w:t>
      </w:r>
      <w:r>
        <w:rPr>
          <w:rFonts w:ascii="Times New Roman" w:hAnsi="Times New Roman"/>
          <w:sz w:val="24"/>
          <w:szCs w:val="24"/>
        </w:rPr>
        <w:t>ых</w:t>
      </w:r>
      <w:r w:rsidRPr="00DC4985">
        <w:rPr>
          <w:rFonts w:ascii="Times New Roman" w:hAnsi="Times New Roman"/>
          <w:sz w:val="24"/>
          <w:szCs w:val="24"/>
        </w:rPr>
        <w:t xml:space="preserve"> уровн</w:t>
      </w:r>
      <w:r>
        <w:rPr>
          <w:rFonts w:ascii="Times New Roman" w:hAnsi="Times New Roman"/>
          <w:sz w:val="24"/>
          <w:szCs w:val="24"/>
        </w:rPr>
        <w:t>ей</w:t>
      </w:r>
      <w:r w:rsidRPr="00DC4985">
        <w:rPr>
          <w:rFonts w:ascii="Times New Roman" w:hAnsi="Times New Roman"/>
          <w:sz w:val="24"/>
          <w:szCs w:val="24"/>
        </w:rPr>
        <w:t xml:space="preserve"> тариф</w:t>
      </w:r>
      <w:r>
        <w:rPr>
          <w:rFonts w:ascii="Times New Roman" w:hAnsi="Times New Roman"/>
          <w:sz w:val="24"/>
          <w:szCs w:val="24"/>
        </w:rPr>
        <w:t>ов,</w:t>
      </w:r>
      <w:r w:rsidR="007745D9">
        <w:rPr>
          <w:rFonts w:ascii="Times New Roman" w:hAnsi="Times New Roman"/>
          <w:sz w:val="24"/>
          <w:szCs w:val="24"/>
        </w:rPr>
        <w:t xml:space="preserve"> </w:t>
      </w:r>
      <w:r w:rsidRPr="008552BF">
        <w:rPr>
          <w:rFonts w:ascii="Times New Roman" w:hAnsi="Times New Roman"/>
          <w:sz w:val="24"/>
          <w:szCs w:val="24"/>
          <w:lang w:eastAsia="en-US"/>
        </w:rPr>
        <w:t>утвержденных на 2017 год</w:t>
      </w:r>
      <w:r>
        <w:rPr>
          <w:rFonts w:ascii="Times New Roman" w:hAnsi="Times New Roman"/>
          <w:sz w:val="24"/>
          <w:szCs w:val="24"/>
        </w:rPr>
        <w:t>;</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Pr>
          <w:rFonts w:ascii="Times New Roman" w:hAnsi="Times New Roman"/>
          <w:i/>
          <w:sz w:val="24"/>
          <w:szCs w:val="24"/>
        </w:rPr>
        <w:t xml:space="preserve">б) </w:t>
      </w:r>
      <w:r w:rsidRPr="009F369F">
        <w:rPr>
          <w:rFonts w:ascii="Times New Roman" w:hAnsi="Times New Roman"/>
          <w:i/>
          <w:sz w:val="24"/>
          <w:szCs w:val="24"/>
        </w:rPr>
        <w:t xml:space="preserve">для </w:t>
      </w:r>
      <w:r>
        <w:rPr>
          <w:rFonts w:ascii="Times New Roman" w:hAnsi="Times New Roman"/>
          <w:i/>
          <w:sz w:val="24"/>
          <w:szCs w:val="24"/>
        </w:rPr>
        <w:t>иных физических лиц</w:t>
      </w:r>
      <w:r>
        <w:rPr>
          <w:rFonts w:ascii="Times New Roman" w:hAnsi="Times New Roman"/>
          <w:sz w:val="24"/>
          <w:szCs w:val="24"/>
        </w:rPr>
        <w:t>,</w:t>
      </w:r>
      <w:r w:rsidR="007745D9">
        <w:rPr>
          <w:rFonts w:ascii="Times New Roman" w:hAnsi="Times New Roman"/>
          <w:sz w:val="24"/>
          <w:szCs w:val="24"/>
        </w:rPr>
        <w:t xml:space="preserve"> </w:t>
      </w:r>
      <w:r>
        <w:rPr>
          <w:rFonts w:ascii="Times New Roman" w:hAnsi="Times New Roman"/>
          <w:sz w:val="24"/>
          <w:szCs w:val="24"/>
        </w:rPr>
        <w:t xml:space="preserve">применяемые тарифы </w:t>
      </w:r>
      <w:r w:rsidRPr="00DC4985">
        <w:rPr>
          <w:rFonts w:ascii="Times New Roman" w:hAnsi="Times New Roman"/>
          <w:sz w:val="24"/>
          <w:szCs w:val="24"/>
        </w:rPr>
        <w:t>по всем городам и районам республики сохранены на уровне тарифов, действовавших в 2016 году</w:t>
      </w:r>
      <w:r>
        <w:rPr>
          <w:rFonts w:ascii="Times New Roman" w:hAnsi="Times New Roman"/>
          <w:sz w:val="24"/>
          <w:szCs w:val="24"/>
        </w:rPr>
        <w:t xml:space="preserve">, за исключением           </w:t>
      </w:r>
      <w:r w:rsidRPr="00DC4985">
        <w:rPr>
          <w:rFonts w:ascii="Times New Roman" w:hAnsi="Times New Roman"/>
          <w:sz w:val="24"/>
          <w:szCs w:val="24"/>
        </w:rPr>
        <w:t>г. Бендеры</w:t>
      </w:r>
      <w:r>
        <w:rPr>
          <w:rFonts w:ascii="Times New Roman" w:hAnsi="Times New Roman"/>
          <w:sz w:val="24"/>
          <w:szCs w:val="24"/>
        </w:rPr>
        <w:t xml:space="preserve"> (-0,7%)</w:t>
      </w:r>
      <w:r w:rsidRPr="00DC4985">
        <w:rPr>
          <w:rFonts w:ascii="Times New Roman" w:hAnsi="Times New Roman"/>
          <w:sz w:val="24"/>
          <w:szCs w:val="24"/>
        </w:rPr>
        <w:t xml:space="preserve">,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w:t>
      </w:r>
      <w:r w:rsidR="007745D9">
        <w:rPr>
          <w:rFonts w:ascii="Times New Roman" w:hAnsi="Times New Roman"/>
          <w:sz w:val="24"/>
          <w:szCs w:val="24"/>
        </w:rPr>
        <w:t xml:space="preserve"> </w:t>
      </w:r>
      <w:proofErr w:type="gramStart"/>
      <w:r w:rsidRPr="00DC4985">
        <w:rPr>
          <w:rFonts w:ascii="Times New Roman" w:hAnsi="Times New Roman"/>
          <w:sz w:val="24"/>
          <w:szCs w:val="24"/>
        </w:rPr>
        <w:t>с</w:t>
      </w:r>
      <w:proofErr w:type="gramEnd"/>
      <w:r w:rsidRPr="00DC4985">
        <w:rPr>
          <w:rFonts w:ascii="Times New Roman" w:hAnsi="Times New Roman"/>
          <w:sz w:val="24"/>
          <w:szCs w:val="24"/>
        </w:rPr>
        <w:t>. Незавертайловка</w:t>
      </w:r>
      <w:r>
        <w:rPr>
          <w:rFonts w:ascii="Times New Roman" w:hAnsi="Times New Roman"/>
          <w:sz w:val="24"/>
          <w:szCs w:val="24"/>
        </w:rPr>
        <w:t xml:space="preserve"> (-15,3%). П</w:t>
      </w:r>
      <w:r w:rsidRPr="00DC4985">
        <w:rPr>
          <w:rFonts w:ascii="Times New Roman" w:hAnsi="Times New Roman"/>
          <w:sz w:val="24"/>
          <w:szCs w:val="24"/>
        </w:rPr>
        <w:t>рименяемы</w:t>
      </w:r>
      <w:r>
        <w:rPr>
          <w:rFonts w:ascii="Times New Roman" w:hAnsi="Times New Roman"/>
          <w:sz w:val="24"/>
          <w:szCs w:val="24"/>
        </w:rPr>
        <w:t>е</w:t>
      </w:r>
      <w:r w:rsidRPr="00DC4985">
        <w:rPr>
          <w:rFonts w:ascii="Times New Roman" w:hAnsi="Times New Roman"/>
          <w:sz w:val="24"/>
          <w:szCs w:val="24"/>
        </w:rPr>
        <w:t xml:space="preserve"> тариф</w:t>
      </w:r>
      <w:r>
        <w:rPr>
          <w:rFonts w:ascii="Times New Roman" w:hAnsi="Times New Roman"/>
          <w:sz w:val="24"/>
          <w:szCs w:val="24"/>
        </w:rPr>
        <w:t>ы</w:t>
      </w:r>
      <w:r w:rsidRPr="00DC4985">
        <w:rPr>
          <w:rFonts w:ascii="Times New Roman" w:hAnsi="Times New Roman"/>
          <w:sz w:val="24"/>
          <w:szCs w:val="24"/>
        </w:rPr>
        <w:t xml:space="preserve"> для </w:t>
      </w:r>
      <w:r>
        <w:rPr>
          <w:rFonts w:ascii="Times New Roman" w:hAnsi="Times New Roman"/>
          <w:sz w:val="24"/>
          <w:szCs w:val="24"/>
        </w:rPr>
        <w:t xml:space="preserve">данной категории населения </w:t>
      </w:r>
      <w:r w:rsidRPr="00DC4985">
        <w:rPr>
          <w:rFonts w:ascii="Times New Roman" w:hAnsi="Times New Roman"/>
          <w:sz w:val="24"/>
          <w:szCs w:val="24"/>
        </w:rPr>
        <w:t>сохранен</w:t>
      </w:r>
      <w:r>
        <w:rPr>
          <w:rFonts w:ascii="Times New Roman" w:hAnsi="Times New Roman"/>
          <w:sz w:val="24"/>
          <w:szCs w:val="24"/>
        </w:rPr>
        <w:t>ы</w:t>
      </w:r>
      <w:r w:rsidRPr="00DC4985">
        <w:rPr>
          <w:rFonts w:ascii="Times New Roman" w:hAnsi="Times New Roman"/>
          <w:sz w:val="24"/>
          <w:szCs w:val="24"/>
        </w:rPr>
        <w:t xml:space="preserve"> на уровне предельн</w:t>
      </w:r>
      <w:r>
        <w:rPr>
          <w:rFonts w:ascii="Times New Roman" w:hAnsi="Times New Roman"/>
          <w:sz w:val="24"/>
          <w:szCs w:val="24"/>
        </w:rPr>
        <w:t>ых</w:t>
      </w:r>
      <w:r w:rsidRPr="00DC4985">
        <w:rPr>
          <w:rFonts w:ascii="Times New Roman" w:hAnsi="Times New Roman"/>
          <w:sz w:val="24"/>
          <w:szCs w:val="24"/>
        </w:rPr>
        <w:t xml:space="preserve"> уровн</w:t>
      </w:r>
      <w:r>
        <w:rPr>
          <w:rFonts w:ascii="Times New Roman" w:hAnsi="Times New Roman"/>
          <w:sz w:val="24"/>
          <w:szCs w:val="24"/>
        </w:rPr>
        <w:t>ей</w:t>
      </w:r>
      <w:r w:rsidRPr="00DC4985">
        <w:rPr>
          <w:rFonts w:ascii="Times New Roman" w:hAnsi="Times New Roman"/>
          <w:sz w:val="24"/>
          <w:szCs w:val="24"/>
        </w:rPr>
        <w:t xml:space="preserve"> тарифов</w:t>
      </w:r>
      <w:r>
        <w:rPr>
          <w:rFonts w:ascii="Times New Roman" w:hAnsi="Times New Roman"/>
          <w:sz w:val="24"/>
          <w:szCs w:val="24"/>
        </w:rPr>
        <w:t>,</w:t>
      </w:r>
      <w:r w:rsidR="007745D9">
        <w:rPr>
          <w:rFonts w:ascii="Times New Roman" w:hAnsi="Times New Roman"/>
          <w:sz w:val="24"/>
          <w:szCs w:val="24"/>
        </w:rPr>
        <w:t xml:space="preserve"> </w:t>
      </w:r>
      <w:r w:rsidRPr="008552BF">
        <w:rPr>
          <w:rFonts w:ascii="Times New Roman" w:hAnsi="Times New Roman"/>
          <w:sz w:val="24"/>
          <w:szCs w:val="24"/>
          <w:lang w:eastAsia="en-US"/>
        </w:rPr>
        <w:t>утвержденных на 2017 год</w:t>
      </w:r>
      <w:r>
        <w:rPr>
          <w:rFonts w:ascii="Times New Roman" w:hAnsi="Times New Roman"/>
          <w:sz w:val="24"/>
          <w:szCs w:val="24"/>
          <w:lang w:eastAsia="en-US"/>
        </w:rPr>
        <w:t>.</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DC4985">
        <w:rPr>
          <w:rFonts w:ascii="Times New Roman" w:hAnsi="Times New Roman"/>
          <w:sz w:val="24"/>
          <w:szCs w:val="24"/>
        </w:rPr>
        <w:t>2) Подогрев воды для бытовых нужд населения при наличии приборов учета тепловой энергии:</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Pr>
          <w:rFonts w:ascii="Times New Roman" w:hAnsi="Times New Roman"/>
          <w:i/>
          <w:sz w:val="24"/>
          <w:szCs w:val="24"/>
        </w:rPr>
        <w:t xml:space="preserve">а) </w:t>
      </w:r>
      <w:r w:rsidRPr="009F369F">
        <w:rPr>
          <w:rFonts w:ascii="Times New Roman" w:hAnsi="Times New Roman"/>
          <w:i/>
          <w:sz w:val="24"/>
          <w:szCs w:val="24"/>
        </w:rPr>
        <w:t>для социальной категории населения</w:t>
      </w:r>
      <w:r>
        <w:rPr>
          <w:rFonts w:ascii="Times New Roman" w:hAnsi="Times New Roman"/>
          <w:sz w:val="24"/>
          <w:szCs w:val="24"/>
        </w:rPr>
        <w:t xml:space="preserve">, применяемые тарифы </w:t>
      </w:r>
      <w:r w:rsidRPr="00DC4985">
        <w:rPr>
          <w:rFonts w:ascii="Times New Roman" w:hAnsi="Times New Roman"/>
          <w:sz w:val="24"/>
          <w:szCs w:val="24"/>
        </w:rPr>
        <w:t>по всем городам и районам республики сохранены на уровне тарифов, действовавших в 2016 году</w:t>
      </w:r>
      <w:r>
        <w:rPr>
          <w:rFonts w:ascii="Times New Roman" w:hAnsi="Times New Roman"/>
          <w:sz w:val="24"/>
          <w:szCs w:val="24"/>
        </w:rPr>
        <w:t xml:space="preserve">, за исключением </w:t>
      </w:r>
      <w:r w:rsidRPr="00DC4985">
        <w:rPr>
          <w:rFonts w:ascii="Times New Roman" w:hAnsi="Times New Roman"/>
          <w:sz w:val="24"/>
          <w:szCs w:val="24"/>
        </w:rPr>
        <w:t>г. Бендеры</w:t>
      </w:r>
      <w:r>
        <w:rPr>
          <w:rFonts w:ascii="Times New Roman" w:hAnsi="Times New Roman"/>
          <w:sz w:val="24"/>
          <w:szCs w:val="24"/>
        </w:rPr>
        <w:t xml:space="preserve"> (-3,0%)</w:t>
      </w:r>
      <w:r w:rsidRPr="00DC4985">
        <w:rPr>
          <w:rFonts w:ascii="Times New Roman" w:hAnsi="Times New Roman"/>
          <w:sz w:val="24"/>
          <w:szCs w:val="24"/>
        </w:rPr>
        <w:t xml:space="preserve">,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w:t>
      </w:r>
      <w:r w:rsidR="007745D9">
        <w:rPr>
          <w:rFonts w:ascii="Times New Roman" w:hAnsi="Times New Roman"/>
          <w:sz w:val="24"/>
          <w:szCs w:val="24"/>
        </w:rPr>
        <w:t xml:space="preserve"> </w:t>
      </w:r>
      <w:proofErr w:type="gramStart"/>
      <w:r w:rsidRPr="00DC4985">
        <w:rPr>
          <w:rFonts w:ascii="Times New Roman" w:hAnsi="Times New Roman"/>
          <w:sz w:val="24"/>
          <w:szCs w:val="24"/>
        </w:rPr>
        <w:t>с</w:t>
      </w:r>
      <w:proofErr w:type="gramEnd"/>
      <w:r w:rsidRPr="00DC4985">
        <w:rPr>
          <w:rFonts w:ascii="Times New Roman" w:hAnsi="Times New Roman"/>
          <w:sz w:val="24"/>
          <w:szCs w:val="24"/>
        </w:rPr>
        <w:t>. Незавертайловка</w:t>
      </w:r>
      <w:r>
        <w:rPr>
          <w:rFonts w:ascii="Times New Roman" w:hAnsi="Times New Roman"/>
          <w:sz w:val="24"/>
          <w:szCs w:val="24"/>
        </w:rPr>
        <w:t xml:space="preserve"> (-15,3%). П</w:t>
      </w:r>
      <w:r w:rsidRPr="00DC4985">
        <w:rPr>
          <w:rFonts w:ascii="Times New Roman" w:hAnsi="Times New Roman"/>
          <w:sz w:val="24"/>
          <w:szCs w:val="24"/>
        </w:rPr>
        <w:t>рименяемы</w:t>
      </w:r>
      <w:r>
        <w:rPr>
          <w:rFonts w:ascii="Times New Roman" w:hAnsi="Times New Roman"/>
          <w:sz w:val="24"/>
          <w:szCs w:val="24"/>
        </w:rPr>
        <w:t>е</w:t>
      </w:r>
      <w:r w:rsidRPr="00DC4985">
        <w:rPr>
          <w:rFonts w:ascii="Times New Roman" w:hAnsi="Times New Roman"/>
          <w:sz w:val="24"/>
          <w:szCs w:val="24"/>
        </w:rPr>
        <w:t xml:space="preserve"> тариф</w:t>
      </w:r>
      <w:r>
        <w:rPr>
          <w:rFonts w:ascii="Times New Roman" w:hAnsi="Times New Roman"/>
          <w:sz w:val="24"/>
          <w:szCs w:val="24"/>
        </w:rPr>
        <w:t>ы</w:t>
      </w:r>
      <w:r w:rsidR="007745D9">
        <w:rPr>
          <w:rFonts w:ascii="Times New Roman" w:hAnsi="Times New Roman"/>
          <w:sz w:val="24"/>
          <w:szCs w:val="24"/>
        </w:rPr>
        <w:t xml:space="preserve"> </w:t>
      </w:r>
      <w:r>
        <w:rPr>
          <w:rFonts w:ascii="Times New Roman" w:hAnsi="Times New Roman"/>
          <w:sz w:val="24"/>
          <w:szCs w:val="24"/>
        </w:rPr>
        <w:t xml:space="preserve">по всем категориям потребителей </w:t>
      </w:r>
      <w:r w:rsidRPr="00DC4985">
        <w:rPr>
          <w:rFonts w:ascii="Times New Roman" w:hAnsi="Times New Roman"/>
          <w:sz w:val="24"/>
          <w:szCs w:val="24"/>
        </w:rPr>
        <w:t>снижен</w:t>
      </w:r>
      <w:r>
        <w:rPr>
          <w:rFonts w:ascii="Times New Roman" w:hAnsi="Times New Roman"/>
          <w:sz w:val="24"/>
          <w:szCs w:val="24"/>
        </w:rPr>
        <w:t>ы</w:t>
      </w:r>
      <w:r w:rsidR="007745D9">
        <w:rPr>
          <w:rFonts w:ascii="Times New Roman" w:hAnsi="Times New Roman"/>
          <w:sz w:val="24"/>
          <w:szCs w:val="24"/>
        </w:rPr>
        <w:t xml:space="preserve"> </w:t>
      </w:r>
      <w:r w:rsidRPr="00DC4985">
        <w:rPr>
          <w:rFonts w:ascii="Times New Roman" w:hAnsi="Times New Roman"/>
          <w:sz w:val="24"/>
          <w:szCs w:val="24"/>
        </w:rPr>
        <w:t>на 7,0% относительно предельн</w:t>
      </w:r>
      <w:r>
        <w:rPr>
          <w:rFonts w:ascii="Times New Roman" w:hAnsi="Times New Roman"/>
          <w:sz w:val="24"/>
          <w:szCs w:val="24"/>
        </w:rPr>
        <w:t>ых</w:t>
      </w:r>
      <w:r w:rsidRPr="00DC4985">
        <w:rPr>
          <w:rFonts w:ascii="Times New Roman" w:hAnsi="Times New Roman"/>
          <w:sz w:val="24"/>
          <w:szCs w:val="24"/>
        </w:rPr>
        <w:t xml:space="preserve"> уровн</w:t>
      </w:r>
      <w:r>
        <w:rPr>
          <w:rFonts w:ascii="Times New Roman" w:hAnsi="Times New Roman"/>
          <w:sz w:val="24"/>
          <w:szCs w:val="24"/>
        </w:rPr>
        <w:t>ей</w:t>
      </w:r>
      <w:r w:rsidRPr="00DC4985">
        <w:rPr>
          <w:rFonts w:ascii="Times New Roman" w:hAnsi="Times New Roman"/>
          <w:sz w:val="24"/>
          <w:szCs w:val="24"/>
        </w:rPr>
        <w:t xml:space="preserve"> тариф</w:t>
      </w:r>
      <w:r>
        <w:rPr>
          <w:rFonts w:ascii="Times New Roman" w:hAnsi="Times New Roman"/>
          <w:sz w:val="24"/>
          <w:szCs w:val="24"/>
        </w:rPr>
        <w:t>ов,</w:t>
      </w:r>
      <w:r w:rsidR="007745D9">
        <w:rPr>
          <w:rFonts w:ascii="Times New Roman" w:hAnsi="Times New Roman"/>
          <w:sz w:val="24"/>
          <w:szCs w:val="24"/>
        </w:rPr>
        <w:t xml:space="preserve"> </w:t>
      </w:r>
      <w:r w:rsidRPr="008552BF">
        <w:rPr>
          <w:rFonts w:ascii="Times New Roman" w:hAnsi="Times New Roman"/>
          <w:sz w:val="24"/>
          <w:szCs w:val="24"/>
          <w:lang w:eastAsia="en-US"/>
        </w:rPr>
        <w:t>утвержденных на 2017 год</w:t>
      </w:r>
      <w:r>
        <w:rPr>
          <w:rFonts w:ascii="Times New Roman" w:hAnsi="Times New Roman"/>
          <w:sz w:val="24"/>
          <w:szCs w:val="24"/>
        </w:rPr>
        <w:t>;</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Pr>
          <w:rFonts w:ascii="Times New Roman" w:hAnsi="Times New Roman"/>
          <w:i/>
          <w:sz w:val="24"/>
          <w:szCs w:val="24"/>
        </w:rPr>
        <w:t xml:space="preserve">б) </w:t>
      </w:r>
      <w:r w:rsidRPr="009F369F">
        <w:rPr>
          <w:rFonts w:ascii="Times New Roman" w:hAnsi="Times New Roman"/>
          <w:i/>
          <w:sz w:val="24"/>
          <w:szCs w:val="24"/>
        </w:rPr>
        <w:t xml:space="preserve">для </w:t>
      </w:r>
      <w:r>
        <w:rPr>
          <w:rFonts w:ascii="Times New Roman" w:hAnsi="Times New Roman"/>
          <w:i/>
          <w:sz w:val="24"/>
          <w:szCs w:val="24"/>
        </w:rPr>
        <w:t>иных физических лиц</w:t>
      </w:r>
      <w:r>
        <w:rPr>
          <w:rFonts w:ascii="Times New Roman" w:hAnsi="Times New Roman"/>
          <w:sz w:val="24"/>
          <w:szCs w:val="24"/>
        </w:rPr>
        <w:t>,</w:t>
      </w:r>
      <w:r w:rsidR="007745D9">
        <w:rPr>
          <w:rFonts w:ascii="Times New Roman" w:hAnsi="Times New Roman"/>
          <w:sz w:val="24"/>
          <w:szCs w:val="24"/>
        </w:rPr>
        <w:t xml:space="preserve"> </w:t>
      </w:r>
      <w:r>
        <w:rPr>
          <w:rFonts w:ascii="Times New Roman" w:hAnsi="Times New Roman"/>
          <w:sz w:val="24"/>
          <w:szCs w:val="24"/>
        </w:rPr>
        <w:t xml:space="preserve">применяемые тарифы </w:t>
      </w:r>
      <w:r w:rsidRPr="00DC4985">
        <w:rPr>
          <w:rFonts w:ascii="Times New Roman" w:hAnsi="Times New Roman"/>
          <w:sz w:val="24"/>
          <w:szCs w:val="24"/>
        </w:rPr>
        <w:t>по всем городам и районам республики сохранены на уровне тарифов, действовавших в 2016 году</w:t>
      </w:r>
      <w:r>
        <w:rPr>
          <w:rFonts w:ascii="Times New Roman" w:hAnsi="Times New Roman"/>
          <w:sz w:val="24"/>
          <w:szCs w:val="24"/>
        </w:rPr>
        <w:t xml:space="preserve">, за исключением           </w:t>
      </w:r>
      <w:r w:rsidRPr="00DC4985">
        <w:rPr>
          <w:rFonts w:ascii="Times New Roman" w:hAnsi="Times New Roman"/>
          <w:sz w:val="24"/>
          <w:szCs w:val="24"/>
        </w:rPr>
        <w:t>г. Бендеры</w:t>
      </w:r>
      <w:r>
        <w:rPr>
          <w:rFonts w:ascii="Times New Roman" w:hAnsi="Times New Roman"/>
          <w:sz w:val="24"/>
          <w:szCs w:val="24"/>
        </w:rPr>
        <w:t xml:space="preserve"> (-2,5%)</w:t>
      </w:r>
      <w:r w:rsidRPr="00DC4985">
        <w:rPr>
          <w:rFonts w:ascii="Times New Roman" w:hAnsi="Times New Roman"/>
          <w:sz w:val="24"/>
          <w:szCs w:val="24"/>
        </w:rPr>
        <w:t xml:space="preserve">,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w:t>
      </w:r>
      <w:r w:rsidR="007745D9">
        <w:rPr>
          <w:rFonts w:ascii="Times New Roman" w:hAnsi="Times New Roman"/>
          <w:sz w:val="24"/>
          <w:szCs w:val="24"/>
        </w:rPr>
        <w:t xml:space="preserve"> </w:t>
      </w:r>
      <w:proofErr w:type="gramStart"/>
      <w:r w:rsidRPr="00DC4985">
        <w:rPr>
          <w:rFonts w:ascii="Times New Roman" w:hAnsi="Times New Roman"/>
          <w:sz w:val="24"/>
          <w:szCs w:val="24"/>
        </w:rPr>
        <w:t>с</w:t>
      </w:r>
      <w:proofErr w:type="gramEnd"/>
      <w:r w:rsidRPr="00DC4985">
        <w:rPr>
          <w:rFonts w:ascii="Times New Roman" w:hAnsi="Times New Roman"/>
          <w:sz w:val="24"/>
          <w:szCs w:val="24"/>
        </w:rPr>
        <w:t>. Незавертайловка</w:t>
      </w:r>
      <w:r>
        <w:rPr>
          <w:rFonts w:ascii="Times New Roman" w:hAnsi="Times New Roman"/>
          <w:sz w:val="24"/>
          <w:szCs w:val="24"/>
        </w:rPr>
        <w:t xml:space="preserve"> (-15,3%). П</w:t>
      </w:r>
      <w:r w:rsidRPr="00DC4985">
        <w:rPr>
          <w:rFonts w:ascii="Times New Roman" w:hAnsi="Times New Roman"/>
          <w:sz w:val="24"/>
          <w:szCs w:val="24"/>
        </w:rPr>
        <w:t>рименяемы</w:t>
      </w:r>
      <w:r>
        <w:rPr>
          <w:rFonts w:ascii="Times New Roman" w:hAnsi="Times New Roman"/>
          <w:sz w:val="24"/>
          <w:szCs w:val="24"/>
        </w:rPr>
        <w:t>е</w:t>
      </w:r>
      <w:r w:rsidRPr="00DC4985">
        <w:rPr>
          <w:rFonts w:ascii="Times New Roman" w:hAnsi="Times New Roman"/>
          <w:sz w:val="24"/>
          <w:szCs w:val="24"/>
        </w:rPr>
        <w:t xml:space="preserve"> тариф</w:t>
      </w:r>
      <w:r>
        <w:rPr>
          <w:rFonts w:ascii="Times New Roman" w:hAnsi="Times New Roman"/>
          <w:sz w:val="24"/>
          <w:szCs w:val="24"/>
        </w:rPr>
        <w:t>ы</w:t>
      </w:r>
      <w:r w:rsidRPr="00DC4985">
        <w:rPr>
          <w:rFonts w:ascii="Times New Roman" w:hAnsi="Times New Roman"/>
          <w:sz w:val="24"/>
          <w:szCs w:val="24"/>
        </w:rPr>
        <w:t xml:space="preserve"> для </w:t>
      </w:r>
      <w:r>
        <w:rPr>
          <w:rFonts w:ascii="Times New Roman" w:hAnsi="Times New Roman"/>
          <w:sz w:val="24"/>
          <w:szCs w:val="24"/>
        </w:rPr>
        <w:t xml:space="preserve">данной категории населения </w:t>
      </w:r>
      <w:r w:rsidRPr="00DC4985">
        <w:rPr>
          <w:rFonts w:ascii="Times New Roman" w:hAnsi="Times New Roman"/>
          <w:sz w:val="24"/>
          <w:szCs w:val="24"/>
        </w:rPr>
        <w:t>сохранен</w:t>
      </w:r>
      <w:r>
        <w:rPr>
          <w:rFonts w:ascii="Times New Roman" w:hAnsi="Times New Roman"/>
          <w:sz w:val="24"/>
          <w:szCs w:val="24"/>
        </w:rPr>
        <w:t>ы</w:t>
      </w:r>
      <w:r w:rsidRPr="00DC4985">
        <w:rPr>
          <w:rFonts w:ascii="Times New Roman" w:hAnsi="Times New Roman"/>
          <w:sz w:val="24"/>
          <w:szCs w:val="24"/>
        </w:rPr>
        <w:t xml:space="preserve"> на уровне предельн</w:t>
      </w:r>
      <w:r>
        <w:rPr>
          <w:rFonts w:ascii="Times New Roman" w:hAnsi="Times New Roman"/>
          <w:sz w:val="24"/>
          <w:szCs w:val="24"/>
        </w:rPr>
        <w:t>ых</w:t>
      </w:r>
      <w:r w:rsidRPr="00DC4985">
        <w:rPr>
          <w:rFonts w:ascii="Times New Roman" w:hAnsi="Times New Roman"/>
          <w:sz w:val="24"/>
          <w:szCs w:val="24"/>
        </w:rPr>
        <w:t xml:space="preserve"> уровн</w:t>
      </w:r>
      <w:r>
        <w:rPr>
          <w:rFonts w:ascii="Times New Roman" w:hAnsi="Times New Roman"/>
          <w:sz w:val="24"/>
          <w:szCs w:val="24"/>
        </w:rPr>
        <w:t>ей</w:t>
      </w:r>
      <w:r w:rsidRPr="00DC4985">
        <w:rPr>
          <w:rFonts w:ascii="Times New Roman" w:hAnsi="Times New Roman"/>
          <w:sz w:val="24"/>
          <w:szCs w:val="24"/>
        </w:rPr>
        <w:t xml:space="preserve"> тарифов</w:t>
      </w:r>
      <w:r>
        <w:rPr>
          <w:rFonts w:ascii="Times New Roman" w:hAnsi="Times New Roman"/>
          <w:sz w:val="24"/>
          <w:szCs w:val="24"/>
        </w:rPr>
        <w:t>,</w:t>
      </w:r>
      <w:r w:rsidR="007745D9">
        <w:rPr>
          <w:rFonts w:ascii="Times New Roman" w:hAnsi="Times New Roman"/>
          <w:sz w:val="24"/>
          <w:szCs w:val="24"/>
        </w:rPr>
        <w:t xml:space="preserve"> </w:t>
      </w:r>
      <w:r w:rsidRPr="008552BF">
        <w:rPr>
          <w:rFonts w:ascii="Times New Roman" w:hAnsi="Times New Roman"/>
          <w:sz w:val="24"/>
          <w:szCs w:val="24"/>
          <w:lang w:eastAsia="en-US"/>
        </w:rPr>
        <w:t>утвержденных  на 2017 год</w:t>
      </w:r>
      <w:r>
        <w:rPr>
          <w:rFonts w:ascii="Times New Roman" w:hAnsi="Times New Roman"/>
          <w:sz w:val="24"/>
          <w:szCs w:val="24"/>
          <w:lang w:eastAsia="en-US"/>
        </w:rPr>
        <w:t>.</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3</w:t>
      </w:r>
      <w:r w:rsidRPr="00DC4985">
        <w:rPr>
          <w:rFonts w:ascii="Times New Roman" w:hAnsi="Times New Roman"/>
          <w:sz w:val="24"/>
          <w:szCs w:val="24"/>
        </w:rPr>
        <w:t>) Подогрев воды для бытовых нужд населения при отсутствии приборов учета тепловой энергии в домах со всеми удобствами:</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Pr>
          <w:rFonts w:ascii="Times New Roman" w:hAnsi="Times New Roman"/>
          <w:i/>
          <w:sz w:val="24"/>
          <w:szCs w:val="24"/>
        </w:rPr>
        <w:t xml:space="preserve">а) </w:t>
      </w:r>
      <w:r w:rsidRPr="009F369F">
        <w:rPr>
          <w:rFonts w:ascii="Times New Roman" w:hAnsi="Times New Roman"/>
          <w:i/>
          <w:sz w:val="24"/>
          <w:szCs w:val="24"/>
        </w:rPr>
        <w:t>для социальной категории населения</w:t>
      </w:r>
      <w:r>
        <w:rPr>
          <w:rFonts w:ascii="Times New Roman" w:hAnsi="Times New Roman"/>
          <w:i/>
          <w:sz w:val="24"/>
          <w:szCs w:val="24"/>
        </w:rPr>
        <w:t>,</w:t>
      </w:r>
      <w:r w:rsidR="007745D9">
        <w:rPr>
          <w:rFonts w:ascii="Times New Roman" w:hAnsi="Times New Roman"/>
          <w:i/>
          <w:sz w:val="24"/>
          <w:szCs w:val="24"/>
        </w:rPr>
        <w:t xml:space="preserve"> </w:t>
      </w:r>
      <w:r>
        <w:rPr>
          <w:rFonts w:ascii="Times New Roman" w:hAnsi="Times New Roman"/>
          <w:sz w:val="24"/>
          <w:szCs w:val="24"/>
        </w:rPr>
        <w:t>применяемые тарифы</w:t>
      </w:r>
      <w:r w:rsidRPr="00DC4985">
        <w:rPr>
          <w:rFonts w:ascii="Times New Roman" w:hAnsi="Times New Roman"/>
          <w:sz w:val="24"/>
          <w:szCs w:val="24"/>
        </w:rPr>
        <w:t xml:space="preserve"> по всем городам и районам республики сохранены на уровне тарифов, действовавших в 2016 году</w:t>
      </w:r>
      <w:r>
        <w:rPr>
          <w:rFonts w:ascii="Times New Roman" w:hAnsi="Times New Roman"/>
          <w:sz w:val="24"/>
          <w:szCs w:val="24"/>
        </w:rPr>
        <w:t xml:space="preserve">, за исключением </w:t>
      </w:r>
      <w:r w:rsidRPr="00DC4985">
        <w:rPr>
          <w:rFonts w:ascii="Times New Roman" w:hAnsi="Times New Roman"/>
          <w:sz w:val="24"/>
          <w:szCs w:val="24"/>
        </w:rPr>
        <w:t>г. Бендеры</w:t>
      </w:r>
      <w:r>
        <w:rPr>
          <w:rFonts w:ascii="Times New Roman" w:hAnsi="Times New Roman"/>
          <w:sz w:val="24"/>
          <w:szCs w:val="24"/>
        </w:rPr>
        <w:t xml:space="preserve"> (-2,9%)</w:t>
      </w:r>
      <w:r w:rsidRPr="00DC4985">
        <w:rPr>
          <w:rFonts w:ascii="Times New Roman" w:hAnsi="Times New Roman"/>
          <w:sz w:val="24"/>
          <w:szCs w:val="24"/>
        </w:rPr>
        <w:t xml:space="preserve">,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w:t>
      </w:r>
      <w:r w:rsidR="007745D9">
        <w:rPr>
          <w:rFonts w:ascii="Times New Roman" w:hAnsi="Times New Roman"/>
          <w:sz w:val="24"/>
          <w:szCs w:val="24"/>
        </w:rPr>
        <w:t xml:space="preserve"> </w:t>
      </w:r>
      <w:proofErr w:type="gramStart"/>
      <w:r w:rsidRPr="00DC4985">
        <w:rPr>
          <w:rFonts w:ascii="Times New Roman" w:hAnsi="Times New Roman"/>
          <w:sz w:val="24"/>
          <w:szCs w:val="24"/>
        </w:rPr>
        <w:t>с</w:t>
      </w:r>
      <w:proofErr w:type="gramEnd"/>
      <w:r w:rsidRPr="00DC4985">
        <w:rPr>
          <w:rFonts w:ascii="Times New Roman" w:hAnsi="Times New Roman"/>
          <w:sz w:val="24"/>
          <w:szCs w:val="24"/>
        </w:rPr>
        <w:t>. Незавертайловка</w:t>
      </w:r>
      <w:r>
        <w:rPr>
          <w:rFonts w:ascii="Times New Roman" w:hAnsi="Times New Roman"/>
          <w:sz w:val="24"/>
          <w:szCs w:val="24"/>
        </w:rPr>
        <w:t xml:space="preserve"> (-15,4%). П</w:t>
      </w:r>
      <w:r w:rsidRPr="00DC4985">
        <w:rPr>
          <w:rFonts w:ascii="Times New Roman" w:hAnsi="Times New Roman"/>
          <w:sz w:val="24"/>
          <w:szCs w:val="24"/>
        </w:rPr>
        <w:t>рименяемы</w:t>
      </w:r>
      <w:r>
        <w:rPr>
          <w:rFonts w:ascii="Times New Roman" w:hAnsi="Times New Roman"/>
          <w:sz w:val="24"/>
          <w:szCs w:val="24"/>
        </w:rPr>
        <w:t>е</w:t>
      </w:r>
      <w:r w:rsidRPr="00DC4985">
        <w:rPr>
          <w:rFonts w:ascii="Times New Roman" w:hAnsi="Times New Roman"/>
          <w:sz w:val="24"/>
          <w:szCs w:val="24"/>
        </w:rPr>
        <w:t xml:space="preserve"> тариф</w:t>
      </w:r>
      <w:r>
        <w:rPr>
          <w:rFonts w:ascii="Times New Roman" w:hAnsi="Times New Roman"/>
          <w:sz w:val="24"/>
          <w:szCs w:val="24"/>
        </w:rPr>
        <w:t>ы</w:t>
      </w:r>
      <w:r w:rsidR="007745D9">
        <w:rPr>
          <w:rFonts w:ascii="Times New Roman" w:hAnsi="Times New Roman"/>
          <w:sz w:val="24"/>
          <w:szCs w:val="24"/>
        </w:rPr>
        <w:t xml:space="preserve"> </w:t>
      </w:r>
      <w:r>
        <w:rPr>
          <w:rFonts w:ascii="Times New Roman" w:hAnsi="Times New Roman"/>
          <w:sz w:val="24"/>
          <w:szCs w:val="24"/>
        </w:rPr>
        <w:t xml:space="preserve">по всем категориям потребителей </w:t>
      </w:r>
      <w:r w:rsidRPr="00DC4985">
        <w:rPr>
          <w:rFonts w:ascii="Times New Roman" w:hAnsi="Times New Roman"/>
          <w:sz w:val="24"/>
          <w:szCs w:val="24"/>
        </w:rPr>
        <w:t>снижен</w:t>
      </w:r>
      <w:r>
        <w:rPr>
          <w:rFonts w:ascii="Times New Roman" w:hAnsi="Times New Roman"/>
          <w:sz w:val="24"/>
          <w:szCs w:val="24"/>
        </w:rPr>
        <w:t>ы</w:t>
      </w:r>
      <w:r w:rsidR="007745D9">
        <w:rPr>
          <w:rFonts w:ascii="Times New Roman" w:hAnsi="Times New Roman"/>
          <w:sz w:val="24"/>
          <w:szCs w:val="24"/>
        </w:rPr>
        <w:t xml:space="preserve"> </w:t>
      </w:r>
      <w:r w:rsidRPr="00DC4985">
        <w:rPr>
          <w:rFonts w:ascii="Times New Roman" w:hAnsi="Times New Roman"/>
          <w:sz w:val="24"/>
          <w:szCs w:val="24"/>
        </w:rPr>
        <w:t>на 7,0% относительно предельн</w:t>
      </w:r>
      <w:r>
        <w:rPr>
          <w:rFonts w:ascii="Times New Roman" w:hAnsi="Times New Roman"/>
          <w:sz w:val="24"/>
          <w:szCs w:val="24"/>
        </w:rPr>
        <w:t>ых</w:t>
      </w:r>
      <w:r w:rsidRPr="00DC4985">
        <w:rPr>
          <w:rFonts w:ascii="Times New Roman" w:hAnsi="Times New Roman"/>
          <w:sz w:val="24"/>
          <w:szCs w:val="24"/>
        </w:rPr>
        <w:t xml:space="preserve"> уровн</w:t>
      </w:r>
      <w:r>
        <w:rPr>
          <w:rFonts w:ascii="Times New Roman" w:hAnsi="Times New Roman"/>
          <w:sz w:val="24"/>
          <w:szCs w:val="24"/>
        </w:rPr>
        <w:t>ей</w:t>
      </w:r>
      <w:r w:rsidRPr="00DC4985">
        <w:rPr>
          <w:rFonts w:ascii="Times New Roman" w:hAnsi="Times New Roman"/>
          <w:sz w:val="24"/>
          <w:szCs w:val="24"/>
        </w:rPr>
        <w:t xml:space="preserve"> тариф</w:t>
      </w:r>
      <w:r>
        <w:rPr>
          <w:rFonts w:ascii="Times New Roman" w:hAnsi="Times New Roman"/>
          <w:sz w:val="24"/>
          <w:szCs w:val="24"/>
        </w:rPr>
        <w:t>ов,</w:t>
      </w:r>
      <w:r w:rsidR="007745D9">
        <w:rPr>
          <w:rFonts w:ascii="Times New Roman" w:hAnsi="Times New Roman"/>
          <w:sz w:val="24"/>
          <w:szCs w:val="24"/>
        </w:rPr>
        <w:t xml:space="preserve"> </w:t>
      </w:r>
      <w:r w:rsidR="007745D9">
        <w:rPr>
          <w:rFonts w:ascii="Times New Roman" w:hAnsi="Times New Roman"/>
          <w:sz w:val="24"/>
          <w:szCs w:val="24"/>
          <w:lang w:eastAsia="en-US"/>
        </w:rPr>
        <w:t>утвержденных</w:t>
      </w:r>
      <w:r w:rsidRPr="008552BF">
        <w:rPr>
          <w:rFonts w:ascii="Times New Roman" w:hAnsi="Times New Roman"/>
          <w:sz w:val="24"/>
          <w:szCs w:val="24"/>
          <w:lang w:eastAsia="en-US"/>
        </w:rPr>
        <w:t xml:space="preserve"> на 2017 год</w:t>
      </w:r>
      <w:r>
        <w:rPr>
          <w:rFonts w:ascii="Times New Roman" w:hAnsi="Times New Roman"/>
          <w:sz w:val="24"/>
          <w:szCs w:val="24"/>
        </w:rPr>
        <w:t>;</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567"/>
        <w:jc w:val="both"/>
        <w:rPr>
          <w:rFonts w:ascii="Times New Roman" w:hAnsi="Times New Roman"/>
          <w:sz w:val="24"/>
          <w:szCs w:val="24"/>
        </w:rPr>
      </w:pPr>
      <w:r>
        <w:rPr>
          <w:rFonts w:ascii="Times New Roman" w:hAnsi="Times New Roman"/>
          <w:i/>
          <w:sz w:val="24"/>
          <w:szCs w:val="24"/>
        </w:rPr>
        <w:t xml:space="preserve">б) </w:t>
      </w:r>
      <w:r w:rsidRPr="009F369F">
        <w:rPr>
          <w:rFonts w:ascii="Times New Roman" w:hAnsi="Times New Roman"/>
          <w:i/>
          <w:sz w:val="24"/>
          <w:szCs w:val="24"/>
        </w:rPr>
        <w:t xml:space="preserve">для </w:t>
      </w:r>
      <w:r>
        <w:rPr>
          <w:rFonts w:ascii="Times New Roman" w:hAnsi="Times New Roman"/>
          <w:i/>
          <w:sz w:val="24"/>
          <w:szCs w:val="24"/>
        </w:rPr>
        <w:t>иных физических лиц</w:t>
      </w:r>
      <w:r>
        <w:rPr>
          <w:rFonts w:ascii="Times New Roman" w:hAnsi="Times New Roman"/>
          <w:sz w:val="24"/>
          <w:szCs w:val="24"/>
        </w:rPr>
        <w:t>, применяемые</w:t>
      </w:r>
      <w:r w:rsidR="007745D9">
        <w:rPr>
          <w:rFonts w:ascii="Times New Roman" w:hAnsi="Times New Roman"/>
          <w:sz w:val="24"/>
          <w:szCs w:val="24"/>
        </w:rPr>
        <w:t xml:space="preserve"> </w:t>
      </w:r>
      <w:r>
        <w:rPr>
          <w:rFonts w:ascii="Times New Roman" w:hAnsi="Times New Roman"/>
          <w:sz w:val="24"/>
          <w:szCs w:val="24"/>
        </w:rPr>
        <w:t xml:space="preserve">тарифы </w:t>
      </w:r>
      <w:r w:rsidRPr="00DC4985">
        <w:rPr>
          <w:rFonts w:ascii="Times New Roman" w:hAnsi="Times New Roman"/>
          <w:sz w:val="24"/>
          <w:szCs w:val="24"/>
        </w:rPr>
        <w:t>по всем городам и районам республики сохранены на уровне тарифов, действовавших в 2016 году</w:t>
      </w:r>
      <w:r>
        <w:rPr>
          <w:rFonts w:ascii="Times New Roman" w:hAnsi="Times New Roman"/>
          <w:sz w:val="24"/>
          <w:szCs w:val="24"/>
        </w:rPr>
        <w:t xml:space="preserve">, за исключением           </w:t>
      </w:r>
      <w:r w:rsidRPr="00DC4985">
        <w:rPr>
          <w:rFonts w:ascii="Times New Roman" w:hAnsi="Times New Roman"/>
          <w:sz w:val="24"/>
          <w:szCs w:val="24"/>
        </w:rPr>
        <w:t>г. Бендеры</w:t>
      </w:r>
      <w:r>
        <w:rPr>
          <w:rFonts w:ascii="Times New Roman" w:hAnsi="Times New Roman"/>
          <w:sz w:val="24"/>
          <w:szCs w:val="24"/>
        </w:rPr>
        <w:t xml:space="preserve"> (-2,5%)</w:t>
      </w:r>
      <w:r w:rsidRPr="00DC4985">
        <w:rPr>
          <w:rFonts w:ascii="Times New Roman" w:hAnsi="Times New Roman"/>
          <w:sz w:val="24"/>
          <w:szCs w:val="24"/>
        </w:rPr>
        <w:t xml:space="preserve">,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w:t>
      </w:r>
      <w:r w:rsidR="007745D9">
        <w:rPr>
          <w:rFonts w:ascii="Times New Roman" w:hAnsi="Times New Roman"/>
          <w:sz w:val="24"/>
          <w:szCs w:val="24"/>
        </w:rPr>
        <w:t xml:space="preserve"> </w:t>
      </w:r>
      <w:proofErr w:type="gramStart"/>
      <w:r w:rsidRPr="00DC4985">
        <w:rPr>
          <w:rFonts w:ascii="Times New Roman" w:hAnsi="Times New Roman"/>
          <w:sz w:val="24"/>
          <w:szCs w:val="24"/>
        </w:rPr>
        <w:t>с</w:t>
      </w:r>
      <w:proofErr w:type="gramEnd"/>
      <w:r w:rsidRPr="00DC4985">
        <w:rPr>
          <w:rFonts w:ascii="Times New Roman" w:hAnsi="Times New Roman"/>
          <w:sz w:val="24"/>
          <w:szCs w:val="24"/>
        </w:rPr>
        <w:t>. Незавертайловка</w:t>
      </w:r>
      <w:r>
        <w:rPr>
          <w:rFonts w:ascii="Times New Roman" w:hAnsi="Times New Roman"/>
          <w:sz w:val="24"/>
          <w:szCs w:val="24"/>
        </w:rPr>
        <w:t xml:space="preserve"> (-15,2%). П</w:t>
      </w:r>
      <w:r w:rsidRPr="00DC4985">
        <w:rPr>
          <w:rFonts w:ascii="Times New Roman" w:hAnsi="Times New Roman"/>
          <w:sz w:val="24"/>
          <w:szCs w:val="24"/>
        </w:rPr>
        <w:t>рименяемы</w:t>
      </w:r>
      <w:r>
        <w:rPr>
          <w:rFonts w:ascii="Times New Roman" w:hAnsi="Times New Roman"/>
          <w:sz w:val="24"/>
          <w:szCs w:val="24"/>
        </w:rPr>
        <w:t>е</w:t>
      </w:r>
      <w:r w:rsidRPr="00DC4985">
        <w:rPr>
          <w:rFonts w:ascii="Times New Roman" w:hAnsi="Times New Roman"/>
          <w:sz w:val="24"/>
          <w:szCs w:val="24"/>
        </w:rPr>
        <w:t xml:space="preserve"> тариф</w:t>
      </w:r>
      <w:r>
        <w:rPr>
          <w:rFonts w:ascii="Times New Roman" w:hAnsi="Times New Roman"/>
          <w:sz w:val="24"/>
          <w:szCs w:val="24"/>
        </w:rPr>
        <w:t>ы</w:t>
      </w:r>
      <w:r w:rsidRPr="00DC4985">
        <w:rPr>
          <w:rFonts w:ascii="Times New Roman" w:hAnsi="Times New Roman"/>
          <w:sz w:val="24"/>
          <w:szCs w:val="24"/>
        </w:rPr>
        <w:t xml:space="preserve"> для </w:t>
      </w:r>
      <w:r>
        <w:rPr>
          <w:rFonts w:ascii="Times New Roman" w:hAnsi="Times New Roman"/>
          <w:sz w:val="24"/>
          <w:szCs w:val="24"/>
        </w:rPr>
        <w:t xml:space="preserve">данной категории населения </w:t>
      </w:r>
      <w:r w:rsidRPr="00DC4985">
        <w:rPr>
          <w:rFonts w:ascii="Times New Roman" w:hAnsi="Times New Roman"/>
          <w:sz w:val="24"/>
          <w:szCs w:val="24"/>
        </w:rPr>
        <w:t>сохранен</w:t>
      </w:r>
      <w:r>
        <w:rPr>
          <w:rFonts w:ascii="Times New Roman" w:hAnsi="Times New Roman"/>
          <w:sz w:val="24"/>
          <w:szCs w:val="24"/>
        </w:rPr>
        <w:t>ы</w:t>
      </w:r>
      <w:r w:rsidRPr="00DC4985">
        <w:rPr>
          <w:rFonts w:ascii="Times New Roman" w:hAnsi="Times New Roman"/>
          <w:sz w:val="24"/>
          <w:szCs w:val="24"/>
        </w:rPr>
        <w:t xml:space="preserve"> на уровне предельн</w:t>
      </w:r>
      <w:r>
        <w:rPr>
          <w:rFonts w:ascii="Times New Roman" w:hAnsi="Times New Roman"/>
          <w:sz w:val="24"/>
          <w:szCs w:val="24"/>
        </w:rPr>
        <w:t>ых</w:t>
      </w:r>
      <w:r w:rsidRPr="00DC4985">
        <w:rPr>
          <w:rFonts w:ascii="Times New Roman" w:hAnsi="Times New Roman"/>
          <w:sz w:val="24"/>
          <w:szCs w:val="24"/>
        </w:rPr>
        <w:t xml:space="preserve"> уровн</w:t>
      </w:r>
      <w:r>
        <w:rPr>
          <w:rFonts w:ascii="Times New Roman" w:hAnsi="Times New Roman"/>
          <w:sz w:val="24"/>
          <w:szCs w:val="24"/>
        </w:rPr>
        <w:t>ей</w:t>
      </w:r>
      <w:r w:rsidRPr="00DC4985">
        <w:rPr>
          <w:rFonts w:ascii="Times New Roman" w:hAnsi="Times New Roman"/>
          <w:sz w:val="24"/>
          <w:szCs w:val="24"/>
        </w:rPr>
        <w:t xml:space="preserve"> тарифов</w:t>
      </w:r>
      <w:r>
        <w:rPr>
          <w:rFonts w:ascii="Times New Roman" w:hAnsi="Times New Roman"/>
          <w:sz w:val="24"/>
          <w:szCs w:val="24"/>
        </w:rPr>
        <w:t>,</w:t>
      </w:r>
      <w:r w:rsidR="007745D9">
        <w:rPr>
          <w:rFonts w:ascii="Times New Roman" w:hAnsi="Times New Roman"/>
          <w:sz w:val="24"/>
          <w:szCs w:val="24"/>
        </w:rPr>
        <w:t xml:space="preserve"> </w:t>
      </w:r>
      <w:r w:rsidR="007745D9">
        <w:rPr>
          <w:rFonts w:ascii="Times New Roman" w:hAnsi="Times New Roman"/>
          <w:sz w:val="24"/>
          <w:szCs w:val="24"/>
          <w:lang w:eastAsia="en-US"/>
        </w:rPr>
        <w:t>утвержденных</w:t>
      </w:r>
      <w:r w:rsidRPr="008552BF">
        <w:rPr>
          <w:rFonts w:ascii="Times New Roman" w:hAnsi="Times New Roman"/>
          <w:sz w:val="24"/>
          <w:szCs w:val="24"/>
          <w:lang w:eastAsia="en-US"/>
        </w:rPr>
        <w:t xml:space="preserve"> на 2017 год</w:t>
      </w:r>
      <w:r>
        <w:rPr>
          <w:rFonts w:ascii="Times New Roman" w:hAnsi="Times New Roman"/>
          <w:sz w:val="24"/>
          <w:szCs w:val="24"/>
          <w:lang w:eastAsia="en-US"/>
        </w:rPr>
        <w:t>.</w:t>
      </w:r>
    </w:p>
    <w:p w:rsidR="00CE326F" w:rsidRPr="00DC4985"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4</w:t>
      </w:r>
      <w:r w:rsidRPr="00DC4985">
        <w:rPr>
          <w:rFonts w:ascii="Times New Roman" w:hAnsi="Times New Roman"/>
          <w:sz w:val="24"/>
          <w:szCs w:val="24"/>
        </w:rPr>
        <w:t>) Тепловая энергия, отпускаемая промышленным и прочим потребителям:</w:t>
      </w:r>
    </w:p>
    <w:p w:rsidR="00CE326F" w:rsidRPr="00DC4985"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proofErr w:type="gramStart"/>
      <w:r w:rsidRPr="00DC4985">
        <w:rPr>
          <w:rFonts w:ascii="Times New Roman" w:hAnsi="Times New Roman"/>
          <w:sz w:val="24"/>
          <w:szCs w:val="24"/>
        </w:rPr>
        <w:t xml:space="preserve">- по г. Тирасполь, г. Рыбница, г. Дубоссары, г. Каменка, г. </w:t>
      </w:r>
      <w:proofErr w:type="spellStart"/>
      <w:r w:rsidRPr="00DC4985">
        <w:rPr>
          <w:rFonts w:ascii="Times New Roman" w:hAnsi="Times New Roman"/>
          <w:sz w:val="24"/>
          <w:szCs w:val="24"/>
        </w:rPr>
        <w:t>Слободзея</w:t>
      </w:r>
      <w:proofErr w:type="spellEnd"/>
      <w:r w:rsidRPr="00DC4985">
        <w:rPr>
          <w:rFonts w:ascii="Times New Roman" w:hAnsi="Times New Roman"/>
          <w:sz w:val="24"/>
          <w:szCs w:val="24"/>
        </w:rPr>
        <w:t xml:space="preserve">,  </w:t>
      </w:r>
      <w:r w:rsidR="007745D9">
        <w:rPr>
          <w:rFonts w:ascii="Times New Roman" w:hAnsi="Times New Roman"/>
          <w:sz w:val="24"/>
          <w:szCs w:val="24"/>
        </w:rPr>
        <w:t xml:space="preserve">                              </w:t>
      </w:r>
      <w:r w:rsidRPr="00DC4985">
        <w:rPr>
          <w:rFonts w:ascii="Times New Roman" w:hAnsi="Times New Roman"/>
          <w:sz w:val="24"/>
          <w:szCs w:val="24"/>
        </w:rPr>
        <w:t xml:space="preserve"> г. Григориополь</w:t>
      </w:r>
      <w:r>
        <w:rPr>
          <w:rFonts w:ascii="Times New Roman" w:hAnsi="Times New Roman"/>
          <w:sz w:val="24"/>
          <w:szCs w:val="24"/>
        </w:rPr>
        <w:t>,</w:t>
      </w:r>
      <w:r w:rsidRPr="00DC4985">
        <w:rPr>
          <w:rFonts w:ascii="Times New Roman" w:hAnsi="Times New Roman"/>
          <w:sz w:val="24"/>
          <w:szCs w:val="24"/>
        </w:rPr>
        <w:t xml:space="preserve"> применяемый тариф сохранен на уровне предельного тарифа, </w:t>
      </w:r>
      <w:r w:rsidRPr="008552BF">
        <w:rPr>
          <w:rFonts w:ascii="Times New Roman" w:hAnsi="Times New Roman"/>
          <w:sz w:val="24"/>
          <w:szCs w:val="24"/>
          <w:lang w:eastAsia="en-US"/>
        </w:rPr>
        <w:t>утвержденн</w:t>
      </w:r>
      <w:r>
        <w:rPr>
          <w:rFonts w:ascii="Times New Roman" w:hAnsi="Times New Roman"/>
          <w:sz w:val="24"/>
          <w:szCs w:val="24"/>
          <w:lang w:eastAsia="en-US"/>
        </w:rPr>
        <w:t>ого</w:t>
      </w:r>
      <w:r w:rsidRPr="008552BF">
        <w:rPr>
          <w:rFonts w:ascii="Times New Roman" w:hAnsi="Times New Roman"/>
          <w:sz w:val="24"/>
          <w:szCs w:val="24"/>
          <w:lang w:eastAsia="en-US"/>
        </w:rPr>
        <w:t xml:space="preserve"> на 2017 год</w:t>
      </w:r>
      <w:r>
        <w:rPr>
          <w:rFonts w:ascii="Times New Roman" w:hAnsi="Times New Roman"/>
          <w:sz w:val="24"/>
          <w:szCs w:val="24"/>
          <w:lang w:eastAsia="en-US"/>
        </w:rPr>
        <w:t xml:space="preserve">, </w:t>
      </w:r>
      <w:r w:rsidRPr="00DC4985">
        <w:rPr>
          <w:rFonts w:ascii="Times New Roman" w:hAnsi="Times New Roman"/>
          <w:sz w:val="24"/>
          <w:szCs w:val="24"/>
        </w:rPr>
        <w:t>при этом пр</w:t>
      </w:r>
      <w:r>
        <w:rPr>
          <w:rFonts w:ascii="Times New Roman" w:hAnsi="Times New Roman"/>
          <w:sz w:val="24"/>
          <w:szCs w:val="24"/>
        </w:rPr>
        <w:t xml:space="preserve">именяемый тариф </w:t>
      </w:r>
      <w:r w:rsidRPr="00DC4985">
        <w:rPr>
          <w:rFonts w:ascii="Times New Roman" w:hAnsi="Times New Roman"/>
          <w:sz w:val="24"/>
          <w:szCs w:val="24"/>
        </w:rPr>
        <w:t xml:space="preserve">увеличен на 0,2% к уровню </w:t>
      </w:r>
      <w:r w:rsidR="007745D9">
        <w:rPr>
          <w:rFonts w:ascii="Times New Roman" w:hAnsi="Times New Roman"/>
          <w:sz w:val="24"/>
          <w:szCs w:val="24"/>
        </w:rPr>
        <w:t xml:space="preserve">           </w:t>
      </w:r>
      <w:r w:rsidRPr="00DC4985">
        <w:rPr>
          <w:rFonts w:ascii="Times New Roman" w:hAnsi="Times New Roman"/>
          <w:sz w:val="24"/>
          <w:szCs w:val="24"/>
        </w:rPr>
        <w:t xml:space="preserve">2016 года; </w:t>
      </w:r>
      <w:proofErr w:type="gramEnd"/>
    </w:p>
    <w:p w:rsidR="00CE326F" w:rsidRPr="00DC4985"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sidRPr="00DC4985">
        <w:rPr>
          <w:rFonts w:ascii="Times New Roman" w:hAnsi="Times New Roman"/>
          <w:sz w:val="24"/>
          <w:szCs w:val="24"/>
        </w:rPr>
        <w:lastRenderedPageBreak/>
        <w:t xml:space="preserve">- по г. Бендеры,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 </w:t>
      </w:r>
      <w:proofErr w:type="gramStart"/>
      <w:r w:rsidRPr="00DC4985">
        <w:rPr>
          <w:rFonts w:ascii="Times New Roman" w:hAnsi="Times New Roman"/>
          <w:sz w:val="24"/>
          <w:szCs w:val="24"/>
        </w:rPr>
        <w:t>с</w:t>
      </w:r>
      <w:proofErr w:type="gramEnd"/>
      <w:r w:rsidRPr="00DC4985">
        <w:rPr>
          <w:rFonts w:ascii="Times New Roman" w:hAnsi="Times New Roman"/>
          <w:sz w:val="24"/>
          <w:szCs w:val="24"/>
        </w:rPr>
        <w:t xml:space="preserve">. </w:t>
      </w:r>
      <w:proofErr w:type="gramStart"/>
      <w:r w:rsidRPr="00DC4985">
        <w:rPr>
          <w:rFonts w:ascii="Times New Roman" w:hAnsi="Times New Roman"/>
          <w:sz w:val="24"/>
          <w:szCs w:val="24"/>
        </w:rPr>
        <w:t>Незавертайловка</w:t>
      </w:r>
      <w:proofErr w:type="gramEnd"/>
      <w:r>
        <w:rPr>
          <w:rFonts w:ascii="Times New Roman" w:hAnsi="Times New Roman"/>
          <w:sz w:val="24"/>
          <w:szCs w:val="24"/>
        </w:rPr>
        <w:t>,</w:t>
      </w:r>
      <w:r w:rsidRPr="00DC4985">
        <w:rPr>
          <w:rFonts w:ascii="Times New Roman" w:hAnsi="Times New Roman"/>
          <w:sz w:val="24"/>
          <w:szCs w:val="24"/>
        </w:rPr>
        <w:t xml:space="preserve"> применяемый тариф сохранен на уровне предельного тарифа</w:t>
      </w:r>
      <w:r>
        <w:rPr>
          <w:rFonts w:ascii="Times New Roman" w:hAnsi="Times New Roman"/>
          <w:sz w:val="24"/>
          <w:szCs w:val="24"/>
        </w:rPr>
        <w:t>,</w:t>
      </w:r>
      <w:r w:rsidR="007745D9">
        <w:rPr>
          <w:rFonts w:ascii="Times New Roman" w:hAnsi="Times New Roman"/>
          <w:sz w:val="24"/>
          <w:szCs w:val="24"/>
        </w:rPr>
        <w:t xml:space="preserve"> </w:t>
      </w:r>
      <w:r w:rsidRPr="008552BF">
        <w:rPr>
          <w:rFonts w:ascii="Times New Roman" w:hAnsi="Times New Roman"/>
          <w:sz w:val="24"/>
          <w:szCs w:val="24"/>
          <w:lang w:eastAsia="en-US"/>
        </w:rPr>
        <w:t>утвержденн</w:t>
      </w:r>
      <w:r>
        <w:rPr>
          <w:rFonts w:ascii="Times New Roman" w:hAnsi="Times New Roman"/>
          <w:sz w:val="24"/>
          <w:szCs w:val="24"/>
          <w:lang w:eastAsia="en-US"/>
        </w:rPr>
        <w:t>ого</w:t>
      </w:r>
      <w:r w:rsidRPr="008552BF">
        <w:rPr>
          <w:rFonts w:ascii="Times New Roman" w:hAnsi="Times New Roman"/>
          <w:sz w:val="24"/>
          <w:szCs w:val="24"/>
          <w:lang w:eastAsia="en-US"/>
        </w:rPr>
        <w:t xml:space="preserve"> на 2017 год</w:t>
      </w:r>
      <w:r w:rsidRPr="00DC4985">
        <w:rPr>
          <w:rFonts w:ascii="Times New Roman" w:hAnsi="Times New Roman"/>
          <w:sz w:val="24"/>
          <w:szCs w:val="24"/>
        </w:rPr>
        <w:t>, при этом пр</w:t>
      </w:r>
      <w:r>
        <w:rPr>
          <w:rFonts w:ascii="Times New Roman" w:hAnsi="Times New Roman"/>
          <w:sz w:val="24"/>
          <w:szCs w:val="24"/>
        </w:rPr>
        <w:t xml:space="preserve">именяемый </w:t>
      </w:r>
      <w:r w:rsidRPr="00DC4985">
        <w:rPr>
          <w:rFonts w:ascii="Times New Roman" w:hAnsi="Times New Roman"/>
          <w:sz w:val="24"/>
          <w:szCs w:val="24"/>
        </w:rPr>
        <w:t>тариф снижен на 3,4% и на 13,8%</w:t>
      </w:r>
      <w:r>
        <w:rPr>
          <w:rFonts w:ascii="Times New Roman" w:hAnsi="Times New Roman"/>
          <w:sz w:val="24"/>
          <w:szCs w:val="24"/>
        </w:rPr>
        <w:t xml:space="preserve"> соответственно </w:t>
      </w:r>
      <w:r w:rsidRPr="00DC4985">
        <w:rPr>
          <w:rFonts w:ascii="Times New Roman" w:hAnsi="Times New Roman"/>
          <w:sz w:val="24"/>
          <w:szCs w:val="24"/>
        </w:rPr>
        <w:t xml:space="preserve">к базовому показателю 2016 года. </w:t>
      </w:r>
    </w:p>
    <w:p w:rsidR="00CE326F" w:rsidRPr="00DC4985"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5</w:t>
      </w:r>
      <w:r w:rsidRPr="00DC4985">
        <w:rPr>
          <w:rFonts w:ascii="Times New Roman" w:hAnsi="Times New Roman"/>
          <w:sz w:val="24"/>
          <w:szCs w:val="24"/>
        </w:rPr>
        <w:t>) Тепловая энергия, отпускаемая организациям и учреждения, финансируемым из бюджетов всех уровней:</w:t>
      </w:r>
    </w:p>
    <w:p w:rsidR="00CE326F" w:rsidRPr="00DC4985"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proofErr w:type="gramStart"/>
      <w:r w:rsidRPr="00DC4985">
        <w:rPr>
          <w:rFonts w:ascii="Times New Roman" w:hAnsi="Times New Roman"/>
          <w:sz w:val="24"/>
          <w:szCs w:val="24"/>
        </w:rPr>
        <w:t xml:space="preserve">- по г. Тирасполь, г. Рыбница, г. Дубоссары, г. Каменка, г. </w:t>
      </w:r>
      <w:proofErr w:type="spellStart"/>
      <w:r w:rsidRPr="00DC4985">
        <w:rPr>
          <w:rFonts w:ascii="Times New Roman" w:hAnsi="Times New Roman"/>
          <w:sz w:val="24"/>
          <w:szCs w:val="24"/>
        </w:rPr>
        <w:t>Слободзея</w:t>
      </w:r>
      <w:proofErr w:type="spellEnd"/>
      <w:r w:rsidRPr="00DC4985">
        <w:rPr>
          <w:rFonts w:ascii="Times New Roman" w:hAnsi="Times New Roman"/>
          <w:sz w:val="24"/>
          <w:szCs w:val="24"/>
        </w:rPr>
        <w:t xml:space="preserve">, </w:t>
      </w:r>
      <w:r w:rsidR="007745D9">
        <w:rPr>
          <w:rFonts w:ascii="Times New Roman" w:hAnsi="Times New Roman"/>
          <w:sz w:val="24"/>
          <w:szCs w:val="24"/>
        </w:rPr>
        <w:t xml:space="preserve">                                 </w:t>
      </w:r>
      <w:r w:rsidRPr="00DC4985">
        <w:rPr>
          <w:rFonts w:ascii="Times New Roman" w:hAnsi="Times New Roman"/>
          <w:sz w:val="24"/>
          <w:szCs w:val="24"/>
        </w:rPr>
        <w:t xml:space="preserve">г. Григориополь; г. Бендеры; г. </w:t>
      </w:r>
      <w:proofErr w:type="spellStart"/>
      <w:r w:rsidRPr="00DC4985">
        <w:rPr>
          <w:rFonts w:ascii="Times New Roman" w:hAnsi="Times New Roman"/>
          <w:sz w:val="24"/>
          <w:szCs w:val="24"/>
        </w:rPr>
        <w:t>Днестровск</w:t>
      </w:r>
      <w:proofErr w:type="spellEnd"/>
      <w:r w:rsidRPr="00DC4985">
        <w:rPr>
          <w:rFonts w:ascii="Times New Roman" w:hAnsi="Times New Roman"/>
          <w:sz w:val="24"/>
          <w:szCs w:val="24"/>
        </w:rPr>
        <w:t xml:space="preserve"> и с. Незавертайловка</w:t>
      </w:r>
      <w:r>
        <w:rPr>
          <w:rFonts w:ascii="Times New Roman" w:hAnsi="Times New Roman"/>
          <w:sz w:val="24"/>
          <w:szCs w:val="24"/>
        </w:rPr>
        <w:t>,</w:t>
      </w:r>
      <w:r w:rsidRPr="00DC4985">
        <w:rPr>
          <w:rFonts w:ascii="Times New Roman" w:hAnsi="Times New Roman"/>
          <w:sz w:val="24"/>
          <w:szCs w:val="24"/>
        </w:rPr>
        <w:t xml:space="preserve"> применяемый тариф сохранен на уровне предельного тарифа</w:t>
      </w:r>
      <w:r>
        <w:rPr>
          <w:rFonts w:ascii="Times New Roman" w:hAnsi="Times New Roman"/>
          <w:sz w:val="24"/>
          <w:szCs w:val="24"/>
        </w:rPr>
        <w:t>,</w:t>
      </w:r>
      <w:r w:rsidR="007745D9">
        <w:rPr>
          <w:rFonts w:ascii="Times New Roman" w:hAnsi="Times New Roman"/>
          <w:sz w:val="24"/>
          <w:szCs w:val="24"/>
        </w:rPr>
        <w:t xml:space="preserve"> </w:t>
      </w:r>
      <w:r w:rsidRPr="008552BF">
        <w:rPr>
          <w:rFonts w:ascii="Times New Roman" w:hAnsi="Times New Roman"/>
          <w:sz w:val="24"/>
          <w:szCs w:val="24"/>
          <w:lang w:eastAsia="en-US"/>
        </w:rPr>
        <w:t>утвержденн</w:t>
      </w:r>
      <w:r>
        <w:rPr>
          <w:rFonts w:ascii="Times New Roman" w:hAnsi="Times New Roman"/>
          <w:sz w:val="24"/>
          <w:szCs w:val="24"/>
          <w:lang w:eastAsia="en-US"/>
        </w:rPr>
        <w:t>ого</w:t>
      </w:r>
      <w:r w:rsidRPr="008552BF">
        <w:rPr>
          <w:rFonts w:ascii="Times New Roman" w:hAnsi="Times New Roman"/>
          <w:sz w:val="24"/>
          <w:szCs w:val="24"/>
          <w:lang w:eastAsia="en-US"/>
        </w:rPr>
        <w:t xml:space="preserve"> на 2017 год</w:t>
      </w:r>
      <w:r w:rsidRPr="00DC4985">
        <w:rPr>
          <w:rFonts w:ascii="Times New Roman" w:hAnsi="Times New Roman"/>
          <w:sz w:val="24"/>
          <w:szCs w:val="24"/>
        </w:rPr>
        <w:t>, при этом п</w:t>
      </w:r>
      <w:r>
        <w:rPr>
          <w:rFonts w:ascii="Times New Roman" w:hAnsi="Times New Roman"/>
          <w:sz w:val="24"/>
          <w:szCs w:val="24"/>
        </w:rPr>
        <w:t xml:space="preserve">рименяемый </w:t>
      </w:r>
      <w:r w:rsidRPr="00DC4985">
        <w:rPr>
          <w:rFonts w:ascii="Times New Roman" w:hAnsi="Times New Roman"/>
          <w:sz w:val="24"/>
          <w:szCs w:val="24"/>
        </w:rPr>
        <w:t>тариф снижен на 28,8%, 31,9% и на 42,4% соответственно к уровню 2016 года.</w:t>
      </w:r>
      <w:proofErr w:type="gramEnd"/>
    </w:p>
    <w:p w:rsidR="00CE326F" w:rsidRPr="00DC4985" w:rsidRDefault="00CE326F" w:rsidP="00CE326F">
      <w:pPr>
        <w:widowControl w:val="0"/>
        <w:spacing w:after="0" w:line="240" w:lineRule="auto"/>
        <w:ind w:firstLine="709"/>
        <w:jc w:val="both"/>
        <w:rPr>
          <w:rFonts w:ascii="Times New Roman" w:hAnsi="Times New Roman"/>
          <w:b/>
          <w:sz w:val="24"/>
          <w:szCs w:val="24"/>
        </w:rPr>
      </w:pPr>
      <w:r w:rsidRPr="00DC4985">
        <w:rPr>
          <w:rFonts w:ascii="Times New Roman" w:hAnsi="Times New Roman"/>
          <w:b/>
          <w:sz w:val="24"/>
          <w:szCs w:val="24"/>
        </w:rPr>
        <w:t>4</w:t>
      </w:r>
      <w:r w:rsidRPr="00DC4985">
        <w:rPr>
          <w:rFonts w:ascii="Times New Roman" w:hAnsi="Times New Roman"/>
          <w:sz w:val="24"/>
          <w:szCs w:val="24"/>
        </w:rPr>
        <w:t xml:space="preserve">. </w:t>
      </w:r>
      <w:r w:rsidRPr="00DC4985">
        <w:rPr>
          <w:rFonts w:ascii="Times New Roman" w:hAnsi="Times New Roman"/>
          <w:b/>
          <w:sz w:val="24"/>
          <w:szCs w:val="24"/>
        </w:rPr>
        <w:t>Услуги водоснабжения и водоотведения (канализация)</w:t>
      </w:r>
    </w:p>
    <w:p w:rsidR="00CE326F" w:rsidRPr="00DC4985" w:rsidRDefault="00CE326F" w:rsidP="00CE326F">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П</w:t>
      </w:r>
      <w:r w:rsidRPr="00DC4985">
        <w:rPr>
          <w:rFonts w:ascii="Times New Roman" w:hAnsi="Times New Roman"/>
          <w:sz w:val="24"/>
          <w:szCs w:val="24"/>
        </w:rPr>
        <w:t xml:space="preserve">рименяемые тарифы на услуги водоснабжения и водоотведения  (канализация) для населения и </w:t>
      </w:r>
      <w:r>
        <w:rPr>
          <w:rFonts w:ascii="Times New Roman" w:hAnsi="Times New Roman"/>
          <w:sz w:val="24"/>
          <w:szCs w:val="24"/>
        </w:rPr>
        <w:t xml:space="preserve">для </w:t>
      </w:r>
      <w:r w:rsidRPr="00DC4985">
        <w:rPr>
          <w:rFonts w:ascii="Times New Roman" w:hAnsi="Times New Roman"/>
          <w:sz w:val="24"/>
          <w:szCs w:val="24"/>
        </w:rPr>
        <w:t xml:space="preserve">организаций и </w:t>
      </w:r>
      <w:proofErr w:type="gramStart"/>
      <w:r w:rsidRPr="00DC4985">
        <w:rPr>
          <w:rFonts w:ascii="Times New Roman" w:hAnsi="Times New Roman"/>
          <w:sz w:val="24"/>
          <w:szCs w:val="24"/>
        </w:rPr>
        <w:t>учреждений, финансируемых из бюджетов всех уровней в первом полугодии 2017 года сохранены</w:t>
      </w:r>
      <w:proofErr w:type="gramEnd"/>
      <w:r w:rsidRPr="00DC4985">
        <w:rPr>
          <w:rFonts w:ascii="Times New Roman" w:hAnsi="Times New Roman"/>
          <w:sz w:val="24"/>
          <w:szCs w:val="24"/>
        </w:rPr>
        <w:t xml:space="preserve"> на уровне тарифов, действовавших в 2016 году.</w:t>
      </w:r>
      <w:r w:rsidR="007745D9">
        <w:rPr>
          <w:rFonts w:ascii="Times New Roman" w:hAnsi="Times New Roman"/>
          <w:sz w:val="24"/>
          <w:szCs w:val="24"/>
        </w:rPr>
        <w:t xml:space="preserve"> </w:t>
      </w:r>
      <w:r>
        <w:rPr>
          <w:rFonts w:ascii="Times New Roman" w:hAnsi="Times New Roman"/>
          <w:sz w:val="24"/>
          <w:szCs w:val="24"/>
        </w:rPr>
        <w:t xml:space="preserve">Для </w:t>
      </w:r>
      <w:r w:rsidRPr="00DC4985">
        <w:rPr>
          <w:rFonts w:ascii="Times New Roman" w:hAnsi="Times New Roman"/>
          <w:sz w:val="24"/>
          <w:szCs w:val="24"/>
        </w:rPr>
        <w:t>промышленны</w:t>
      </w:r>
      <w:r>
        <w:rPr>
          <w:rFonts w:ascii="Times New Roman" w:hAnsi="Times New Roman"/>
          <w:sz w:val="24"/>
          <w:szCs w:val="24"/>
        </w:rPr>
        <w:t>х</w:t>
      </w:r>
      <w:r w:rsidRPr="00DC4985">
        <w:rPr>
          <w:rFonts w:ascii="Times New Roman" w:hAnsi="Times New Roman"/>
          <w:sz w:val="24"/>
          <w:szCs w:val="24"/>
        </w:rPr>
        <w:t xml:space="preserve"> и прочи</w:t>
      </w:r>
      <w:r>
        <w:rPr>
          <w:rFonts w:ascii="Times New Roman" w:hAnsi="Times New Roman"/>
          <w:sz w:val="24"/>
          <w:szCs w:val="24"/>
        </w:rPr>
        <w:t>х</w:t>
      </w:r>
      <w:r w:rsidRPr="00DC4985">
        <w:rPr>
          <w:rFonts w:ascii="Times New Roman" w:hAnsi="Times New Roman"/>
          <w:sz w:val="24"/>
          <w:szCs w:val="24"/>
        </w:rPr>
        <w:t xml:space="preserve"> потребител</w:t>
      </w:r>
      <w:r>
        <w:rPr>
          <w:rFonts w:ascii="Times New Roman" w:hAnsi="Times New Roman"/>
          <w:sz w:val="24"/>
          <w:szCs w:val="24"/>
        </w:rPr>
        <w:t>ей</w:t>
      </w:r>
      <w:r w:rsidRPr="00DC4985">
        <w:rPr>
          <w:rFonts w:ascii="Times New Roman" w:hAnsi="Times New Roman"/>
          <w:sz w:val="24"/>
          <w:szCs w:val="24"/>
        </w:rPr>
        <w:t xml:space="preserve"> пр</w:t>
      </w:r>
      <w:r>
        <w:rPr>
          <w:rFonts w:ascii="Times New Roman" w:hAnsi="Times New Roman"/>
          <w:sz w:val="24"/>
          <w:szCs w:val="24"/>
        </w:rPr>
        <w:t xml:space="preserve">именяемый </w:t>
      </w:r>
      <w:r w:rsidRPr="00DC4985">
        <w:rPr>
          <w:rFonts w:ascii="Times New Roman" w:hAnsi="Times New Roman"/>
          <w:sz w:val="24"/>
          <w:szCs w:val="24"/>
        </w:rPr>
        <w:t>тариф</w:t>
      </w:r>
      <w:r w:rsidR="007745D9">
        <w:rPr>
          <w:rFonts w:ascii="Times New Roman" w:hAnsi="Times New Roman"/>
          <w:sz w:val="24"/>
          <w:szCs w:val="24"/>
        </w:rPr>
        <w:t xml:space="preserve"> </w:t>
      </w:r>
      <w:r w:rsidRPr="00DC4985">
        <w:rPr>
          <w:rFonts w:ascii="Times New Roman" w:hAnsi="Times New Roman"/>
          <w:sz w:val="24"/>
          <w:szCs w:val="24"/>
        </w:rPr>
        <w:t xml:space="preserve">на услуги водоснабжения увеличен на 2,4% к базовому показателю 2016 года. </w:t>
      </w:r>
    </w:p>
    <w:p w:rsidR="00CE326F" w:rsidRDefault="00CE326F" w:rsidP="00CE326F">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sz w:val="24"/>
          <w:szCs w:val="24"/>
        </w:rPr>
      </w:pPr>
      <w:r>
        <w:rPr>
          <w:rFonts w:ascii="Times New Roman" w:hAnsi="Times New Roman"/>
          <w:sz w:val="24"/>
          <w:szCs w:val="24"/>
        </w:rPr>
        <w:t>При этом применяемые тарифы</w:t>
      </w:r>
      <w:r w:rsidR="007745D9">
        <w:rPr>
          <w:rFonts w:ascii="Times New Roman" w:hAnsi="Times New Roman"/>
          <w:sz w:val="24"/>
          <w:szCs w:val="24"/>
        </w:rPr>
        <w:t xml:space="preserve"> </w:t>
      </w:r>
      <w:r w:rsidRPr="00DC4985">
        <w:rPr>
          <w:rFonts w:ascii="Times New Roman" w:hAnsi="Times New Roman"/>
          <w:sz w:val="24"/>
          <w:szCs w:val="24"/>
        </w:rPr>
        <w:t xml:space="preserve">на услуги водоснабжения и водоотведения  (канализация) </w:t>
      </w:r>
      <w:r>
        <w:rPr>
          <w:rFonts w:ascii="Times New Roman" w:hAnsi="Times New Roman"/>
          <w:sz w:val="24"/>
          <w:szCs w:val="24"/>
        </w:rPr>
        <w:t xml:space="preserve">по отношению к предельному уровню тарифов для всех потребителей населения сохранены на уровне тарифов, утвержденных на 2017 год. Применяемый тариф </w:t>
      </w:r>
      <w:r w:rsidRPr="00DC4985">
        <w:rPr>
          <w:rFonts w:ascii="Times New Roman" w:hAnsi="Times New Roman"/>
          <w:sz w:val="24"/>
          <w:szCs w:val="24"/>
        </w:rPr>
        <w:t>на услуги водоснабжения</w:t>
      </w:r>
      <w:r>
        <w:rPr>
          <w:rFonts w:ascii="Times New Roman" w:hAnsi="Times New Roman"/>
          <w:sz w:val="24"/>
          <w:szCs w:val="24"/>
        </w:rPr>
        <w:t xml:space="preserve"> для потребителей (без приборов учета воды) снижен на 14,9%             к предельному тарифу, утвержденному на 2017 год.</w:t>
      </w:r>
    </w:p>
    <w:p w:rsidR="00CE326F" w:rsidRPr="00DC4985" w:rsidRDefault="00CE326F" w:rsidP="00CE326F">
      <w:pPr>
        <w:widowControl w:val="0"/>
        <w:spacing w:after="0" w:line="240" w:lineRule="auto"/>
        <w:ind w:firstLine="708"/>
        <w:jc w:val="both"/>
        <w:rPr>
          <w:rFonts w:ascii="Times New Roman" w:hAnsi="Times New Roman"/>
          <w:b/>
          <w:sz w:val="24"/>
          <w:szCs w:val="24"/>
        </w:rPr>
      </w:pPr>
      <w:r w:rsidRPr="00DC4985">
        <w:rPr>
          <w:rFonts w:ascii="Times New Roman" w:hAnsi="Times New Roman"/>
          <w:b/>
          <w:sz w:val="24"/>
          <w:szCs w:val="24"/>
        </w:rPr>
        <w:t>5.</w:t>
      </w:r>
      <w:r w:rsidRPr="00DC4985">
        <w:rPr>
          <w:rFonts w:ascii="Times New Roman" w:hAnsi="Times New Roman"/>
          <w:sz w:val="24"/>
          <w:szCs w:val="24"/>
        </w:rPr>
        <w:t xml:space="preserve"> У</w:t>
      </w:r>
      <w:r w:rsidRPr="00DC4985">
        <w:rPr>
          <w:rFonts w:ascii="Times New Roman" w:hAnsi="Times New Roman"/>
          <w:b/>
          <w:sz w:val="24"/>
          <w:szCs w:val="24"/>
        </w:rPr>
        <w:t>слуги на перевозку пассажиров электрическим транспортом и услуги железнодорожного транспорта в местном сообщении</w:t>
      </w:r>
    </w:p>
    <w:p w:rsidR="00CE326F" w:rsidRPr="00DC4985" w:rsidRDefault="00CE326F" w:rsidP="00CE326F">
      <w:pPr>
        <w:spacing w:after="0" w:line="240" w:lineRule="auto"/>
        <w:ind w:firstLine="708"/>
        <w:jc w:val="both"/>
        <w:rPr>
          <w:rFonts w:ascii="Times New Roman" w:hAnsi="Times New Roman"/>
          <w:sz w:val="24"/>
          <w:szCs w:val="24"/>
        </w:rPr>
      </w:pPr>
      <w:r w:rsidRPr="00DC4985">
        <w:rPr>
          <w:rFonts w:ascii="Times New Roman" w:hAnsi="Times New Roman"/>
          <w:sz w:val="24"/>
          <w:szCs w:val="24"/>
        </w:rPr>
        <w:t>В январе-июне 2017 года МУП «</w:t>
      </w:r>
      <w:proofErr w:type="spellStart"/>
      <w:r w:rsidRPr="00DC4985">
        <w:rPr>
          <w:rFonts w:ascii="Times New Roman" w:hAnsi="Times New Roman"/>
          <w:sz w:val="24"/>
          <w:szCs w:val="24"/>
        </w:rPr>
        <w:t>Бендерское</w:t>
      </w:r>
      <w:proofErr w:type="spellEnd"/>
      <w:r w:rsidRPr="00DC4985">
        <w:rPr>
          <w:rFonts w:ascii="Times New Roman" w:hAnsi="Times New Roman"/>
          <w:sz w:val="24"/>
          <w:szCs w:val="24"/>
        </w:rPr>
        <w:t xml:space="preserve"> троллейбусное управление» и </w:t>
      </w:r>
      <w:r w:rsidR="007745D9">
        <w:rPr>
          <w:rFonts w:ascii="Times New Roman" w:hAnsi="Times New Roman"/>
          <w:sz w:val="24"/>
          <w:szCs w:val="24"/>
        </w:rPr>
        <w:t xml:space="preserve">               </w:t>
      </w:r>
      <w:r w:rsidRPr="00DC4985">
        <w:rPr>
          <w:rFonts w:ascii="Times New Roman" w:hAnsi="Times New Roman"/>
          <w:sz w:val="24"/>
          <w:szCs w:val="24"/>
        </w:rPr>
        <w:t xml:space="preserve">    МУП «</w:t>
      </w:r>
      <w:proofErr w:type="spellStart"/>
      <w:r w:rsidRPr="00DC4985">
        <w:rPr>
          <w:rFonts w:ascii="Times New Roman" w:hAnsi="Times New Roman"/>
          <w:sz w:val="24"/>
          <w:szCs w:val="24"/>
        </w:rPr>
        <w:t>Тираспольское</w:t>
      </w:r>
      <w:proofErr w:type="spellEnd"/>
      <w:r w:rsidRPr="00DC4985">
        <w:rPr>
          <w:rFonts w:ascii="Times New Roman" w:hAnsi="Times New Roman"/>
          <w:sz w:val="24"/>
          <w:szCs w:val="24"/>
        </w:rPr>
        <w:t xml:space="preserve"> троллейбусное управление» применялись тарифы на перевозку пассажиров электрическим транспортом на уровне тарифов, действовавших в 2016 году. Так, стоимость перевозки пассажиров электрическим транспортом составила: </w:t>
      </w:r>
    </w:p>
    <w:p w:rsidR="00CE326F" w:rsidRPr="00DC4985" w:rsidRDefault="00CE326F" w:rsidP="00CE326F">
      <w:pPr>
        <w:spacing w:after="0" w:line="240" w:lineRule="auto"/>
        <w:ind w:firstLine="708"/>
        <w:jc w:val="both"/>
        <w:rPr>
          <w:rFonts w:ascii="Times New Roman" w:hAnsi="Times New Roman"/>
          <w:sz w:val="24"/>
          <w:szCs w:val="24"/>
        </w:rPr>
      </w:pPr>
      <w:r w:rsidRPr="00DC4985">
        <w:rPr>
          <w:rFonts w:ascii="Times New Roman" w:hAnsi="Times New Roman"/>
          <w:sz w:val="24"/>
          <w:szCs w:val="24"/>
        </w:rPr>
        <w:t>–</w:t>
      </w:r>
      <w:r w:rsidRPr="00DC4985">
        <w:rPr>
          <w:rFonts w:ascii="Times New Roman" w:hAnsi="Times New Roman"/>
          <w:sz w:val="24"/>
          <w:szCs w:val="24"/>
          <w:lang w:val="en-US"/>
        </w:rPr>
        <w:t> </w:t>
      </w:r>
      <w:r w:rsidRPr="00DC4985">
        <w:rPr>
          <w:rFonts w:ascii="Times New Roman" w:hAnsi="Times New Roman"/>
          <w:sz w:val="24"/>
          <w:szCs w:val="24"/>
        </w:rPr>
        <w:t xml:space="preserve">на перевозку пассажиров электрическим транспортом, за исключением троллейбусов пассажирских </w:t>
      </w:r>
      <w:proofErr w:type="spellStart"/>
      <w:r w:rsidRPr="00DC4985">
        <w:rPr>
          <w:rFonts w:ascii="Times New Roman" w:hAnsi="Times New Roman"/>
          <w:sz w:val="24"/>
          <w:szCs w:val="24"/>
        </w:rPr>
        <w:t>низкопольной</w:t>
      </w:r>
      <w:proofErr w:type="spellEnd"/>
      <w:r w:rsidRPr="00DC4985">
        <w:rPr>
          <w:rFonts w:ascii="Times New Roman" w:hAnsi="Times New Roman"/>
          <w:sz w:val="24"/>
          <w:szCs w:val="24"/>
        </w:rPr>
        <w:t xml:space="preserve"> модели, на регулярно действующих городских маршрутах 2,00 руб. ПМР;</w:t>
      </w:r>
    </w:p>
    <w:p w:rsidR="00CE326F" w:rsidRPr="00DC4985" w:rsidRDefault="00CE326F" w:rsidP="00CE326F">
      <w:pPr>
        <w:spacing w:after="0" w:line="240" w:lineRule="auto"/>
        <w:ind w:firstLine="708"/>
        <w:jc w:val="both"/>
        <w:rPr>
          <w:rFonts w:ascii="Times New Roman" w:hAnsi="Times New Roman"/>
          <w:sz w:val="24"/>
          <w:szCs w:val="24"/>
        </w:rPr>
      </w:pPr>
      <w:r w:rsidRPr="00DC4985">
        <w:rPr>
          <w:rFonts w:ascii="Times New Roman" w:hAnsi="Times New Roman"/>
          <w:sz w:val="24"/>
          <w:szCs w:val="24"/>
        </w:rPr>
        <w:t xml:space="preserve">– на перевозку пассажиров троллейбусами пассажирскими </w:t>
      </w:r>
      <w:proofErr w:type="spellStart"/>
      <w:r w:rsidRPr="00DC4985">
        <w:rPr>
          <w:rFonts w:ascii="Times New Roman" w:hAnsi="Times New Roman"/>
          <w:sz w:val="24"/>
          <w:szCs w:val="24"/>
        </w:rPr>
        <w:t>низкопольной</w:t>
      </w:r>
      <w:proofErr w:type="spellEnd"/>
      <w:r w:rsidRPr="00DC4985">
        <w:rPr>
          <w:rFonts w:ascii="Times New Roman" w:hAnsi="Times New Roman"/>
          <w:sz w:val="24"/>
          <w:szCs w:val="24"/>
        </w:rPr>
        <w:t xml:space="preserve"> модели на регулярно действующих городских маршрутах 2,50 руб</w:t>
      </w:r>
      <w:r w:rsidR="007745D9">
        <w:rPr>
          <w:rFonts w:ascii="Times New Roman" w:hAnsi="Times New Roman"/>
          <w:sz w:val="24"/>
          <w:szCs w:val="24"/>
        </w:rPr>
        <w:t xml:space="preserve">. ПМР (за исключением </w:t>
      </w:r>
      <w:proofErr w:type="gramStart"/>
      <w:r w:rsidRPr="00DC4985">
        <w:rPr>
          <w:rFonts w:ascii="Times New Roman" w:hAnsi="Times New Roman"/>
          <w:sz w:val="24"/>
          <w:szCs w:val="24"/>
        </w:rPr>
        <w:t>г</w:t>
      </w:r>
      <w:proofErr w:type="gramEnd"/>
      <w:r w:rsidRPr="00DC4985">
        <w:rPr>
          <w:rFonts w:ascii="Times New Roman" w:hAnsi="Times New Roman"/>
          <w:sz w:val="24"/>
          <w:szCs w:val="24"/>
        </w:rPr>
        <w:t>. Бендеры – 2,00 руб. ПМР);</w:t>
      </w:r>
    </w:p>
    <w:p w:rsidR="00CE326F" w:rsidRPr="00DC4985" w:rsidRDefault="00CE326F" w:rsidP="00CE326F">
      <w:pPr>
        <w:spacing w:after="0" w:line="240" w:lineRule="auto"/>
        <w:ind w:firstLine="708"/>
        <w:jc w:val="both"/>
        <w:rPr>
          <w:rFonts w:ascii="Times New Roman" w:hAnsi="Times New Roman"/>
          <w:sz w:val="24"/>
          <w:szCs w:val="24"/>
        </w:rPr>
      </w:pPr>
      <w:r w:rsidRPr="00DC4985">
        <w:rPr>
          <w:rFonts w:ascii="Times New Roman" w:hAnsi="Times New Roman"/>
          <w:sz w:val="24"/>
          <w:szCs w:val="24"/>
        </w:rPr>
        <w:t xml:space="preserve">– на перевозку пассажиров электрическим транспортом, за исключением троллейбусов пассажирских </w:t>
      </w:r>
      <w:proofErr w:type="spellStart"/>
      <w:r w:rsidRPr="00DC4985">
        <w:rPr>
          <w:rFonts w:ascii="Times New Roman" w:hAnsi="Times New Roman"/>
          <w:sz w:val="24"/>
          <w:szCs w:val="24"/>
        </w:rPr>
        <w:t>низкопольной</w:t>
      </w:r>
      <w:proofErr w:type="spellEnd"/>
      <w:r w:rsidRPr="00DC4985">
        <w:rPr>
          <w:rFonts w:ascii="Times New Roman" w:hAnsi="Times New Roman"/>
          <w:sz w:val="24"/>
          <w:szCs w:val="24"/>
        </w:rPr>
        <w:t xml:space="preserve"> модели, на маршрутах Тирасполь-Бендеры и Бендеры-Тирасполь 2,50 руб. ПМР;</w:t>
      </w:r>
    </w:p>
    <w:p w:rsidR="00CE326F" w:rsidRDefault="00CE326F" w:rsidP="00CE326F">
      <w:pPr>
        <w:spacing w:after="0" w:line="240" w:lineRule="auto"/>
        <w:ind w:firstLine="708"/>
        <w:jc w:val="both"/>
        <w:rPr>
          <w:rFonts w:ascii="Times New Roman" w:hAnsi="Times New Roman"/>
          <w:sz w:val="24"/>
          <w:szCs w:val="24"/>
        </w:rPr>
      </w:pPr>
      <w:r w:rsidRPr="00DC4985">
        <w:rPr>
          <w:rFonts w:ascii="Times New Roman" w:hAnsi="Times New Roman"/>
          <w:sz w:val="24"/>
          <w:szCs w:val="24"/>
        </w:rPr>
        <w:t xml:space="preserve">– на перевозку пассажиров троллейбусами пассажирскими </w:t>
      </w:r>
      <w:proofErr w:type="spellStart"/>
      <w:r w:rsidRPr="00DC4985">
        <w:rPr>
          <w:rFonts w:ascii="Times New Roman" w:hAnsi="Times New Roman"/>
          <w:sz w:val="24"/>
          <w:szCs w:val="24"/>
        </w:rPr>
        <w:t>низкопольной</w:t>
      </w:r>
      <w:proofErr w:type="spellEnd"/>
      <w:r w:rsidRPr="00DC4985">
        <w:rPr>
          <w:rFonts w:ascii="Times New Roman" w:hAnsi="Times New Roman"/>
          <w:sz w:val="24"/>
          <w:szCs w:val="24"/>
        </w:rPr>
        <w:t xml:space="preserve"> модели на маршрутах Тирасполь-Бендеры и Бендеры-Тирасполь 3,00 руб. ПМР.</w:t>
      </w:r>
    </w:p>
    <w:p w:rsidR="00CE326F" w:rsidRPr="00DC4985" w:rsidRDefault="00CE326F" w:rsidP="00CE326F">
      <w:pPr>
        <w:spacing w:after="0" w:line="240" w:lineRule="auto"/>
        <w:ind w:firstLine="708"/>
        <w:jc w:val="both"/>
        <w:rPr>
          <w:rFonts w:ascii="Times New Roman" w:hAnsi="Times New Roman"/>
          <w:sz w:val="24"/>
          <w:szCs w:val="24"/>
        </w:rPr>
      </w:pPr>
      <w:r>
        <w:rPr>
          <w:rFonts w:ascii="Times New Roman" w:hAnsi="Times New Roman"/>
          <w:sz w:val="24"/>
          <w:szCs w:val="24"/>
        </w:rPr>
        <w:t>Кроме того, перевозки льготной категории населения  электрическим транспортом с   1 января 2017 года осуществлялись бесплатно.</w:t>
      </w:r>
    </w:p>
    <w:p w:rsidR="00CE326F" w:rsidRPr="00DC4985" w:rsidRDefault="00CE326F" w:rsidP="00CE326F">
      <w:pPr>
        <w:spacing w:after="0" w:line="240" w:lineRule="auto"/>
        <w:ind w:firstLine="708"/>
        <w:jc w:val="both"/>
        <w:rPr>
          <w:rFonts w:ascii="Times New Roman" w:hAnsi="Times New Roman"/>
          <w:sz w:val="24"/>
          <w:szCs w:val="24"/>
        </w:rPr>
      </w:pPr>
      <w:r w:rsidRPr="00DC4985">
        <w:rPr>
          <w:rFonts w:ascii="Times New Roman" w:hAnsi="Times New Roman"/>
          <w:sz w:val="24"/>
          <w:szCs w:val="24"/>
        </w:rPr>
        <w:t>Предельные уровни тарифов на услуги железнодорожного транспорта в местном сообщении с 1 января 2017 года увеличены на 5,0% по сравнению с предельными уровнями тари</w:t>
      </w:r>
      <w:r w:rsidR="007745D9">
        <w:rPr>
          <w:rFonts w:ascii="Times New Roman" w:hAnsi="Times New Roman"/>
          <w:sz w:val="24"/>
          <w:szCs w:val="24"/>
        </w:rPr>
        <w:t>фов, утвержденными в 2016 году.</w:t>
      </w:r>
    </w:p>
    <w:p w:rsidR="00CE326F" w:rsidRPr="00DC4985" w:rsidRDefault="00CE326F" w:rsidP="00CE326F">
      <w:pPr>
        <w:tabs>
          <w:tab w:val="left" w:pos="709"/>
        </w:tabs>
        <w:spacing w:after="0" w:line="240" w:lineRule="auto"/>
        <w:ind w:firstLine="709"/>
        <w:jc w:val="both"/>
        <w:rPr>
          <w:rFonts w:ascii="Times New Roman" w:eastAsia="MS Mincho" w:hAnsi="Times New Roman"/>
          <w:b/>
          <w:bCs/>
          <w:sz w:val="24"/>
          <w:szCs w:val="24"/>
        </w:rPr>
      </w:pPr>
      <w:r w:rsidRPr="00DC4985">
        <w:rPr>
          <w:rFonts w:ascii="Times New Roman" w:hAnsi="Times New Roman"/>
          <w:b/>
          <w:sz w:val="24"/>
          <w:szCs w:val="24"/>
        </w:rPr>
        <w:t xml:space="preserve">Ценовая и тарифная политика в </w:t>
      </w:r>
      <w:r w:rsidRPr="00DC4985">
        <w:rPr>
          <w:rFonts w:ascii="Times New Roman" w:eastAsia="MS Mincho" w:hAnsi="Times New Roman"/>
          <w:b/>
          <w:bCs/>
          <w:sz w:val="24"/>
          <w:szCs w:val="24"/>
        </w:rPr>
        <w:t>сфере социально значимых товаров (работ, услуг)</w:t>
      </w:r>
    </w:p>
    <w:p w:rsidR="00CE326F" w:rsidRPr="00DC4985" w:rsidRDefault="00CE326F" w:rsidP="00CE326F">
      <w:pPr>
        <w:pStyle w:val="aff0"/>
        <w:ind w:firstLine="708"/>
        <w:rPr>
          <w:bCs/>
          <w:sz w:val="24"/>
          <w:szCs w:val="24"/>
        </w:rPr>
      </w:pPr>
      <w:r w:rsidRPr="00DC4985">
        <w:rPr>
          <w:bCs/>
          <w:sz w:val="24"/>
          <w:szCs w:val="24"/>
        </w:rPr>
        <w:t>Ценовая и тарифная политика в 2017 году в сфере социально значимых товаров (работ, услуг) сформирована с учетом норм действующего законодательства в области ценообразования и влияния следующих факторов:</w:t>
      </w:r>
    </w:p>
    <w:p w:rsidR="00CE326F" w:rsidRPr="00DC4985" w:rsidRDefault="00CE326F" w:rsidP="00CE326F">
      <w:pPr>
        <w:pStyle w:val="aff0"/>
        <w:numPr>
          <w:ilvl w:val="0"/>
          <w:numId w:val="12"/>
        </w:numPr>
        <w:tabs>
          <w:tab w:val="left" w:pos="142"/>
          <w:tab w:val="left" w:pos="426"/>
          <w:tab w:val="left" w:pos="709"/>
          <w:tab w:val="left" w:pos="993"/>
        </w:tabs>
        <w:ind w:left="709" w:firstLine="0"/>
        <w:jc w:val="left"/>
        <w:rPr>
          <w:bCs/>
          <w:sz w:val="24"/>
          <w:szCs w:val="24"/>
        </w:rPr>
      </w:pPr>
      <w:r w:rsidRPr="00DC4985">
        <w:rPr>
          <w:bCs/>
          <w:sz w:val="24"/>
          <w:szCs w:val="24"/>
        </w:rPr>
        <w:t>изменения цен на сырье и материалы, тарифов на энергоносители;</w:t>
      </w:r>
    </w:p>
    <w:p w:rsidR="00CE326F" w:rsidRPr="00DC4985" w:rsidRDefault="00CE326F" w:rsidP="00CE326F">
      <w:pPr>
        <w:pStyle w:val="aff0"/>
        <w:numPr>
          <w:ilvl w:val="0"/>
          <w:numId w:val="12"/>
        </w:numPr>
        <w:tabs>
          <w:tab w:val="left" w:pos="142"/>
          <w:tab w:val="left" w:pos="426"/>
          <w:tab w:val="left" w:pos="709"/>
          <w:tab w:val="left" w:pos="993"/>
        </w:tabs>
        <w:ind w:left="284" w:firstLine="425"/>
        <w:jc w:val="left"/>
        <w:rPr>
          <w:bCs/>
          <w:sz w:val="24"/>
          <w:szCs w:val="24"/>
        </w:rPr>
      </w:pPr>
      <w:r w:rsidRPr="00DC4985">
        <w:rPr>
          <w:bCs/>
          <w:sz w:val="24"/>
          <w:szCs w:val="24"/>
        </w:rPr>
        <w:t>влияния инфляционных процессов в 2017- 2018 годах;</w:t>
      </w:r>
    </w:p>
    <w:p w:rsidR="00CE326F" w:rsidRPr="00DC4985" w:rsidRDefault="00CE326F" w:rsidP="00CE326F">
      <w:pPr>
        <w:pStyle w:val="aff0"/>
        <w:numPr>
          <w:ilvl w:val="0"/>
          <w:numId w:val="12"/>
        </w:numPr>
        <w:tabs>
          <w:tab w:val="left" w:pos="142"/>
          <w:tab w:val="left" w:pos="426"/>
          <w:tab w:val="left" w:pos="709"/>
          <w:tab w:val="left" w:pos="993"/>
        </w:tabs>
        <w:ind w:left="0" w:firstLine="709"/>
        <w:rPr>
          <w:bCs/>
          <w:sz w:val="24"/>
          <w:szCs w:val="24"/>
        </w:rPr>
      </w:pPr>
      <w:r w:rsidRPr="00DC4985">
        <w:rPr>
          <w:bCs/>
          <w:sz w:val="24"/>
          <w:szCs w:val="24"/>
        </w:rPr>
        <w:t>изменения среднегодового минимального размера оплаты труда на соответствующий расчетный период регулирования;</w:t>
      </w:r>
    </w:p>
    <w:p w:rsidR="00CE326F" w:rsidRPr="00DC4985" w:rsidRDefault="00CE326F" w:rsidP="00CE326F">
      <w:pPr>
        <w:pStyle w:val="aff0"/>
        <w:numPr>
          <w:ilvl w:val="0"/>
          <w:numId w:val="13"/>
        </w:numPr>
        <w:tabs>
          <w:tab w:val="left" w:pos="142"/>
          <w:tab w:val="left" w:pos="426"/>
          <w:tab w:val="left" w:pos="709"/>
          <w:tab w:val="left" w:pos="993"/>
        </w:tabs>
        <w:ind w:left="0" w:firstLine="709"/>
        <w:rPr>
          <w:bCs/>
          <w:sz w:val="24"/>
          <w:szCs w:val="24"/>
        </w:rPr>
      </w:pPr>
      <w:r w:rsidRPr="00DC4985">
        <w:rPr>
          <w:bCs/>
          <w:sz w:val="24"/>
          <w:szCs w:val="24"/>
        </w:rPr>
        <w:t>фактических результатов деятельности хозяйствующих субъектов, производящих (осуществляющих, оказывающих) социально значимые товары (работы, услуги), по итогам работы за прошедшие расчетные периоды регулирования.</w:t>
      </w:r>
    </w:p>
    <w:p w:rsidR="00CE326F" w:rsidRPr="00DC4985" w:rsidRDefault="00CE326F" w:rsidP="00CE326F">
      <w:pPr>
        <w:tabs>
          <w:tab w:val="left" w:pos="993"/>
        </w:tabs>
        <w:spacing w:after="0" w:line="240" w:lineRule="auto"/>
        <w:ind w:firstLine="709"/>
        <w:jc w:val="both"/>
        <w:rPr>
          <w:rFonts w:ascii="Times New Roman" w:eastAsia="MS Mincho" w:hAnsi="Times New Roman"/>
          <w:bCs/>
          <w:sz w:val="24"/>
          <w:szCs w:val="24"/>
          <w:u w:val="single"/>
        </w:rPr>
      </w:pPr>
      <w:r w:rsidRPr="00DC4985">
        <w:rPr>
          <w:rFonts w:ascii="Times New Roman" w:eastAsia="MS Mincho" w:hAnsi="Times New Roman"/>
          <w:bCs/>
          <w:sz w:val="24"/>
          <w:szCs w:val="24"/>
          <w:u w:val="single"/>
        </w:rPr>
        <w:lastRenderedPageBreak/>
        <w:t xml:space="preserve">а) мука для хлебопечения </w:t>
      </w:r>
    </w:p>
    <w:p w:rsidR="00CE326F" w:rsidRPr="008B3BD3" w:rsidRDefault="00CE326F" w:rsidP="00CE326F">
      <w:pPr>
        <w:spacing w:after="0" w:line="240" w:lineRule="auto"/>
        <w:ind w:firstLine="709"/>
        <w:jc w:val="both"/>
        <w:rPr>
          <w:rFonts w:ascii="Times New Roman" w:eastAsia="MS Mincho" w:hAnsi="Times New Roman"/>
          <w:bCs/>
          <w:sz w:val="24"/>
          <w:szCs w:val="24"/>
        </w:rPr>
      </w:pPr>
      <w:r w:rsidRPr="008B3BD3">
        <w:rPr>
          <w:rFonts w:ascii="Times New Roman" w:eastAsia="MS Mincho" w:hAnsi="Times New Roman"/>
          <w:bCs/>
          <w:sz w:val="24"/>
          <w:szCs w:val="24"/>
        </w:rPr>
        <w:t>С 1 января 2017 года предельные отпускные цены на муку для хлебопечения по сравнению с предельными отпускными ценами, действовавшими с 1 января 2016 года, изменились следующим образом:</w:t>
      </w:r>
    </w:p>
    <w:p w:rsidR="00CE326F" w:rsidRPr="008B3BD3" w:rsidRDefault="00CE326F" w:rsidP="00CE326F">
      <w:pPr>
        <w:spacing w:after="0" w:line="240" w:lineRule="auto"/>
        <w:ind w:left="284" w:firstLine="425"/>
        <w:jc w:val="both"/>
        <w:rPr>
          <w:rFonts w:ascii="Times New Roman" w:eastAsia="MS Mincho" w:hAnsi="Times New Roman"/>
          <w:bCs/>
          <w:sz w:val="24"/>
          <w:szCs w:val="24"/>
        </w:rPr>
      </w:pPr>
      <w:r w:rsidRPr="008B3BD3">
        <w:rPr>
          <w:rFonts w:ascii="Times New Roman" w:eastAsia="MS Mincho" w:hAnsi="Times New Roman"/>
          <w:bCs/>
          <w:sz w:val="24"/>
          <w:szCs w:val="24"/>
        </w:rPr>
        <w:t>– на муку пшеничную высшего сорта снизились на 8,2%;</w:t>
      </w:r>
    </w:p>
    <w:p w:rsidR="00CE326F" w:rsidRPr="008B3BD3" w:rsidRDefault="00CE326F" w:rsidP="00CE326F">
      <w:pPr>
        <w:spacing w:after="0" w:line="240" w:lineRule="auto"/>
        <w:ind w:left="285" w:firstLine="425"/>
        <w:jc w:val="both"/>
        <w:rPr>
          <w:rFonts w:ascii="Times New Roman" w:eastAsia="MS Mincho" w:hAnsi="Times New Roman"/>
          <w:bCs/>
          <w:sz w:val="24"/>
          <w:szCs w:val="24"/>
        </w:rPr>
      </w:pPr>
      <w:r w:rsidRPr="008B3BD3">
        <w:rPr>
          <w:rFonts w:ascii="Times New Roman" w:eastAsia="MS Mincho" w:hAnsi="Times New Roman"/>
          <w:bCs/>
          <w:sz w:val="24"/>
          <w:szCs w:val="24"/>
        </w:rPr>
        <w:t>– на муку пшеничную сорта «Днестровский» увеличились на 13,2%;</w:t>
      </w:r>
    </w:p>
    <w:p w:rsidR="00CE326F" w:rsidRPr="008B3BD3" w:rsidRDefault="00CE326F" w:rsidP="00387D3D">
      <w:pPr>
        <w:tabs>
          <w:tab w:val="left" w:pos="567"/>
        </w:tabs>
        <w:spacing w:after="0" w:line="240" w:lineRule="auto"/>
        <w:ind w:firstLine="710"/>
        <w:jc w:val="both"/>
        <w:rPr>
          <w:rFonts w:ascii="Times New Roman" w:eastAsia="MS Mincho" w:hAnsi="Times New Roman"/>
          <w:bCs/>
          <w:sz w:val="24"/>
          <w:szCs w:val="24"/>
        </w:rPr>
      </w:pPr>
      <w:r w:rsidRPr="008B3BD3">
        <w:rPr>
          <w:rFonts w:ascii="Times New Roman" w:eastAsia="MS Mincho" w:hAnsi="Times New Roman"/>
          <w:bCs/>
          <w:sz w:val="24"/>
          <w:szCs w:val="24"/>
        </w:rPr>
        <w:t>– на муку пшеничную первого и второго сорта снизились соответственно на 4,8% и 4,5%;</w:t>
      </w:r>
    </w:p>
    <w:p w:rsidR="00CE326F" w:rsidRPr="008B3BD3" w:rsidRDefault="00CE326F" w:rsidP="00CE326F">
      <w:pPr>
        <w:spacing w:after="0" w:line="240" w:lineRule="auto"/>
        <w:ind w:left="285" w:firstLine="424"/>
        <w:jc w:val="both"/>
        <w:rPr>
          <w:rFonts w:ascii="Times New Roman" w:eastAsia="MS Mincho" w:hAnsi="Times New Roman"/>
          <w:bCs/>
          <w:sz w:val="24"/>
          <w:szCs w:val="24"/>
        </w:rPr>
      </w:pPr>
      <w:r w:rsidRPr="008B3BD3">
        <w:rPr>
          <w:rFonts w:ascii="Times New Roman" w:eastAsia="MS Mincho" w:hAnsi="Times New Roman"/>
          <w:bCs/>
          <w:sz w:val="24"/>
          <w:szCs w:val="24"/>
        </w:rPr>
        <w:t>– на муку ржаную увеличились на 6,3%.</w:t>
      </w:r>
    </w:p>
    <w:p w:rsidR="00CE326F" w:rsidRPr="008B3BD3" w:rsidRDefault="00CE326F" w:rsidP="00CE326F">
      <w:pPr>
        <w:pStyle w:val="justifyfull"/>
        <w:shd w:val="clear" w:color="auto" w:fill="FFFFFF"/>
        <w:tabs>
          <w:tab w:val="left" w:pos="784"/>
        </w:tabs>
        <w:spacing w:before="0" w:beforeAutospacing="0" w:after="0" w:afterAutospacing="0"/>
        <w:ind w:firstLine="709"/>
        <w:jc w:val="both"/>
        <w:textAlignment w:val="baseline"/>
        <w:rPr>
          <w:rFonts w:eastAsia="MS Mincho"/>
          <w:bCs/>
        </w:rPr>
      </w:pPr>
      <w:r w:rsidRPr="008B3BD3">
        <w:t xml:space="preserve">Основными факторами снижения цены на муку </w:t>
      </w:r>
      <w:r w:rsidRPr="008B3BD3">
        <w:rPr>
          <w:rFonts w:eastAsia="MS Mincho"/>
          <w:bCs/>
        </w:rPr>
        <w:t>для хлебопечения на 2017 год</w:t>
      </w:r>
      <w:r w:rsidR="00387D3D">
        <w:rPr>
          <w:rFonts w:eastAsia="MS Mincho"/>
          <w:bCs/>
        </w:rPr>
        <w:t xml:space="preserve"> </w:t>
      </w:r>
      <w:r w:rsidRPr="008B3BD3">
        <w:rPr>
          <w:rFonts w:eastAsia="MS Mincho"/>
          <w:bCs/>
        </w:rPr>
        <w:t>по сравнению с 2016 годом</w:t>
      </w:r>
      <w:r w:rsidRPr="008B3BD3">
        <w:t xml:space="preserve"> явились уменьшение стоимости 1 тонны зерна продовольственной пшеницы</w:t>
      </w:r>
      <w:r w:rsidRPr="008B3BD3">
        <w:rPr>
          <w:rFonts w:eastAsia="MS Mincho"/>
          <w:bCs/>
        </w:rPr>
        <w:t xml:space="preserve"> на 8,1% и изменение тарифов на энергоносители (газ, электрическая энергия) для отечественных производителей.</w:t>
      </w:r>
    </w:p>
    <w:p w:rsidR="00CE326F" w:rsidRPr="008B3BD3" w:rsidRDefault="00CE326F" w:rsidP="00CE326F">
      <w:pPr>
        <w:spacing w:after="0" w:line="240" w:lineRule="auto"/>
        <w:ind w:firstLine="709"/>
        <w:rPr>
          <w:rFonts w:ascii="Times New Roman" w:eastAsia="MS Mincho" w:hAnsi="Times New Roman"/>
          <w:bCs/>
          <w:sz w:val="24"/>
          <w:szCs w:val="24"/>
          <w:u w:val="single"/>
        </w:rPr>
      </w:pPr>
      <w:r w:rsidRPr="008B3BD3">
        <w:rPr>
          <w:rFonts w:ascii="Times New Roman" w:eastAsia="MS Mincho" w:hAnsi="Times New Roman"/>
          <w:bCs/>
          <w:sz w:val="24"/>
          <w:szCs w:val="24"/>
          <w:u w:val="single"/>
        </w:rPr>
        <w:t>б) хлеб и хлебобулочные изделия</w:t>
      </w:r>
    </w:p>
    <w:p w:rsidR="00CE326F" w:rsidRPr="008B3BD3" w:rsidRDefault="00CE326F" w:rsidP="00CE326F">
      <w:pPr>
        <w:spacing w:after="0" w:line="240" w:lineRule="auto"/>
        <w:ind w:firstLine="709"/>
        <w:jc w:val="both"/>
        <w:rPr>
          <w:rFonts w:ascii="Times New Roman" w:eastAsia="MS Mincho" w:hAnsi="Times New Roman"/>
          <w:bCs/>
          <w:sz w:val="24"/>
          <w:szCs w:val="24"/>
          <w:lang w:eastAsia="en-US"/>
        </w:rPr>
      </w:pPr>
      <w:r w:rsidRPr="008B3BD3">
        <w:rPr>
          <w:rFonts w:ascii="Times New Roman" w:eastAsia="MS Mincho" w:hAnsi="Times New Roman"/>
          <w:bCs/>
          <w:sz w:val="24"/>
          <w:szCs w:val="24"/>
          <w:lang w:eastAsia="en-US"/>
        </w:rPr>
        <w:t xml:space="preserve">С 1 января 2017 года предельные отпускные цены на хлеб и хлебобулочные изделия по сравнению с аналогичными ценами, </w:t>
      </w:r>
      <w:r w:rsidRPr="008B3BD3">
        <w:rPr>
          <w:rFonts w:ascii="Times New Roman" w:eastAsia="MS Mincho" w:hAnsi="Times New Roman"/>
          <w:bCs/>
          <w:sz w:val="24"/>
          <w:szCs w:val="24"/>
        </w:rPr>
        <w:t>действовавшими в 2016 году</w:t>
      </w:r>
      <w:r>
        <w:rPr>
          <w:rFonts w:ascii="Times New Roman" w:eastAsia="MS Mincho" w:hAnsi="Times New Roman"/>
          <w:bCs/>
          <w:sz w:val="24"/>
          <w:szCs w:val="24"/>
        </w:rPr>
        <w:t>,</w:t>
      </w:r>
      <w:r w:rsidRPr="008B3BD3">
        <w:rPr>
          <w:rFonts w:ascii="Times New Roman" w:eastAsia="MS Mincho" w:hAnsi="Times New Roman"/>
          <w:bCs/>
          <w:sz w:val="24"/>
          <w:szCs w:val="24"/>
        </w:rPr>
        <w:t xml:space="preserve"> снижены на 10 копеек,</w:t>
      </w:r>
      <w:r w:rsidRPr="008B3BD3">
        <w:rPr>
          <w:rFonts w:ascii="Times New Roman" w:eastAsia="MS Mincho" w:hAnsi="Times New Roman"/>
          <w:bCs/>
          <w:sz w:val="24"/>
          <w:szCs w:val="24"/>
          <w:lang w:eastAsia="en-US"/>
        </w:rPr>
        <w:t xml:space="preserve"> за исключением цен на хлеб пшеничный и хлеб «Столовый» производства  ЗАО «</w:t>
      </w:r>
      <w:proofErr w:type="spellStart"/>
      <w:r w:rsidRPr="008B3BD3">
        <w:rPr>
          <w:rFonts w:ascii="Times New Roman" w:eastAsia="MS Mincho" w:hAnsi="Times New Roman"/>
          <w:bCs/>
          <w:sz w:val="24"/>
          <w:szCs w:val="24"/>
          <w:lang w:eastAsia="en-US"/>
        </w:rPr>
        <w:t>Рыбницкий</w:t>
      </w:r>
      <w:proofErr w:type="spellEnd"/>
      <w:r w:rsidRPr="008B3BD3">
        <w:rPr>
          <w:rFonts w:ascii="Times New Roman" w:eastAsia="MS Mincho" w:hAnsi="Times New Roman"/>
          <w:bCs/>
          <w:sz w:val="24"/>
          <w:szCs w:val="24"/>
          <w:lang w:eastAsia="en-US"/>
        </w:rPr>
        <w:t xml:space="preserve"> </w:t>
      </w:r>
      <w:proofErr w:type="spellStart"/>
      <w:r w:rsidRPr="008B3BD3">
        <w:rPr>
          <w:rFonts w:ascii="Times New Roman" w:eastAsia="MS Mincho" w:hAnsi="Times New Roman"/>
          <w:bCs/>
          <w:sz w:val="24"/>
          <w:szCs w:val="24"/>
          <w:lang w:eastAsia="en-US"/>
        </w:rPr>
        <w:t>хлебокомбинат</w:t>
      </w:r>
      <w:proofErr w:type="spellEnd"/>
      <w:r w:rsidRPr="008B3BD3">
        <w:rPr>
          <w:rFonts w:ascii="Times New Roman" w:eastAsia="MS Mincho" w:hAnsi="Times New Roman"/>
          <w:bCs/>
          <w:sz w:val="24"/>
          <w:szCs w:val="24"/>
          <w:lang w:eastAsia="en-US"/>
        </w:rPr>
        <w:t>» (снижение на 5 копеек).</w:t>
      </w:r>
    </w:p>
    <w:p w:rsidR="00CE326F" w:rsidRPr="008B3BD3" w:rsidRDefault="00CE326F" w:rsidP="00CE326F">
      <w:pPr>
        <w:spacing w:after="0" w:line="240" w:lineRule="auto"/>
        <w:ind w:firstLine="709"/>
        <w:jc w:val="both"/>
        <w:rPr>
          <w:rFonts w:ascii="Times New Roman" w:eastAsia="MS Mincho" w:hAnsi="Times New Roman"/>
          <w:bCs/>
          <w:sz w:val="24"/>
          <w:szCs w:val="24"/>
          <w:lang w:eastAsia="en-US"/>
        </w:rPr>
      </w:pPr>
      <w:r w:rsidRPr="008B3BD3">
        <w:rPr>
          <w:rFonts w:ascii="Times New Roman" w:eastAsia="MS Mincho" w:hAnsi="Times New Roman"/>
          <w:bCs/>
          <w:sz w:val="24"/>
          <w:szCs w:val="24"/>
          <w:lang w:eastAsia="en-US"/>
        </w:rPr>
        <w:t>Основным фактором снижения цены на хлеб и хлебобулочные изделия в 2017 году по сравнению с 2016 годом является снижение цены на муку для хлебопечения.</w:t>
      </w:r>
    </w:p>
    <w:p w:rsidR="00CE326F" w:rsidRPr="008B3BD3" w:rsidRDefault="00CE326F" w:rsidP="00CE326F">
      <w:pPr>
        <w:spacing w:after="0" w:line="240" w:lineRule="auto"/>
        <w:ind w:firstLine="708"/>
        <w:jc w:val="both"/>
        <w:rPr>
          <w:rFonts w:ascii="Times New Roman" w:eastAsia="MS Mincho" w:hAnsi="Times New Roman"/>
          <w:bCs/>
          <w:sz w:val="24"/>
          <w:szCs w:val="24"/>
          <w:u w:val="single"/>
        </w:rPr>
      </w:pPr>
      <w:r w:rsidRPr="008B3BD3">
        <w:rPr>
          <w:rFonts w:ascii="Times New Roman" w:eastAsia="MS Mincho" w:hAnsi="Times New Roman"/>
          <w:bCs/>
          <w:sz w:val="24"/>
          <w:szCs w:val="24"/>
          <w:u w:val="single"/>
        </w:rPr>
        <w:t>в) услуги телефонной сети и телеграфной связи</w:t>
      </w:r>
    </w:p>
    <w:p w:rsidR="00CE326F" w:rsidRPr="008B3BD3" w:rsidRDefault="00CE326F" w:rsidP="00CE326F">
      <w:pPr>
        <w:tabs>
          <w:tab w:val="left" w:pos="993"/>
        </w:tabs>
        <w:spacing w:after="0" w:line="240" w:lineRule="auto"/>
        <w:ind w:firstLine="708"/>
        <w:jc w:val="both"/>
        <w:rPr>
          <w:rFonts w:ascii="Times New Roman" w:eastAsia="MS Mincho" w:hAnsi="Times New Roman"/>
          <w:bCs/>
          <w:sz w:val="24"/>
          <w:szCs w:val="24"/>
        </w:rPr>
      </w:pPr>
      <w:r w:rsidRPr="008B3BD3">
        <w:rPr>
          <w:rFonts w:ascii="Times New Roman" w:eastAsia="MS Mincho" w:hAnsi="Times New Roman"/>
          <w:bCs/>
          <w:sz w:val="24"/>
          <w:szCs w:val="24"/>
        </w:rPr>
        <w:t>В 2017 году по сравнению с тарифами, действовавшими в 2016 году</w:t>
      </w:r>
      <w:r>
        <w:rPr>
          <w:rFonts w:ascii="Times New Roman" w:eastAsia="MS Mincho" w:hAnsi="Times New Roman"/>
          <w:bCs/>
          <w:sz w:val="24"/>
          <w:szCs w:val="24"/>
        </w:rPr>
        <w:t>,</w:t>
      </w:r>
      <w:r w:rsidRPr="008B3BD3">
        <w:rPr>
          <w:rFonts w:ascii="Times New Roman" w:eastAsia="MS Mincho" w:hAnsi="Times New Roman"/>
          <w:bCs/>
          <w:sz w:val="24"/>
          <w:szCs w:val="24"/>
        </w:rPr>
        <w:t xml:space="preserve"> регулируемые услуги телефонной сети изменились следующим образом:</w:t>
      </w:r>
    </w:p>
    <w:p w:rsidR="00CE326F" w:rsidRPr="008B3BD3" w:rsidRDefault="00CE326F" w:rsidP="00CE326F">
      <w:pPr>
        <w:pStyle w:val="a6"/>
        <w:numPr>
          <w:ilvl w:val="0"/>
          <w:numId w:val="14"/>
        </w:numPr>
        <w:tabs>
          <w:tab w:val="left" w:pos="1134"/>
        </w:tabs>
        <w:spacing w:after="0" w:line="240" w:lineRule="auto"/>
        <w:ind w:left="0" w:firstLine="709"/>
        <w:jc w:val="both"/>
        <w:rPr>
          <w:rFonts w:ascii="Times New Roman" w:eastAsia="MS Mincho" w:hAnsi="Times New Roman"/>
          <w:bCs/>
          <w:sz w:val="24"/>
          <w:szCs w:val="24"/>
        </w:rPr>
      </w:pPr>
      <w:r w:rsidRPr="008B3BD3">
        <w:rPr>
          <w:rFonts w:ascii="Times New Roman" w:eastAsia="MS Mincho" w:hAnsi="Times New Roman"/>
          <w:bCs/>
          <w:sz w:val="24"/>
          <w:szCs w:val="24"/>
        </w:rPr>
        <w:t>расходы на абонентскую плату за пользование основным телефонным аппаратом увеличились на 4,2%;</w:t>
      </w:r>
    </w:p>
    <w:p w:rsidR="00CE326F" w:rsidRPr="008B3BD3" w:rsidRDefault="00CE326F" w:rsidP="00CE326F">
      <w:pPr>
        <w:pStyle w:val="a6"/>
        <w:numPr>
          <w:ilvl w:val="0"/>
          <w:numId w:val="14"/>
        </w:numPr>
        <w:tabs>
          <w:tab w:val="left" w:pos="1134"/>
        </w:tabs>
        <w:spacing w:after="0" w:line="240" w:lineRule="auto"/>
        <w:ind w:left="0" w:firstLine="709"/>
        <w:jc w:val="both"/>
        <w:rPr>
          <w:rFonts w:ascii="Times New Roman" w:eastAsia="MS Mincho" w:hAnsi="Times New Roman"/>
          <w:bCs/>
          <w:sz w:val="24"/>
          <w:szCs w:val="24"/>
        </w:rPr>
      </w:pPr>
      <w:r w:rsidRPr="008B3BD3">
        <w:rPr>
          <w:rFonts w:ascii="Times New Roman" w:eastAsia="MS Mincho" w:hAnsi="Times New Roman"/>
          <w:bCs/>
          <w:sz w:val="24"/>
          <w:szCs w:val="24"/>
        </w:rPr>
        <w:t>расходы на местные разговоры снизились на 5,0%;</w:t>
      </w:r>
    </w:p>
    <w:p w:rsidR="00CE326F" w:rsidRPr="008B3BD3" w:rsidRDefault="00CE326F" w:rsidP="00CE326F">
      <w:pPr>
        <w:pStyle w:val="a6"/>
        <w:numPr>
          <w:ilvl w:val="0"/>
          <w:numId w:val="14"/>
        </w:numPr>
        <w:tabs>
          <w:tab w:val="left" w:pos="1134"/>
        </w:tabs>
        <w:spacing w:after="0" w:line="240" w:lineRule="auto"/>
        <w:jc w:val="both"/>
        <w:rPr>
          <w:rFonts w:ascii="Times New Roman" w:eastAsia="MS Mincho" w:hAnsi="Times New Roman"/>
          <w:bCs/>
          <w:sz w:val="24"/>
          <w:szCs w:val="24"/>
        </w:rPr>
      </w:pPr>
      <w:r w:rsidRPr="008B3BD3">
        <w:rPr>
          <w:rFonts w:ascii="Times New Roman" w:eastAsia="MS Mincho" w:hAnsi="Times New Roman"/>
          <w:bCs/>
          <w:sz w:val="24"/>
          <w:szCs w:val="24"/>
        </w:rPr>
        <w:t>расходы на международные разговоры увеличились на 2,5%.</w:t>
      </w:r>
    </w:p>
    <w:p w:rsidR="00CE326F" w:rsidRPr="008B3BD3" w:rsidRDefault="00CE326F" w:rsidP="00CE326F">
      <w:pPr>
        <w:tabs>
          <w:tab w:val="left" w:pos="709"/>
        </w:tabs>
        <w:spacing w:after="0" w:line="240" w:lineRule="auto"/>
        <w:jc w:val="both"/>
        <w:rPr>
          <w:rFonts w:ascii="Times New Roman" w:eastAsia="MS Mincho" w:hAnsi="Times New Roman"/>
          <w:bCs/>
          <w:sz w:val="24"/>
          <w:szCs w:val="24"/>
        </w:rPr>
      </w:pPr>
      <w:r w:rsidRPr="008B3BD3">
        <w:rPr>
          <w:rFonts w:ascii="Times New Roman" w:eastAsia="MS Mincho" w:hAnsi="Times New Roman"/>
          <w:bCs/>
          <w:sz w:val="24"/>
          <w:szCs w:val="24"/>
        </w:rPr>
        <w:tab/>
        <w:t xml:space="preserve">Предельные уровни тарифов на услуги телеграфной связи с 1 января 2017 года увеличены в среднем на 7,4% по сравнению с тарифами, действовавшими в 2016 году. </w:t>
      </w:r>
    </w:p>
    <w:p w:rsidR="00CE326F" w:rsidRPr="008B3BD3" w:rsidRDefault="00CE326F" w:rsidP="00CE326F">
      <w:pPr>
        <w:tabs>
          <w:tab w:val="left" w:pos="709"/>
        </w:tabs>
        <w:spacing w:after="0" w:line="240" w:lineRule="auto"/>
        <w:ind w:firstLine="709"/>
        <w:jc w:val="both"/>
        <w:rPr>
          <w:rFonts w:ascii="Times New Roman" w:eastAsia="MS Mincho" w:hAnsi="Times New Roman"/>
          <w:b/>
          <w:bCs/>
          <w:sz w:val="24"/>
          <w:szCs w:val="24"/>
        </w:rPr>
      </w:pPr>
      <w:r w:rsidRPr="008B3BD3">
        <w:rPr>
          <w:rFonts w:ascii="Times New Roman" w:eastAsia="MS Mincho" w:hAnsi="Times New Roman"/>
          <w:b/>
          <w:bCs/>
          <w:sz w:val="24"/>
          <w:szCs w:val="24"/>
        </w:rPr>
        <w:t>Тарифная политика в сфере услуг государственных и муниципальных учреждений</w:t>
      </w:r>
    </w:p>
    <w:p w:rsidR="00CE326F" w:rsidRPr="008B3BD3" w:rsidRDefault="00CE326F" w:rsidP="00CE326F">
      <w:pPr>
        <w:pStyle w:val="aff0"/>
        <w:ind w:firstLine="708"/>
        <w:rPr>
          <w:bCs/>
          <w:sz w:val="24"/>
          <w:szCs w:val="24"/>
        </w:rPr>
      </w:pPr>
      <w:r w:rsidRPr="008B3BD3">
        <w:rPr>
          <w:bCs/>
          <w:sz w:val="24"/>
          <w:szCs w:val="24"/>
        </w:rPr>
        <w:t>Тарифная политика на 2017 год в сфере услуг государственных и муниципальных учреждений (8 075 услуг, в том числе 3 741 медицинских услуг) сформирована с учетом норм действующего законодательства в области ценообразования и влияния следующих факторов:</w:t>
      </w:r>
    </w:p>
    <w:p w:rsidR="00CE326F" w:rsidRPr="008B3BD3" w:rsidRDefault="00CE326F" w:rsidP="00CE326F">
      <w:pPr>
        <w:pStyle w:val="aff0"/>
        <w:tabs>
          <w:tab w:val="left" w:pos="993"/>
        </w:tabs>
        <w:ind w:firstLine="708"/>
        <w:rPr>
          <w:bCs/>
          <w:sz w:val="24"/>
          <w:szCs w:val="24"/>
        </w:rPr>
      </w:pPr>
      <w:r w:rsidRPr="008B3BD3">
        <w:rPr>
          <w:rFonts w:eastAsia="MS Mincho"/>
          <w:bCs/>
        </w:rPr>
        <w:t>–</w:t>
      </w:r>
      <w:r w:rsidRPr="008B3BD3">
        <w:rPr>
          <w:rFonts w:eastAsia="MS Mincho"/>
          <w:bCs/>
        </w:rPr>
        <w:tab/>
      </w:r>
      <w:r w:rsidRPr="008B3BD3">
        <w:rPr>
          <w:rFonts w:eastAsia="MS Mincho"/>
          <w:bCs/>
          <w:sz w:val="24"/>
          <w:szCs w:val="24"/>
        </w:rPr>
        <w:t xml:space="preserve">сохранение </w:t>
      </w:r>
      <w:r w:rsidRPr="008B3BD3">
        <w:rPr>
          <w:bCs/>
          <w:sz w:val="24"/>
          <w:szCs w:val="24"/>
        </w:rPr>
        <w:t>среднегодового РУ МЗП на 2017 год на уровне действующего в</w:t>
      </w:r>
      <w:r w:rsidR="00387D3D">
        <w:rPr>
          <w:bCs/>
          <w:sz w:val="24"/>
          <w:szCs w:val="24"/>
        </w:rPr>
        <w:t xml:space="preserve">           </w:t>
      </w:r>
      <w:r w:rsidRPr="008B3BD3">
        <w:rPr>
          <w:bCs/>
          <w:sz w:val="24"/>
          <w:szCs w:val="24"/>
        </w:rPr>
        <w:t xml:space="preserve"> 2016 году;</w:t>
      </w:r>
    </w:p>
    <w:p w:rsidR="00CE326F" w:rsidRPr="008B3BD3" w:rsidRDefault="00CE326F" w:rsidP="00CE326F">
      <w:pPr>
        <w:pStyle w:val="aff0"/>
        <w:tabs>
          <w:tab w:val="left" w:pos="993"/>
        </w:tabs>
        <w:ind w:firstLine="708"/>
        <w:rPr>
          <w:bCs/>
          <w:sz w:val="24"/>
          <w:szCs w:val="24"/>
        </w:rPr>
      </w:pPr>
      <w:r w:rsidRPr="008B3BD3">
        <w:rPr>
          <w:rFonts w:eastAsia="MS Mincho"/>
          <w:bCs/>
        </w:rPr>
        <w:t>–</w:t>
      </w:r>
      <w:r w:rsidRPr="008B3BD3">
        <w:rPr>
          <w:rFonts w:eastAsia="MS Mincho"/>
          <w:bCs/>
        </w:rPr>
        <w:tab/>
      </w:r>
      <w:r w:rsidRPr="008B3BD3">
        <w:rPr>
          <w:bCs/>
          <w:sz w:val="24"/>
          <w:szCs w:val="24"/>
        </w:rPr>
        <w:t>влияния инфляционных процессов в 2016-2017 годах;</w:t>
      </w:r>
    </w:p>
    <w:p w:rsidR="00CE326F" w:rsidRPr="008B3BD3" w:rsidRDefault="00CE326F" w:rsidP="00CE326F">
      <w:pPr>
        <w:pStyle w:val="aff0"/>
        <w:tabs>
          <w:tab w:val="left" w:pos="993"/>
        </w:tabs>
        <w:ind w:firstLine="709"/>
        <w:rPr>
          <w:rFonts w:eastAsia="MS Mincho"/>
          <w:bCs/>
          <w:sz w:val="24"/>
          <w:szCs w:val="24"/>
        </w:rPr>
      </w:pPr>
      <w:r w:rsidRPr="008B3BD3">
        <w:rPr>
          <w:rFonts w:eastAsia="MS Mincho"/>
          <w:bCs/>
        </w:rPr>
        <w:t>–</w:t>
      </w:r>
      <w:r w:rsidRPr="008B3BD3">
        <w:rPr>
          <w:rFonts w:eastAsia="MS Mincho"/>
          <w:bCs/>
        </w:rPr>
        <w:tab/>
      </w:r>
      <w:r w:rsidRPr="008B3BD3">
        <w:rPr>
          <w:rFonts w:eastAsia="MS Mincho"/>
          <w:bCs/>
          <w:sz w:val="24"/>
          <w:szCs w:val="24"/>
        </w:rPr>
        <w:t>фактических результатов деятельности государственных и муниципальных учреждений по итогам работы за прошедшие расчетные периоды регулирования.</w:t>
      </w:r>
    </w:p>
    <w:p w:rsidR="00CE326F" w:rsidRPr="008B3BD3" w:rsidRDefault="00CE326F" w:rsidP="00CE326F">
      <w:pPr>
        <w:pStyle w:val="aff0"/>
        <w:tabs>
          <w:tab w:val="left" w:pos="993"/>
        </w:tabs>
        <w:ind w:firstLine="708"/>
        <w:rPr>
          <w:color w:val="000000"/>
          <w:sz w:val="24"/>
          <w:szCs w:val="24"/>
          <w:lang w:bidi="ru-RU"/>
        </w:rPr>
      </w:pPr>
      <w:r w:rsidRPr="008B3BD3">
        <w:rPr>
          <w:rFonts w:eastAsia="MS Mincho"/>
          <w:bCs/>
          <w:sz w:val="24"/>
          <w:szCs w:val="24"/>
        </w:rPr>
        <w:t xml:space="preserve">В 2017 году по сравнению с 2016 годом предельные уровни тарифов на услуги </w:t>
      </w:r>
      <w:r w:rsidRPr="008B3BD3">
        <w:rPr>
          <w:color w:val="000000"/>
          <w:sz w:val="24"/>
          <w:szCs w:val="24"/>
          <w:lang w:bidi="ru-RU"/>
        </w:rPr>
        <w:t>государственных и муниципальных учреждений сложились в пределах прогнозируемого уровня инфляции в размере 2,0%.</w:t>
      </w:r>
    </w:p>
    <w:p w:rsidR="00CE326F" w:rsidRPr="008B3BD3" w:rsidRDefault="00CE326F" w:rsidP="00CE326F">
      <w:pPr>
        <w:tabs>
          <w:tab w:val="left" w:pos="709"/>
        </w:tabs>
        <w:spacing w:after="0" w:line="240" w:lineRule="auto"/>
        <w:ind w:firstLine="709"/>
        <w:jc w:val="both"/>
        <w:rPr>
          <w:rFonts w:ascii="Times New Roman" w:eastAsia="MS Mincho" w:hAnsi="Times New Roman"/>
          <w:b/>
          <w:bCs/>
          <w:sz w:val="24"/>
          <w:szCs w:val="24"/>
        </w:rPr>
      </w:pPr>
      <w:r w:rsidRPr="008B3BD3">
        <w:rPr>
          <w:rFonts w:ascii="Times New Roman" w:eastAsia="MS Mincho" w:hAnsi="Times New Roman"/>
          <w:b/>
          <w:bCs/>
          <w:sz w:val="24"/>
          <w:szCs w:val="24"/>
        </w:rPr>
        <w:t>Тарифная политика в сфере работ, услуг по стандартизации, метрологии и обязательной сертификации продукции и услуг</w:t>
      </w:r>
    </w:p>
    <w:p w:rsidR="00CE326F" w:rsidRPr="008B3BD3" w:rsidRDefault="00CE326F" w:rsidP="00CE326F">
      <w:pPr>
        <w:tabs>
          <w:tab w:val="left" w:pos="709"/>
        </w:tabs>
        <w:spacing w:after="0" w:line="240" w:lineRule="auto"/>
        <w:ind w:firstLine="709"/>
        <w:jc w:val="both"/>
        <w:rPr>
          <w:rFonts w:ascii="Times New Roman" w:hAnsi="Times New Roman"/>
          <w:color w:val="000000"/>
          <w:sz w:val="24"/>
          <w:szCs w:val="24"/>
          <w:lang w:bidi="ru-RU"/>
        </w:rPr>
      </w:pPr>
      <w:r w:rsidRPr="008B3BD3">
        <w:rPr>
          <w:rFonts w:ascii="Times New Roman" w:eastAsia="MS Mincho" w:hAnsi="Times New Roman"/>
          <w:bCs/>
          <w:sz w:val="24"/>
          <w:szCs w:val="24"/>
        </w:rPr>
        <w:t xml:space="preserve">В </w:t>
      </w:r>
      <w:r w:rsidRPr="008B3BD3">
        <w:rPr>
          <w:rFonts w:ascii="Times New Roman" w:hAnsi="Times New Roman"/>
          <w:color w:val="000000"/>
          <w:sz w:val="24"/>
          <w:szCs w:val="24"/>
          <w:lang w:bidi="ru-RU"/>
        </w:rPr>
        <w:t>2017 году по сравнению с 2016 годом снижение тарифов на работы, услуги по стандартизации, метрологии и обязательной сертификации продукции и услуг составило в среднем 0,4%.</w:t>
      </w:r>
    </w:p>
    <w:p w:rsidR="00CE326F" w:rsidRPr="008B3BD3" w:rsidRDefault="00CE326F" w:rsidP="00CE326F">
      <w:pPr>
        <w:spacing w:after="0" w:line="240" w:lineRule="auto"/>
        <w:ind w:firstLine="709"/>
        <w:jc w:val="both"/>
        <w:rPr>
          <w:rFonts w:ascii="Times New Roman" w:hAnsi="Times New Roman"/>
          <w:b/>
          <w:sz w:val="24"/>
          <w:szCs w:val="24"/>
        </w:rPr>
      </w:pPr>
      <w:r w:rsidRPr="008B3BD3">
        <w:rPr>
          <w:rFonts w:ascii="Times New Roman" w:hAnsi="Times New Roman"/>
          <w:b/>
          <w:sz w:val="24"/>
          <w:szCs w:val="24"/>
        </w:rPr>
        <w:t>Инфляционные процессы</w:t>
      </w:r>
    </w:p>
    <w:p w:rsidR="00CE326F" w:rsidRPr="008B3BD3" w:rsidRDefault="00CE326F" w:rsidP="00CE326F">
      <w:pPr>
        <w:pStyle w:val="aff0"/>
        <w:tabs>
          <w:tab w:val="left" w:pos="993"/>
        </w:tabs>
        <w:ind w:firstLine="709"/>
        <w:rPr>
          <w:bCs/>
          <w:sz w:val="24"/>
          <w:szCs w:val="24"/>
        </w:rPr>
      </w:pPr>
      <w:r w:rsidRPr="008B3BD3">
        <w:rPr>
          <w:sz w:val="24"/>
        </w:rPr>
        <w:t>В условиях сохраня</w:t>
      </w:r>
      <w:r>
        <w:rPr>
          <w:sz w:val="24"/>
        </w:rPr>
        <w:t>вшегося</w:t>
      </w:r>
      <w:r w:rsidR="00387D3D">
        <w:rPr>
          <w:sz w:val="24"/>
        </w:rPr>
        <w:t xml:space="preserve"> </w:t>
      </w:r>
      <w:r>
        <w:rPr>
          <w:sz w:val="24"/>
        </w:rPr>
        <w:t xml:space="preserve">вплоть до апреля текущего года </w:t>
      </w:r>
      <w:r w:rsidRPr="008B3BD3">
        <w:rPr>
          <w:sz w:val="24"/>
        </w:rPr>
        <w:t xml:space="preserve">дисбаланса </w:t>
      </w:r>
      <w:r w:rsidR="00DC788F">
        <w:rPr>
          <w:sz w:val="24"/>
        </w:rPr>
        <w:t>в валютной сфере</w:t>
      </w:r>
      <w:r w:rsidR="00387D3D">
        <w:rPr>
          <w:sz w:val="24"/>
        </w:rPr>
        <w:t xml:space="preserve"> </w:t>
      </w:r>
      <w:r w:rsidRPr="008B3BD3">
        <w:rPr>
          <w:sz w:val="24"/>
          <w:szCs w:val="24"/>
        </w:rPr>
        <w:t>на потребительском рынке республики наблюда</w:t>
      </w:r>
      <w:r>
        <w:rPr>
          <w:sz w:val="24"/>
          <w:szCs w:val="24"/>
        </w:rPr>
        <w:t>лся</w:t>
      </w:r>
      <w:r w:rsidRPr="008B3BD3">
        <w:rPr>
          <w:sz w:val="24"/>
          <w:szCs w:val="24"/>
        </w:rPr>
        <w:t xml:space="preserve"> </w:t>
      </w:r>
      <w:proofErr w:type="spellStart"/>
      <w:r w:rsidRPr="008B3BD3">
        <w:rPr>
          <w:sz w:val="24"/>
          <w:szCs w:val="24"/>
        </w:rPr>
        <w:t>разновекторный</w:t>
      </w:r>
      <w:proofErr w:type="spellEnd"/>
      <w:r w:rsidRPr="008B3BD3">
        <w:rPr>
          <w:sz w:val="24"/>
          <w:szCs w:val="24"/>
        </w:rPr>
        <w:t xml:space="preserve"> инфляционный тренд. Так, после </w:t>
      </w:r>
      <w:r w:rsidRPr="008B3BD3">
        <w:rPr>
          <w:sz w:val="24"/>
        </w:rPr>
        <w:t xml:space="preserve">дефляции в I квартале (-0,3%) прирост цен по итогам </w:t>
      </w:r>
      <w:r w:rsidRPr="008B3BD3">
        <w:rPr>
          <w:sz w:val="24"/>
          <w:lang w:val="en-US"/>
        </w:rPr>
        <w:t>II</w:t>
      </w:r>
      <w:r w:rsidRPr="008B3BD3">
        <w:rPr>
          <w:sz w:val="24"/>
        </w:rPr>
        <w:t xml:space="preserve"> квартала достиг 6,6% (годом ранее +3,8%). В частности</w:t>
      </w:r>
      <w:r>
        <w:rPr>
          <w:sz w:val="24"/>
        </w:rPr>
        <w:t>,</w:t>
      </w:r>
      <w:r w:rsidRPr="008B3BD3">
        <w:rPr>
          <w:sz w:val="24"/>
        </w:rPr>
        <w:t xml:space="preserve"> в апреле на фоне сезонных колебаний, в условиях сохраняющегося дисбаланса на валютном рынке, сформировался восходящий ценовой тренд </w:t>
      </w:r>
      <w:r w:rsidRPr="008B3BD3">
        <w:rPr>
          <w:sz w:val="24"/>
        </w:rPr>
        <w:lastRenderedPageBreak/>
        <w:t xml:space="preserve">на продукты питания (+2,2%) и непродовольственные товары (+1,9%), который усилился в последующие два месяца, в том числе под воздействием прошедшей официальной девальвации. Пик пришёлся на июнь, по итогам которого инфляция составила 2,7%. </w:t>
      </w:r>
      <w:r w:rsidR="00DC788F">
        <w:rPr>
          <w:sz w:val="24"/>
        </w:rPr>
        <w:t>В целом по</w:t>
      </w:r>
      <w:r w:rsidRPr="008B3BD3">
        <w:rPr>
          <w:sz w:val="24"/>
        </w:rPr>
        <w:t xml:space="preserve"> итогам </w:t>
      </w:r>
      <w:r w:rsidR="00DC788F">
        <w:rPr>
          <w:sz w:val="24"/>
        </w:rPr>
        <w:t>отчётного п</w:t>
      </w:r>
      <w:r w:rsidR="00387D3D">
        <w:rPr>
          <w:sz w:val="24"/>
        </w:rPr>
        <w:t>е</w:t>
      </w:r>
      <w:r w:rsidR="00DC788F">
        <w:rPr>
          <w:sz w:val="24"/>
        </w:rPr>
        <w:t>риода</w:t>
      </w:r>
      <w:r w:rsidRPr="008B3BD3">
        <w:rPr>
          <w:sz w:val="24"/>
        </w:rPr>
        <w:t xml:space="preserve"> сводный индекс потребительских цен (инфляция) зафиксирован в размере 6,28% (годом ранее – 3,75%).</w:t>
      </w:r>
    </w:p>
    <w:p w:rsidR="00CE326F" w:rsidRPr="008B3BD3" w:rsidRDefault="00CE326F" w:rsidP="00CE326F">
      <w:pPr>
        <w:spacing w:after="0" w:line="240" w:lineRule="auto"/>
        <w:jc w:val="both"/>
        <w:rPr>
          <w:rFonts w:ascii="Times New Roman" w:hAnsi="Times New Roman"/>
          <w:b/>
          <w:sz w:val="24"/>
          <w:u w:val="single"/>
          <w:shd w:val="clear" w:color="auto" w:fill="FFFFFF"/>
        </w:rPr>
      </w:pPr>
      <w:r w:rsidRPr="008B3BD3">
        <w:rPr>
          <w:rFonts w:ascii="Times New Roman" w:hAnsi="Times New Roman"/>
          <w:b/>
          <w:noProof/>
          <w:sz w:val="24"/>
          <w:shd w:val="clear" w:color="auto" w:fill="FFFFFF"/>
        </w:rPr>
        <w:drawing>
          <wp:inline distT="0" distB="0" distL="0" distR="0">
            <wp:extent cx="6120130" cy="2019012"/>
            <wp:effectExtent l="0" t="0" r="0" b="0"/>
            <wp:docPr id="9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E326F" w:rsidRPr="008B3BD3" w:rsidRDefault="00CE326F" w:rsidP="00CE326F">
      <w:pPr>
        <w:shd w:val="clear" w:color="auto" w:fill="FFFFFF"/>
        <w:spacing w:after="0" w:line="240" w:lineRule="auto"/>
        <w:ind w:firstLine="709"/>
        <w:jc w:val="both"/>
        <w:rPr>
          <w:rFonts w:ascii="Times New Roman" w:hAnsi="Times New Roman"/>
          <w:sz w:val="24"/>
          <w:szCs w:val="24"/>
        </w:rPr>
      </w:pPr>
      <w:r w:rsidRPr="008B3BD3">
        <w:rPr>
          <w:rFonts w:ascii="Times New Roman" w:hAnsi="Times New Roman"/>
          <w:sz w:val="24"/>
          <w:szCs w:val="24"/>
        </w:rPr>
        <w:t>Динамика сводного индекса потребительских цен (инфляции) за предыдущие годы представлена в следующем виде:</w:t>
      </w:r>
    </w:p>
    <w:p w:rsidR="00CE326F" w:rsidRPr="008B3BD3" w:rsidRDefault="00CE326F" w:rsidP="00CE326F">
      <w:pPr>
        <w:spacing w:after="0" w:line="240" w:lineRule="auto"/>
        <w:jc w:val="both"/>
        <w:rPr>
          <w:rStyle w:val="afa"/>
          <w:rFonts w:ascii="Times New Roman" w:hAnsi="Times New Roman"/>
          <w:b w:val="0"/>
          <w:color w:val="000000"/>
          <w:sz w:val="24"/>
          <w:szCs w:val="24"/>
        </w:rPr>
      </w:pPr>
      <w:r w:rsidRPr="008B3BD3">
        <w:rPr>
          <w:rStyle w:val="afa"/>
          <w:rFonts w:ascii="Times New Roman" w:hAnsi="Times New Roman"/>
          <w:b w:val="0"/>
          <w:noProof/>
          <w:color w:val="00B0F0"/>
          <w:sz w:val="24"/>
          <w:szCs w:val="24"/>
        </w:rPr>
        <w:drawing>
          <wp:inline distT="0" distB="0" distL="0" distR="0">
            <wp:extent cx="5943600" cy="2190750"/>
            <wp:effectExtent l="19050" t="0" r="0" b="0"/>
            <wp:docPr id="9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E326F" w:rsidRPr="00F40876" w:rsidRDefault="00CE326F" w:rsidP="00CE326F">
      <w:pPr>
        <w:spacing w:after="0" w:line="240" w:lineRule="auto"/>
        <w:ind w:firstLine="708"/>
        <w:jc w:val="both"/>
        <w:rPr>
          <w:rFonts w:ascii="Times New Roman" w:hAnsi="Times New Roman"/>
          <w:bCs/>
          <w:sz w:val="24"/>
          <w:szCs w:val="24"/>
          <w:shd w:val="clear" w:color="auto" w:fill="FFFFFF"/>
        </w:rPr>
      </w:pPr>
      <w:r w:rsidRPr="008B3BD3">
        <w:rPr>
          <w:rFonts w:ascii="Times New Roman" w:hAnsi="Times New Roman"/>
          <w:b/>
          <w:bCs/>
          <w:i/>
          <w:sz w:val="24"/>
          <w:shd w:val="clear" w:color="auto" w:fill="FFFFFF"/>
        </w:rPr>
        <w:t xml:space="preserve">В продовольственном сегменте </w:t>
      </w:r>
      <w:r w:rsidRPr="008B3BD3">
        <w:rPr>
          <w:rFonts w:ascii="Times New Roman" w:hAnsi="Times New Roman"/>
          <w:bCs/>
          <w:sz w:val="24"/>
          <w:shd w:val="clear" w:color="auto" w:fill="FFFFFF"/>
        </w:rPr>
        <w:t xml:space="preserve">потребительского рынка </w:t>
      </w:r>
      <w:r>
        <w:rPr>
          <w:rFonts w:ascii="Times New Roman" w:hAnsi="Times New Roman"/>
          <w:bCs/>
          <w:sz w:val="24"/>
          <w:shd w:val="clear" w:color="auto" w:fill="FFFFFF"/>
        </w:rPr>
        <w:t xml:space="preserve">по группе </w:t>
      </w:r>
      <w:r w:rsidRPr="008B3BD3">
        <w:rPr>
          <w:rFonts w:ascii="Times New Roman" w:hAnsi="Times New Roman"/>
          <w:sz w:val="24"/>
          <w:szCs w:val="24"/>
        </w:rPr>
        <w:t xml:space="preserve">продуктов питания, подверженных влиянию сезонных тенденций ценообразования, в январе-июне </w:t>
      </w:r>
      <w:r w:rsidR="00387D3D">
        <w:rPr>
          <w:rFonts w:ascii="Times New Roman" w:hAnsi="Times New Roman"/>
          <w:sz w:val="24"/>
          <w:szCs w:val="24"/>
        </w:rPr>
        <w:t xml:space="preserve">         </w:t>
      </w:r>
      <w:r w:rsidRPr="008B3BD3">
        <w:rPr>
          <w:rFonts w:ascii="Times New Roman" w:hAnsi="Times New Roman"/>
          <w:sz w:val="24"/>
          <w:szCs w:val="24"/>
        </w:rPr>
        <w:t xml:space="preserve">2017 года </w:t>
      </w:r>
      <w:r>
        <w:rPr>
          <w:rFonts w:ascii="Times New Roman" w:hAnsi="Times New Roman"/>
          <w:sz w:val="24"/>
          <w:szCs w:val="24"/>
        </w:rPr>
        <w:t xml:space="preserve">была сформирована </w:t>
      </w:r>
      <w:r w:rsidRPr="008B3BD3">
        <w:rPr>
          <w:rFonts w:ascii="Times New Roman" w:hAnsi="Times New Roman"/>
          <w:sz w:val="24"/>
          <w:szCs w:val="24"/>
        </w:rPr>
        <w:t>инфляци</w:t>
      </w:r>
      <w:r>
        <w:rPr>
          <w:rFonts w:ascii="Times New Roman" w:hAnsi="Times New Roman"/>
          <w:sz w:val="24"/>
          <w:szCs w:val="24"/>
        </w:rPr>
        <w:t>я</w:t>
      </w:r>
      <w:r w:rsidRPr="008B3BD3">
        <w:rPr>
          <w:rFonts w:ascii="Times New Roman" w:hAnsi="Times New Roman"/>
          <w:sz w:val="24"/>
          <w:szCs w:val="24"/>
        </w:rPr>
        <w:t xml:space="preserve"> в размере</w:t>
      </w:r>
      <w:r w:rsidR="00387D3D">
        <w:rPr>
          <w:rFonts w:ascii="Times New Roman" w:hAnsi="Times New Roman"/>
          <w:sz w:val="24"/>
          <w:szCs w:val="24"/>
        </w:rPr>
        <w:t xml:space="preserve"> </w:t>
      </w:r>
      <w:r w:rsidRPr="008B3BD3">
        <w:rPr>
          <w:rFonts w:ascii="Times New Roman" w:hAnsi="Times New Roman"/>
          <w:b/>
          <w:i/>
          <w:sz w:val="24"/>
          <w:szCs w:val="24"/>
        </w:rPr>
        <w:t>10,99%</w:t>
      </w:r>
      <w:r w:rsidRPr="008B3BD3">
        <w:rPr>
          <w:rFonts w:ascii="Times New Roman" w:hAnsi="Times New Roman"/>
          <w:sz w:val="24"/>
          <w:szCs w:val="24"/>
        </w:rPr>
        <w:t xml:space="preserve"> (в январе-июне 2016 года 4,64%)</w:t>
      </w:r>
      <w:r>
        <w:rPr>
          <w:rFonts w:ascii="Times New Roman" w:hAnsi="Times New Roman"/>
          <w:sz w:val="24"/>
          <w:szCs w:val="24"/>
        </w:rPr>
        <w:t>, что обеспечило</w:t>
      </w:r>
      <w:r w:rsidRPr="008B3BD3">
        <w:rPr>
          <w:rFonts w:ascii="Times New Roman" w:hAnsi="Times New Roman"/>
          <w:sz w:val="24"/>
          <w:szCs w:val="24"/>
        </w:rPr>
        <w:t xml:space="preserve"> 71,7% общего прироста цен. Основное влияние на </w:t>
      </w:r>
      <w:r>
        <w:rPr>
          <w:rFonts w:ascii="Times New Roman" w:hAnsi="Times New Roman"/>
          <w:sz w:val="24"/>
          <w:szCs w:val="24"/>
        </w:rPr>
        <w:t xml:space="preserve">повышение </w:t>
      </w:r>
      <w:r w:rsidRPr="008B3BD3">
        <w:rPr>
          <w:rFonts w:ascii="Times New Roman" w:hAnsi="Times New Roman"/>
          <w:sz w:val="24"/>
          <w:szCs w:val="24"/>
        </w:rPr>
        <w:t>инфляционн</w:t>
      </w:r>
      <w:r>
        <w:rPr>
          <w:rFonts w:ascii="Times New Roman" w:hAnsi="Times New Roman"/>
          <w:sz w:val="24"/>
          <w:szCs w:val="24"/>
        </w:rPr>
        <w:t>ого</w:t>
      </w:r>
      <w:r w:rsidRPr="008B3BD3">
        <w:rPr>
          <w:rFonts w:ascii="Times New Roman" w:hAnsi="Times New Roman"/>
          <w:sz w:val="24"/>
          <w:szCs w:val="24"/>
        </w:rPr>
        <w:t xml:space="preserve"> фон</w:t>
      </w:r>
      <w:r>
        <w:rPr>
          <w:rFonts w:ascii="Times New Roman" w:hAnsi="Times New Roman"/>
          <w:sz w:val="24"/>
          <w:szCs w:val="24"/>
        </w:rPr>
        <w:t>а</w:t>
      </w:r>
      <w:r w:rsidRPr="008B3BD3">
        <w:rPr>
          <w:rFonts w:ascii="Times New Roman" w:hAnsi="Times New Roman"/>
          <w:sz w:val="24"/>
          <w:szCs w:val="24"/>
        </w:rPr>
        <w:t xml:space="preserve"> оказало </w:t>
      </w:r>
      <w:r w:rsidRPr="008B3BD3">
        <w:rPr>
          <w:rStyle w:val="afa"/>
          <w:rFonts w:ascii="Times New Roman" w:hAnsi="Times New Roman"/>
          <w:sz w:val="24"/>
          <w:szCs w:val="24"/>
        </w:rPr>
        <w:t>удорожание стоимости</w:t>
      </w:r>
      <w:r w:rsidRPr="008B3BD3">
        <w:rPr>
          <w:rFonts w:ascii="Times New Roman" w:hAnsi="Times New Roman"/>
          <w:bCs/>
          <w:sz w:val="24"/>
          <w:szCs w:val="24"/>
          <w:shd w:val="clear" w:color="auto" w:fill="FFFFFF"/>
        </w:rPr>
        <w:t xml:space="preserve"> плодоовощной продукции, включая картофель – на 53,86%, сахара – на 24,52%, масла сливочного – на 20,35%, масла и жиров – на 14,76%, консервов фруктово-ягодных – на 11,52%, рыбопродуктов – на 7,34%, маргарина и маргариновой продукции – на 5,36%, рыбопродуктов – на 7,34%, кондитерских изделий – на 4,75%, меда – на 3,25</w:t>
      </w:r>
      <w:r w:rsidRPr="00F40876">
        <w:rPr>
          <w:rFonts w:ascii="Times New Roman" w:hAnsi="Times New Roman"/>
          <w:bCs/>
          <w:sz w:val="24"/>
          <w:szCs w:val="24"/>
          <w:shd w:val="clear" w:color="auto" w:fill="FFFFFF"/>
        </w:rPr>
        <w:t xml:space="preserve">%. При этом нивелирующее воздействие на совокупный показатель оказывало снижение цен на яйца (-30,17%), сыры (-4,34%), хлеб и хлебобулочные изделия </w:t>
      </w:r>
      <w:r w:rsidR="00DC788F">
        <w:rPr>
          <w:rFonts w:ascii="Times New Roman" w:hAnsi="Times New Roman"/>
          <w:bCs/>
          <w:sz w:val="24"/>
          <w:szCs w:val="24"/>
          <w:shd w:val="clear" w:color="auto" w:fill="FFFFFF"/>
        </w:rPr>
        <w:br/>
      </w:r>
      <w:r w:rsidRPr="00F40876">
        <w:rPr>
          <w:rFonts w:ascii="Times New Roman" w:hAnsi="Times New Roman"/>
          <w:bCs/>
          <w:sz w:val="24"/>
          <w:szCs w:val="24"/>
          <w:shd w:val="clear" w:color="auto" w:fill="FFFFFF"/>
        </w:rPr>
        <w:t>(-0,32%).</w:t>
      </w:r>
    </w:p>
    <w:p w:rsidR="00CE326F" w:rsidRPr="00F40876" w:rsidRDefault="00CE326F" w:rsidP="00CE326F">
      <w:pPr>
        <w:spacing w:after="0" w:line="240" w:lineRule="auto"/>
        <w:ind w:firstLine="708"/>
        <w:jc w:val="both"/>
        <w:rPr>
          <w:rFonts w:ascii="Times New Roman" w:hAnsi="Times New Roman"/>
          <w:sz w:val="24"/>
          <w:szCs w:val="24"/>
        </w:rPr>
      </w:pPr>
      <w:r w:rsidRPr="00F40876">
        <w:rPr>
          <w:rFonts w:ascii="Times New Roman" w:hAnsi="Times New Roman"/>
          <w:b/>
          <w:bCs/>
          <w:i/>
          <w:color w:val="000000"/>
          <w:sz w:val="24"/>
          <w:szCs w:val="24"/>
          <w:shd w:val="clear" w:color="auto" w:fill="FFFFFF"/>
        </w:rPr>
        <w:t>В</w:t>
      </w:r>
      <w:r w:rsidR="00387D3D">
        <w:rPr>
          <w:rFonts w:ascii="Times New Roman" w:hAnsi="Times New Roman"/>
          <w:b/>
          <w:bCs/>
          <w:i/>
          <w:color w:val="000000"/>
          <w:sz w:val="24"/>
          <w:szCs w:val="24"/>
          <w:shd w:val="clear" w:color="auto" w:fill="FFFFFF"/>
        </w:rPr>
        <w:t xml:space="preserve"> </w:t>
      </w:r>
      <w:r w:rsidRPr="00F40876">
        <w:rPr>
          <w:rFonts w:ascii="Times New Roman" w:hAnsi="Times New Roman"/>
          <w:b/>
          <w:i/>
          <w:sz w:val="24"/>
          <w:szCs w:val="24"/>
        </w:rPr>
        <w:t>непродовольственном сегменте</w:t>
      </w:r>
      <w:r w:rsidR="00387D3D">
        <w:rPr>
          <w:rFonts w:ascii="Times New Roman" w:hAnsi="Times New Roman"/>
          <w:b/>
          <w:i/>
          <w:sz w:val="24"/>
          <w:szCs w:val="24"/>
        </w:rPr>
        <w:t xml:space="preserve"> </w:t>
      </w:r>
      <w:r w:rsidRPr="00F40876">
        <w:rPr>
          <w:rFonts w:ascii="Times New Roman" w:hAnsi="Times New Roman"/>
          <w:bCs/>
          <w:color w:val="000000"/>
          <w:sz w:val="24"/>
          <w:szCs w:val="24"/>
          <w:shd w:val="clear" w:color="auto" w:fill="FFFFFF"/>
        </w:rPr>
        <w:t>фиксировалась инфляция</w:t>
      </w:r>
      <w:r w:rsidR="00387D3D">
        <w:rPr>
          <w:rFonts w:ascii="Times New Roman" w:hAnsi="Times New Roman"/>
          <w:bCs/>
          <w:color w:val="000000"/>
          <w:sz w:val="24"/>
          <w:szCs w:val="24"/>
          <w:shd w:val="clear" w:color="auto" w:fill="FFFFFF"/>
        </w:rPr>
        <w:t xml:space="preserve"> </w:t>
      </w:r>
      <w:r w:rsidRPr="00156BE0">
        <w:rPr>
          <w:rFonts w:ascii="Times New Roman" w:hAnsi="Times New Roman"/>
          <w:bCs/>
          <w:color w:val="000000"/>
          <w:sz w:val="24"/>
          <w:szCs w:val="24"/>
          <w:shd w:val="clear" w:color="auto" w:fill="FFFFFF"/>
        </w:rPr>
        <w:t>в пределах</w:t>
      </w:r>
      <w:proofErr w:type="gramStart"/>
      <w:r w:rsidRPr="00F40876">
        <w:rPr>
          <w:rFonts w:ascii="Times New Roman" w:hAnsi="Times New Roman"/>
          <w:b/>
          <w:i/>
          <w:sz w:val="24"/>
          <w:szCs w:val="24"/>
        </w:rPr>
        <w:t>4</w:t>
      </w:r>
      <w:proofErr w:type="gramEnd"/>
      <w:r w:rsidRPr="00F40876">
        <w:rPr>
          <w:rFonts w:ascii="Times New Roman" w:hAnsi="Times New Roman"/>
          <w:b/>
          <w:i/>
          <w:sz w:val="24"/>
          <w:szCs w:val="24"/>
        </w:rPr>
        <w:t>,76%</w:t>
      </w:r>
      <w:r w:rsidRPr="00F40876">
        <w:rPr>
          <w:rFonts w:ascii="Times New Roman" w:hAnsi="Times New Roman"/>
          <w:sz w:val="24"/>
          <w:szCs w:val="24"/>
        </w:rPr>
        <w:t xml:space="preserve"> </w:t>
      </w:r>
      <w:r w:rsidR="00387D3D">
        <w:rPr>
          <w:rFonts w:ascii="Times New Roman" w:hAnsi="Times New Roman"/>
          <w:sz w:val="24"/>
          <w:szCs w:val="24"/>
        </w:rPr>
        <w:t xml:space="preserve">                 </w:t>
      </w:r>
      <w:r w:rsidRPr="00F40876">
        <w:rPr>
          <w:rFonts w:ascii="Times New Roman" w:hAnsi="Times New Roman"/>
          <w:sz w:val="24"/>
          <w:szCs w:val="24"/>
        </w:rPr>
        <w:t xml:space="preserve">(в январе-июне 2016 года </w:t>
      </w:r>
      <w:r w:rsidRPr="00F40876">
        <w:rPr>
          <w:rFonts w:ascii="Times New Roman" w:hAnsi="Times New Roman"/>
          <w:bCs/>
          <w:color w:val="000000"/>
          <w:sz w:val="24"/>
          <w:szCs w:val="24"/>
          <w:shd w:val="clear" w:color="auto" w:fill="FFFFFF"/>
        </w:rPr>
        <w:t>–</w:t>
      </w:r>
      <w:r w:rsidRPr="00F40876">
        <w:rPr>
          <w:rFonts w:ascii="Times New Roman" w:hAnsi="Times New Roman"/>
          <w:sz w:val="24"/>
          <w:szCs w:val="24"/>
        </w:rPr>
        <w:t xml:space="preserve"> 3,48%)</w:t>
      </w:r>
      <w:r>
        <w:rPr>
          <w:rFonts w:ascii="Times New Roman" w:hAnsi="Times New Roman"/>
          <w:sz w:val="24"/>
          <w:szCs w:val="24"/>
        </w:rPr>
        <w:t>, обеспечившая 25,6% общего прироста цен.</w:t>
      </w:r>
      <w:r w:rsidRPr="00F40876">
        <w:rPr>
          <w:rFonts w:ascii="Times New Roman" w:hAnsi="Times New Roman"/>
          <w:sz w:val="24"/>
          <w:szCs w:val="24"/>
        </w:rPr>
        <w:t xml:space="preserve"> Прежде всего, на фоне скрытой девальвации национальной валюты дорожали товары народного потребления, импортируемые на территорию республики. В общей структуре данного сегмента выделяется удорожание стоимости топлива (бензин) на 18,51%, медикаментов </w:t>
      </w:r>
      <w:r w:rsidRPr="00F40876">
        <w:rPr>
          <w:rFonts w:ascii="Times New Roman" w:hAnsi="Times New Roman"/>
          <w:bCs/>
          <w:sz w:val="24"/>
          <w:szCs w:val="24"/>
          <w:shd w:val="clear" w:color="auto" w:fill="FFFFFF"/>
        </w:rPr>
        <w:t xml:space="preserve">– </w:t>
      </w:r>
      <w:r w:rsidRPr="00F40876">
        <w:rPr>
          <w:rFonts w:ascii="Times New Roman" w:hAnsi="Times New Roman"/>
          <w:sz w:val="24"/>
          <w:szCs w:val="24"/>
        </w:rPr>
        <w:t xml:space="preserve">на 6,47%, табачных изделий </w:t>
      </w:r>
      <w:r w:rsidRPr="00F40876">
        <w:rPr>
          <w:rFonts w:ascii="Times New Roman" w:hAnsi="Times New Roman"/>
          <w:bCs/>
          <w:sz w:val="24"/>
          <w:szCs w:val="24"/>
          <w:shd w:val="clear" w:color="auto" w:fill="FFFFFF"/>
        </w:rPr>
        <w:t xml:space="preserve">– </w:t>
      </w:r>
      <w:r w:rsidRPr="00F40876">
        <w:rPr>
          <w:rFonts w:ascii="Times New Roman" w:hAnsi="Times New Roman"/>
          <w:sz w:val="24"/>
          <w:szCs w:val="24"/>
        </w:rPr>
        <w:t xml:space="preserve">на 17,97%, моющих средств </w:t>
      </w:r>
      <w:r w:rsidRPr="00F40876">
        <w:rPr>
          <w:rFonts w:ascii="Times New Roman" w:hAnsi="Times New Roman"/>
          <w:bCs/>
          <w:sz w:val="24"/>
          <w:szCs w:val="24"/>
          <w:shd w:val="clear" w:color="auto" w:fill="FFFFFF"/>
        </w:rPr>
        <w:t xml:space="preserve">– </w:t>
      </w:r>
      <w:r w:rsidRPr="00F40876">
        <w:rPr>
          <w:rFonts w:ascii="Times New Roman" w:hAnsi="Times New Roman"/>
          <w:sz w:val="24"/>
          <w:szCs w:val="24"/>
        </w:rPr>
        <w:t xml:space="preserve">на 5,16%, печатных изданий </w:t>
      </w:r>
      <w:r w:rsidRPr="00F40876">
        <w:rPr>
          <w:rFonts w:ascii="Times New Roman" w:hAnsi="Times New Roman"/>
          <w:bCs/>
          <w:sz w:val="24"/>
          <w:szCs w:val="24"/>
          <w:shd w:val="clear" w:color="auto" w:fill="FFFFFF"/>
        </w:rPr>
        <w:t xml:space="preserve">– </w:t>
      </w:r>
      <w:r w:rsidRPr="00F40876">
        <w:rPr>
          <w:rFonts w:ascii="Times New Roman" w:hAnsi="Times New Roman"/>
          <w:sz w:val="24"/>
          <w:szCs w:val="24"/>
        </w:rPr>
        <w:t xml:space="preserve">на 4,81%, часов </w:t>
      </w:r>
      <w:r w:rsidRPr="00F40876">
        <w:rPr>
          <w:rFonts w:ascii="Times New Roman" w:hAnsi="Times New Roman"/>
          <w:bCs/>
          <w:sz w:val="24"/>
          <w:szCs w:val="24"/>
          <w:shd w:val="clear" w:color="auto" w:fill="FFFFFF"/>
        </w:rPr>
        <w:t xml:space="preserve">– </w:t>
      </w:r>
      <w:r w:rsidRPr="00F40876">
        <w:rPr>
          <w:rFonts w:ascii="Times New Roman" w:hAnsi="Times New Roman"/>
          <w:sz w:val="24"/>
          <w:szCs w:val="24"/>
        </w:rPr>
        <w:t xml:space="preserve">на 4,66%, товаров бытовой химии </w:t>
      </w:r>
      <w:r w:rsidRPr="00F40876">
        <w:rPr>
          <w:rFonts w:ascii="Times New Roman" w:hAnsi="Times New Roman"/>
          <w:bCs/>
          <w:sz w:val="24"/>
          <w:szCs w:val="24"/>
          <w:shd w:val="clear" w:color="auto" w:fill="FFFFFF"/>
        </w:rPr>
        <w:t>–</w:t>
      </w:r>
      <w:r w:rsidRPr="00F40876">
        <w:rPr>
          <w:rFonts w:ascii="Times New Roman" w:hAnsi="Times New Roman"/>
          <w:sz w:val="24"/>
          <w:szCs w:val="24"/>
        </w:rPr>
        <w:t xml:space="preserve"> на 4,56%, одежды и белья </w:t>
      </w:r>
      <w:r w:rsidRPr="00F40876">
        <w:rPr>
          <w:rFonts w:ascii="Times New Roman" w:hAnsi="Times New Roman"/>
          <w:bCs/>
          <w:sz w:val="24"/>
          <w:szCs w:val="24"/>
          <w:shd w:val="clear" w:color="auto" w:fill="FFFFFF"/>
        </w:rPr>
        <w:t xml:space="preserve">– </w:t>
      </w:r>
      <w:r w:rsidRPr="00F40876">
        <w:rPr>
          <w:rFonts w:ascii="Times New Roman" w:hAnsi="Times New Roman"/>
          <w:sz w:val="24"/>
          <w:szCs w:val="24"/>
        </w:rPr>
        <w:t xml:space="preserve">на 3,35%. Вместе с </w:t>
      </w:r>
      <w:r w:rsidR="00DC788F">
        <w:rPr>
          <w:rFonts w:ascii="Times New Roman" w:hAnsi="Times New Roman"/>
          <w:sz w:val="24"/>
          <w:szCs w:val="24"/>
        </w:rPr>
        <w:t>тем</w:t>
      </w:r>
      <w:r w:rsidRPr="00F40876">
        <w:rPr>
          <w:rFonts w:ascii="Times New Roman" w:hAnsi="Times New Roman"/>
          <w:sz w:val="24"/>
          <w:szCs w:val="24"/>
        </w:rPr>
        <w:t>, понижательный ценовой тренд в данном сегменте потребительского рынка зафиксирован по вычислительной технике (-1,45%).</w:t>
      </w:r>
    </w:p>
    <w:p w:rsidR="00CE326F" w:rsidRPr="00F40876" w:rsidRDefault="00CE326F" w:rsidP="00CE326F">
      <w:pPr>
        <w:spacing w:after="0" w:line="240" w:lineRule="auto"/>
        <w:ind w:firstLine="708"/>
        <w:jc w:val="both"/>
        <w:rPr>
          <w:rFonts w:ascii="Times New Roman" w:hAnsi="Times New Roman"/>
          <w:sz w:val="24"/>
          <w:szCs w:val="24"/>
        </w:rPr>
      </w:pPr>
      <w:r w:rsidRPr="00F40876">
        <w:rPr>
          <w:rFonts w:ascii="Times New Roman" w:hAnsi="Times New Roman"/>
          <w:b/>
          <w:i/>
          <w:sz w:val="24"/>
          <w:szCs w:val="24"/>
        </w:rPr>
        <w:t>В сфере услуг</w:t>
      </w:r>
      <w:r w:rsidR="00387D3D">
        <w:rPr>
          <w:rFonts w:ascii="Times New Roman" w:hAnsi="Times New Roman"/>
          <w:b/>
          <w:i/>
          <w:sz w:val="24"/>
          <w:szCs w:val="24"/>
        </w:rPr>
        <w:t xml:space="preserve"> </w:t>
      </w:r>
      <w:r>
        <w:rPr>
          <w:rFonts w:ascii="Times New Roman" w:hAnsi="Times New Roman"/>
          <w:sz w:val="24"/>
          <w:szCs w:val="24"/>
        </w:rPr>
        <w:t xml:space="preserve">на фоне </w:t>
      </w:r>
      <w:r w:rsidRPr="00F40876">
        <w:rPr>
          <w:rFonts w:ascii="Times New Roman" w:hAnsi="Times New Roman"/>
          <w:sz w:val="24"/>
          <w:szCs w:val="24"/>
        </w:rPr>
        <w:t>заморозки тарифов в сфере естественных монополий</w:t>
      </w:r>
      <w:r>
        <w:rPr>
          <w:rFonts w:ascii="Times New Roman" w:hAnsi="Times New Roman"/>
          <w:sz w:val="24"/>
          <w:szCs w:val="24"/>
        </w:rPr>
        <w:t xml:space="preserve"> зафиксирован минимальный прирост </w:t>
      </w:r>
      <w:r w:rsidRPr="00F40876">
        <w:rPr>
          <w:rFonts w:ascii="Times New Roman" w:hAnsi="Times New Roman"/>
          <w:sz w:val="24"/>
          <w:szCs w:val="24"/>
        </w:rPr>
        <w:t xml:space="preserve">тарифов на уровне </w:t>
      </w:r>
      <w:r w:rsidRPr="00F40876">
        <w:rPr>
          <w:rFonts w:ascii="Times New Roman" w:hAnsi="Times New Roman"/>
          <w:b/>
          <w:i/>
          <w:sz w:val="24"/>
          <w:szCs w:val="24"/>
        </w:rPr>
        <w:t>+0,59%</w:t>
      </w:r>
      <w:r w:rsidRPr="00F40876">
        <w:rPr>
          <w:rFonts w:ascii="Times New Roman" w:hAnsi="Times New Roman"/>
          <w:sz w:val="24"/>
          <w:szCs w:val="24"/>
        </w:rPr>
        <w:t xml:space="preserve"> против +2,53% в январе-июне 2016 года</w:t>
      </w:r>
      <w:r>
        <w:rPr>
          <w:rFonts w:ascii="Times New Roman" w:hAnsi="Times New Roman"/>
          <w:sz w:val="24"/>
          <w:szCs w:val="24"/>
        </w:rPr>
        <w:t>,</w:t>
      </w:r>
      <w:r w:rsidR="00387D3D">
        <w:rPr>
          <w:rFonts w:ascii="Times New Roman" w:hAnsi="Times New Roman"/>
          <w:sz w:val="24"/>
          <w:szCs w:val="24"/>
        </w:rPr>
        <w:t xml:space="preserve"> </w:t>
      </w:r>
      <w:r>
        <w:rPr>
          <w:rFonts w:ascii="Times New Roman" w:hAnsi="Times New Roman"/>
          <w:sz w:val="24"/>
          <w:szCs w:val="24"/>
        </w:rPr>
        <w:t>обеспечивший 1,9% общего прироста инфляции.</w:t>
      </w:r>
      <w:r w:rsidRPr="00F40876">
        <w:rPr>
          <w:rFonts w:ascii="Times New Roman" w:hAnsi="Times New Roman"/>
          <w:sz w:val="24"/>
          <w:szCs w:val="24"/>
        </w:rPr>
        <w:t xml:space="preserve"> В обозначенном периоде </w:t>
      </w:r>
      <w:r w:rsidRPr="00F40876">
        <w:rPr>
          <w:rFonts w:ascii="Times New Roman" w:hAnsi="Times New Roman"/>
          <w:sz w:val="24"/>
          <w:szCs w:val="24"/>
        </w:rPr>
        <w:lastRenderedPageBreak/>
        <w:t>подорожали услуги банков на 13,37%, бытовые услуги (ремонт обуви) на 4,47%, услуги фотоателье на 2,59%, услуги пассажирского транспорта</w:t>
      </w:r>
      <w:r w:rsidR="00387D3D">
        <w:rPr>
          <w:rFonts w:ascii="Times New Roman" w:hAnsi="Times New Roman"/>
          <w:sz w:val="24"/>
          <w:szCs w:val="24"/>
        </w:rPr>
        <w:t xml:space="preserve"> </w:t>
      </w:r>
      <w:r w:rsidRPr="00F40876">
        <w:rPr>
          <w:rFonts w:ascii="Times New Roman" w:hAnsi="Times New Roman"/>
          <w:sz w:val="24"/>
          <w:szCs w:val="24"/>
        </w:rPr>
        <w:t xml:space="preserve">на 2,09%, услуги связи на 0,70%. </w:t>
      </w:r>
      <w:r>
        <w:rPr>
          <w:rFonts w:ascii="Times New Roman" w:hAnsi="Times New Roman"/>
          <w:sz w:val="24"/>
          <w:szCs w:val="24"/>
        </w:rPr>
        <w:t>В то же время</w:t>
      </w:r>
      <w:r w:rsidRPr="00F40876">
        <w:rPr>
          <w:rFonts w:ascii="Times New Roman" w:hAnsi="Times New Roman"/>
          <w:sz w:val="24"/>
          <w:szCs w:val="24"/>
        </w:rPr>
        <w:t xml:space="preserve"> снизились тарифы на медицинские услуги (-0,40%), услуги дошкольного воспитания (-4,89%), ритуальные услуги (-4,65%). Стоимость санаторно-оздоровительных услуг, услуг правового характера, а также услуг организаций культуры сохранилась на базовом уровне 2016 года.</w:t>
      </w:r>
    </w:p>
    <w:p w:rsidR="00CE326F" w:rsidRPr="00F40876" w:rsidRDefault="00CE326F" w:rsidP="00CE326F">
      <w:pPr>
        <w:spacing w:after="0" w:line="240" w:lineRule="auto"/>
        <w:ind w:firstLine="708"/>
        <w:jc w:val="both"/>
        <w:rPr>
          <w:rFonts w:ascii="Times New Roman" w:hAnsi="Times New Roman"/>
          <w:sz w:val="24"/>
          <w:szCs w:val="24"/>
        </w:rPr>
      </w:pPr>
      <w:r w:rsidRPr="00F40876">
        <w:rPr>
          <w:rFonts w:ascii="Times New Roman" w:hAnsi="Times New Roman"/>
          <w:sz w:val="24"/>
          <w:szCs w:val="24"/>
        </w:rPr>
        <w:t xml:space="preserve">Таким образом, в первом полугодии 2017 года импортируемая инфляция в совокупности с девальвационными ожиданиями населения обусловили </w:t>
      </w:r>
      <w:r w:rsidR="00DC788F">
        <w:rPr>
          <w:rFonts w:ascii="Times New Roman" w:hAnsi="Times New Roman"/>
          <w:sz w:val="24"/>
          <w:szCs w:val="24"/>
        </w:rPr>
        <w:t>усиление</w:t>
      </w:r>
      <w:r w:rsidRPr="00F40876">
        <w:rPr>
          <w:rFonts w:ascii="Times New Roman" w:hAnsi="Times New Roman"/>
          <w:sz w:val="24"/>
          <w:szCs w:val="24"/>
        </w:rPr>
        <w:t xml:space="preserve"> инфляционного давления на внутреннем потребительском рынке республики. </w:t>
      </w:r>
      <w:r>
        <w:rPr>
          <w:rFonts w:ascii="Times New Roman" w:hAnsi="Times New Roman"/>
          <w:sz w:val="24"/>
          <w:szCs w:val="24"/>
        </w:rPr>
        <w:t>При этом</w:t>
      </w:r>
      <w:r w:rsidRPr="00F40876">
        <w:rPr>
          <w:rFonts w:ascii="Times New Roman" w:hAnsi="Times New Roman"/>
          <w:sz w:val="24"/>
          <w:szCs w:val="24"/>
        </w:rPr>
        <w:t xml:space="preserve"> определённое </w:t>
      </w:r>
      <w:r w:rsidR="00DC788F">
        <w:rPr>
          <w:rFonts w:ascii="Times New Roman" w:hAnsi="Times New Roman"/>
          <w:sz w:val="24"/>
          <w:szCs w:val="24"/>
        </w:rPr>
        <w:t xml:space="preserve">стабилизирующее </w:t>
      </w:r>
      <w:r w:rsidRPr="00F40876">
        <w:rPr>
          <w:rFonts w:ascii="Times New Roman" w:hAnsi="Times New Roman"/>
          <w:sz w:val="24"/>
          <w:szCs w:val="24"/>
        </w:rPr>
        <w:t xml:space="preserve">влияние </w:t>
      </w:r>
      <w:r w:rsidR="00DC788F">
        <w:rPr>
          <w:rFonts w:ascii="Times New Roman" w:hAnsi="Times New Roman"/>
          <w:sz w:val="24"/>
          <w:szCs w:val="24"/>
        </w:rPr>
        <w:t xml:space="preserve">на </w:t>
      </w:r>
      <w:r w:rsidRPr="00F40876">
        <w:rPr>
          <w:rFonts w:ascii="Times New Roman" w:hAnsi="Times New Roman"/>
          <w:sz w:val="24"/>
          <w:szCs w:val="24"/>
        </w:rPr>
        <w:t>цен</w:t>
      </w:r>
      <w:r w:rsidR="00DC788F">
        <w:rPr>
          <w:rFonts w:ascii="Times New Roman" w:hAnsi="Times New Roman"/>
          <w:sz w:val="24"/>
          <w:szCs w:val="24"/>
        </w:rPr>
        <w:t>ы</w:t>
      </w:r>
      <w:r w:rsidRPr="00F40876">
        <w:rPr>
          <w:rFonts w:ascii="Times New Roman" w:hAnsi="Times New Roman"/>
          <w:sz w:val="24"/>
          <w:szCs w:val="24"/>
        </w:rPr>
        <w:t xml:space="preserve"> оказ</w:t>
      </w:r>
      <w:r w:rsidR="00DC788F">
        <w:rPr>
          <w:rFonts w:ascii="Times New Roman" w:hAnsi="Times New Roman"/>
          <w:sz w:val="24"/>
          <w:szCs w:val="24"/>
        </w:rPr>
        <w:t>ывали</w:t>
      </w:r>
      <w:r w:rsidRPr="00F40876">
        <w:rPr>
          <w:rFonts w:ascii="Times New Roman" w:hAnsi="Times New Roman"/>
          <w:sz w:val="24"/>
          <w:szCs w:val="24"/>
        </w:rPr>
        <w:t xml:space="preserve"> проводимые антиинфляционные меры со стороны государства по оптимизации таможенной политики и тарифной политики в сфере естественных монополий. </w:t>
      </w:r>
    </w:p>
    <w:p w:rsidR="00CE326F" w:rsidRPr="001142D0" w:rsidRDefault="00CE326F" w:rsidP="00CE326F">
      <w:pPr>
        <w:spacing w:after="0" w:line="240" w:lineRule="auto"/>
        <w:ind w:firstLine="709"/>
        <w:jc w:val="both"/>
        <w:rPr>
          <w:rFonts w:ascii="Times New Roman" w:hAnsi="Times New Roman"/>
          <w:sz w:val="24"/>
          <w:szCs w:val="24"/>
        </w:rPr>
      </w:pPr>
      <w:proofErr w:type="spellStart"/>
      <w:r w:rsidRPr="00F40876">
        <w:rPr>
          <w:rFonts w:ascii="Times New Roman" w:hAnsi="Times New Roman"/>
          <w:i/>
          <w:sz w:val="24"/>
          <w:szCs w:val="24"/>
        </w:rPr>
        <w:t>Справочно</w:t>
      </w:r>
      <w:proofErr w:type="spellEnd"/>
      <w:r w:rsidRPr="00F40876">
        <w:rPr>
          <w:rFonts w:ascii="Times New Roman" w:hAnsi="Times New Roman"/>
          <w:i/>
          <w:sz w:val="24"/>
          <w:szCs w:val="24"/>
        </w:rPr>
        <w:t xml:space="preserve">: </w:t>
      </w:r>
      <w:r w:rsidRPr="00177C62">
        <w:rPr>
          <w:rFonts w:ascii="Times New Roman" w:hAnsi="Times New Roman"/>
          <w:sz w:val="24"/>
          <w:szCs w:val="24"/>
        </w:rPr>
        <w:t>В рамках общего с соседними странами тренда, сводный индекс потребительских цен (инфляция) в январе-июле 2017 года в Приднестровской Молдавской Республике зафиксирован на уровне 106,</w:t>
      </w:r>
      <w:r>
        <w:rPr>
          <w:rFonts w:ascii="Times New Roman" w:hAnsi="Times New Roman"/>
          <w:sz w:val="24"/>
          <w:szCs w:val="24"/>
        </w:rPr>
        <w:t>28</w:t>
      </w:r>
      <w:r w:rsidRPr="00177C62">
        <w:rPr>
          <w:rFonts w:ascii="Times New Roman" w:hAnsi="Times New Roman"/>
          <w:sz w:val="24"/>
          <w:szCs w:val="24"/>
        </w:rPr>
        <w:t xml:space="preserve">%, </w:t>
      </w:r>
      <w:r>
        <w:rPr>
          <w:rFonts w:ascii="Times New Roman" w:hAnsi="Times New Roman"/>
          <w:sz w:val="24"/>
          <w:szCs w:val="24"/>
        </w:rPr>
        <w:t>что выше сопоставимого</w:t>
      </w:r>
      <w:r w:rsidRPr="00177C62">
        <w:rPr>
          <w:rFonts w:ascii="Times New Roman" w:hAnsi="Times New Roman"/>
          <w:sz w:val="24"/>
          <w:szCs w:val="24"/>
        </w:rPr>
        <w:t xml:space="preserve"> показател</w:t>
      </w:r>
      <w:r>
        <w:rPr>
          <w:rFonts w:ascii="Times New Roman" w:hAnsi="Times New Roman"/>
          <w:sz w:val="24"/>
          <w:szCs w:val="24"/>
        </w:rPr>
        <w:t>я</w:t>
      </w:r>
      <w:r w:rsidRPr="00177C62">
        <w:rPr>
          <w:rFonts w:ascii="Times New Roman" w:hAnsi="Times New Roman"/>
          <w:sz w:val="24"/>
          <w:szCs w:val="24"/>
        </w:rPr>
        <w:t xml:space="preserve"> Республики Молдова (10</w:t>
      </w:r>
      <w:r>
        <w:rPr>
          <w:rFonts w:ascii="Times New Roman" w:hAnsi="Times New Roman"/>
          <w:sz w:val="24"/>
          <w:szCs w:val="24"/>
        </w:rPr>
        <w:t>4</w:t>
      </w:r>
      <w:r w:rsidRPr="00177C62">
        <w:rPr>
          <w:rFonts w:ascii="Times New Roman" w:hAnsi="Times New Roman"/>
          <w:sz w:val="24"/>
          <w:szCs w:val="24"/>
        </w:rPr>
        <w:t>,80%), Республики Беларусь (103,</w:t>
      </w:r>
      <w:r>
        <w:rPr>
          <w:rFonts w:ascii="Times New Roman" w:hAnsi="Times New Roman"/>
          <w:sz w:val="24"/>
          <w:szCs w:val="24"/>
        </w:rPr>
        <w:t>38</w:t>
      </w:r>
      <w:r w:rsidRPr="00177C62">
        <w:rPr>
          <w:rFonts w:ascii="Times New Roman" w:hAnsi="Times New Roman"/>
          <w:sz w:val="24"/>
          <w:szCs w:val="24"/>
        </w:rPr>
        <w:t>%), Российской Федерации (102,3</w:t>
      </w:r>
      <w:r>
        <w:rPr>
          <w:rFonts w:ascii="Times New Roman" w:hAnsi="Times New Roman"/>
          <w:sz w:val="24"/>
          <w:szCs w:val="24"/>
        </w:rPr>
        <w:t>0</w:t>
      </w:r>
      <w:r w:rsidRPr="00177C62">
        <w:rPr>
          <w:rFonts w:ascii="Times New Roman" w:hAnsi="Times New Roman"/>
          <w:sz w:val="24"/>
          <w:szCs w:val="24"/>
        </w:rPr>
        <w:t xml:space="preserve">%), </w:t>
      </w:r>
      <w:r>
        <w:rPr>
          <w:rFonts w:ascii="Times New Roman" w:hAnsi="Times New Roman"/>
          <w:sz w:val="24"/>
          <w:szCs w:val="24"/>
        </w:rPr>
        <w:t>однако</w:t>
      </w:r>
      <w:r w:rsidRPr="00177C62">
        <w:rPr>
          <w:rFonts w:ascii="Times New Roman" w:hAnsi="Times New Roman"/>
          <w:sz w:val="24"/>
          <w:szCs w:val="24"/>
        </w:rPr>
        <w:t xml:space="preserve"> ниже параметр</w:t>
      </w:r>
      <w:r>
        <w:rPr>
          <w:rFonts w:ascii="Times New Roman" w:hAnsi="Times New Roman"/>
          <w:sz w:val="24"/>
          <w:szCs w:val="24"/>
        </w:rPr>
        <w:t xml:space="preserve">ов инфляции в </w:t>
      </w:r>
      <w:r w:rsidRPr="00177C62">
        <w:rPr>
          <w:rFonts w:ascii="Times New Roman" w:hAnsi="Times New Roman"/>
          <w:sz w:val="24"/>
          <w:szCs w:val="24"/>
        </w:rPr>
        <w:t>Украин</w:t>
      </w:r>
      <w:r>
        <w:rPr>
          <w:rFonts w:ascii="Times New Roman" w:hAnsi="Times New Roman"/>
          <w:sz w:val="24"/>
          <w:szCs w:val="24"/>
        </w:rPr>
        <w:t>е</w:t>
      </w:r>
      <w:r w:rsidRPr="00177C62">
        <w:rPr>
          <w:rFonts w:ascii="Times New Roman" w:hAnsi="Times New Roman"/>
          <w:sz w:val="24"/>
          <w:szCs w:val="24"/>
        </w:rPr>
        <w:t xml:space="preserve"> (10</w:t>
      </w:r>
      <w:r>
        <w:rPr>
          <w:rFonts w:ascii="Times New Roman" w:hAnsi="Times New Roman"/>
          <w:sz w:val="24"/>
          <w:szCs w:val="24"/>
        </w:rPr>
        <w:t>7</w:t>
      </w:r>
      <w:r w:rsidRPr="00177C62">
        <w:rPr>
          <w:rFonts w:ascii="Times New Roman" w:hAnsi="Times New Roman"/>
          <w:sz w:val="24"/>
          <w:szCs w:val="24"/>
        </w:rPr>
        <w:t>,</w:t>
      </w:r>
      <w:r>
        <w:rPr>
          <w:rFonts w:ascii="Times New Roman" w:hAnsi="Times New Roman"/>
          <w:sz w:val="24"/>
          <w:szCs w:val="24"/>
        </w:rPr>
        <w:t>9</w:t>
      </w:r>
      <w:r w:rsidRPr="00177C62">
        <w:rPr>
          <w:rFonts w:ascii="Times New Roman" w:hAnsi="Times New Roman"/>
          <w:sz w:val="24"/>
          <w:szCs w:val="24"/>
        </w:rPr>
        <w:t>0%).</w:t>
      </w:r>
    </w:p>
    <w:p w:rsidR="00CE326F" w:rsidRPr="008A5819" w:rsidRDefault="00CE326F" w:rsidP="00CE326F">
      <w:pPr>
        <w:spacing w:after="0" w:line="240" w:lineRule="auto"/>
        <w:ind w:firstLine="709"/>
        <w:jc w:val="both"/>
        <w:rPr>
          <w:rStyle w:val="afa"/>
          <w:rFonts w:ascii="Times New Roman" w:hAnsi="Times New Roman"/>
          <w:color w:val="000000"/>
          <w:sz w:val="24"/>
          <w:szCs w:val="24"/>
        </w:rPr>
      </w:pPr>
    </w:p>
    <w:p w:rsidR="00335844" w:rsidRPr="0080737A" w:rsidRDefault="00335844" w:rsidP="0033584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Состояние социальной сферы</w:t>
      </w:r>
    </w:p>
    <w:p w:rsidR="00335844" w:rsidRPr="0080737A" w:rsidRDefault="00335844" w:rsidP="00335844">
      <w:pPr>
        <w:spacing w:after="0" w:line="240" w:lineRule="auto"/>
        <w:ind w:firstLine="720"/>
        <w:jc w:val="both"/>
        <w:rPr>
          <w:rFonts w:ascii="Times New Roman" w:hAnsi="Times New Roman"/>
          <w:sz w:val="24"/>
          <w:szCs w:val="24"/>
        </w:rPr>
      </w:pPr>
    </w:p>
    <w:p w:rsidR="00335844" w:rsidRPr="0080737A" w:rsidRDefault="00335844" w:rsidP="00335844">
      <w:pPr>
        <w:widowControl w:val="0"/>
        <w:spacing w:after="0" w:line="240" w:lineRule="auto"/>
        <w:ind w:firstLineChars="302" w:firstLine="728"/>
        <w:jc w:val="both"/>
        <w:rPr>
          <w:rFonts w:ascii="Times New Roman" w:hAnsi="Times New Roman"/>
          <w:b/>
          <w:sz w:val="24"/>
          <w:szCs w:val="24"/>
        </w:rPr>
      </w:pPr>
      <w:r w:rsidRPr="0080737A">
        <w:rPr>
          <w:rFonts w:ascii="Times New Roman" w:hAnsi="Times New Roman"/>
          <w:b/>
          <w:sz w:val="24"/>
          <w:szCs w:val="24"/>
        </w:rPr>
        <w:t>Уровень жизни населения</w:t>
      </w:r>
    </w:p>
    <w:p w:rsidR="00864AD0" w:rsidRPr="00C84F2A" w:rsidRDefault="00864AD0" w:rsidP="00864AD0">
      <w:pPr>
        <w:spacing w:after="0" w:line="240" w:lineRule="auto"/>
        <w:contextualSpacing/>
        <w:jc w:val="both"/>
        <w:rPr>
          <w:rFonts w:ascii="Times New Roman" w:hAnsi="Times New Roman"/>
          <w:sz w:val="24"/>
          <w:szCs w:val="24"/>
        </w:rPr>
      </w:pPr>
    </w:p>
    <w:p w:rsidR="00864AD0" w:rsidRPr="0064616A" w:rsidRDefault="00864AD0" w:rsidP="00864AD0">
      <w:pPr>
        <w:spacing w:after="0" w:line="240" w:lineRule="auto"/>
        <w:ind w:firstLineChars="295" w:firstLine="708"/>
        <w:contextualSpacing/>
        <w:jc w:val="both"/>
        <w:rPr>
          <w:rFonts w:ascii="Times New Roman" w:eastAsia="Calibri" w:hAnsi="Times New Roman"/>
          <w:sz w:val="24"/>
          <w:szCs w:val="24"/>
        </w:rPr>
      </w:pPr>
      <w:r w:rsidRPr="0064616A">
        <w:rPr>
          <w:rFonts w:ascii="Times New Roman" w:hAnsi="Times New Roman"/>
          <w:sz w:val="24"/>
          <w:szCs w:val="24"/>
          <w:shd w:val="clear" w:color="auto" w:fill="FFFFFF"/>
        </w:rPr>
        <w:t xml:space="preserve">На современном этапе развития экономики </w:t>
      </w:r>
      <w:r>
        <w:rPr>
          <w:rFonts w:ascii="Times New Roman" w:hAnsi="Times New Roman"/>
          <w:sz w:val="24"/>
          <w:szCs w:val="24"/>
          <w:shd w:val="clear" w:color="auto" w:fill="FFFFFF"/>
        </w:rPr>
        <w:t xml:space="preserve">сохраняют свою значимость </w:t>
      </w:r>
      <w:r w:rsidRPr="0064616A">
        <w:rPr>
          <w:rFonts w:ascii="Times New Roman" w:hAnsi="Times New Roman"/>
          <w:sz w:val="24"/>
          <w:szCs w:val="24"/>
          <w:shd w:val="clear" w:color="auto" w:fill="FFFFFF"/>
        </w:rPr>
        <w:t>проблемы уровня жизни населения и факторы, определяющие его динамику</w:t>
      </w:r>
      <w:r>
        <w:rPr>
          <w:rFonts w:ascii="Times New Roman" w:hAnsi="Times New Roman"/>
          <w:sz w:val="24"/>
          <w:szCs w:val="24"/>
          <w:shd w:val="clear" w:color="auto" w:fill="FFFFFF"/>
        </w:rPr>
        <w:t>.</w:t>
      </w:r>
      <w:r w:rsidRPr="0064616A">
        <w:rPr>
          <w:rFonts w:ascii="Times New Roman" w:hAnsi="Times New Roman"/>
          <w:sz w:val="24"/>
          <w:szCs w:val="24"/>
          <w:shd w:val="clear" w:color="auto" w:fill="FFFFFF"/>
        </w:rPr>
        <w:t xml:space="preserve"> От их решения во многом зависит направленность и темпы дальнейших преобразований в республике и, в конечном счете, политическая, а, следовательно, и экономическая стабильность в обществе. </w:t>
      </w:r>
      <w:r w:rsidRPr="0064616A">
        <w:rPr>
          <w:rFonts w:ascii="Times New Roman" w:eastAsia="Calibri" w:hAnsi="Times New Roman"/>
          <w:sz w:val="24"/>
          <w:szCs w:val="24"/>
        </w:rPr>
        <w:t xml:space="preserve">Одним из наиболее важных индикаторов уровня жизни </w:t>
      </w:r>
      <w:r>
        <w:rPr>
          <w:rFonts w:ascii="Times New Roman" w:eastAsia="Calibri" w:hAnsi="Times New Roman"/>
          <w:sz w:val="24"/>
          <w:szCs w:val="24"/>
        </w:rPr>
        <w:t>является</w:t>
      </w:r>
      <w:r w:rsidRPr="0064616A">
        <w:rPr>
          <w:rFonts w:ascii="Times New Roman" w:eastAsia="Calibri" w:hAnsi="Times New Roman"/>
          <w:sz w:val="24"/>
          <w:szCs w:val="24"/>
        </w:rPr>
        <w:t xml:space="preserve"> показатель доходов населения, доминирующей составляющей </w:t>
      </w:r>
      <w:r>
        <w:rPr>
          <w:rFonts w:ascii="Times New Roman" w:eastAsia="Calibri" w:hAnsi="Times New Roman"/>
          <w:sz w:val="24"/>
          <w:szCs w:val="24"/>
        </w:rPr>
        <w:t>которого</w:t>
      </w:r>
      <w:r w:rsidRPr="0064616A">
        <w:rPr>
          <w:rFonts w:ascii="Times New Roman" w:eastAsia="Calibri" w:hAnsi="Times New Roman"/>
          <w:sz w:val="24"/>
          <w:szCs w:val="24"/>
        </w:rPr>
        <w:t xml:space="preserve"> является заработная плата. </w:t>
      </w:r>
    </w:p>
    <w:p w:rsidR="00864AD0" w:rsidRPr="00C84F2A" w:rsidRDefault="00864AD0" w:rsidP="00864AD0">
      <w:pPr>
        <w:tabs>
          <w:tab w:val="left" w:pos="851"/>
          <w:tab w:val="left" w:pos="993"/>
        </w:tabs>
        <w:spacing w:after="0" w:line="240" w:lineRule="auto"/>
        <w:ind w:firstLine="709"/>
        <w:jc w:val="both"/>
        <w:rPr>
          <w:rFonts w:ascii="Times New Roman" w:hAnsi="Times New Roman"/>
          <w:sz w:val="24"/>
          <w:szCs w:val="24"/>
          <w:shd w:val="clear" w:color="auto" w:fill="FFFFFF"/>
        </w:rPr>
      </w:pPr>
      <w:proofErr w:type="gramStart"/>
      <w:r>
        <w:rPr>
          <w:rFonts w:ascii="Times New Roman" w:hAnsi="Times New Roman"/>
          <w:sz w:val="24"/>
          <w:szCs w:val="24"/>
          <w:shd w:val="clear" w:color="auto" w:fill="FFFFFF"/>
        </w:rPr>
        <w:t>Величина н</w:t>
      </w:r>
      <w:r w:rsidRPr="0064616A">
        <w:rPr>
          <w:rFonts w:ascii="Times New Roman" w:hAnsi="Times New Roman"/>
          <w:sz w:val="24"/>
          <w:szCs w:val="24"/>
          <w:shd w:val="clear" w:color="auto" w:fill="FFFFFF"/>
        </w:rPr>
        <w:t>оминальн</w:t>
      </w:r>
      <w:r>
        <w:rPr>
          <w:rFonts w:ascii="Times New Roman" w:hAnsi="Times New Roman"/>
          <w:sz w:val="24"/>
          <w:szCs w:val="24"/>
          <w:shd w:val="clear" w:color="auto" w:fill="FFFFFF"/>
        </w:rPr>
        <w:t>ой</w:t>
      </w:r>
      <w:r w:rsidRPr="0064616A">
        <w:rPr>
          <w:rFonts w:ascii="Times New Roman" w:hAnsi="Times New Roman"/>
          <w:sz w:val="24"/>
          <w:szCs w:val="24"/>
          <w:shd w:val="clear" w:color="auto" w:fill="FFFFFF"/>
        </w:rPr>
        <w:t xml:space="preserve"> заработн</w:t>
      </w:r>
      <w:r>
        <w:rPr>
          <w:rFonts w:ascii="Times New Roman" w:hAnsi="Times New Roman"/>
          <w:sz w:val="24"/>
          <w:szCs w:val="24"/>
          <w:shd w:val="clear" w:color="auto" w:fill="FFFFFF"/>
        </w:rPr>
        <w:t>ой</w:t>
      </w:r>
      <w:r w:rsidRPr="0064616A">
        <w:rPr>
          <w:rFonts w:ascii="Times New Roman" w:hAnsi="Times New Roman"/>
          <w:sz w:val="24"/>
          <w:szCs w:val="24"/>
          <w:shd w:val="clear" w:color="auto" w:fill="FFFFFF"/>
        </w:rPr>
        <w:t xml:space="preserve"> плат</w:t>
      </w:r>
      <w:r>
        <w:rPr>
          <w:rFonts w:ascii="Times New Roman" w:hAnsi="Times New Roman"/>
          <w:sz w:val="24"/>
          <w:szCs w:val="24"/>
          <w:shd w:val="clear" w:color="auto" w:fill="FFFFFF"/>
        </w:rPr>
        <w:t>ы</w:t>
      </w:r>
      <w:r w:rsidRPr="0064616A">
        <w:rPr>
          <w:rFonts w:ascii="Times New Roman" w:hAnsi="Times New Roman"/>
          <w:sz w:val="24"/>
          <w:szCs w:val="24"/>
          <w:shd w:val="clear" w:color="auto" w:fill="FFFFFF"/>
        </w:rPr>
        <w:t xml:space="preserve"> в целом по республике за </w:t>
      </w:r>
      <w:r w:rsidRPr="0064616A">
        <w:rPr>
          <w:rFonts w:ascii="Times New Roman" w:hAnsi="Times New Roman"/>
          <w:sz w:val="24"/>
          <w:szCs w:val="24"/>
          <w:shd w:val="clear" w:color="auto" w:fill="FFFFFF"/>
          <w:lang w:val="en-US"/>
        </w:rPr>
        <w:t>I</w:t>
      </w:r>
      <w:r w:rsidRPr="0064616A">
        <w:rPr>
          <w:rFonts w:ascii="Times New Roman" w:hAnsi="Times New Roman"/>
          <w:sz w:val="24"/>
          <w:szCs w:val="24"/>
          <w:shd w:val="clear" w:color="auto" w:fill="FFFFFF"/>
        </w:rPr>
        <w:t xml:space="preserve"> полугодие </w:t>
      </w:r>
      <w:r w:rsidR="00387D3D">
        <w:rPr>
          <w:rFonts w:ascii="Times New Roman" w:hAnsi="Times New Roman"/>
          <w:sz w:val="24"/>
          <w:szCs w:val="24"/>
          <w:shd w:val="clear" w:color="auto" w:fill="FFFFFF"/>
        </w:rPr>
        <w:t xml:space="preserve">           </w:t>
      </w:r>
      <w:r w:rsidRPr="0064616A">
        <w:rPr>
          <w:rFonts w:ascii="Times New Roman" w:hAnsi="Times New Roman"/>
          <w:sz w:val="24"/>
          <w:szCs w:val="24"/>
          <w:shd w:val="clear" w:color="auto" w:fill="FFFFFF"/>
        </w:rPr>
        <w:t xml:space="preserve">2017 года (кроме субъектов малого предпринимательства и без учета силовых структур) увеличилась на 1,4%, составив 3 845 руб., а с учетом удорожания жизни реальная величина заработной платы сократилась на 3,8%. В долларовом эквиваленте ее размер </w:t>
      </w:r>
      <w:r w:rsidR="00D3205E">
        <w:rPr>
          <w:rFonts w:ascii="Times New Roman" w:hAnsi="Times New Roman"/>
          <w:sz w:val="24"/>
          <w:szCs w:val="24"/>
          <w:shd w:val="clear" w:color="auto" w:fill="FFFFFF"/>
        </w:rPr>
        <w:t>уменьшился</w:t>
      </w:r>
      <w:r w:rsidRPr="0064616A">
        <w:rPr>
          <w:rFonts w:ascii="Times New Roman" w:hAnsi="Times New Roman"/>
          <w:sz w:val="24"/>
          <w:szCs w:val="24"/>
          <w:shd w:val="clear" w:color="auto" w:fill="FFFFFF"/>
        </w:rPr>
        <w:t xml:space="preserve"> на 1,8% и соответствовал 332 долл. США.</w:t>
      </w:r>
      <w:proofErr w:type="gramEnd"/>
    </w:p>
    <w:p w:rsidR="00864AD0" w:rsidRPr="00CE326F" w:rsidRDefault="00864AD0" w:rsidP="00864AD0">
      <w:pPr>
        <w:jc w:val="center"/>
        <w:rPr>
          <w:rFonts w:ascii="Times New Roman" w:hAnsi="Times New Roman"/>
          <w:b/>
          <w:sz w:val="10"/>
          <w:szCs w:val="10"/>
        </w:rPr>
      </w:pPr>
      <w:r w:rsidRPr="00C84F2A">
        <w:rPr>
          <w:rFonts w:ascii="Times New Roman" w:hAnsi="Times New Roman"/>
          <w:b/>
          <w:noProof/>
          <w:sz w:val="24"/>
          <w:szCs w:val="24"/>
        </w:rPr>
        <w:drawing>
          <wp:inline distT="0" distB="0" distL="0" distR="0">
            <wp:extent cx="6114553" cy="3196424"/>
            <wp:effectExtent l="0" t="0" r="0" b="0"/>
            <wp:docPr id="7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64AD0" w:rsidRPr="0064616A" w:rsidRDefault="00864AD0" w:rsidP="00864AD0">
      <w:pPr>
        <w:spacing w:after="0" w:line="240" w:lineRule="auto"/>
        <w:ind w:firstLine="709"/>
        <w:jc w:val="both"/>
        <w:rPr>
          <w:rFonts w:ascii="Times New Roman" w:hAnsi="Times New Roman"/>
          <w:sz w:val="24"/>
          <w:szCs w:val="24"/>
        </w:rPr>
      </w:pPr>
      <w:r>
        <w:rPr>
          <w:rFonts w:ascii="Times New Roman" w:hAnsi="Times New Roman"/>
          <w:sz w:val="24"/>
          <w:szCs w:val="24"/>
        </w:rPr>
        <w:t>Среди факторов, отражающих степень накопленных диспропорций в социальной сфере</w:t>
      </w:r>
      <w:r w:rsidR="00D3205E">
        <w:rPr>
          <w:rFonts w:ascii="Times New Roman" w:hAnsi="Times New Roman"/>
          <w:sz w:val="24"/>
          <w:szCs w:val="24"/>
        </w:rPr>
        <w:t>,</w:t>
      </w:r>
      <w:r>
        <w:rPr>
          <w:rFonts w:ascii="Times New Roman" w:hAnsi="Times New Roman"/>
          <w:sz w:val="24"/>
          <w:szCs w:val="24"/>
        </w:rPr>
        <w:t xml:space="preserve"> необходимо выделить высокий</w:t>
      </w:r>
      <w:r w:rsidR="00D3205E">
        <w:rPr>
          <w:rFonts w:ascii="Times New Roman" w:hAnsi="Times New Roman"/>
          <w:sz w:val="24"/>
          <w:szCs w:val="24"/>
        </w:rPr>
        <w:t xml:space="preserve"> уровень</w:t>
      </w:r>
      <w:r w:rsidR="00387D3D">
        <w:rPr>
          <w:rFonts w:ascii="Times New Roman" w:hAnsi="Times New Roman"/>
          <w:sz w:val="24"/>
          <w:szCs w:val="24"/>
        </w:rPr>
        <w:t xml:space="preserve"> </w:t>
      </w:r>
      <w:r w:rsidR="00D3205E">
        <w:rPr>
          <w:rFonts w:ascii="Times New Roman" w:hAnsi="Times New Roman"/>
          <w:sz w:val="24"/>
          <w:szCs w:val="24"/>
        </w:rPr>
        <w:t xml:space="preserve">дифференциации </w:t>
      </w:r>
      <w:r>
        <w:rPr>
          <w:rFonts w:ascii="Times New Roman" w:hAnsi="Times New Roman"/>
          <w:sz w:val="24"/>
          <w:szCs w:val="24"/>
        </w:rPr>
        <w:t xml:space="preserve">оплаты труда. Так, разрыв </w:t>
      </w:r>
      <w:r>
        <w:rPr>
          <w:rFonts w:ascii="Times New Roman" w:hAnsi="Times New Roman"/>
          <w:sz w:val="24"/>
          <w:szCs w:val="24"/>
        </w:rPr>
        <w:lastRenderedPageBreak/>
        <w:t xml:space="preserve">между показателями </w:t>
      </w:r>
      <w:r w:rsidRPr="0064616A">
        <w:rPr>
          <w:rFonts w:ascii="Times New Roman" w:hAnsi="Times New Roman"/>
          <w:sz w:val="24"/>
          <w:szCs w:val="24"/>
        </w:rPr>
        <w:t>заработной платы в высоко- и низкооплачиваемых отраслях экономики состав</w:t>
      </w:r>
      <w:r>
        <w:rPr>
          <w:rFonts w:ascii="Times New Roman" w:hAnsi="Times New Roman"/>
          <w:sz w:val="24"/>
          <w:szCs w:val="24"/>
        </w:rPr>
        <w:t xml:space="preserve">ляет </w:t>
      </w:r>
      <w:r w:rsidRPr="0064616A">
        <w:rPr>
          <w:rFonts w:ascii="Times New Roman" w:hAnsi="Times New Roman"/>
          <w:sz w:val="24"/>
          <w:szCs w:val="24"/>
        </w:rPr>
        <w:t xml:space="preserve">4,5 раза. Самый высокий уровень </w:t>
      </w:r>
      <w:r>
        <w:rPr>
          <w:rFonts w:ascii="Times New Roman" w:hAnsi="Times New Roman"/>
          <w:sz w:val="24"/>
          <w:szCs w:val="24"/>
        </w:rPr>
        <w:t>оплаты труда</w:t>
      </w:r>
      <w:r w:rsidRPr="0064616A">
        <w:rPr>
          <w:rFonts w:ascii="Times New Roman" w:hAnsi="Times New Roman"/>
          <w:sz w:val="24"/>
          <w:szCs w:val="24"/>
        </w:rPr>
        <w:t xml:space="preserve"> сохраняется у работников таких отраслей экономики как «</w:t>
      </w:r>
      <w:proofErr w:type="spellStart"/>
      <w:r w:rsidRPr="0064616A">
        <w:rPr>
          <w:rFonts w:ascii="Times New Roman" w:hAnsi="Times New Roman"/>
          <w:sz w:val="24"/>
          <w:szCs w:val="24"/>
        </w:rPr>
        <w:t>Электро</w:t>
      </w:r>
      <w:proofErr w:type="spellEnd"/>
      <w:r w:rsidRPr="0064616A">
        <w:rPr>
          <w:rFonts w:ascii="Times New Roman" w:hAnsi="Times New Roman"/>
          <w:sz w:val="24"/>
          <w:szCs w:val="24"/>
        </w:rPr>
        <w:t xml:space="preserve"> и радиосвязь» 9 645 руб. (+2,9%), «Банки и кредитование» 6 736 руб. (-3,4%), «Страхование» 6 577 руб. (+0,6%).</w:t>
      </w:r>
    </w:p>
    <w:p w:rsidR="00864AD0" w:rsidRPr="00642E0B" w:rsidRDefault="00864AD0" w:rsidP="00864AD0">
      <w:pPr>
        <w:spacing w:after="0" w:line="240" w:lineRule="auto"/>
        <w:ind w:firstLine="709"/>
        <w:jc w:val="both"/>
        <w:rPr>
          <w:rFonts w:ascii="Times New Roman" w:hAnsi="Times New Roman"/>
          <w:sz w:val="24"/>
          <w:szCs w:val="24"/>
        </w:rPr>
      </w:pPr>
      <w:r>
        <w:rPr>
          <w:rFonts w:ascii="Times New Roman" w:hAnsi="Times New Roman"/>
          <w:sz w:val="24"/>
          <w:szCs w:val="24"/>
        </w:rPr>
        <w:t>При этом с</w:t>
      </w:r>
      <w:r w:rsidRPr="0064616A">
        <w:rPr>
          <w:rFonts w:ascii="Times New Roman" w:hAnsi="Times New Roman"/>
          <w:sz w:val="24"/>
          <w:szCs w:val="24"/>
        </w:rPr>
        <w:t>окращение среднемесячной заработной платы отмечено у работников таких отраслей, как: «Лесное хозяйство» (на 22,4% до 2 192 руб.), «</w:t>
      </w:r>
      <w:proofErr w:type="spellStart"/>
      <w:r w:rsidRPr="0064616A">
        <w:rPr>
          <w:rFonts w:ascii="Times New Roman" w:hAnsi="Times New Roman"/>
          <w:sz w:val="24"/>
          <w:szCs w:val="24"/>
        </w:rPr>
        <w:t>Тролейбусный</w:t>
      </w:r>
      <w:proofErr w:type="spellEnd"/>
      <w:r w:rsidRPr="0064616A">
        <w:rPr>
          <w:rFonts w:ascii="Times New Roman" w:hAnsi="Times New Roman"/>
          <w:sz w:val="24"/>
          <w:szCs w:val="24"/>
        </w:rPr>
        <w:t xml:space="preserve"> транспорт» (на 1,2% до 2 642 руб.), «Наука и научное обслуживание» (на 4,7% до 2 921 руб.), </w:t>
      </w:r>
      <w:r>
        <w:rPr>
          <w:rFonts w:ascii="Times New Roman" w:hAnsi="Times New Roman"/>
          <w:sz w:val="24"/>
          <w:szCs w:val="24"/>
        </w:rPr>
        <w:t xml:space="preserve">в которых </w:t>
      </w:r>
      <w:r w:rsidRPr="0064616A">
        <w:rPr>
          <w:rFonts w:ascii="Times New Roman" w:hAnsi="Times New Roman"/>
          <w:sz w:val="24"/>
          <w:szCs w:val="24"/>
        </w:rPr>
        <w:t>размер</w:t>
      </w:r>
      <w:r>
        <w:rPr>
          <w:rFonts w:ascii="Times New Roman" w:hAnsi="Times New Roman"/>
          <w:sz w:val="24"/>
          <w:szCs w:val="24"/>
        </w:rPr>
        <w:t xml:space="preserve"> оплаты труда</w:t>
      </w:r>
      <w:r w:rsidRPr="0064616A">
        <w:rPr>
          <w:rFonts w:ascii="Times New Roman" w:hAnsi="Times New Roman"/>
          <w:sz w:val="24"/>
          <w:szCs w:val="24"/>
        </w:rPr>
        <w:t xml:space="preserve"> сложился ниже </w:t>
      </w:r>
      <w:proofErr w:type="spellStart"/>
      <w:r w:rsidRPr="0064616A">
        <w:rPr>
          <w:rFonts w:ascii="Times New Roman" w:hAnsi="Times New Roman"/>
          <w:sz w:val="24"/>
          <w:szCs w:val="24"/>
        </w:rPr>
        <w:t>среднереспубликанского</w:t>
      </w:r>
      <w:proofErr w:type="spellEnd"/>
      <w:r w:rsidRPr="0064616A">
        <w:rPr>
          <w:rFonts w:ascii="Times New Roman" w:hAnsi="Times New Roman"/>
          <w:sz w:val="24"/>
          <w:szCs w:val="24"/>
        </w:rPr>
        <w:t xml:space="preserve"> уровня на 43,0%, 31,3%, 24,0% соответственно.</w:t>
      </w:r>
    </w:p>
    <w:p w:rsidR="00864AD0" w:rsidRDefault="00864AD0" w:rsidP="00864AD0">
      <w:pPr>
        <w:widowControl w:val="0"/>
        <w:spacing w:after="0" w:line="240" w:lineRule="auto"/>
        <w:ind w:firstLine="709"/>
        <w:jc w:val="both"/>
        <w:rPr>
          <w:rFonts w:ascii="Times New Roman" w:hAnsi="Times New Roman"/>
          <w:sz w:val="24"/>
          <w:szCs w:val="24"/>
        </w:rPr>
      </w:pPr>
      <w:r w:rsidRPr="00EC2A54">
        <w:rPr>
          <w:rFonts w:ascii="Times New Roman" w:hAnsi="Times New Roman"/>
          <w:sz w:val="24"/>
          <w:szCs w:val="24"/>
        </w:rPr>
        <w:t xml:space="preserve">В целом по экономике прирост </w:t>
      </w:r>
      <w:r>
        <w:rPr>
          <w:rFonts w:ascii="Times New Roman" w:hAnsi="Times New Roman"/>
          <w:sz w:val="24"/>
          <w:szCs w:val="24"/>
        </w:rPr>
        <w:t xml:space="preserve">стоимости </w:t>
      </w:r>
      <w:r w:rsidRPr="00EC2A54">
        <w:rPr>
          <w:rFonts w:ascii="Times New Roman" w:hAnsi="Times New Roman"/>
          <w:sz w:val="24"/>
          <w:szCs w:val="24"/>
        </w:rPr>
        <w:t xml:space="preserve">минимального набора товаров и услуг, </w:t>
      </w:r>
      <w:r w:rsidRPr="00EC2A54">
        <w:rPr>
          <w:rFonts w:ascii="Times New Roman" w:hAnsi="Times New Roman"/>
          <w:color w:val="000000"/>
          <w:sz w:val="24"/>
          <w:szCs w:val="24"/>
        </w:rPr>
        <w:t xml:space="preserve">необходимых человеку для поддержания жизнедеятельности </w:t>
      </w:r>
      <w:r>
        <w:rPr>
          <w:rFonts w:ascii="Times New Roman" w:hAnsi="Times New Roman"/>
          <w:sz w:val="24"/>
          <w:szCs w:val="24"/>
        </w:rPr>
        <w:t>(</w:t>
      </w:r>
      <w:r w:rsidRPr="00EC2A54">
        <w:rPr>
          <w:rFonts w:ascii="Times New Roman" w:hAnsi="Times New Roman"/>
          <w:sz w:val="24"/>
          <w:szCs w:val="24"/>
        </w:rPr>
        <w:t xml:space="preserve">+4,8% до 1 420,8 руб.) опережал </w:t>
      </w:r>
      <w:r w:rsidR="00D3205E">
        <w:rPr>
          <w:rFonts w:ascii="Times New Roman" w:hAnsi="Times New Roman"/>
          <w:sz w:val="24"/>
          <w:szCs w:val="24"/>
        </w:rPr>
        <w:t>динамику повышения</w:t>
      </w:r>
      <w:r>
        <w:rPr>
          <w:rFonts w:ascii="Times New Roman" w:hAnsi="Times New Roman"/>
          <w:sz w:val="24"/>
          <w:szCs w:val="24"/>
        </w:rPr>
        <w:t xml:space="preserve"> оплаты труда (+1,4%), что привело к </w:t>
      </w:r>
      <w:r w:rsidRPr="00EC2A54">
        <w:rPr>
          <w:rFonts w:ascii="Times New Roman" w:hAnsi="Times New Roman"/>
          <w:sz w:val="24"/>
          <w:szCs w:val="24"/>
        </w:rPr>
        <w:t>сокращени</w:t>
      </w:r>
      <w:r>
        <w:rPr>
          <w:rFonts w:ascii="Times New Roman" w:hAnsi="Times New Roman"/>
          <w:sz w:val="24"/>
          <w:szCs w:val="24"/>
        </w:rPr>
        <w:t>ю</w:t>
      </w:r>
      <w:r w:rsidRPr="00EC2A54">
        <w:rPr>
          <w:rFonts w:ascii="Times New Roman" w:hAnsi="Times New Roman"/>
          <w:sz w:val="24"/>
          <w:szCs w:val="24"/>
        </w:rPr>
        <w:t xml:space="preserve"> покупательной способности заработной платы одного работника до 2,7 набора прожиточного минимума</w:t>
      </w:r>
      <w:r w:rsidR="00387D3D">
        <w:rPr>
          <w:rFonts w:ascii="Times New Roman" w:hAnsi="Times New Roman"/>
          <w:sz w:val="24"/>
          <w:szCs w:val="24"/>
        </w:rPr>
        <w:t>.</w:t>
      </w:r>
    </w:p>
    <w:p w:rsidR="00864AD0" w:rsidRDefault="00864AD0" w:rsidP="00864AD0">
      <w:pPr>
        <w:widowControl w:val="0"/>
        <w:spacing w:after="0" w:line="240" w:lineRule="auto"/>
        <w:jc w:val="both"/>
        <w:rPr>
          <w:rFonts w:ascii="Times New Roman" w:hAnsi="Times New Roman"/>
          <w:sz w:val="24"/>
          <w:szCs w:val="24"/>
        </w:rPr>
      </w:pPr>
      <w:r w:rsidRPr="003517D3">
        <w:rPr>
          <w:rFonts w:ascii="Times New Roman" w:hAnsi="Times New Roman"/>
          <w:noProof/>
          <w:sz w:val="24"/>
          <w:szCs w:val="24"/>
        </w:rPr>
        <w:drawing>
          <wp:inline distT="0" distB="0" distL="0" distR="0">
            <wp:extent cx="5947576" cy="3522428"/>
            <wp:effectExtent l="0" t="0" r="0" b="0"/>
            <wp:docPr id="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64AD0" w:rsidRPr="00C84F2A" w:rsidRDefault="00864AD0" w:rsidP="00864AD0">
      <w:pPr>
        <w:spacing w:after="0"/>
        <w:jc w:val="right"/>
        <w:rPr>
          <w:rFonts w:ascii="Times New Roman" w:hAnsi="Times New Roman"/>
          <w:sz w:val="24"/>
          <w:szCs w:val="24"/>
        </w:rPr>
      </w:pPr>
      <w:r w:rsidRPr="008440F9">
        <w:rPr>
          <w:rFonts w:ascii="Times New Roman" w:hAnsi="Times New Roman"/>
          <w:sz w:val="24"/>
          <w:szCs w:val="24"/>
        </w:rPr>
        <w:t>Таблица №</w:t>
      </w:r>
      <w:r w:rsidR="00091304">
        <w:rPr>
          <w:rFonts w:ascii="Times New Roman" w:hAnsi="Times New Roman"/>
          <w:sz w:val="24"/>
          <w:szCs w:val="24"/>
        </w:rPr>
        <w:t>6</w:t>
      </w:r>
    </w:p>
    <w:p w:rsidR="00864AD0" w:rsidRPr="00CD2673" w:rsidRDefault="00864AD0" w:rsidP="00864AD0">
      <w:pPr>
        <w:spacing w:after="0" w:line="240" w:lineRule="auto"/>
        <w:ind w:firstLine="709"/>
        <w:jc w:val="center"/>
        <w:rPr>
          <w:rFonts w:ascii="Times New Roman" w:hAnsi="Times New Roman"/>
          <w:b/>
          <w:sz w:val="24"/>
          <w:szCs w:val="24"/>
        </w:rPr>
      </w:pPr>
      <w:r w:rsidRPr="00CD2673">
        <w:rPr>
          <w:rFonts w:ascii="Times New Roman" w:hAnsi="Times New Roman"/>
          <w:b/>
          <w:sz w:val="24"/>
          <w:szCs w:val="24"/>
        </w:rPr>
        <w:t>Покупательная способность среднемесячной заработной платы</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984"/>
        <w:gridCol w:w="1984"/>
      </w:tblGrid>
      <w:tr w:rsidR="00864AD0" w:rsidRPr="00CD2673" w:rsidTr="00864AD0">
        <w:trPr>
          <w:trHeight w:val="292"/>
        </w:trPr>
        <w:tc>
          <w:tcPr>
            <w:tcW w:w="5529" w:type="dxa"/>
            <w:shd w:val="clear" w:color="auto" w:fill="E0E0E0"/>
            <w:vAlign w:val="center"/>
          </w:tcPr>
          <w:p w:rsidR="00864AD0" w:rsidRPr="00CD2673" w:rsidRDefault="00864AD0" w:rsidP="00864AD0">
            <w:pPr>
              <w:widowControl w:val="0"/>
              <w:spacing w:after="0" w:line="240" w:lineRule="auto"/>
              <w:rPr>
                <w:rFonts w:ascii="Times New Roman" w:hAnsi="Times New Roman"/>
                <w:b/>
              </w:rPr>
            </w:pPr>
            <w:r w:rsidRPr="00CD2673">
              <w:rPr>
                <w:rFonts w:ascii="Times New Roman" w:hAnsi="Times New Roman"/>
                <w:b/>
              </w:rPr>
              <w:t>Покупательная способность среднемесячной заработной платы</w:t>
            </w:r>
          </w:p>
        </w:tc>
        <w:tc>
          <w:tcPr>
            <w:tcW w:w="1984" w:type="dxa"/>
            <w:shd w:val="clear" w:color="auto" w:fill="E0E0E0"/>
            <w:vAlign w:val="center"/>
          </w:tcPr>
          <w:p w:rsidR="00864AD0" w:rsidRPr="00CD2673" w:rsidRDefault="00864AD0" w:rsidP="00864AD0">
            <w:pPr>
              <w:widowControl w:val="0"/>
              <w:spacing w:after="0" w:line="240" w:lineRule="auto"/>
              <w:jc w:val="center"/>
              <w:rPr>
                <w:rFonts w:ascii="Times New Roman" w:hAnsi="Times New Roman"/>
                <w:b/>
              </w:rPr>
            </w:pPr>
            <w:r w:rsidRPr="00CD2673">
              <w:rPr>
                <w:rFonts w:ascii="Times New Roman" w:hAnsi="Times New Roman"/>
                <w:b/>
                <w:lang w:val="en-US"/>
              </w:rPr>
              <w:t xml:space="preserve">I </w:t>
            </w:r>
            <w:proofErr w:type="spellStart"/>
            <w:r w:rsidRPr="00CD2673">
              <w:rPr>
                <w:rFonts w:ascii="Times New Roman" w:hAnsi="Times New Roman"/>
                <w:b/>
                <w:lang w:val="en-US"/>
              </w:rPr>
              <w:t>полугодие</w:t>
            </w:r>
            <w:proofErr w:type="spellEnd"/>
          </w:p>
          <w:p w:rsidR="00864AD0" w:rsidRPr="00CD2673" w:rsidRDefault="00864AD0" w:rsidP="00864AD0">
            <w:pPr>
              <w:widowControl w:val="0"/>
              <w:spacing w:after="0" w:line="240" w:lineRule="auto"/>
              <w:jc w:val="center"/>
              <w:rPr>
                <w:rFonts w:ascii="Times New Roman" w:hAnsi="Times New Roman"/>
                <w:b/>
              </w:rPr>
            </w:pPr>
            <w:r w:rsidRPr="00CD2673">
              <w:rPr>
                <w:rFonts w:ascii="Times New Roman" w:hAnsi="Times New Roman"/>
                <w:b/>
              </w:rPr>
              <w:t>2016 года</w:t>
            </w:r>
          </w:p>
        </w:tc>
        <w:tc>
          <w:tcPr>
            <w:tcW w:w="1984" w:type="dxa"/>
            <w:shd w:val="clear" w:color="auto" w:fill="E0E0E0"/>
            <w:vAlign w:val="center"/>
          </w:tcPr>
          <w:p w:rsidR="00864AD0" w:rsidRPr="00CD2673" w:rsidRDefault="00864AD0" w:rsidP="00864AD0">
            <w:pPr>
              <w:widowControl w:val="0"/>
              <w:spacing w:after="0" w:line="240" w:lineRule="auto"/>
              <w:jc w:val="center"/>
              <w:rPr>
                <w:rFonts w:ascii="Times New Roman" w:hAnsi="Times New Roman"/>
                <w:b/>
              </w:rPr>
            </w:pPr>
            <w:r w:rsidRPr="00CD2673">
              <w:rPr>
                <w:rFonts w:ascii="Times New Roman" w:hAnsi="Times New Roman"/>
                <w:b/>
                <w:lang w:val="en-US"/>
              </w:rPr>
              <w:t xml:space="preserve">I </w:t>
            </w:r>
            <w:proofErr w:type="spellStart"/>
            <w:r w:rsidRPr="00CD2673">
              <w:rPr>
                <w:rFonts w:ascii="Times New Roman" w:hAnsi="Times New Roman"/>
                <w:b/>
                <w:lang w:val="en-US"/>
              </w:rPr>
              <w:t>полугодие</w:t>
            </w:r>
            <w:proofErr w:type="spellEnd"/>
          </w:p>
          <w:p w:rsidR="00864AD0" w:rsidRPr="00CD2673" w:rsidRDefault="00864AD0" w:rsidP="00864AD0">
            <w:pPr>
              <w:widowControl w:val="0"/>
              <w:spacing w:after="0" w:line="240" w:lineRule="auto"/>
              <w:jc w:val="center"/>
              <w:rPr>
                <w:rFonts w:ascii="Times New Roman" w:hAnsi="Times New Roman"/>
                <w:b/>
              </w:rPr>
            </w:pPr>
            <w:r w:rsidRPr="00CD2673">
              <w:rPr>
                <w:rFonts w:ascii="Times New Roman" w:hAnsi="Times New Roman"/>
                <w:b/>
              </w:rPr>
              <w:t>2017 года</w:t>
            </w:r>
          </w:p>
        </w:tc>
      </w:tr>
      <w:tr w:rsidR="00864AD0" w:rsidRPr="00CD2673" w:rsidTr="00864AD0">
        <w:trPr>
          <w:trHeight w:val="360"/>
        </w:trPr>
        <w:tc>
          <w:tcPr>
            <w:tcW w:w="5529" w:type="dxa"/>
            <w:vAlign w:val="center"/>
          </w:tcPr>
          <w:p w:rsidR="00864AD0" w:rsidRPr="00CD2673" w:rsidRDefault="00864AD0" w:rsidP="00864AD0">
            <w:pPr>
              <w:widowControl w:val="0"/>
              <w:spacing w:after="0" w:line="240" w:lineRule="auto"/>
              <w:rPr>
                <w:rFonts w:ascii="Times New Roman" w:hAnsi="Times New Roman"/>
              </w:rPr>
            </w:pPr>
            <w:r w:rsidRPr="00CD2673">
              <w:rPr>
                <w:rFonts w:ascii="Times New Roman" w:hAnsi="Times New Roman"/>
              </w:rPr>
              <w:t>- в целом по республике</w:t>
            </w:r>
          </w:p>
        </w:tc>
        <w:tc>
          <w:tcPr>
            <w:tcW w:w="1984" w:type="dxa"/>
            <w:vAlign w:val="center"/>
          </w:tcPr>
          <w:p w:rsidR="00864AD0" w:rsidRPr="00CD2673" w:rsidRDefault="00864AD0" w:rsidP="00864AD0">
            <w:pPr>
              <w:widowControl w:val="0"/>
              <w:spacing w:after="0" w:line="240" w:lineRule="auto"/>
              <w:jc w:val="center"/>
              <w:rPr>
                <w:rFonts w:ascii="Times New Roman" w:hAnsi="Times New Roman"/>
              </w:rPr>
            </w:pPr>
            <w:r w:rsidRPr="00CD2673">
              <w:rPr>
                <w:rFonts w:ascii="Times New Roman" w:hAnsi="Times New Roman"/>
              </w:rPr>
              <w:t>2,8</w:t>
            </w:r>
          </w:p>
        </w:tc>
        <w:tc>
          <w:tcPr>
            <w:tcW w:w="1984" w:type="dxa"/>
            <w:vAlign w:val="center"/>
          </w:tcPr>
          <w:p w:rsidR="00864AD0" w:rsidRPr="00CD2673" w:rsidRDefault="00864AD0" w:rsidP="00864AD0">
            <w:pPr>
              <w:widowControl w:val="0"/>
              <w:spacing w:after="0" w:line="240" w:lineRule="auto"/>
              <w:jc w:val="center"/>
              <w:rPr>
                <w:rFonts w:ascii="Times New Roman" w:hAnsi="Times New Roman"/>
              </w:rPr>
            </w:pPr>
            <w:r>
              <w:rPr>
                <w:rFonts w:ascii="Times New Roman" w:hAnsi="Times New Roman"/>
              </w:rPr>
              <w:t>2,7</w:t>
            </w:r>
          </w:p>
        </w:tc>
      </w:tr>
      <w:tr w:rsidR="00864AD0" w:rsidRPr="00CD2673" w:rsidTr="00864AD0">
        <w:trPr>
          <w:trHeight w:val="360"/>
        </w:trPr>
        <w:tc>
          <w:tcPr>
            <w:tcW w:w="5529" w:type="dxa"/>
            <w:vAlign w:val="center"/>
          </w:tcPr>
          <w:p w:rsidR="00864AD0" w:rsidRPr="00CD2673" w:rsidRDefault="00864AD0" w:rsidP="00864AD0">
            <w:pPr>
              <w:widowControl w:val="0"/>
              <w:spacing w:after="0" w:line="240" w:lineRule="auto"/>
              <w:rPr>
                <w:rFonts w:ascii="Times New Roman" w:hAnsi="Times New Roman"/>
              </w:rPr>
            </w:pPr>
            <w:r w:rsidRPr="00CD2673">
              <w:rPr>
                <w:rFonts w:ascii="Times New Roman" w:hAnsi="Times New Roman"/>
              </w:rPr>
              <w:t xml:space="preserve">- в хозрасчетном секторе </w:t>
            </w:r>
          </w:p>
        </w:tc>
        <w:tc>
          <w:tcPr>
            <w:tcW w:w="1984" w:type="dxa"/>
            <w:vAlign w:val="center"/>
          </w:tcPr>
          <w:p w:rsidR="00864AD0" w:rsidRPr="00CD2673" w:rsidRDefault="00864AD0" w:rsidP="00864AD0">
            <w:pPr>
              <w:widowControl w:val="0"/>
              <w:spacing w:after="0" w:line="240" w:lineRule="auto"/>
              <w:jc w:val="center"/>
              <w:rPr>
                <w:rFonts w:ascii="Times New Roman" w:hAnsi="Times New Roman"/>
              </w:rPr>
            </w:pPr>
            <w:r w:rsidRPr="00CD2673">
              <w:rPr>
                <w:rFonts w:ascii="Times New Roman" w:hAnsi="Times New Roman"/>
              </w:rPr>
              <w:t>3,5</w:t>
            </w:r>
          </w:p>
        </w:tc>
        <w:tc>
          <w:tcPr>
            <w:tcW w:w="1984" w:type="dxa"/>
            <w:vAlign w:val="center"/>
          </w:tcPr>
          <w:p w:rsidR="00864AD0" w:rsidRPr="00CD2673" w:rsidRDefault="00864AD0" w:rsidP="00864AD0">
            <w:pPr>
              <w:widowControl w:val="0"/>
              <w:spacing w:after="0" w:line="240" w:lineRule="auto"/>
              <w:jc w:val="center"/>
              <w:rPr>
                <w:rFonts w:ascii="Times New Roman" w:hAnsi="Times New Roman"/>
              </w:rPr>
            </w:pPr>
            <w:r w:rsidRPr="00CD2673">
              <w:rPr>
                <w:rFonts w:ascii="Times New Roman" w:hAnsi="Times New Roman"/>
              </w:rPr>
              <w:t>3,</w:t>
            </w:r>
            <w:r>
              <w:rPr>
                <w:rFonts w:ascii="Times New Roman" w:hAnsi="Times New Roman"/>
              </w:rPr>
              <w:t>4</w:t>
            </w:r>
          </w:p>
        </w:tc>
      </w:tr>
      <w:tr w:rsidR="00864AD0" w:rsidRPr="00C84F2A" w:rsidTr="00864AD0">
        <w:trPr>
          <w:trHeight w:val="360"/>
        </w:trPr>
        <w:tc>
          <w:tcPr>
            <w:tcW w:w="5529" w:type="dxa"/>
            <w:vAlign w:val="center"/>
          </w:tcPr>
          <w:p w:rsidR="00864AD0" w:rsidRPr="00CD2673" w:rsidRDefault="00864AD0" w:rsidP="00864AD0">
            <w:pPr>
              <w:widowControl w:val="0"/>
              <w:spacing w:after="0" w:line="240" w:lineRule="auto"/>
              <w:rPr>
                <w:rFonts w:ascii="Times New Roman" w:hAnsi="Times New Roman"/>
              </w:rPr>
            </w:pPr>
            <w:r w:rsidRPr="00CD2673">
              <w:rPr>
                <w:rFonts w:ascii="Times New Roman" w:hAnsi="Times New Roman"/>
              </w:rPr>
              <w:t>- в бюджетной сфере</w:t>
            </w:r>
          </w:p>
        </w:tc>
        <w:tc>
          <w:tcPr>
            <w:tcW w:w="1984" w:type="dxa"/>
            <w:vAlign w:val="center"/>
          </w:tcPr>
          <w:p w:rsidR="00864AD0" w:rsidRPr="00CD2673" w:rsidRDefault="00864AD0" w:rsidP="00864AD0">
            <w:pPr>
              <w:widowControl w:val="0"/>
              <w:spacing w:after="0" w:line="240" w:lineRule="auto"/>
              <w:jc w:val="center"/>
              <w:rPr>
                <w:rFonts w:ascii="Times New Roman" w:hAnsi="Times New Roman"/>
              </w:rPr>
            </w:pPr>
            <w:r w:rsidRPr="00CD2673">
              <w:rPr>
                <w:rFonts w:ascii="Times New Roman" w:hAnsi="Times New Roman"/>
              </w:rPr>
              <w:t>2,0</w:t>
            </w:r>
          </w:p>
        </w:tc>
        <w:tc>
          <w:tcPr>
            <w:tcW w:w="1984" w:type="dxa"/>
            <w:vAlign w:val="center"/>
          </w:tcPr>
          <w:p w:rsidR="00864AD0" w:rsidRPr="008440F9" w:rsidRDefault="00864AD0" w:rsidP="00864AD0">
            <w:pPr>
              <w:widowControl w:val="0"/>
              <w:spacing w:after="0" w:line="240" w:lineRule="auto"/>
              <w:jc w:val="center"/>
              <w:rPr>
                <w:rFonts w:ascii="Times New Roman" w:hAnsi="Times New Roman"/>
              </w:rPr>
            </w:pPr>
            <w:r>
              <w:rPr>
                <w:rFonts w:ascii="Times New Roman" w:hAnsi="Times New Roman"/>
              </w:rPr>
              <w:t>1,9</w:t>
            </w:r>
          </w:p>
        </w:tc>
      </w:tr>
    </w:tbl>
    <w:p w:rsidR="00864AD0" w:rsidRPr="00C84F2A" w:rsidRDefault="00864AD0" w:rsidP="00864AD0">
      <w:pPr>
        <w:widowControl w:val="0"/>
        <w:spacing w:after="0" w:line="240" w:lineRule="auto"/>
        <w:ind w:firstLine="720"/>
        <w:jc w:val="both"/>
        <w:rPr>
          <w:rFonts w:ascii="Times New Roman" w:hAnsi="Times New Roman"/>
          <w:b/>
          <w:sz w:val="24"/>
          <w:szCs w:val="24"/>
        </w:rPr>
      </w:pPr>
    </w:p>
    <w:p w:rsidR="00864AD0" w:rsidRPr="0064616A" w:rsidRDefault="00864AD0" w:rsidP="00864AD0">
      <w:pPr>
        <w:widowControl w:val="0"/>
        <w:spacing w:after="0" w:line="240" w:lineRule="auto"/>
        <w:ind w:firstLine="720"/>
        <w:jc w:val="both"/>
        <w:rPr>
          <w:rFonts w:ascii="Times New Roman" w:hAnsi="Times New Roman"/>
          <w:sz w:val="24"/>
          <w:szCs w:val="24"/>
        </w:rPr>
      </w:pPr>
      <w:r w:rsidRPr="0064616A">
        <w:rPr>
          <w:rFonts w:ascii="Times New Roman" w:hAnsi="Times New Roman"/>
          <w:b/>
          <w:sz w:val="24"/>
          <w:szCs w:val="24"/>
        </w:rPr>
        <w:t>Во внебюджетном (хозрасчетном) секторе</w:t>
      </w:r>
      <w:r w:rsidRPr="0064616A">
        <w:rPr>
          <w:rFonts w:ascii="Times New Roman" w:hAnsi="Times New Roman"/>
          <w:sz w:val="24"/>
          <w:szCs w:val="24"/>
        </w:rPr>
        <w:t xml:space="preserve"> экономики начисленная среднемесячная заработная плата одного работника за январь – июнь 2017 года выросла на 1,4% и сложилась в размере 4 848 руб., что с учетом корректировки на индекс инфляции соответствует ее реальному сокращению на 3,7%.</w:t>
      </w:r>
    </w:p>
    <w:p w:rsidR="00864AD0" w:rsidRPr="00C84F2A" w:rsidRDefault="00864AD0" w:rsidP="00864AD0">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В разрезе отдельных отраслей п</w:t>
      </w:r>
      <w:r w:rsidRPr="0064616A">
        <w:rPr>
          <w:rFonts w:ascii="Times New Roman" w:hAnsi="Times New Roman"/>
          <w:sz w:val="24"/>
          <w:szCs w:val="24"/>
        </w:rPr>
        <w:t xml:space="preserve">овышение варьировало от </w:t>
      </w:r>
      <w:r>
        <w:rPr>
          <w:rFonts w:ascii="Times New Roman" w:hAnsi="Times New Roman"/>
          <w:sz w:val="24"/>
          <w:szCs w:val="24"/>
        </w:rPr>
        <w:t>+</w:t>
      </w:r>
      <w:r w:rsidRPr="0064616A">
        <w:rPr>
          <w:rFonts w:ascii="Times New Roman" w:hAnsi="Times New Roman"/>
          <w:sz w:val="24"/>
          <w:szCs w:val="24"/>
        </w:rPr>
        <w:t xml:space="preserve">0,6% в организациях страхования до </w:t>
      </w:r>
      <w:r>
        <w:rPr>
          <w:rFonts w:ascii="Times New Roman" w:hAnsi="Times New Roman"/>
          <w:sz w:val="24"/>
          <w:szCs w:val="24"/>
        </w:rPr>
        <w:t>+</w:t>
      </w:r>
      <w:r w:rsidRPr="0064616A">
        <w:rPr>
          <w:rFonts w:ascii="Times New Roman" w:hAnsi="Times New Roman"/>
          <w:sz w:val="24"/>
          <w:szCs w:val="24"/>
        </w:rPr>
        <w:t xml:space="preserve">14,3% в организациях физкультуры, отдыха и туризма. При этом самыми высокооплачиваемыми отраслями в данном </w:t>
      </w:r>
      <w:r w:rsidR="00D3205E">
        <w:rPr>
          <w:rFonts w:ascii="Times New Roman" w:hAnsi="Times New Roman"/>
          <w:sz w:val="24"/>
          <w:szCs w:val="24"/>
        </w:rPr>
        <w:t>сегменте</w:t>
      </w:r>
      <w:r w:rsidRPr="0064616A">
        <w:rPr>
          <w:rFonts w:ascii="Times New Roman" w:hAnsi="Times New Roman"/>
          <w:sz w:val="24"/>
          <w:szCs w:val="24"/>
        </w:rPr>
        <w:t xml:space="preserve"> оставались </w:t>
      </w:r>
      <w:proofErr w:type="spellStart"/>
      <w:r w:rsidRPr="0064616A">
        <w:rPr>
          <w:rFonts w:ascii="Times New Roman" w:hAnsi="Times New Roman"/>
          <w:sz w:val="24"/>
          <w:szCs w:val="24"/>
        </w:rPr>
        <w:t>электро</w:t>
      </w:r>
      <w:proofErr w:type="spellEnd"/>
      <w:r w:rsidRPr="0064616A">
        <w:rPr>
          <w:rFonts w:ascii="Times New Roman" w:hAnsi="Times New Roman"/>
          <w:sz w:val="24"/>
          <w:szCs w:val="24"/>
        </w:rPr>
        <w:t xml:space="preserve"> и радиосвязь </w:t>
      </w:r>
      <w:r w:rsidR="00D3205E">
        <w:rPr>
          <w:rFonts w:ascii="Times New Roman" w:hAnsi="Times New Roman"/>
          <w:sz w:val="24"/>
          <w:szCs w:val="24"/>
        </w:rPr>
        <w:br/>
      </w:r>
      <w:r w:rsidRPr="0064616A">
        <w:rPr>
          <w:rFonts w:ascii="Times New Roman" w:hAnsi="Times New Roman"/>
          <w:sz w:val="24"/>
          <w:szCs w:val="24"/>
        </w:rPr>
        <w:t xml:space="preserve">(9 645 руб.), банки и кредитование (6 736 руб.), физкультура, отдых и туризм (6 752 руб.), где превышение </w:t>
      </w:r>
      <w:proofErr w:type="spellStart"/>
      <w:r w:rsidRPr="0064616A">
        <w:rPr>
          <w:rFonts w:ascii="Times New Roman" w:hAnsi="Times New Roman"/>
          <w:sz w:val="24"/>
          <w:szCs w:val="24"/>
        </w:rPr>
        <w:t>среднереспубликанского</w:t>
      </w:r>
      <w:proofErr w:type="spellEnd"/>
      <w:r w:rsidRPr="0064616A">
        <w:rPr>
          <w:rFonts w:ascii="Times New Roman" w:hAnsi="Times New Roman"/>
          <w:sz w:val="24"/>
          <w:szCs w:val="24"/>
        </w:rPr>
        <w:t xml:space="preserve"> уровня заработной платы организаций хозрасчетного сектора варьировало от 98,9% до 39,3%.</w:t>
      </w:r>
    </w:p>
    <w:p w:rsidR="00864AD0" w:rsidRPr="00C84F2A" w:rsidRDefault="00864AD0" w:rsidP="00864AD0">
      <w:pPr>
        <w:spacing w:line="240" w:lineRule="auto"/>
        <w:contextualSpacing/>
        <w:jc w:val="right"/>
        <w:rPr>
          <w:rFonts w:ascii="Times New Roman" w:hAnsi="Times New Roman"/>
          <w:sz w:val="24"/>
          <w:szCs w:val="24"/>
        </w:rPr>
      </w:pPr>
      <w:r w:rsidRPr="00C84F2A">
        <w:rPr>
          <w:rFonts w:ascii="Times New Roman" w:hAnsi="Times New Roman"/>
          <w:noProof/>
          <w:sz w:val="24"/>
          <w:szCs w:val="24"/>
        </w:rPr>
        <w:lastRenderedPageBreak/>
        <w:drawing>
          <wp:inline distT="0" distB="0" distL="0" distR="0">
            <wp:extent cx="5943600" cy="4171950"/>
            <wp:effectExtent l="0" t="0" r="0" b="0"/>
            <wp:docPr id="7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64AD0" w:rsidRPr="00C84F2A" w:rsidRDefault="00864AD0" w:rsidP="00864AD0">
      <w:pPr>
        <w:widowControl w:val="0"/>
        <w:spacing w:after="0" w:line="240" w:lineRule="auto"/>
        <w:ind w:firstLine="709"/>
        <w:jc w:val="both"/>
        <w:rPr>
          <w:rFonts w:ascii="Times New Roman" w:hAnsi="Times New Roman"/>
          <w:sz w:val="24"/>
          <w:szCs w:val="24"/>
        </w:rPr>
      </w:pPr>
    </w:p>
    <w:p w:rsidR="00864AD0" w:rsidRPr="0064616A" w:rsidRDefault="00864AD0" w:rsidP="00864AD0">
      <w:pPr>
        <w:spacing w:after="0" w:line="240" w:lineRule="auto"/>
        <w:ind w:firstLine="540"/>
        <w:jc w:val="both"/>
        <w:rPr>
          <w:rFonts w:ascii="Times New Roman" w:hAnsi="Times New Roman"/>
          <w:sz w:val="24"/>
          <w:szCs w:val="24"/>
        </w:rPr>
      </w:pPr>
      <w:r>
        <w:rPr>
          <w:rFonts w:ascii="Times New Roman" w:hAnsi="Times New Roman"/>
          <w:sz w:val="24"/>
          <w:szCs w:val="24"/>
        </w:rPr>
        <w:t xml:space="preserve">Наращивание объемов производства в </w:t>
      </w:r>
      <w:r w:rsidRPr="0064616A">
        <w:rPr>
          <w:rFonts w:ascii="Times New Roman" w:hAnsi="Times New Roman"/>
          <w:sz w:val="24"/>
          <w:szCs w:val="24"/>
        </w:rPr>
        <w:t>большинств</w:t>
      </w:r>
      <w:r>
        <w:rPr>
          <w:rFonts w:ascii="Times New Roman" w:hAnsi="Times New Roman"/>
          <w:sz w:val="24"/>
          <w:szCs w:val="24"/>
        </w:rPr>
        <w:t>е</w:t>
      </w:r>
      <w:r w:rsidR="00D3205E">
        <w:rPr>
          <w:rFonts w:ascii="Times New Roman" w:hAnsi="Times New Roman"/>
          <w:sz w:val="24"/>
          <w:szCs w:val="24"/>
        </w:rPr>
        <w:t xml:space="preserve"> отраслей промышленности</w:t>
      </w:r>
      <w:r w:rsidRPr="0064616A">
        <w:rPr>
          <w:rFonts w:ascii="Times New Roman" w:hAnsi="Times New Roman"/>
          <w:sz w:val="24"/>
          <w:szCs w:val="24"/>
        </w:rPr>
        <w:t xml:space="preserve"> обусловил</w:t>
      </w:r>
      <w:r>
        <w:rPr>
          <w:rFonts w:ascii="Times New Roman" w:hAnsi="Times New Roman"/>
          <w:sz w:val="24"/>
          <w:szCs w:val="24"/>
        </w:rPr>
        <w:t>о</w:t>
      </w:r>
      <w:r w:rsidR="00387D3D">
        <w:rPr>
          <w:rFonts w:ascii="Times New Roman" w:hAnsi="Times New Roman"/>
          <w:sz w:val="24"/>
          <w:szCs w:val="24"/>
        </w:rPr>
        <w:t xml:space="preserve"> </w:t>
      </w:r>
      <w:r w:rsidRPr="0064616A">
        <w:rPr>
          <w:rFonts w:ascii="Times New Roman" w:hAnsi="Times New Roman"/>
          <w:sz w:val="24"/>
          <w:szCs w:val="24"/>
        </w:rPr>
        <w:t>увеличение</w:t>
      </w:r>
      <w:r w:rsidR="00387D3D">
        <w:rPr>
          <w:rFonts w:ascii="Times New Roman" w:hAnsi="Times New Roman"/>
          <w:sz w:val="24"/>
          <w:szCs w:val="24"/>
        </w:rPr>
        <w:t xml:space="preserve"> </w:t>
      </w:r>
      <w:r w:rsidRPr="0064616A">
        <w:rPr>
          <w:rFonts w:ascii="Times New Roman" w:hAnsi="Times New Roman"/>
          <w:sz w:val="24"/>
          <w:szCs w:val="24"/>
        </w:rPr>
        <w:t xml:space="preserve">среднемесячной номинальной заработной платы работников </w:t>
      </w:r>
      <w:r>
        <w:rPr>
          <w:rFonts w:ascii="Times New Roman" w:hAnsi="Times New Roman"/>
          <w:sz w:val="24"/>
          <w:szCs w:val="24"/>
        </w:rPr>
        <w:t>индустриального комплекса</w:t>
      </w:r>
      <w:r w:rsidRPr="0064616A">
        <w:rPr>
          <w:rFonts w:ascii="Times New Roman" w:hAnsi="Times New Roman"/>
          <w:sz w:val="24"/>
          <w:szCs w:val="24"/>
        </w:rPr>
        <w:t xml:space="preserve"> на 2,2</w:t>
      </w:r>
      <w:r>
        <w:rPr>
          <w:rFonts w:ascii="Times New Roman" w:hAnsi="Times New Roman"/>
          <w:sz w:val="24"/>
          <w:szCs w:val="24"/>
        </w:rPr>
        <w:t xml:space="preserve">% до </w:t>
      </w:r>
      <w:r w:rsidRPr="0064616A">
        <w:rPr>
          <w:rFonts w:ascii="Times New Roman" w:hAnsi="Times New Roman"/>
          <w:sz w:val="24"/>
          <w:szCs w:val="24"/>
        </w:rPr>
        <w:t>5 079 руб.</w:t>
      </w:r>
      <w:r>
        <w:rPr>
          <w:rFonts w:ascii="Times New Roman" w:hAnsi="Times New Roman"/>
          <w:sz w:val="24"/>
          <w:szCs w:val="24"/>
        </w:rPr>
        <w:t>,</w:t>
      </w:r>
      <w:r w:rsidRPr="0064616A">
        <w:rPr>
          <w:rFonts w:ascii="Times New Roman" w:hAnsi="Times New Roman"/>
          <w:sz w:val="24"/>
          <w:szCs w:val="24"/>
        </w:rPr>
        <w:t xml:space="preserve"> или 453 дол. США. Вместе с </w:t>
      </w:r>
      <w:r>
        <w:rPr>
          <w:rFonts w:ascii="Times New Roman" w:hAnsi="Times New Roman"/>
          <w:sz w:val="24"/>
          <w:szCs w:val="24"/>
        </w:rPr>
        <w:t>тем</w:t>
      </w:r>
      <w:r w:rsidRPr="0064616A">
        <w:rPr>
          <w:rFonts w:ascii="Times New Roman" w:hAnsi="Times New Roman"/>
          <w:sz w:val="24"/>
          <w:szCs w:val="24"/>
        </w:rPr>
        <w:t>, с учетом корректировки на индекс инфляции</w:t>
      </w:r>
      <w:r w:rsidR="00D3205E">
        <w:rPr>
          <w:rFonts w:ascii="Times New Roman" w:hAnsi="Times New Roman"/>
          <w:sz w:val="24"/>
          <w:szCs w:val="24"/>
        </w:rPr>
        <w:t>,</w:t>
      </w:r>
      <w:r w:rsidRPr="0064616A">
        <w:rPr>
          <w:rFonts w:ascii="Times New Roman" w:hAnsi="Times New Roman"/>
          <w:sz w:val="24"/>
          <w:szCs w:val="24"/>
        </w:rPr>
        <w:t xml:space="preserve"> реальная ее величина сократилась на 3,0%.</w:t>
      </w:r>
    </w:p>
    <w:p w:rsidR="00864AD0" w:rsidRPr="00554463" w:rsidRDefault="00864AD0" w:rsidP="00864AD0">
      <w:pPr>
        <w:widowControl w:val="0"/>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В разрезе </w:t>
      </w:r>
      <w:proofErr w:type="spellStart"/>
      <w:r w:rsidRPr="0064616A">
        <w:rPr>
          <w:rFonts w:ascii="Times New Roman" w:hAnsi="Times New Roman"/>
          <w:sz w:val="24"/>
          <w:szCs w:val="24"/>
        </w:rPr>
        <w:t>подотраслей</w:t>
      </w:r>
      <w:proofErr w:type="spellEnd"/>
      <w:r w:rsidRPr="0064616A">
        <w:rPr>
          <w:rFonts w:ascii="Times New Roman" w:hAnsi="Times New Roman"/>
          <w:sz w:val="24"/>
          <w:szCs w:val="24"/>
        </w:rPr>
        <w:t xml:space="preserve"> промышленности динамика среднемесячной номинальной заработной платы </w:t>
      </w:r>
      <w:r>
        <w:rPr>
          <w:rFonts w:ascii="Times New Roman" w:hAnsi="Times New Roman"/>
          <w:sz w:val="24"/>
          <w:szCs w:val="24"/>
        </w:rPr>
        <w:t xml:space="preserve">варьировала от </w:t>
      </w:r>
      <w:r w:rsidRPr="0064616A">
        <w:rPr>
          <w:rFonts w:ascii="Times New Roman" w:hAnsi="Times New Roman"/>
          <w:sz w:val="24"/>
          <w:szCs w:val="24"/>
        </w:rPr>
        <w:t xml:space="preserve">-9,0% в организациях полиграфии (суммарная  величина – 3 816 </w:t>
      </w:r>
      <w:r>
        <w:rPr>
          <w:rFonts w:ascii="Times New Roman" w:hAnsi="Times New Roman"/>
          <w:sz w:val="24"/>
          <w:szCs w:val="24"/>
        </w:rPr>
        <w:t>руб.) до +</w:t>
      </w:r>
      <w:r w:rsidRPr="0064616A">
        <w:rPr>
          <w:rFonts w:ascii="Times New Roman" w:hAnsi="Times New Roman"/>
          <w:sz w:val="24"/>
          <w:szCs w:val="24"/>
        </w:rPr>
        <w:t>9,4% в организациях черной металлургии (суммарная величина – 5 988 руб.).</w:t>
      </w:r>
    </w:p>
    <w:p w:rsidR="00864AD0" w:rsidRPr="00554463" w:rsidRDefault="00864AD0" w:rsidP="00864AD0">
      <w:pPr>
        <w:spacing w:line="240" w:lineRule="auto"/>
        <w:contextualSpacing/>
        <w:jc w:val="right"/>
        <w:rPr>
          <w:rFonts w:ascii="Times New Roman" w:hAnsi="Times New Roman"/>
          <w:sz w:val="18"/>
          <w:szCs w:val="18"/>
        </w:rPr>
      </w:pPr>
      <w:r w:rsidRPr="00554463">
        <w:rPr>
          <w:rFonts w:ascii="Times New Roman" w:hAnsi="Times New Roman"/>
          <w:noProof/>
          <w:sz w:val="24"/>
          <w:szCs w:val="24"/>
        </w:rPr>
        <w:drawing>
          <wp:inline distT="0" distB="0" distL="0" distR="0">
            <wp:extent cx="6143625" cy="2590800"/>
            <wp:effectExtent l="19050" t="0" r="0" b="0"/>
            <wp:docPr id="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A4AB2" w:rsidRDefault="009A4AB2" w:rsidP="00864AD0">
      <w:pPr>
        <w:widowControl w:val="0"/>
        <w:spacing w:after="0" w:line="240" w:lineRule="auto"/>
        <w:ind w:firstLine="709"/>
        <w:jc w:val="both"/>
        <w:rPr>
          <w:rFonts w:ascii="Times New Roman" w:hAnsi="Times New Roman"/>
          <w:sz w:val="24"/>
          <w:szCs w:val="24"/>
        </w:rPr>
      </w:pPr>
    </w:p>
    <w:p w:rsidR="00864AD0" w:rsidRPr="0064616A" w:rsidRDefault="00864AD0" w:rsidP="00864AD0">
      <w:pPr>
        <w:widowControl w:val="0"/>
        <w:spacing w:after="0" w:line="240" w:lineRule="auto"/>
        <w:ind w:firstLine="709"/>
        <w:jc w:val="both"/>
        <w:rPr>
          <w:rFonts w:ascii="Times New Roman" w:hAnsi="Times New Roman"/>
          <w:sz w:val="24"/>
          <w:szCs w:val="24"/>
        </w:rPr>
      </w:pPr>
      <w:r w:rsidRPr="0064616A">
        <w:rPr>
          <w:rFonts w:ascii="Times New Roman" w:hAnsi="Times New Roman"/>
          <w:sz w:val="24"/>
          <w:szCs w:val="24"/>
        </w:rPr>
        <w:t>Заработная плата у работников отрасли</w:t>
      </w:r>
      <w:r w:rsidRPr="0064616A">
        <w:rPr>
          <w:rFonts w:ascii="Times New Roman" w:hAnsi="Times New Roman"/>
          <w:b/>
          <w:sz w:val="24"/>
          <w:szCs w:val="24"/>
        </w:rPr>
        <w:t xml:space="preserve"> «Сельское хозяйство»</w:t>
      </w:r>
      <w:r w:rsidRPr="0064616A">
        <w:rPr>
          <w:rFonts w:ascii="Times New Roman" w:hAnsi="Times New Roman"/>
          <w:sz w:val="24"/>
          <w:szCs w:val="24"/>
        </w:rPr>
        <w:t xml:space="preserve"> в </w:t>
      </w:r>
      <w:r w:rsidRPr="0064616A">
        <w:rPr>
          <w:rFonts w:ascii="Times New Roman" w:hAnsi="Times New Roman"/>
          <w:sz w:val="24"/>
          <w:szCs w:val="24"/>
          <w:lang w:val="en-US"/>
        </w:rPr>
        <w:t>I</w:t>
      </w:r>
      <w:r w:rsidRPr="0064616A">
        <w:rPr>
          <w:rFonts w:ascii="Times New Roman" w:hAnsi="Times New Roman"/>
          <w:sz w:val="24"/>
          <w:szCs w:val="24"/>
        </w:rPr>
        <w:t xml:space="preserve"> полугодии </w:t>
      </w:r>
      <w:r w:rsidR="00387D3D">
        <w:rPr>
          <w:rFonts w:ascii="Times New Roman" w:hAnsi="Times New Roman"/>
          <w:sz w:val="24"/>
          <w:szCs w:val="24"/>
        </w:rPr>
        <w:t xml:space="preserve">               </w:t>
      </w:r>
      <w:r w:rsidRPr="0064616A">
        <w:rPr>
          <w:rFonts w:ascii="Times New Roman" w:hAnsi="Times New Roman"/>
          <w:sz w:val="24"/>
          <w:szCs w:val="24"/>
        </w:rPr>
        <w:t>2017 год</w:t>
      </w:r>
      <w:r>
        <w:rPr>
          <w:rFonts w:ascii="Times New Roman" w:hAnsi="Times New Roman"/>
          <w:sz w:val="24"/>
          <w:szCs w:val="24"/>
        </w:rPr>
        <w:t>а</w:t>
      </w:r>
      <w:r w:rsidRPr="0064616A">
        <w:rPr>
          <w:rFonts w:ascii="Times New Roman" w:hAnsi="Times New Roman"/>
          <w:sz w:val="24"/>
          <w:szCs w:val="24"/>
        </w:rPr>
        <w:t xml:space="preserve"> выросла на 9,2% </w:t>
      </w:r>
      <w:r>
        <w:rPr>
          <w:rFonts w:ascii="Times New Roman" w:hAnsi="Times New Roman"/>
          <w:sz w:val="24"/>
          <w:szCs w:val="24"/>
        </w:rPr>
        <w:t>до</w:t>
      </w:r>
      <w:r w:rsidRPr="0064616A">
        <w:rPr>
          <w:rFonts w:ascii="Times New Roman" w:hAnsi="Times New Roman"/>
          <w:sz w:val="24"/>
          <w:szCs w:val="24"/>
        </w:rPr>
        <w:t xml:space="preserve"> 3 131 руб. (270 долл. США), с учетом корректировки на индекс инфляции </w:t>
      </w:r>
      <w:r>
        <w:rPr>
          <w:rFonts w:ascii="Times New Roman" w:hAnsi="Times New Roman"/>
          <w:sz w:val="24"/>
          <w:szCs w:val="24"/>
        </w:rPr>
        <w:t>рост составил</w:t>
      </w:r>
      <w:r w:rsidRPr="0064616A">
        <w:rPr>
          <w:rFonts w:ascii="Times New Roman" w:hAnsi="Times New Roman"/>
          <w:sz w:val="24"/>
          <w:szCs w:val="24"/>
        </w:rPr>
        <w:t xml:space="preserve"> 3,6%, при этом номинальный ее размер сложился на 18,6% ниже </w:t>
      </w:r>
      <w:proofErr w:type="spellStart"/>
      <w:r w:rsidRPr="0064616A">
        <w:rPr>
          <w:rFonts w:ascii="Times New Roman" w:hAnsi="Times New Roman"/>
          <w:sz w:val="24"/>
          <w:szCs w:val="24"/>
        </w:rPr>
        <w:t>среднереспубликанского</w:t>
      </w:r>
      <w:proofErr w:type="spellEnd"/>
      <w:r w:rsidRPr="0064616A">
        <w:rPr>
          <w:rFonts w:ascii="Times New Roman" w:hAnsi="Times New Roman"/>
          <w:sz w:val="24"/>
          <w:szCs w:val="24"/>
        </w:rPr>
        <w:t xml:space="preserve"> уровня.</w:t>
      </w:r>
    </w:p>
    <w:p w:rsidR="00864AD0" w:rsidRPr="00C84F2A" w:rsidRDefault="00864AD0" w:rsidP="00864AD0">
      <w:pPr>
        <w:autoSpaceDE w:val="0"/>
        <w:autoSpaceDN w:val="0"/>
        <w:adjustRightInd w:val="0"/>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Оплата труда в бюджетной сфере по итогам января – июня 2017 года выросла на 0,8% и составила в среднем 2 716 руб. (234 долл.), </w:t>
      </w:r>
      <w:r w:rsidR="00D3205E">
        <w:rPr>
          <w:rFonts w:ascii="Times New Roman" w:hAnsi="Times New Roman"/>
          <w:sz w:val="24"/>
          <w:szCs w:val="24"/>
        </w:rPr>
        <w:t>что соответствует</w:t>
      </w:r>
      <w:r w:rsidRPr="0064616A">
        <w:rPr>
          <w:rFonts w:ascii="Times New Roman" w:hAnsi="Times New Roman"/>
          <w:sz w:val="24"/>
          <w:szCs w:val="24"/>
        </w:rPr>
        <w:t xml:space="preserve"> 70,6% от </w:t>
      </w:r>
      <w:proofErr w:type="spellStart"/>
      <w:r w:rsidRPr="0064616A">
        <w:rPr>
          <w:rFonts w:ascii="Times New Roman" w:hAnsi="Times New Roman"/>
          <w:sz w:val="24"/>
          <w:szCs w:val="24"/>
        </w:rPr>
        <w:lastRenderedPageBreak/>
        <w:t>среднереспубликанского</w:t>
      </w:r>
      <w:proofErr w:type="spellEnd"/>
      <w:r w:rsidRPr="0064616A">
        <w:rPr>
          <w:rFonts w:ascii="Times New Roman" w:hAnsi="Times New Roman"/>
          <w:sz w:val="24"/>
          <w:szCs w:val="24"/>
        </w:rPr>
        <w:t xml:space="preserve"> уровня</w:t>
      </w:r>
      <w:r>
        <w:rPr>
          <w:rFonts w:ascii="Times New Roman" w:hAnsi="Times New Roman"/>
          <w:sz w:val="24"/>
          <w:szCs w:val="24"/>
        </w:rPr>
        <w:t>. В тоже время в реальном выражении, с</w:t>
      </w:r>
      <w:r w:rsidRPr="0064616A">
        <w:rPr>
          <w:rFonts w:ascii="Times New Roman" w:hAnsi="Times New Roman"/>
          <w:sz w:val="24"/>
          <w:szCs w:val="24"/>
        </w:rPr>
        <w:t xml:space="preserve"> учетом корректировки на индекс инфляции</w:t>
      </w:r>
      <w:r>
        <w:rPr>
          <w:rFonts w:ascii="Times New Roman" w:hAnsi="Times New Roman"/>
          <w:sz w:val="24"/>
          <w:szCs w:val="24"/>
        </w:rPr>
        <w:t>,</w:t>
      </w:r>
      <w:r w:rsidR="004124AD">
        <w:rPr>
          <w:rFonts w:ascii="Times New Roman" w:hAnsi="Times New Roman"/>
          <w:sz w:val="24"/>
          <w:szCs w:val="24"/>
        </w:rPr>
        <w:t xml:space="preserve"> </w:t>
      </w:r>
      <w:r>
        <w:rPr>
          <w:rFonts w:ascii="Times New Roman" w:hAnsi="Times New Roman"/>
          <w:sz w:val="24"/>
          <w:szCs w:val="24"/>
        </w:rPr>
        <w:t>она</w:t>
      </w:r>
      <w:r w:rsidRPr="0064616A">
        <w:rPr>
          <w:rFonts w:ascii="Times New Roman" w:hAnsi="Times New Roman"/>
          <w:sz w:val="24"/>
          <w:szCs w:val="24"/>
        </w:rPr>
        <w:t xml:space="preserve"> сократилось на 4,4%.</w:t>
      </w:r>
    </w:p>
    <w:p w:rsidR="00864AD0" w:rsidRPr="00C84F2A" w:rsidRDefault="00864AD0" w:rsidP="00864AD0">
      <w:pPr>
        <w:spacing w:after="0" w:line="240" w:lineRule="auto"/>
        <w:jc w:val="both"/>
        <w:rPr>
          <w:rFonts w:ascii="Times New Roman" w:hAnsi="Times New Roman"/>
          <w:sz w:val="24"/>
          <w:szCs w:val="24"/>
        </w:rPr>
      </w:pPr>
      <w:r w:rsidRPr="00D560FC">
        <w:rPr>
          <w:rFonts w:ascii="Times New Roman" w:hAnsi="Times New Roman"/>
          <w:noProof/>
          <w:sz w:val="24"/>
          <w:szCs w:val="24"/>
        </w:rPr>
        <w:drawing>
          <wp:inline distT="0" distB="0" distL="0" distR="0">
            <wp:extent cx="5940425" cy="3829050"/>
            <wp:effectExtent l="0" t="0" r="3175"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64AD0" w:rsidRDefault="00864AD0" w:rsidP="00864AD0">
      <w:pPr>
        <w:spacing w:after="0" w:line="240" w:lineRule="auto"/>
        <w:ind w:firstLine="709"/>
        <w:jc w:val="both"/>
        <w:rPr>
          <w:rFonts w:ascii="Times New Roman" w:hAnsi="Times New Roman"/>
          <w:sz w:val="24"/>
          <w:szCs w:val="24"/>
        </w:rPr>
      </w:pPr>
    </w:p>
    <w:p w:rsidR="00864AD0" w:rsidRPr="0064616A" w:rsidRDefault="00864AD0" w:rsidP="00864AD0">
      <w:pPr>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Максимальная заработная плата из представленных отраслей сформировалась в организациях отрасли «Высшие учебные заведения» – 3 719 руб., в судебных органах власти – 3 374 руб. </w:t>
      </w:r>
    </w:p>
    <w:p w:rsidR="00864AD0" w:rsidRPr="0064616A" w:rsidRDefault="00864AD0" w:rsidP="00864AD0">
      <w:pPr>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Вместе с </w:t>
      </w:r>
      <w:r>
        <w:rPr>
          <w:rFonts w:ascii="Times New Roman" w:hAnsi="Times New Roman"/>
          <w:sz w:val="24"/>
          <w:szCs w:val="24"/>
        </w:rPr>
        <w:t>тем</w:t>
      </w:r>
      <w:r w:rsidRPr="0064616A">
        <w:rPr>
          <w:rFonts w:ascii="Times New Roman" w:hAnsi="Times New Roman"/>
          <w:sz w:val="24"/>
          <w:szCs w:val="24"/>
        </w:rPr>
        <w:t xml:space="preserve"> заработная плата в таких отраслях как: «Торговля и общепит», «Геология и метеорология», «Социальное обеспечение» </w:t>
      </w:r>
      <w:r w:rsidR="00D3205E">
        <w:rPr>
          <w:rFonts w:ascii="Times New Roman" w:hAnsi="Times New Roman"/>
          <w:sz w:val="24"/>
          <w:szCs w:val="24"/>
        </w:rPr>
        <w:t>находилась</w:t>
      </w:r>
      <w:r w:rsidRPr="0064616A">
        <w:rPr>
          <w:rFonts w:ascii="Times New Roman" w:hAnsi="Times New Roman"/>
          <w:sz w:val="24"/>
          <w:szCs w:val="24"/>
        </w:rPr>
        <w:t xml:space="preserve"> в пределах 45,1% – 55,2% от </w:t>
      </w:r>
      <w:proofErr w:type="spellStart"/>
      <w:r w:rsidRPr="0064616A">
        <w:rPr>
          <w:rFonts w:ascii="Times New Roman" w:hAnsi="Times New Roman"/>
          <w:sz w:val="24"/>
          <w:szCs w:val="24"/>
        </w:rPr>
        <w:t>среднереспубликанской</w:t>
      </w:r>
      <w:proofErr w:type="spellEnd"/>
      <w:r w:rsidRPr="0064616A">
        <w:rPr>
          <w:rFonts w:ascii="Times New Roman" w:hAnsi="Times New Roman"/>
          <w:sz w:val="24"/>
          <w:szCs w:val="24"/>
        </w:rPr>
        <w:t xml:space="preserve"> величины.</w:t>
      </w:r>
    </w:p>
    <w:p w:rsidR="00864AD0" w:rsidRPr="0064616A" w:rsidRDefault="00864AD0" w:rsidP="00864AD0">
      <w:pPr>
        <w:spacing w:after="0" w:line="240" w:lineRule="auto"/>
        <w:ind w:firstLine="708"/>
        <w:jc w:val="both"/>
        <w:rPr>
          <w:rFonts w:ascii="Times New Roman" w:hAnsi="Times New Roman"/>
          <w:sz w:val="24"/>
          <w:szCs w:val="24"/>
        </w:rPr>
      </w:pPr>
      <w:r w:rsidRPr="0064616A">
        <w:rPr>
          <w:rFonts w:ascii="Times New Roman" w:hAnsi="Times New Roman"/>
          <w:b/>
          <w:sz w:val="24"/>
          <w:szCs w:val="24"/>
        </w:rPr>
        <w:t>Суммарная задолженность</w:t>
      </w:r>
      <w:r w:rsidRPr="0064616A">
        <w:rPr>
          <w:rFonts w:ascii="Times New Roman" w:hAnsi="Times New Roman"/>
          <w:sz w:val="24"/>
          <w:szCs w:val="24"/>
        </w:rPr>
        <w:t xml:space="preserve"> по заработной плате в целом по республике на                      1 июля 2017 года по сравнению с </w:t>
      </w:r>
      <w:r>
        <w:rPr>
          <w:rFonts w:ascii="Times New Roman" w:hAnsi="Times New Roman"/>
          <w:sz w:val="24"/>
          <w:szCs w:val="24"/>
        </w:rPr>
        <w:t>показателем годичной давности</w:t>
      </w:r>
      <w:r w:rsidRPr="0064616A">
        <w:rPr>
          <w:rFonts w:ascii="Times New Roman" w:hAnsi="Times New Roman"/>
          <w:sz w:val="24"/>
          <w:szCs w:val="24"/>
        </w:rPr>
        <w:t xml:space="preserve"> сократилась на 18,9% и составила 31,9</w:t>
      </w:r>
      <w:r w:rsidRPr="0064616A">
        <w:rPr>
          <w:rFonts w:ascii="Times New Roman" w:hAnsi="Times New Roman"/>
          <w:bCs/>
          <w:sz w:val="24"/>
          <w:szCs w:val="24"/>
        </w:rPr>
        <w:t xml:space="preserve"> </w:t>
      </w:r>
      <w:proofErr w:type="spellStart"/>
      <w:r w:rsidRPr="0064616A">
        <w:rPr>
          <w:rFonts w:ascii="Times New Roman" w:hAnsi="Times New Roman"/>
          <w:bCs/>
          <w:sz w:val="24"/>
          <w:szCs w:val="24"/>
        </w:rPr>
        <w:t>млн</w:t>
      </w:r>
      <w:proofErr w:type="spellEnd"/>
      <w:r w:rsidRPr="0064616A">
        <w:rPr>
          <w:rFonts w:ascii="Times New Roman" w:hAnsi="Times New Roman"/>
          <w:sz w:val="24"/>
          <w:szCs w:val="24"/>
        </w:rPr>
        <w:t xml:space="preserve"> руб. Наибольший удельный вес в общей суммарной задолженности приходится на организации промышленности, строительства и сельского хозяйства (85,7% </w:t>
      </w:r>
      <w:r>
        <w:rPr>
          <w:rFonts w:ascii="Times New Roman" w:hAnsi="Times New Roman"/>
          <w:sz w:val="24"/>
          <w:szCs w:val="24"/>
        </w:rPr>
        <w:t>итогового показателя</w:t>
      </w:r>
      <w:r w:rsidRPr="0064616A">
        <w:rPr>
          <w:rFonts w:ascii="Times New Roman" w:hAnsi="Times New Roman"/>
          <w:sz w:val="24"/>
          <w:szCs w:val="24"/>
        </w:rPr>
        <w:t xml:space="preserve">). Вся сумма задолженности по оплате труда приходится на </w:t>
      </w:r>
      <w:r w:rsidRPr="0064616A">
        <w:rPr>
          <w:rFonts w:ascii="Times New Roman" w:hAnsi="Times New Roman"/>
          <w:b/>
          <w:sz w:val="24"/>
          <w:szCs w:val="24"/>
        </w:rPr>
        <w:t>внебюджетный сектор</w:t>
      </w:r>
      <w:r w:rsidRPr="0064616A">
        <w:rPr>
          <w:rFonts w:ascii="Times New Roman" w:hAnsi="Times New Roman"/>
          <w:sz w:val="24"/>
          <w:szCs w:val="24"/>
        </w:rPr>
        <w:t>.</w:t>
      </w:r>
    </w:p>
    <w:p w:rsidR="00864AD0" w:rsidRPr="0064616A" w:rsidRDefault="00864AD0" w:rsidP="00864AD0">
      <w:pPr>
        <w:spacing w:after="0" w:line="240" w:lineRule="auto"/>
        <w:ind w:firstLine="709"/>
        <w:jc w:val="both"/>
        <w:rPr>
          <w:rFonts w:ascii="Times New Roman" w:hAnsi="Times New Roman"/>
          <w:sz w:val="24"/>
          <w:szCs w:val="24"/>
        </w:rPr>
      </w:pPr>
      <w:r>
        <w:rPr>
          <w:rFonts w:ascii="Times New Roman" w:hAnsi="Times New Roman"/>
          <w:sz w:val="24"/>
          <w:szCs w:val="24"/>
        </w:rPr>
        <w:t xml:space="preserve">Еще одной важнейшей </w:t>
      </w:r>
      <w:r w:rsidRPr="0064616A">
        <w:rPr>
          <w:rFonts w:ascii="Times New Roman" w:hAnsi="Times New Roman"/>
          <w:sz w:val="24"/>
          <w:szCs w:val="24"/>
        </w:rPr>
        <w:t xml:space="preserve">составляющей доходов населения и индикатором, характеризующим уровень жизни населения, является </w:t>
      </w:r>
      <w:r w:rsidRPr="0064616A">
        <w:rPr>
          <w:rFonts w:ascii="Times New Roman" w:hAnsi="Times New Roman"/>
          <w:b/>
          <w:sz w:val="24"/>
          <w:szCs w:val="24"/>
        </w:rPr>
        <w:t>пенсия.</w:t>
      </w:r>
    </w:p>
    <w:p w:rsidR="00864AD0" w:rsidRPr="009B6BA6" w:rsidRDefault="00864AD0" w:rsidP="00864AD0">
      <w:pPr>
        <w:rPr>
          <w:rFonts w:ascii="Times New Roman" w:hAnsi="Times New Roman"/>
          <w:sz w:val="24"/>
          <w:szCs w:val="24"/>
          <w:highlight w:val="cyan"/>
        </w:rPr>
      </w:pPr>
      <w:r w:rsidRPr="009B6BA6">
        <w:rPr>
          <w:rFonts w:ascii="Times New Roman" w:hAnsi="Times New Roman"/>
          <w:noProof/>
          <w:sz w:val="24"/>
          <w:szCs w:val="24"/>
          <w:highlight w:val="cyan"/>
        </w:rPr>
        <w:drawing>
          <wp:inline distT="0" distB="0" distL="0" distR="0">
            <wp:extent cx="5931673" cy="2258170"/>
            <wp:effectExtent l="0" t="0" r="0" b="0"/>
            <wp:docPr id="7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64AD0" w:rsidRPr="0064616A" w:rsidRDefault="00864AD0" w:rsidP="00864AD0">
      <w:pPr>
        <w:spacing w:after="0" w:line="240" w:lineRule="auto"/>
        <w:ind w:firstLine="709"/>
        <w:jc w:val="both"/>
        <w:rPr>
          <w:rFonts w:ascii="Times New Roman" w:hAnsi="Times New Roman"/>
          <w:sz w:val="24"/>
          <w:szCs w:val="24"/>
        </w:rPr>
      </w:pPr>
      <w:r w:rsidRPr="0064616A">
        <w:rPr>
          <w:rFonts w:ascii="Times New Roman" w:eastAsiaTheme="minorHAnsi" w:hAnsi="Times New Roman" w:cstheme="minorBidi"/>
          <w:sz w:val="24"/>
          <w:szCs w:val="24"/>
          <w:lang w:eastAsia="en-US"/>
        </w:rPr>
        <w:t xml:space="preserve">На фоне выбытия пенсионеров и переоформления пенсий, число </w:t>
      </w:r>
      <w:r>
        <w:rPr>
          <w:rFonts w:ascii="Times New Roman" w:eastAsiaTheme="minorHAnsi" w:hAnsi="Times New Roman" w:cstheme="minorBidi"/>
          <w:sz w:val="24"/>
          <w:szCs w:val="24"/>
          <w:lang w:eastAsia="en-US"/>
        </w:rPr>
        <w:t xml:space="preserve">их </w:t>
      </w:r>
      <w:r w:rsidRPr="0064616A">
        <w:rPr>
          <w:rFonts w:ascii="Times New Roman" w:eastAsiaTheme="minorHAnsi" w:hAnsi="Times New Roman" w:cstheme="minorBidi"/>
          <w:sz w:val="24"/>
          <w:szCs w:val="24"/>
          <w:lang w:eastAsia="en-US"/>
        </w:rPr>
        <w:t>получателей за январь – июнь 2017 года сократилось на 1 687 чел.</w:t>
      </w:r>
      <w:r>
        <w:rPr>
          <w:rFonts w:ascii="Times New Roman" w:eastAsiaTheme="minorHAnsi" w:hAnsi="Times New Roman" w:cstheme="minorBidi"/>
          <w:sz w:val="24"/>
          <w:szCs w:val="24"/>
          <w:lang w:eastAsia="en-US"/>
        </w:rPr>
        <w:t>,</w:t>
      </w:r>
      <w:r w:rsidRPr="0064616A">
        <w:rPr>
          <w:rFonts w:ascii="Times New Roman" w:eastAsiaTheme="minorHAnsi" w:hAnsi="Times New Roman" w:cstheme="minorBidi"/>
          <w:sz w:val="24"/>
          <w:szCs w:val="24"/>
          <w:lang w:eastAsia="en-US"/>
        </w:rPr>
        <w:t xml:space="preserve"> или </w:t>
      </w:r>
      <w:r>
        <w:rPr>
          <w:rFonts w:ascii="Times New Roman" w:eastAsiaTheme="minorHAnsi" w:hAnsi="Times New Roman" w:cstheme="minorBidi"/>
          <w:sz w:val="24"/>
          <w:szCs w:val="24"/>
          <w:lang w:eastAsia="en-US"/>
        </w:rPr>
        <w:t xml:space="preserve">на </w:t>
      </w:r>
      <w:r w:rsidRPr="0064616A">
        <w:rPr>
          <w:rFonts w:ascii="Times New Roman" w:eastAsiaTheme="minorHAnsi" w:hAnsi="Times New Roman" w:cstheme="minorBidi"/>
          <w:sz w:val="24"/>
          <w:szCs w:val="24"/>
          <w:lang w:eastAsia="en-US"/>
        </w:rPr>
        <w:t>1,3</w:t>
      </w:r>
      <w:r>
        <w:rPr>
          <w:rFonts w:ascii="Times New Roman" w:eastAsiaTheme="minorHAnsi" w:hAnsi="Times New Roman" w:cstheme="minorBidi"/>
          <w:sz w:val="24"/>
          <w:szCs w:val="24"/>
          <w:lang w:eastAsia="en-US"/>
        </w:rPr>
        <w:t xml:space="preserve">%, </w:t>
      </w:r>
      <w:r w:rsidRPr="0064616A">
        <w:rPr>
          <w:rFonts w:ascii="Times New Roman" w:eastAsiaTheme="minorHAnsi" w:hAnsi="Times New Roman" w:cstheme="minorBidi"/>
          <w:sz w:val="24"/>
          <w:szCs w:val="24"/>
          <w:lang w:eastAsia="en-US"/>
        </w:rPr>
        <w:t>и составило 124,3 тыс. чел.</w:t>
      </w:r>
    </w:p>
    <w:p w:rsidR="00864AD0" w:rsidRPr="0064616A" w:rsidRDefault="00864AD0" w:rsidP="00864AD0">
      <w:pPr>
        <w:tabs>
          <w:tab w:val="left" w:pos="851"/>
        </w:tabs>
        <w:spacing w:after="0" w:line="240" w:lineRule="auto"/>
        <w:ind w:firstLine="567"/>
        <w:jc w:val="both"/>
        <w:rPr>
          <w:rFonts w:ascii="Times New Roman" w:hAnsi="Times New Roman"/>
          <w:sz w:val="24"/>
          <w:szCs w:val="24"/>
        </w:rPr>
      </w:pPr>
      <w:r w:rsidRPr="0064616A">
        <w:rPr>
          <w:rFonts w:ascii="Times New Roman" w:hAnsi="Times New Roman"/>
          <w:sz w:val="24"/>
          <w:szCs w:val="24"/>
        </w:rPr>
        <w:lastRenderedPageBreak/>
        <w:t xml:space="preserve">Поступления в доходную часть Единого государственного фонда социального страхования Приднестровской Молдавской Республики за </w:t>
      </w:r>
      <w:r w:rsidRPr="0064616A">
        <w:rPr>
          <w:rFonts w:ascii="Times New Roman" w:hAnsi="Times New Roman"/>
          <w:sz w:val="24"/>
          <w:szCs w:val="24"/>
          <w:lang w:val="en-US"/>
        </w:rPr>
        <w:t>I</w:t>
      </w:r>
      <w:r w:rsidRPr="0064616A">
        <w:rPr>
          <w:rFonts w:ascii="Times New Roman" w:hAnsi="Times New Roman"/>
          <w:sz w:val="24"/>
          <w:szCs w:val="24"/>
        </w:rPr>
        <w:t xml:space="preserve"> полугодие 2017 года (с учетом кредитов из прочих источников, поступления средств ежемесячной гуманитарной помощи Российской Федерации, а также беспроцентного займа на выплату задолженности по ежемесячной дополнительной помощи к пенсиям) </w:t>
      </w:r>
      <w:r w:rsidR="00D3205E">
        <w:rPr>
          <w:rFonts w:ascii="Times New Roman" w:hAnsi="Times New Roman"/>
          <w:sz w:val="24"/>
          <w:szCs w:val="24"/>
        </w:rPr>
        <w:t>достигли</w:t>
      </w:r>
      <w:r w:rsidRPr="0064616A">
        <w:rPr>
          <w:rFonts w:ascii="Times New Roman" w:hAnsi="Times New Roman"/>
          <w:sz w:val="24"/>
          <w:szCs w:val="24"/>
        </w:rPr>
        <w:t xml:space="preserve"> 1 527,7 млн. руб., что на 15,1% </w:t>
      </w:r>
      <w:r>
        <w:rPr>
          <w:rFonts w:ascii="Times New Roman" w:hAnsi="Times New Roman"/>
          <w:sz w:val="24"/>
          <w:szCs w:val="24"/>
        </w:rPr>
        <w:t>превышает уровень</w:t>
      </w:r>
      <w:r w:rsidRPr="0064616A">
        <w:rPr>
          <w:rFonts w:ascii="Times New Roman" w:hAnsi="Times New Roman"/>
          <w:sz w:val="24"/>
          <w:szCs w:val="24"/>
        </w:rPr>
        <w:t xml:space="preserve"> 2016 года, </w:t>
      </w:r>
      <w:r>
        <w:rPr>
          <w:rFonts w:ascii="Times New Roman" w:hAnsi="Times New Roman"/>
          <w:sz w:val="24"/>
          <w:szCs w:val="24"/>
        </w:rPr>
        <w:t>объем расходов вырос на 11,3% до</w:t>
      </w:r>
      <w:r w:rsidRPr="0064616A">
        <w:rPr>
          <w:rFonts w:ascii="Times New Roman" w:hAnsi="Times New Roman"/>
          <w:sz w:val="24"/>
          <w:szCs w:val="24"/>
        </w:rPr>
        <w:t xml:space="preserve"> 1 500,8</w:t>
      </w:r>
      <w:r>
        <w:rPr>
          <w:rFonts w:ascii="Times New Roman" w:hAnsi="Times New Roman"/>
          <w:sz w:val="24"/>
          <w:szCs w:val="24"/>
        </w:rPr>
        <w:t xml:space="preserve"> </w:t>
      </w:r>
      <w:proofErr w:type="spellStart"/>
      <w:r>
        <w:rPr>
          <w:rFonts w:ascii="Times New Roman" w:hAnsi="Times New Roman"/>
          <w:sz w:val="24"/>
          <w:szCs w:val="24"/>
        </w:rPr>
        <w:t>млн</w:t>
      </w:r>
      <w:proofErr w:type="spellEnd"/>
      <w:r>
        <w:rPr>
          <w:rFonts w:ascii="Times New Roman" w:hAnsi="Times New Roman"/>
          <w:sz w:val="24"/>
          <w:szCs w:val="24"/>
        </w:rPr>
        <w:t xml:space="preserve"> руб</w:t>
      </w:r>
      <w:r w:rsidRPr="0064616A">
        <w:rPr>
          <w:rFonts w:ascii="Times New Roman" w:hAnsi="Times New Roman"/>
          <w:sz w:val="24"/>
          <w:szCs w:val="24"/>
        </w:rPr>
        <w:t xml:space="preserve">. При этом, расходы для осуществления основных функций бюджета по пенсионному обеспечению составили 1 170,7 </w:t>
      </w:r>
      <w:proofErr w:type="spellStart"/>
      <w:r w:rsidRPr="0064616A">
        <w:rPr>
          <w:rFonts w:ascii="Times New Roman" w:hAnsi="Times New Roman"/>
          <w:sz w:val="24"/>
          <w:szCs w:val="24"/>
        </w:rPr>
        <w:t>млн</w:t>
      </w:r>
      <w:proofErr w:type="spellEnd"/>
      <w:r w:rsidRPr="0064616A">
        <w:rPr>
          <w:rFonts w:ascii="Times New Roman" w:hAnsi="Times New Roman"/>
          <w:sz w:val="24"/>
          <w:szCs w:val="24"/>
        </w:rPr>
        <w:t xml:space="preserve"> руб.</w:t>
      </w:r>
      <w:r>
        <w:rPr>
          <w:rFonts w:ascii="Times New Roman" w:hAnsi="Times New Roman"/>
          <w:sz w:val="24"/>
          <w:szCs w:val="24"/>
        </w:rPr>
        <w:t>,</w:t>
      </w:r>
      <w:r w:rsidRPr="0064616A">
        <w:rPr>
          <w:rFonts w:ascii="Times New Roman" w:hAnsi="Times New Roman"/>
          <w:sz w:val="24"/>
          <w:szCs w:val="24"/>
        </w:rPr>
        <w:t xml:space="preserve"> или 76,6% от общих доходов, данные расходы производились за счет следующих источников: </w:t>
      </w:r>
    </w:p>
    <w:p w:rsidR="00864AD0" w:rsidRPr="0064616A" w:rsidRDefault="00864AD0" w:rsidP="00864AD0">
      <w:pPr>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а) средства фонда – 952,3 </w:t>
      </w:r>
      <w:proofErr w:type="spellStart"/>
      <w:r w:rsidRPr="0064616A">
        <w:rPr>
          <w:rFonts w:ascii="Times New Roman" w:hAnsi="Times New Roman"/>
          <w:sz w:val="24"/>
          <w:szCs w:val="24"/>
        </w:rPr>
        <w:t>млн</w:t>
      </w:r>
      <w:proofErr w:type="spellEnd"/>
      <w:r w:rsidRPr="0064616A">
        <w:rPr>
          <w:rFonts w:ascii="Times New Roman" w:hAnsi="Times New Roman"/>
          <w:sz w:val="24"/>
          <w:szCs w:val="24"/>
        </w:rPr>
        <w:t xml:space="preserve"> руб. (81,3% от расходов по пенсионному обеспечению);</w:t>
      </w:r>
    </w:p>
    <w:p w:rsidR="00864AD0" w:rsidRPr="0064616A" w:rsidRDefault="00864AD0" w:rsidP="00864AD0">
      <w:pPr>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б) средства республиканского бюджета – 91,1 </w:t>
      </w:r>
      <w:proofErr w:type="spellStart"/>
      <w:proofErr w:type="gramStart"/>
      <w:r w:rsidRPr="0064616A">
        <w:rPr>
          <w:rFonts w:ascii="Times New Roman" w:hAnsi="Times New Roman"/>
          <w:sz w:val="24"/>
          <w:szCs w:val="24"/>
        </w:rPr>
        <w:t>млн</w:t>
      </w:r>
      <w:proofErr w:type="spellEnd"/>
      <w:proofErr w:type="gramEnd"/>
      <w:r w:rsidRPr="0064616A">
        <w:rPr>
          <w:rFonts w:ascii="Times New Roman" w:hAnsi="Times New Roman"/>
          <w:sz w:val="24"/>
          <w:szCs w:val="24"/>
        </w:rPr>
        <w:t xml:space="preserve"> руб. (7,8% от расход</w:t>
      </w:r>
      <w:r w:rsidR="005A6FFC">
        <w:rPr>
          <w:rFonts w:ascii="Times New Roman" w:hAnsi="Times New Roman"/>
          <w:sz w:val="24"/>
          <w:szCs w:val="24"/>
        </w:rPr>
        <w:t>ов по пенсионному обеспечению);</w:t>
      </w:r>
    </w:p>
    <w:p w:rsidR="00864AD0" w:rsidRPr="0064616A" w:rsidRDefault="00864AD0" w:rsidP="00864AD0">
      <w:pPr>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в) средства гуманитарной помощи Российской Федерации – 127,3 </w:t>
      </w:r>
      <w:proofErr w:type="spellStart"/>
      <w:proofErr w:type="gramStart"/>
      <w:r w:rsidRPr="0064616A">
        <w:rPr>
          <w:rFonts w:ascii="Times New Roman" w:hAnsi="Times New Roman"/>
          <w:sz w:val="24"/>
          <w:szCs w:val="24"/>
        </w:rPr>
        <w:t>млн</w:t>
      </w:r>
      <w:proofErr w:type="spellEnd"/>
      <w:proofErr w:type="gramEnd"/>
      <w:r w:rsidRPr="0064616A">
        <w:rPr>
          <w:rFonts w:ascii="Times New Roman" w:hAnsi="Times New Roman"/>
          <w:sz w:val="24"/>
          <w:szCs w:val="24"/>
        </w:rPr>
        <w:t xml:space="preserve"> руб., (10,9% от расходов по пенсионному обеспечению).</w:t>
      </w:r>
    </w:p>
    <w:p w:rsidR="00864AD0" w:rsidRPr="00BD1329" w:rsidRDefault="00864AD0" w:rsidP="00864AD0">
      <w:pPr>
        <w:spacing w:after="0" w:line="240" w:lineRule="auto"/>
        <w:ind w:firstLine="709"/>
        <w:jc w:val="both"/>
        <w:rPr>
          <w:rFonts w:ascii="Times New Roman" w:hAnsi="Times New Roman"/>
          <w:sz w:val="24"/>
          <w:szCs w:val="24"/>
        </w:rPr>
      </w:pPr>
      <w:r w:rsidRPr="00BD1329">
        <w:rPr>
          <w:rFonts w:ascii="Times New Roman" w:hAnsi="Times New Roman"/>
          <w:sz w:val="24"/>
          <w:szCs w:val="24"/>
        </w:rPr>
        <w:t xml:space="preserve">В январе 2017 года </w:t>
      </w:r>
      <w:r>
        <w:rPr>
          <w:rFonts w:ascii="Times New Roman" w:hAnsi="Times New Roman"/>
          <w:sz w:val="24"/>
          <w:szCs w:val="24"/>
        </w:rPr>
        <w:t xml:space="preserve">был </w:t>
      </w:r>
      <w:r w:rsidRPr="00BD1329">
        <w:rPr>
          <w:rFonts w:ascii="Times New Roman" w:hAnsi="Times New Roman"/>
          <w:sz w:val="24"/>
          <w:szCs w:val="24"/>
        </w:rPr>
        <w:t xml:space="preserve">осуществлен перерасчет среднего размера пенсии по возрасту при трудовом стаже и для исчисления надбавок и повышений. В результате средний размер назначенных пенсий уменьшился на 3,83 руб. ПМР (-0,3%) и по состоянию на конец июня составил 1 348,92 руб., превысив на 15,1% прожиточный минимум пенсионера. С учетом инфляции материальное </w:t>
      </w:r>
      <w:r>
        <w:rPr>
          <w:rFonts w:ascii="Times New Roman" w:hAnsi="Times New Roman"/>
          <w:sz w:val="24"/>
          <w:szCs w:val="24"/>
        </w:rPr>
        <w:t>обеспечение</w:t>
      </w:r>
      <w:r w:rsidRPr="00BD1329">
        <w:rPr>
          <w:rFonts w:ascii="Times New Roman" w:hAnsi="Times New Roman"/>
          <w:sz w:val="24"/>
          <w:szCs w:val="24"/>
        </w:rPr>
        <w:t xml:space="preserve"> пенсионеров сократилось на 5,6%. </w:t>
      </w:r>
    </w:p>
    <w:p w:rsidR="00864AD0" w:rsidRPr="0064616A" w:rsidRDefault="00864AD0" w:rsidP="00864AD0">
      <w:pPr>
        <w:spacing w:after="0" w:line="240" w:lineRule="auto"/>
        <w:ind w:firstLine="709"/>
        <w:jc w:val="both"/>
        <w:rPr>
          <w:rFonts w:ascii="Times New Roman" w:hAnsi="Times New Roman"/>
          <w:sz w:val="24"/>
          <w:szCs w:val="24"/>
        </w:rPr>
      </w:pPr>
      <w:r w:rsidRPr="0064616A">
        <w:rPr>
          <w:rFonts w:ascii="Times New Roman" w:hAnsi="Times New Roman"/>
          <w:sz w:val="24"/>
          <w:szCs w:val="24"/>
        </w:rPr>
        <w:t xml:space="preserve">В целях поддержания материального благосостояния </w:t>
      </w:r>
      <w:r>
        <w:rPr>
          <w:rFonts w:ascii="Times New Roman" w:hAnsi="Times New Roman"/>
          <w:sz w:val="24"/>
          <w:szCs w:val="24"/>
        </w:rPr>
        <w:t>наиболее уязвимых слоев населения</w:t>
      </w:r>
      <w:r w:rsidRPr="0064616A">
        <w:rPr>
          <w:rFonts w:ascii="Times New Roman" w:hAnsi="Times New Roman"/>
          <w:sz w:val="24"/>
          <w:szCs w:val="24"/>
        </w:rPr>
        <w:t xml:space="preserve"> дополнительно к пенсии производилась выплата ежемесячной гуманитарной помощи Российской Федерации в размере 150 руб.</w:t>
      </w:r>
    </w:p>
    <w:p w:rsidR="00864AD0" w:rsidRPr="009B6BA6" w:rsidRDefault="00864AD0" w:rsidP="00864AD0">
      <w:pPr>
        <w:spacing w:after="0" w:line="240" w:lineRule="auto"/>
        <w:ind w:firstLine="709"/>
        <w:jc w:val="both"/>
        <w:rPr>
          <w:rFonts w:ascii="Times New Roman" w:hAnsi="Times New Roman"/>
          <w:sz w:val="24"/>
          <w:szCs w:val="24"/>
          <w:highlight w:val="cyan"/>
        </w:rPr>
      </w:pPr>
      <w:proofErr w:type="gramStart"/>
      <w:r w:rsidRPr="0064616A">
        <w:rPr>
          <w:rFonts w:ascii="Times New Roman" w:hAnsi="Times New Roman"/>
          <w:b/>
          <w:sz w:val="24"/>
          <w:szCs w:val="24"/>
        </w:rPr>
        <w:t>Величина прожиточного минимума,</w:t>
      </w:r>
      <w:r w:rsidRPr="0064616A">
        <w:rPr>
          <w:rFonts w:ascii="Times New Roman" w:hAnsi="Times New Roman"/>
          <w:sz w:val="24"/>
          <w:szCs w:val="24"/>
        </w:rPr>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w:t>
      </w:r>
      <w:r w:rsidRPr="00BD1329">
        <w:rPr>
          <w:rFonts w:ascii="Times New Roman" w:hAnsi="Times New Roman"/>
          <w:sz w:val="24"/>
          <w:szCs w:val="24"/>
        </w:rPr>
        <w:t>дифференцированных по социально-демографическим группам</w:t>
      </w:r>
      <w:r>
        <w:rPr>
          <w:rFonts w:ascii="Times New Roman" w:hAnsi="Times New Roman"/>
          <w:sz w:val="24"/>
          <w:szCs w:val="24"/>
        </w:rPr>
        <w:t>,</w:t>
      </w:r>
      <w:r w:rsidRPr="00BD1329">
        <w:rPr>
          <w:rFonts w:ascii="Times New Roman" w:hAnsi="Times New Roman"/>
          <w:sz w:val="24"/>
          <w:szCs w:val="24"/>
        </w:rPr>
        <w:t xml:space="preserve"> в среднем на душу населения составила 1 327,7 руб. (рост на 3,7%), из котор</w:t>
      </w:r>
      <w:r>
        <w:rPr>
          <w:rFonts w:ascii="Times New Roman" w:hAnsi="Times New Roman"/>
          <w:sz w:val="24"/>
          <w:szCs w:val="24"/>
        </w:rPr>
        <w:t>ых</w:t>
      </w:r>
      <w:r w:rsidRPr="00BD1329">
        <w:rPr>
          <w:rFonts w:ascii="Times New Roman" w:hAnsi="Times New Roman"/>
          <w:sz w:val="24"/>
          <w:szCs w:val="24"/>
        </w:rPr>
        <w:t xml:space="preserve"> расходы на питание </w:t>
      </w:r>
      <w:r w:rsidR="00D3205E">
        <w:rPr>
          <w:rFonts w:ascii="Times New Roman" w:hAnsi="Times New Roman"/>
          <w:sz w:val="24"/>
          <w:szCs w:val="24"/>
        </w:rPr>
        <w:t>сложились в сумме</w:t>
      </w:r>
      <w:r w:rsidRPr="00BD1329">
        <w:rPr>
          <w:rFonts w:ascii="Times New Roman" w:hAnsi="Times New Roman"/>
          <w:sz w:val="24"/>
          <w:szCs w:val="24"/>
        </w:rPr>
        <w:t xml:space="preserve"> 601,0 руб. (+6,6%), затраты на непродовольственные товары – 281,0 руб. (+4,5%), на оплату услуг – 423,0 руб</w:t>
      </w:r>
      <w:proofErr w:type="gramEnd"/>
      <w:r w:rsidRPr="00BD1329">
        <w:rPr>
          <w:rFonts w:ascii="Times New Roman" w:hAnsi="Times New Roman"/>
          <w:sz w:val="24"/>
          <w:szCs w:val="24"/>
        </w:rPr>
        <w:t xml:space="preserve">. </w:t>
      </w:r>
      <w:r w:rsidR="005A6FFC">
        <w:rPr>
          <w:rFonts w:ascii="Times New Roman" w:hAnsi="Times New Roman"/>
          <w:sz w:val="24"/>
          <w:szCs w:val="24"/>
        </w:rPr>
        <w:t xml:space="preserve">         </w:t>
      </w:r>
      <w:r w:rsidRPr="00BD1329">
        <w:rPr>
          <w:rFonts w:ascii="Times New Roman" w:hAnsi="Times New Roman"/>
          <w:sz w:val="24"/>
          <w:szCs w:val="24"/>
        </w:rPr>
        <w:t>(-0,3%), а величина расходов по обязательным платежам и сборам – 23,0 руб. (-2,1%).</w:t>
      </w:r>
    </w:p>
    <w:p w:rsidR="00864AD0" w:rsidRPr="009B6BA6" w:rsidRDefault="00864AD0" w:rsidP="00864AD0">
      <w:pPr>
        <w:spacing w:after="0" w:line="240" w:lineRule="auto"/>
        <w:jc w:val="center"/>
        <w:rPr>
          <w:rFonts w:ascii="Times New Roman" w:hAnsi="Times New Roman"/>
          <w:b/>
          <w:sz w:val="24"/>
          <w:szCs w:val="24"/>
          <w:highlight w:val="cyan"/>
        </w:rPr>
      </w:pPr>
      <w:r w:rsidRPr="009B6BA6">
        <w:rPr>
          <w:rFonts w:ascii="Times New Roman" w:hAnsi="Times New Roman"/>
          <w:b/>
          <w:noProof/>
          <w:sz w:val="24"/>
          <w:szCs w:val="24"/>
          <w:highlight w:val="cyan"/>
        </w:rPr>
        <w:drawing>
          <wp:inline distT="0" distB="0" distL="0" distR="0">
            <wp:extent cx="5486400" cy="2162755"/>
            <wp:effectExtent l="0" t="0" r="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64AD0" w:rsidRPr="003424A9" w:rsidRDefault="00864AD0" w:rsidP="00864AD0">
      <w:pPr>
        <w:spacing w:after="0" w:line="240" w:lineRule="auto"/>
        <w:ind w:firstLine="709"/>
        <w:jc w:val="both"/>
        <w:rPr>
          <w:rFonts w:ascii="Times New Roman" w:hAnsi="Times New Roman"/>
          <w:sz w:val="24"/>
          <w:szCs w:val="24"/>
        </w:rPr>
      </w:pPr>
      <w:r w:rsidRPr="003424A9">
        <w:rPr>
          <w:rFonts w:ascii="Times New Roman" w:hAnsi="Times New Roman"/>
          <w:sz w:val="24"/>
          <w:szCs w:val="24"/>
        </w:rPr>
        <w:t>В разрезе социально-демографических групп населения величина прожиточного минимума в январе – июне 2017 года сложилась следующим образом:</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28"/>
        <w:gridCol w:w="1622"/>
        <w:gridCol w:w="1621"/>
        <w:gridCol w:w="2097"/>
      </w:tblGrid>
      <w:tr w:rsidR="00864AD0" w:rsidRPr="003424A9" w:rsidTr="003F227B">
        <w:trPr>
          <w:trHeight w:val="836"/>
        </w:trPr>
        <w:tc>
          <w:tcPr>
            <w:tcW w:w="4128" w:type="dxa"/>
            <w:vMerge w:val="restart"/>
            <w:vAlign w:val="center"/>
          </w:tcPr>
          <w:p w:rsidR="00864AD0" w:rsidRPr="003424A9" w:rsidRDefault="00864AD0" w:rsidP="00864AD0">
            <w:pPr>
              <w:spacing w:after="0"/>
              <w:ind w:left="34"/>
              <w:rPr>
                <w:rFonts w:ascii="Times New Roman" w:hAnsi="Times New Roman"/>
                <w:b/>
              </w:rPr>
            </w:pPr>
            <w:r w:rsidRPr="003424A9">
              <w:rPr>
                <w:rFonts w:ascii="Times New Roman" w:hAnsi="Times New Roman"/>
                <w:b/>
              </w:rPr>
              <w:t>Социально-демографическая группа</w:t>
            </w:r>
          </w:p>
        </w:tc>
        <w:tc>
          <w:tcPr>
            <w:tcW w:w="3243" w:type="dxa"/>
            <w:gridSpan w:val="2"/>
            <w:vAlign w:val="center"/>
          </w:tcPr>
          <w:p w:rsidR="00864AD0" w:rsidRPr="003424A9" w:rsidRDefault="00864AD0" w:rsidP="00864AD0">
            <w:pPr>
              <w:spacing w:after="0"/>
              <w:ind w:left="34"/>
              <w:jc w:val="center"/>
              <w:rPr>
                <w:rFonts w:ascii="Times New Roman" w:hAnsi="Times New Roman"/>
                <w:b/>
              </w:rPr>
            </w:pPr>
            <w:r w:rsidRPr="003424A9">
              <w:rPr>
                <w:rFonts w:ascii="Times New Roman" w:hAnsi="Times New Roman"/>
                <w:b/>
              </w:rPr>
              <w:t xml:space="preserve">Величина ПМ </w:t>
            </w:r>
          </w:p>
          <w:p w:rsidR="00864AD0" w:rsidRPr="003424A9" w:rsidRDefault="00864AD0" w:rsidP="00864AD0">
            <w:pPr>
              <w:spacing w:after="0"/>
              <w:ind w:left="34"/>
              <w:jc w:val="center"/>
              <w:rPr>
                <w:rFonts w:ascii="Times New Roman" w:hAnsi="Times New Roman"/>
                <w:b/>
              </w:rPr>
            </w:pPr>
            <w:r w:rsidRPr="003424A9">
              <w:rPr>
                <w:rFonts w:ascii="Times New Roman" w:hAnsi="Times New Roman"/>
                <w:b/>
              </w:rPr>
              <w:t xml:space="preserve">за I полугодие, </w:t>
            </w:r>
          </w:p>
          <w:p w:rsidR="00864AD0" w:rsidRPr="003424A9" w:rsidRDefault="00864AD0" w:rsidP="00864AD0">
            <w:pPr>
              <w:spacing w:after="0"/>
              <w:ind w:firstLine="34"/>
              <w:jc w:val="center"/>
              <w:rPr>
                <w:rFonts w:ascii="Times New Roman" w:hAnsi="Times New Roman"/>
                <w:b/>
              </w:rPr>
            </w:pPr>
            <w:r w:rsidRPr="003424A9">
              <w:rPr>
                <w:rFonts w:ascii="Times New Roman" w:hAnsi="Times New Roman"/>
                <w:b/>
              </w:rPr>
              <w:t>руб.</w:t>
            </w:r>
          </w:p>
        </w:tc>
        <w:tc>
          <w:tcPr>
            <w:tcW w:w="2097" w:type="dxa"/>
            <w:vMerge w:val="restart"/>
            <w:vAlign w:val="center"/>
          </w:tcPr>
          <w:p w:rsidR="00864AD0" w:rsidRPr="003424A9" w:rsidRDefault="00864AD0" w:rsidP="00864AD0">
            <w:pPr>
              <w:spacing w:after="0"/>
              <w:ind w:firstLine="34"/>
              <w:jc w:val="center"/>
              <w:rPr>
                <w:rFonts w:ascii="Times New Roman" w:hAnsi="Times New Roman"/>
                <w:b/>
              </w:rPr>
            </w:pPr>
            <w:r w:rsidRPr="003424A9">
              <w:rPr>
                <w:rFonts w:ascii="Times New Roman" w:hAnsi="Times New Roman"/>
                <w:b/>
              </w:rPr>
              <w:t xml:space="preserve">Темп роста </w:t>
            </w:r>
          </w:p>
          <w:p w:rsidR="00864AD0" w:rsidRPr="003424A9" w:rsidRDefault="00864AD0" w:rsidP="00864AD0">
            <w:pPr>
              <w:spacing w:after="0"/>
              <w:ind w:left="34"/>
              <w:jc w:val="center"/>
              <w:rPr>
                <w:rFonts w:ascii="Times New Roman" w:hAnsi="Times New Roman"/>
                <w:b/>
              </w:rPr>
            </w:pPr>
            <w:r w:rsidRPr="003424A9">
              <w:rPr>
                <w:rFonts w:ascii="Times New Roman" w:hAnsi="Times New Roman"/>
                <w:b/>
              </w:rPr>
              <w:t>2017 г. к 2016 г., %</w:t>
            </w:r>
          </w:p>
        </w:tc>
      </w:tr>
      <w:tr w:rsidR="00864AD0" w:rsidRPr="003424A9" w:rsidTr="003F227B">
        <w:trPr>
          <w:trHeight w:val="161"/>
        </w:trPr>
        <w:tc>
          <w:tcPr>
            <w:tcW w:w="4128" w:type="dxa"/>
            <w:vMerge/>
            <w:vAlign w:val="center"/>
          </w:tcPr>
          <w:p w:rsidR="00864AD0" w:rsidRPr="003424A9" w:rsidRDefault="00864AD0" w:rsidP="00864AD0">
            <w:pPr>
              <w:spacing w:after="0"/>
              <w:ind w:left="34"/>
              <w:rPr>
                <w:rFonts w:ascii="Times New Roman" w:hAnsi="Times New Roman"/>
              </w:rPr>
            </w:pPr>
          </w:p>
        </w:tc>
        <w:tc>
          <w:tcPr>
            <w:tcW w:w="1622" w:type="dxa"/>
            <w:vAlign w:val="center"/>
          </w:tcPr>
          <w:p w:rsidR="00864AD0" w:rsidRPr="003424A9" w:rsidRDefault="00864AD0" w:rsidP="00864AD0">
            <w:pPr>
              <w:spacing w:after="0"/>
              <w:ind w:left="-76" w:right="-96"/>
              <w:jc w:val="center"/>
              <w:rPr>
                <w:rFonts w:ascii="Times New Roman" w:hAnsi="Times New Roman"/>
                <w:b/>
              </w:rPr>
            </w:pPr>
            <w:r w:rsidRPr="003424A9">
              <w:rPr>
                <w:rFonts w:ascii="Times New Roman" w:hAnsi="Times New Roman"/>
                <w:b/>
              </w:rPr>
              <w:t>2016 год</w:t>
            </w:r>
          </w:p>
        </w:tc>
        <w:tc>
          <w:tcPr>
            <w:tcW w:w="1621" w:type="dxa"/>
            <w:vAlign w:val="center"/>
          </w:tcPr>
          <w:p w:rsidR="00864AD0" w:rsidRPr="003424A9" w:rsidRDefault="00864AD0" w:rsidP="00864AD0">
            <w:pPr>
              <w:spacing w:after="0"/>
              <w:ind w:left="34"/>
              <w:jc w:val="center"/>
              <w:rPr>
                <w:rFonts w:ascii="Times New Roman" w:hAnsi="Times New Roman"/>
                <w:b/>
              </w:rPr>
            </w:pPr>
            <w:r w:rsidRPr="003424A9">
              <w:rPr>
                <w:rFonts w:ascii="Times New Roman" w:hAnsi="Times New Roman"/>
                <w:b/>
              </w:rPr>
              <w:t>2017 год</w:t>
            </w:r>
          </w:p>
        </w:tc>
        <w:tc>
          <w:tcPr>
            <w:tcW w:w="2097" w:type="dxa"/>
            <w:vMerge/>
            <w:vAlign w:val="center"/>
          </w:tcPr>
          <w:p w:rsidR="00864AD0" w:rsidRPr="003424A9" w:rsidRDefault="00864AD0" w:rsidP="00864AD0">
            <w:pPr>
              <w:spacing w:after="0"/>
              <w:ind w:firstLine="34"/>
              <w:jc w:val="center"/>
              <w:rPr>
                <w:rFonts w:ascii="Times New Roman" w:hAnsi="Times New Roman"/>
              </w:rPr>
            </w:pPr>
          </w:p>
        </w:tc>
      </w:tr>
      <w:tr w:rsidR="00864AD0" w:rsidRPr="003424A9" w:rsidTr="003F227B">
        <w:trPr>
          <w:trHeight w:val="275"/>
        </w:trPr>
        <w:tc>
          <w:tcPr>
            <w:tcW w:w="4128" w:type="dxa"/>
          </w:tcPr>
          <w:p w:rsidR="00864AD0" w:rsidRPr="003424A9" w:rsidRDefault="00864AD0" w:rsidP="00864AD0">
            <w:pPr>
              <w:spacing w:after="0"/>
              <w:ind w:left="34"/>
              <w:rPr>
                <w:rFonts w:ascii="Times New Roman" w:hAnsi="Times New Roman"/>
              </w:rPr>
            </w:pPr>
            <w:r w:rsidRPr="003424A9">
              <w:rPr>
                <w:rFonts w:ascii="Times New Roman" w:hAnsi="Times New Roman"/>
              </w:rPr>
              <w:t>Мужчины трудоспособного возраста</w:t>
            </w:r>
          </w:p>
        </w:tc>
        <w:tc>
          <w:tcPr>
            <w:tcW w:w="1622"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1 399,0</w:t>
            </w:r>
          </w:p>
        </w:tc>
        <w:tc>
          <w:tcPr>
            <w:tcW w:w="1621"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1 459,8</w:t>
            </w:r>
          </w:p>
        </w:tc>
        <w:tc>
          <w:tcPr>
            <w:tcW w:w="2097"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104,3</w:t>
            </w:r>
          </w:p>
        </w:tc>
      </w:tr>
      <w:tr w:rsidR="00864AD0" w:rsidRPr="003424A9" w:rsidTr="003F227B">
        <w:trPr>
          <w:trHeight w:val="289"/>
        </w:trPr>
        <w:tc>
          <w:tcPr>
            <w:tcW w:w="4128" w:type="dxa"/>
          </w:tcPr>
          <w:p w:rsidR="00864AD0" w:rsidRPr="003424A9" w:rsidRDefault="00864AD0" w:rsidP="00864AD0">
            <w:pPr>
              <w:spacing w:after="0"/>
              <w:ind w:left="34"/>
              <w:rPr>
                <w:rFonts w:ascii="Times New Roman" w:hAnsi="Times New Roman"/>
              </w:rPr>
            </w:pPr>
            <w:r w:rsidRPr="003424A9">
              <w:rPr>
                <w:rFonts w:ascii="Times New Roman" w:hAnsi="Times New Roman"/>
              </w:rPr>
              <w:t>Женщины трудоспособного возраста</w:t>
            </w:r>
          </w:p>
        </w:tc>
        <w:tc>
          <w:tcPr>
            <w:tcW w:w="1622"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1 328,0</w:t>
            </w:r>
          </w:p>
        </w:tc>
        <w:tc>
          <w:tcPr>
            <w:tcW w:w="1621"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 xml:space="preserve">1 378,3 </w:t>
            </w:r>
          </w:p>
        </w:tc>
        <w:tc>
          <w:tcPr>
            <w:tcW w:w="2097"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103,8</w:t>
            </w:r>
          </w:p>
        </w:tc>
      </w:tr>
      <w:tr w:rsidR="00864AD0" w:rsidRPr="003424A9" w:rsidTr="003F227B">
        <w:trPr>
          <w:trHeight w:val="275"/>
        </w:trPr>
        <w:tc>
          <w:tcPr>
            <w:tcW w:w="4128" w:type="dxa"/>
          </w:tcPr>
          <w:p w:rsidR="00864AD0" w:rsidRPr="003424A9" w:rsidRDefault="00864AD0" w:rsidP="00864AD0">
            <w:pPr>
              <w:spacing w:after="0"/>
              <w:ind w:left="34"/>
              <w:rPr>
                <w:rFonts w:ascii="Times New Roman" w:hAnsi="Times New Roman"/>
              </w:rPr>
            </w:pPr>
            <w:r w:rsidRPr="003424A9">
              <w:rPr>
                <w:rFonts w:ascii="Times New Roman" w:hAnsi="Times New Roman"/>
              </w:rPr>
              <w:t>Пенсионеры</w:t>
            </w:r>
          </w:p>
        </w:tc>
        <w:tc>
          <w:tcPr>
            <w:tcW w:w="1622"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1 078,4</w:t>
            </w:r>
          </w:p>
        </w:tc>
        <w:tc>
          <w:tcPr>
            <w:tcW w:w="1621"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1 120,3</w:t>
            </w:r>
          </w:p>
        </w:tc>
        <w:tc>
          <w:tcPr>
            <w:tcW w:w="2097"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103,9</w:t>
            </w:r>
          </w:p>
        </w:tc>
      </w:tr>
      <w:tr w:rsidR="00864AD0" w:rsidRPr="003424A9" w:rsidTr="003F227B">
        <w:trPr>
          <w:trHeight w:val="289"/>
        </w:trPr>
        <w:tc>
          <w:tcPr>
            <w:tcW w:w="4128" w:type="dxa"/>
          </w:tcPr>
          <w:p w:rsidR="00864AD0" w:rsidRPr="003424A9" w:rsidRDefault="00864AD0" w:rsidP="00864AD0">
            <w:pPr>
              <w:spacing w:after="0"/>
              <w:ind w:left="34"/>
              <w:rPr>
                <w:rFonts w:ascii="Times New Roman" w:hAnsi="Times New Roman"/>
              </w:rPr>
            </w:pPr>
            <w:r w:rsidRPr="003424A9">
              <w:rPr>
                <w:rFonts w:ascii="Times New Roman" w:hAnsi="Times New Roman"/>
              </w:rPr>
              <w:t>Дети от 0 до 6 лет</w:t>
            </w:r>
          </w:p>
        </w:tc>
        <w:tc>
          <w:tcPr>
            <w:tcW w:w="1622"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1 172,6</w:t>
            </w:r>
          </w:p>
        </w:tc>
        <w:tc>
          <w:tcPr>
            <w:tcW w:w="1621"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1 228,3</w:t>
            </w:r>
          </w:p>
        </w:tc>
        <w:tc>
          <w:tcPr>
            <w:tcW w:w="2097"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104,8</w:t>
            </w:r>
          </w:p>
        </w:tc>
      </w:tr>
      <w:tr w:rsidR="00864AD0" w:rsidRPr="003424A9" w:rsidTr="003F227B">
        <w:trPr>
          <w:trHeight w:val="289"/>
        </w:trPr>
        <w:tc>
          <w:tcPr>
            <w:tcW w:w="4128" w:type="dxa"/>
          </w:tcPr>
          <w:p w:rsidR="00864AD0" w:rsidRPr="003424A9" w:rsidRDefault="00864AD0" w:rsidP="00864AD0">
            <w:pPr>
              <w:spacing w:after="0"/>
              <w:ind w:left="34"/>
              <w:rPr>
                <w:rFonts w:ascii="Times New Roman" w:hAnsi="Times New Roman"/>
              </w:rPr>
            </w:pPr>
            <w:r w:rsidRPr="003424A9">
              <w:rPr>
                <w:rFonts w:ascii="Times New Roman" w:hAnsi="Times New Roman"/>
              </w:rPr>
              <w:t>Дети от 7 до 15 лет</w:t>
            </w:r>
          </w:p>
        </w:tc>
        <w:tc>
          <w:tcPr>
            <w:tcW w:w="1622"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1 410,0</w:t>
            </w:r>
          </w:p>
        </w:tc>
        <w:tc>
          <w:tcPr>
            <w:tcW w:w="1621"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1 480,7</w:t>
            </w:r>
          </w:p>
        </w:tc>
        <w:tc>
          <w:tcPr>
            <w:tcW w:w="2097" w:type="dxa"/>
            <w:vAlign w:val="center"/>
          </w:tcPr>
          <w:p w:rsidR="00864AD0" w:rsidRPr="003424A9" w:rsidRDefault="00864AD0" w:rsidP="00864AD0">
            <w:pPr>
              <w:spacing w:after="0"/>
              <w:ind w:firstLine="34"/>
              <w:jc w:val="center"/>
              <w:rPr>
                <w:rFonts w:ascii="Times New Roman" w:hAnsi="Times New Roman"/>
              </w:rPr>
            </w:pPr>
            <w:r w:rsidRPr="003424A9">
              <w:rPr>
                <w:rFonts w:ascii="Times New Roman" w:hAnsi="Times New Roman"/>
              </w:rPr>
              <w:t>105,0</w:t>
            </w:r>
          </w:p>
        </w:tc>
      </w:tr>
    </w:tbl>
    <w:p w:rsidR="00864AD0" w:rsidRPr="003424A9" w:rsidRDefault="00864AD0" w:rsidP="00864AD0">
      <w:pPr>
        <w:spacing w:after="0" w:line="240" w:lineRule="auto"/>
        <w:ind w:firstLine="709"/>
        <w:jc w:val="both"/>
        <w:rPr>
          <w:rFonts w:ascii="Times New Roman" w:hAnsi="Times New Roman"/>
          <w:sz w:val="24"/>
          <w:szCs w:val="24"/>
        </w:rPr>
      </w:pPr>
    </w:p>
    <w:p w:rsidR="00864AD0" w:rsidRPr="009F2F0B" w:rsidRDefault="00864AD0" w:rsidP="00864AD0">
      <w:pPr>
        <w:spacing w:after="0" w:line="240" w:lineRule="auto"/>
        <w:ind w:firstLine="709"/>
        <w:contextualSpacing/>
        <w:jc w:val="both"/>
        <w:rPr>
          <w:rFonts w:ascii="Times New Roman" w:hAnsi="Times New Roman"/>
          <w:sz w:val="24"/>
          <w:szCs w:val="24"/>
        </w:rPr>
      </w:pPr>
      <w:r w:rsidRPr="003424A9">
        <w:rPr>
          <w:rFonts w:ascii="Times New Roman" w:hAnsi="Times New Roman"/>
          <w:sz w:val="24"/>
          <w:szCs w:val="24"/>
        </w:rPr>
        <w:lastRenderedPageBreak/>
        <w:t>В помесячной динамике в течение 201</w:t>
      </w:r>
      <w:r>
        <w:rPr>
          <w:rFonts w:ascii="Times New Roman" w:hAnsi="Times New Roman"/>
          <w:sz w:val="24"/>
          <w:szCs w:val="24"/>
        </w:rPr>
        <w:t>7</w:t>
      </w:r>
      <w:r w:rsidRPr="003424A9">
        <w:rPr>
          <w:rFonts w:ascii="Times New Roman" w:hAnsi="Times New Roman"/>
          <w:sz w:val="24"/>
          <w:szCs w:val="24"/>
        </w:rPr>
        <w:t xml:space="preserve"> года наблюдался прирост величины прожиточного минимума по отношению к </w:t>
      </w:r>
      <w:r>
        <w:rPr>
          <w:rFonts w:ascii="Times New Roman" w:hAnsi="Times New Roman"/>
          <w:sz w:val="24"/>
          <w:szCs w:val="24"/>
        </w:rPr>
        <w:t xml:space="preserve">уровню </w:t>
      </w:r>
      <w:r w:rsidRPr="003424A9">
        <w:rPr>
          <w:rFonts w:ascii="Times New Roman" w:hAnsi="Times New Roman"/>
          <w:sz w:val="24"/>
          <w:szCs w:val="24"/>
        </w:rPr>
        <w:t>предыдуще</w:t>
      </w:r>
      <w:r>
        <w:rPr>
          <w:rFonts w:ascii="Times New Roman" w:hAnsi="Times New Roman"/>
          <w:sz w:val="24"/>
          <w:szCs w:val="24"/>
        </w:rPr>
        <w:t>го</w:t>
      </w:r>
      <w:r w:rsidRPr="003424A9">
        <w:rPr>
          <w:rFonts w:ascii="Times New Roman" w:hAnsi="Times New Roman"/>
          <w:sz w:val="24"/>
          <w:szCs w:val="24"/>
        </w:rPr>
        <w:t xml:space="preserve"> месяц</w:t>
      </w:r>
      <w:r>
        <w:rPr>
          <w:rFonts w:ascii="Times New Roman" w:hAnsi="Times New Roman"/>
          <w:sz w:val="24"/>
          <w:szCs w:val="24"/>
        </w:rPr>
        <w:t>а</w:t>
      </w:r>
      <w:r w:rsidRPr="003424A9">
        <w:rPr>
          <w:rFonts w:ascii="Times New Roman" w:hAnsi="Times New Roman"/>
          <w:sz w:val="24"/>
          <w:szCs w:val="24"/>
        </w:rPr>
        <w:t xml:space="preserve"> (на 0,4 – 4,3%%), за исключением февраля и марта</w:t>
      </w:r>
      <w:r w:rsidRPr="009D26DF">
        <w:rPr>
          <w:rFonts w:ascii="Times New Roman" w:hAnsi="Times New Roman"/>
          <w:sz w:val="24"/>
          <w:szCs w:val="24"/>
        </w:rPr>
        <w:t>. В связи с тем, что затраты на продукты питания занимают в структуре потребительской корзины наибольший удельный вес, динамика цен на продовольственные товары оказыва</w:t>
      </w:r>
      <w:r>
        <w:rPr>
          <w:rFonts w:ascii="Times New Roman" w:hAnsi="Times New Roman"/>
          <w:sz w:val="24"/>
          <w:szCs w:val="24"/>
        </w:rPr>
        <w:t>ла</w:t>
      </w:r>
      <w:r w:rsidR="005A6FFC">
        <w:rPr>
          <w:rFonts w:ascii="Times New Roman" w:hAnsi="Times New Roman"/>
          <w:sz w:val="24"/>
          <w:szCs w:val="24"/>
        </w:rPr>
        <w:t xml:space="preserve"> </w:t>
      </w:r>
      <w:r>
        <w:rPr>
          <w:rFonts w:ascii="Times New Roman" w:hAnsi="Times New Roman"/>
          <w:sz w:val="24"/>
          <w:szCs w:val="24"/>
        </w:rPr>
        <w:t>основное</w:t>
      </w:r>
      <w:r w:rsidRPr="009D26DF">
        <w:rPr>
          <w:rFonts w:ascii="Times New Roman" w:hAnsi="Times New Roman"/>
          <w:sz w:val="24"/>
          <w:szCs w:val="24"/>
        </w:rPr>
        <w:t xml:space="preserve"> влияние на колебания </w:t>
      </w:r>
      <w:r w:rsidR="005A6FFC">
        <w:rPr>
          <w:rFonts w:ascii="Times New Roman" w:hAnsi="Times New Roman"/>
          <w:sz w:val="24"/>
          <w:szCs w:val="24"/>
        </w:rPr>
        <w:t>величины прожиточного минимума.</w:t>
      </w:r>
    </w:p>
    <w:p w:rsidR="00C84F2A" w:rsidRDefault="00C84F2A" w:rsidP="00C84F2A">
      <w:pPr>
        <w:spacing w:after="0" w:line="240" w:lineRule="auto"/>
        <w:jc w:val="both"/>
        <w:rPr>
          <w:rFonts w:ascii="Times New Roman" w:hAnsi="Times New Roman"/>
          <w:sz w:val="24"/>
          <w:szCs w:val="24"/>
        </w:rPr>
      </w:pPr>
    </w:p>
    <w:p w:rsidR="00335844" w:rsidRPr="0080737A" w:rsidRDefault="00335844" w:rsidP="00335844">
      <w:pPr>
        <w:spacing w:after="0" w:line="240" w:lineRule="auto"/>
        <w:ind w:firstLine="720"/>
        <w:jc w:val="both"/>
        <w:rPr>
          <w:rFonts w:ascii="Times New Roman" w:hAnsi="Times New Roman"/>
          <w:b/>
          <w:sz w:val="24"/>
          <w:szCs w:val="24"/>
        </w:rPr>
      </w:pPr>
      <w:r w:rsidRPr="0080737A">
        <w:rPr>
          <w:rFonts w:ascii="Times New Roman" w:hAnsi="Times New Roman"/>
          <w:b/>
          <w:sz w:val="24"/>
          <w:szCs w:val="24"/>
        </w:rPr>
        <w:t>Рынок труда и сфера занятости</w:t>
      </w:r>
    </w:p>
    <w:p w:rsidR="00335844" w:rsidRPr="0080737A" w:rsidRDefault="00335844" w:rsidP="00652529">
      <w:pPr>
        <w:spacing w:after="0" w:line="240" w:lineRule="auto"/>
        <w:ind w:firstLine="709"/>
        <w:jc w:val="both"/>
        <w:rPr>
          <w:rFonts w:ascii="Times New Roman" w:hAnsi="Times New Roman"/>
          <w:b/>
          <w:sz w:val="24"/>
          <w:szCs w:val="24"/>
        </w:rPr>
      </w:pP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Основные характеристики состояния рынка труда в январе-июне 2017 года определялись динамикой экономического развития, параметрами спроса и предложения рабочей силы, а также демографическими процессами, сложившимися в обществе.</w:t>
      </w:r>
    </w:p>
    <w:p w:rsidR="003F5257" w:rsidRPr="003F5257" w:rsidRDefault="003F5257" w:rsidP="003F5257">
      <w:pPr>
        <w:spacing w:after="0" w:line="240" w:lineRule="auto"/>
        <w:ind w:firstLine="720"/>
        <w:jc w:val="both"/>
        <w:rPr>
          <w:rFonts w:ascii="Times New Roman" w:hAnsi="Times New Roman"/>
          <w:sz w:val="24"/>
          <w:szCs w:val="24"/>
        </w:rPr>
      </w:pPr>
      <w:r w:rsidRPr="003F5257">
        <w:rPr>
          <w:rFonts w:ascii="Times New Roman" w:hAnsi="Times New Roman"/>
          <w:sz w:val="24"/>
          <w:szCs w:val="24"/>
        </w:rPr>
        <w:t xml:space="preserve">Численность </w:t>
      </w:r>
      <w:r w:rsidRPr="009A4AB2">
        <w:rPr>
          <w:rFonts w:ascii="Times New Roman" w:hAnsi="Times New Roman"/>
          <w:sz w:val="24"/>
          <w:szCs w:val="24"/>
        </w:rPr>
        <w:t>экономически активного населения по состоянию на 1 июля               2017 года составила 13</w:t>
      </w:r>
      <w:r w:rsidR="009A4AB2" w:rsidRPr="009A4AB2">
        <w:rPr>
          <w:rFonts w:ascii="Times New Roman" w:hAnsi="Times New Roman"/>
          <w:sz w:val="24"/>
          <w:szCs w:val="24"/>
        </w:rPr>
        <w:t>8</w:t>
      </w:r>
      <w:r w:rsidRPr="009A4AB2">
        <w:rPr>
          <w:rFonts w:ascii="Times New Roman" w:hAnsi="Times New Roman"/>
          <w:sz w:val="24"/>
          <w:szCs w:val="24"/>
        </w:rPr>
        <w:t>,</w:t>
      </w:r>
      <w:r w:rsidR="009A4AB2" w:rsidRPr="009A4AB2">
        <w:rPr>
          <w:rFonts w:ascii="Times New Roman" w:hAnsi="Times New Roman"/>
          <w:sz w:val="24"/>
          <w:szCs w:val="24"/>
        </w:rPr>
        <w:t>3</w:t>
      </w:r>
      <w:r w:rsidRPr="009A4AB2">
        <w:rPr>
          <w:rFonts w:ascii="Times New Roman" w:hAnsi="Times New Roman"/>
          <w:sz w:val="24"/>
          <w:szCs w:val="24"/>
        </w:rPr>
        <w:t xml:space="preserve"> тыс. чел. (без учета работников силовых структур республики), увеличившись по сравнению с аналогичным показателем 2016 года на </w:t>
      </w:r>
      <w:r w:rsidR="009A4AB2" w:rsidRPr="009A4AB2">
        <w:rPr>
          <w:rFonts w:ascii="Times New Roman" w:hAnsi="Times New Roman"/>
          <w:sz w:val="24"/>
          <w:szCs w:val="24"/>
        </w:rPr>
        <w:t>3,8</w:t>
      </w:r>
      <w:r w:rsidRPr="009A4AB2">
        <w:rPr>
          <w:rFonts w:ascii="Times New Roman" w:hAnsi="Times New Roman"/>
          <w:sz w:val="24"/>
          <w:szCs w:val="24"/>
        </w:rPr>
        <w:t xml:space="preserve"> тыс. чел. В составе экономически активного населения 9</w:t>
      </w:r>
      <w:r w:rsidR="009A4AB2" w:rsidRPr="009A4AB2">
        <w:rPr>
          <w:rFonts w:ascii="Times New Roman" w:hAnsi="Times New Roman"/>
          <w:sz w:val="24"/>
          <w:szCs w:val="24"/>
        </w:rPr>
        <w:t>5</w:t>
      </w:r>
      <w:r w:rsidRPr="009A4AB2">
        <w:rPr>
          <w:rFonts w:ascii="Times New Roman" w:hAnsi="Times New Roman"/>
          <w:sz w:val="24"/>
          <w:szCs w:val="24"/>
        </w:rPr>
        <w:t>,</w:t>
      </w:r>
      <w:r w:rsidR="009A4AB2" w:rsidRPr="009A4AB2">
        <w:rPr>
          <w:rFonts w:ascii="Times New Roman" w:hAnsi="Times New Roman"/>
          <w:sz w:val="24"/>
          <w:szCs w:val="24"/>
        </w:rPr>
        <w:t>0</w:t>
      </w:r>
      <w:r w:rsidRPr="009A4AB2">
        <w:rPr>
          <w:rFonts w:ascii="Times New Roman" w:hAnsi="Times New Roman"/>
          <w:sz w:val="24"/>
          <w:szCs w:val="24"/>
        </w:rPr>
        <w:t xml:space="preserve">%, или </w:t>
      </w:r>
      <w:r w:rsidR="009A4AB2" w:rsidRPr="009A4AB2">
        <w:rPr>
          <w:rFonts w:ascii="Times New Roman" w:hAnsi="Times New Roman"/>
          <w:sz w:val="24"/>
          <w:szCs w:val="24"/>
        </w:rPr>
        <w:t>131,4</w:t>
      </w:r>
      <w:r w:rsidRPr="009A4AB2">
        <w:rPr>
          <w:rFonts w:ascii="Times New Roman" w:hAnsi="Times New Roman"/>
          <w:sz w:val="24"/>
          <w:szCs w:val="24"/>
        </w:rPr>
        <w:t xml:space="preserve"> тыс. человек, были заняты в экономике республики, а 6,9 тыс. человек не</w:t>
      </w:r>
      <w:r w:rsidRPr="003F5257">
        <w:rPr>
          <w:rFonts w:ascii="Times New Roman" w:hAnsi="Times New Roman"/>
          <w:sz w:val="24"/>
          <w:szCs w:val="24"/>
        </w:rPr>
        <w:t xml:space="preserve"> имели работы, но активно ее искали и состояли на учете в Центрах социального страхования и социальной защиты в качестве лиц, ищущих подходящую работу.</w:t>
      </w:r>
    </w:p>
    <w:p w:rsidR="003F5257" w:rsidRPr="003F5257" w:rsidRDefault="003F5257" w:rsidP="003F5257">
      <w:pPr>
        <w:spacing w:after="0" w:line="240" w:lineRule="auto"/>
        <w:ind w:firstLine="426"/>
        <w:jc w:val="center"/>
        <w:rPr>
          <w:rFonts w:ascii="Times New Roman" w:hAnsi="Times New Roman"/>
          <w:b/>
          <w:sz w:val="24"/>
          <w:szCs w:val="24"/>
        </w:rPr>
      </w:pPr>
      <w:r w:rsidRPr="003F227B">
        <w:rPr>
          <w:rFonts w:ascii="Times New Roman" w:hAnsi="Times New Roman"/>
          <w:b/>
          <w:noProof/>
        </w:rPr>
        <w:drawing>
          <wp:anchor distT="0" distB="0" distL="114300" distR="114300" simplePos="0" relativeHeight="251671552" behindDoc="1" locked="0" layoutInCell="1" allowOverlap="1">
            <wp:simplePos x="0" y="0"/>
            <wp:positionH relativeFrom="column">
              <wp:posOffset>-19685</wp:posOffset>
            </wp:positionH>
            <wp:positionV relativeFrom="paragraph">
              <wp:posOffset>169545</wp:posOffset>
            </wp:positionV>
            <wp:extent cx="2962275" cy="1510665"/>
            <wp:effectExtent l="19050" t="0" r="0" b="0"/>
            <wp:wrapTight wrapText="bothSides">
              <wp:wrapPolygon edited="0">
                <wp:start x="-139" y="0"/>
                <wp:lineTo x="-139" y="21246"/>
                <wp:lineTo x="21531" y="21246"/>
                <wp:lineTo x="21531" y="0"/>
                <wp:lineTo x="-139" y="0"/>
              </wp:wrapPolygon>
            </wp:wrapTight>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3F227B">
        <w:rPr>
          <w:rFonts w:ascii="Times New Roman" w:hAnsi="Times New Roman"/>
          <w:b/>
        </w:rPr>
        <w:t>Структура экономически активного населения, %</w:t>
      </w:r>
      <w:r w:rsidRPr="003F5257">
        <w:rPr>
          <w:rFonts w:ascii="Times New Roman" w:hAnsi="Times New Roman"/>
          <w:noProof/>
          <w:sz w:val="24"/>
          <w:szCs w:val="24"/>
        </w:rPr>
        <w:drawing>
          <wp:inline distT="0" distB="0" distL="0" distR="0">
            <wp:extent cx="2883176" cy="1590261"/>
            <wp:effectExtent l="19050" t="0" r="0" b="0"/>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F5257" w:rsidRPr="003F5257" w:rsidRDefault="003F5257" w:rsidP="003F5257">
      <w:pPr>
        <w:shd w:val="clear" w:color="auto" w:fill="FFFFFF" w:themeFill="background1"/>
        <w:tabs>
          <w:tab w:val="left" w:pos="900"/>
        </w:tabs>
        <w:spacing w:after="0" w:line="240" w:lineRule="auto"/>
        <w:ind w:firstLine="709"/>
        <w:jc w:val="both"/>
        <w:rPr>
          <w:rFonts w:ascii="Times New Roman" w:hAnsi="Times New Roman"/>
          <w:sz w:val="24"/>
          <w:szCs w:val="24"/>
        </w:rPr>
      </w:pPr>
      <w:r w:rsidRPr="003F5257">
        <w:rPr>
          <w:rFonts w:ascii="Times New Roman" w:hAnsi="Times New Roman"/>
          <w:sz w:val="24"/>
          <w:szCs w:val="24"/>
        </w:rPr>
        <w:t>Численность занятых в экономике республики (без учета субъектов малого предпринимательства) на 1 июля 2017 года составила</w:t>
      </w:r>
      <w:r w:rsidRPr="003F5257">
        <w:rPr>
          <w:rFonts w:ascii="Times New Roman" w:hAnsi="Times New Roman"/>
          <w:sz w:val="24"/>
          <w:szCs w:val="24"/>
          <w:shd w:val="clear" w:color="auto" w:fill="FFFFFF" w:themeFill="background1"/>
        </w:rPr>
        <w:t xml:space="preserve"> 96,9 тыс. чел., что на 1 404 человек меньше, чем на аналогичную дату 2016 года, и на 109 человек меньше численности, сложившейся по состоянию на 1 января 2017 года.</w:t>
      </w:r>
      <w:r w:rsidRPr="003F5257">
        <w:rPr>
          <w:rFonts w:ascii="Times New Roman" w:hAnsi="Times New Roman"/>
          <w:sz w:val="24"/>
          <w:szCs w:val="24"/>
        </w:rPr>
        <w:t xml:space="preserve"> Всего с начала 2017 года было принято на работу </w:t>
      </w:r>
      <w:r w:rsidRPr="003F5257">
        <w:rPr>
          <w:rFonts w:ascii="Times New Roman" w:hAnsi="Times New Roman"/>
          <w:snapToGrid w:val="0"/>
          <w:sz w:val="24"/>
          <w:szCs w:val="24"/>
        </w:rPr>
        <w:t xml:space="preserve">8 209 </w:t>
      </w:r>
      <w:r w:rsidRPr="003F5257">
        <w:rPr>
          <w:rFonts w:ascii="Times New Roman" w:hAnsi="Times New Roman"/>
          <w:sz w:val="24"/>
          <w:szCs w:val="24"/>
        </w:rPr>
        <w:t>чел., из них 492 чел. – на дополнительно введенные рабочие места. Процент замещения выбывших работников новыми кадрами в рассматриваемом периоде составил 98,7%.</w:t>
      </w:r>
    </w:p>
    <w:p w:rsidR="003F5257" w:rsidRPr="003F5257" w:rsidRDefault="003F5257" w:rsidP="003F5257">
      <w:pPr>
        <w:tabs>
          <w:tab w:val="left" w:pos="900"/>
        </w:tabs>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В течение января-июня из организаций и учреждений уволилось </w:t>
      </w:r>
      <w:r w:rsidRPr="003F5257">
        <w:rPr>
          <w:rFonts w:ascii="Times New Roman" w:hAnsi="Times New Roman"/>
          <w:snapToGrid w:val="0"/>
          <w:sz w:val="24"/>
          <w:szCs w:val="24"/>
        </w:rPr>
        <w:t>8 318</w:t>
      </w:r>
      <w:r w:rsidRPr="003F5257">
        <w:rPr>
          <w:rFonts w:ascii="Times New Roman" w:hAnsi="Times New Roman"/>
          <w:sz w:val="24"/>
          <w:szCs w:val="24"/>
        </w:rPr>
        <w:t xml:space="preserve"> чел. (в январе-июне 2016 года – 7 926 чел.), что составляет 8,6% от списочной численности работников на начало года. Основной причиной</w:t>
      </w:r>
      <w:r w:rsidR="005A6FFC">
        <w:rPr>
          <w:rFonts w:ascii="Times New Roman" w:hAnsi="Times New Roman"/>
          <w:sz w:val="24"/>
          <w:szCs w:val="24"/>
        </w:rPr>
        <w:t xml:space="preserve"> </w:t>
      </w:r>
      <w:r w:rsidRPr="003F5257">
        <w:rPr>
          <w:rFonts w:ascii="Times New Roman" w:hAnsi="Times New Roman"/>
          <w:sz w:val="24"/>
          <w:szCs w:val="24"/>
        </w:rPr>
        <w:t>выбытия является увольнение по инициативе работника, на ее долю приходилось 83,2% увольнений (6 924 чел.).</w:t>
      </w:r>
    </w:p>
    <w:p w:rsidR="003F5257" w:rsidRPr="003F5257" w:rsidRDefault="003F5257" w:rsidP="003F5257">
      <w:pPr>
        <w:spacing w:after="0" w:line="240" w:lineRule="auto"/>
        <w:ind w:firstLine="567"/>
        <w:jc w:val="both"/>
        <w:rPr>
          <w:rFonts w:ascii="Times New Roman" w:hAnsi="Times New Roman"/>
          <w:sz w:val="24"/>
          <w:szCs w:val="24"/>
        </w:rPr>
      </w:pPr>
      <w:r w:rsidRPr="003F5257">
        <w:rPr>
          <w:rFonts w:ascii="Times New Roman" w:hAnsi="Times New Roman"/>
          <w:color w:val="000000"/>
          <w:sz w:val="24"/>
          <w:szCs w:val="24"/>
        </w:rPr>
        <w:t xml:space="preserve">В рассматриваемом периоде 96 организаций республики предоставили в Центры социального страхования и социальной защиты городов и районов республики информацию </w:t>
      </w:r>
      <w:r w:rsidRPr="003F5257">
        <w:rPr>
          <w:rFonts w:ascii="Times New Roman" w:hAnsi="Times New Roman"/>
          <w:sz w:val="24"/>
          <w:szCs w:val="24"/>
        </w:rPr>
        <w:t xml:space="preserve">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В связи с проведением данных мероприятий к увольнению было намечено 724 работника (в </w:t>
      </w:r>
      <w:r w:rsidR="005A6FFC">
        <w:rPr>
          <w:rFonts w:ascii="Times New Roman" w:hAnsi="Times New Roman"/>
          <w:sz w:val="24"/>
          <w:szCs w:val="24"/>
        </w:rPr>
        <w:t xml:space="preserve">                    </w:t>
      </w:r>
      <w:r w:rsidRPr="003F5257">
        <w:rPr>
          <w:rFonts w:ascii="Times New Roman" w:hAnsi="Times New Roman"/>
          <w:sz w:val="24"/>
          <w:szCs w:val="24"/>
          <w:lang w:val="en-US"/>
        </w:rPr>
        <w:t>I</w:t>
      </w:r>
      <w:r w:rsidRPr="003F5257">
        <w:rPr>
          <w:rFonts w:ascii="Times New Roman" w:hAnsi="Times New Roman"/>
          <w:sz w:val="24"/>
          <w:szCs w:val="24"/>
        </w:rPr>
        <w:t xml:space="preserve"> полугодии 2016 года – 474 чел.), однако фактически было уволено 196 работников, или 2,4% от общей численности выбывших.</w:t>
      </w:r>
    </w:p>
    <w:p w:rsidR="003F5257" w:rsidRPr="003F5257" w:rsidRDefault="003F5257" w:rsidP="003F5257">
      <w:pPr>
        <w:spacing w:after="0" w:line="240" w:lineRule="auto"/>
        <w:ind w:firstLine="567"/>
        <w:jc w:val="both"/>
        <w:rPr>
          <w:rFonts w:ascii="Times New Roman" w:hAnsi="Times New Roman"/>
          <w:sz w:val="24"/>
          <w:szCs w:val="24"/>
        </w:rPr>
      </w:pPr>
      <w:r w:rsidRPr="003F5257">
        <w:rPr>
          <w:rFonts w:ascii="Times New Roman" w:hAnsi="Times New Roman"/>
          <w:sz w:val="24"/>
          <w:szCs w:val="24"/>
        </w:rPr>
        <w:t xml:space="preserve">Среди намеченных к увольнению работников молодежь 16-29 лет составила 5,1%, граждане </w:t>
      </w:r>
      <w:proofErr w:type="spellStart"/>
      <w:r w:rsidRPr="003F5257">
        <w:rPr>
          <w:rFonts w:ascii="Times New Roman" w:hAnsi="Times New Roman"/>
          <w:sz w:val="24"/>
          <w:szCs w:val="24"/>
        </w:rPr>
        <w:t>предпенсионного</w:t>
      </w:r>
      <w:proofErr w:type="spellEnd"/>
      <w:r w:rsidRPr="003F5257">
        <w:rPr>
          <w:rFonts w:ascii="Times New Roman" w:hAnsi="Times New Roman"/>
          <w:sz w:val="24"/>
          <w:szCs w:val="24"/>
        </w:rPr>
        <w:t xml:space="preserve"> возраста – 8,1%.</w:t>
      </w:r>
    </w:p>
    <w:p w:rsidR="003F5257" w:rsidRPr="003F5257" w:rsidRDefault="003F5257" w:rsidP="003F5257">
      <w:pPr>
        <w:spacing w:after="0" w:line="240" w:lineRule="auto"/>
        <w:ind w:firstLine="567"/>
        <w:jc w:val="both"/>
        <w:rPr>
          <w:rFonts w:ascii="Times New Roman" w:hAnsi="Times New Roman"/>
          <w:sz w:val="24"/>
          <w:szCs w:val="24"/>
        </w:rPr>
      </w:pPr>
      <w:r w:rsidRPr="003F5257">
        <w:rPr>
          <w:rFonts w:ascii="Times New Roman" w:hAnsi="Times New Roman"/>
          <w:sz w:val="24"/>
          <w:szCs w:val="24"/>
        </w:rPr>
        <w:t>В разрезе отраслей экономики наибольшее количество</w:t>
      </w:r>
      <w:r w:rsidR="005A6FFC">
        <w:rPr>
          <w:rFonts w:ascii="Times New Roman" w:hAnsi="Times New Roman"/>
          <w:sz w:val="24"/>
          <w:szCs w:val="24"/>
        </w:rPr>
        <w:t xml:space="preserve"> </w:t>
      </w:r>
      <w:r w:rsidRPr="003F5257">
        <w:rPr>
          <w:rFonts w:ascii="Times New Roman" w:hAnsi="Times New Roman"/>
          <w:sz w:val="24"/>
          <w:szCs w:val="24"/>
        </w:rPr>
        <w:t>намеченных к высвобождению работников пришлось на промышленность – 34,5%, транспорт и связь –13,0%, строительство – 6,6%, образование – 2,9%, жилищно-коммунальное хозяйство – 2,1%, непроизводственные виды бытового обслуживания – 2,1%.</w:t>
      </w:r>
    </w:p>
    <w:p w:rsidR="003F5257" w:rsidRPr="003F5257" w:rsidRDefault="003F5257" w:rsidP="003F5257">
      <w:pPr>
        <w:spacing w:after="0" w:line="240" w:lineRule="auto"/>
        <w:ind w:firstLine="567"/>
        <w:jc w:val="both"/>
        <w:rPr>
          <w:rFonts w:ascii="Times New Roman" w:hAnsi="Times New Roman"/>
          <w:sz w:val="24"/>
          <w:szCs w:val="24"/>
        </w:rPr>
      </w:pPr>
      <w:r w:rsidRPr="003F5257">
        <w:rPr>
          <w:rFonts w:ascii="Times New Roman" w:hAnsi="Times New Roman"/>
          <w:sz w:val="24"/>
          <w:szCs w:val="24"/>
        </w:rPr>
        <w:lastRenderedPageBreak/>
        <w:t xml:space="preserve">В </w:t>
      </w:r>
      <w:r w:rsidRPr="003F5257">
        <w:rPr>
          <w:rFonts w:ascii="Times New Roman" w:hAnsi="Times New Roman"/>
          <w:sz w:val="24"/>
          <w:szCs w:val="24"/>
          <w:lang w:val="en-US"/>
        </w:rPr>
        <w:t>I</w:t>
      </w:r>
      <w:r w:rsidRPr="003F5257">
        <w:rPr>
          <w:rFonts w:ascii="Times New Roman" w:hAnsi="Times New Roman"/>
          <w:sz w:val="24"/>
          <w:szCs w:val="24"/>
        </w:rPr>
        <w:t xml:space="preserve"> полугодии 2017 года в Центры социального страхования и социальной зашиты городов и районов за содействием в поиске подходящей работы и получением консультаций обратилось около 16,9 тыс. человек, что составило 121,4% к уровню января-июня прошлого года.</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Численность граждан, получивших консультации по вопросам выбора места работы, законодательству о труде и занятости, возможности прохождения профессионального обучения и другим вопросам,</w:t>
      </w:r>
      <w:r w:rsidR="006E2BBC">
        <w:rPr>
          <w:rFonts w:ascii="Times New Roman" w:hAnsi="Times New Roman"/>
          <w:sz w:val="24"/>
          <w:szCs w:val="24"/>
        </w:rPr>
        <w:t xml:space="preserve"> составила 7,4 тыс. человек (за</w:t>
      </w:r>
      <w:r w:rsidRPr="003F5257">
        <w:rPr>
          <w:rFonts w:ascii="Times New Roman" w:hAnsi="Times New Roman"/>
          <w:sz w:val="24"/>
          <w:szCs w:val="24"/>
        </w:rPr>
        <w:t xml:space="preserve"> январь-июнь 2016 года – </w:t>
      </w:r>
      <w:r w:rsidR="005A6FFC">
        <w:rPr>
          <w:rFonts w:ascii="Times New Roman" w:hAnsi="Times New Roman"/>
          <w:sz w:val="24"/>
          <w:szCs w:val="24"/>
        </w:rPr>
        <w:t xml:space="preserve">               </w:t>
      </w:r>
      <w:r w:rsidRPr="003F5257">
        <w:rPr>
          <w:rFonts w:ascii="Times New Roman" w:hAnsi="Times New Roman"/>
          <w:sz w:val="24"/>
          <w:szCs w:val="24"/>
        </w:rPr>
        <w:t>7,3 тыс. чел.). Услугами по профориентации воспользовались около 6,9 тыс. граждан, психологическую поддержку получили около 1,8 тыс. человек.</w:t>
      </w:r>
    </w:p>
    <w:p w:rsidR="003F5257" w:rsidRPr="003F5257" w:rsidRDefault="003F5257" w:rsidP="003F5257">
      <w:pPr>
        <w:spacing w:after="0" w:line="240" w:lineRule="auto"/>
        <w:ind w:firstLine="540"/>
        <w:contextualSpacing/>
        <w:jc w:val="both"/>
        <w:rPr>
          <w:rFonts w:ascii="Times New Roman" w:hAnsi="Times New Roman"/>
          <w:sz w:val="24"/>
          <w:szCs w:val="24"/>
        </w:rPr>
      </w:pPr>
      <w:r w:rsidRPr="003F5257">
        <w:rPr>
          <w:rFonts w:ascii="Times New Roman" w:hAnsi="Times New Roman"/>
          <w:sz w:val="24"/>
          <w:szCs w:val="24"/>
        </w:rPr>
        <w:t>В рассматриваемом периоде в качестве лиц</w:t>
      </w:r>
      <w:r w:rsidR="00D3205E">
        <w:rPr>
          <w:rFonts w:ascii="Times New Roman" w:hAnsi="Times New Roman"/>
          <w:sz w:val="24"/>
          <w:szCs w:val="24"/>
        </w:rPr>
        <w:t>,</w:t>
      </w:r>
      <w:r w:rsidRPr="003F5257">
        <w:rPr>
          <w:rFonts w:ascii="Times New Roman" w:hAnsi="Times New Roman"/>
          <w:sz w:val="24"/>
          <w:szCs w:val="24"/>
        </w:rPr>
        <w:t xml:space="preserve"> ищущих подходящую работу, было зарегистрировано 7 169 человек </w:t>
      </w:r>
      <w:r w:rsidRPr="003F5257">
        <w:rPr>
          <w:rFonts w:ascii="Times New Roman" w:hAnsi="Times New Roman"/>
          <w:color w:val="000000"/>
          <w:sz w:val="24"/>
          <w:szCs w:val="24"/>
        </w:rPr>
        <w:t xml:space="preserve">(в </w:t>
      </w:r>
      <w:r w:rsidRPr="003F5257">
        <w:rPr>
          <w:rFonts w:ascii="Times New Roman" w:hAnsi="Times New Roman"/>
          <w:color w:val="000000"/>
          <w:sz w:val="24"/>
          <w:szCs w:val="24"/>
          <w:lang w:val="en-US"/>
        </w:rPr>
        <w:t>I</w:t>
      </w:r>
      <w:r w:rsidRPr="003F5257">
        <w:rPr>
          <w:rFonts w:ascii="Times New Roman" w:hAnsi="Times New Roman"/>
          <w:color w:val="000000"/>
          <w:sz w:val="24"/>
          <w:szCs w:val="24"/>
        </w:rPr>
        <w:t xml:space="preserve"> полугодии </w:t>
      </w:r>
      <w:r w:rsidRPr="003F5257">
        <w:rPr>
          <w:rFonts w:ascii="Times New Roman" w:hAnsi="Times New Roman"/>
          <w:sz w:val="24"/>
          <w:szCs w:val="24"/>
        </w:rPr>
        <w:t>2016 года – 4 359</w:t>
      </w:r>
      <w:r w:rsidRPr="003F5257">
        <w:rPr>
          <w:rFonts w:ascii="Times New Roman" w:hAnsi="Times New Roman"/>
          <w:color w:val="000000"/>
          <w:sz w:val="24"/>
          <w:szCs w:val="24"/>
        </w:rPr>
        <w:t xml:space="preserve"> чел.)</w:t>
      </w:r>
      <w:r w:rsidRPr="003F5257">
        <w:rPr>
          <w:rFonts w:ascii="Times New Roman" w:hAnsi="Times New Roman"/>
          <w:sz w:val="24"/>
          <w:szCs w:val="24"/>
        </w:rPr>
        <w:t xml:space="preserve">, официально признаны безработными 5 896 человек </w:t>
      </w:r>
      <w:r w:rsidRPr="003F5257">
        <w:rPr>
          <w:rFonts w:ascii="Times New Roman" w:hAnsi="Times New Roman"/>
          <w:color w:val="000000"/>
          <w:sz w:val="24"/>
          <w:szCs w:val="24"/>
        </w:rPr>
        <w:t xml:space="preserve">(в январе-июне </w:t>
      </w:r>
      <w:r w:rsidRPr="003F5257">
        <w:rPr>
          <w:rFonts w:ascii="Times New Roman" w:hAnsi="Times New Roman"/>
          <w:sz w:val="24"/>
          <w:szCs w:val="24"/>
        </w:rPr>
        <w:t>2016 года – 3</w:t>
      </w:r>
      <w:r w:rsidRPr="003F5257">
        <w:rPr>
          <w:rFonts w:ascii="Times New Roman" w:hAnsi="Times New Roman"/>
          <w:color w:val="000000"/>
          <w:sz w:val="24"/>
          <w:szCs w:val="24"/>
        </w:rPr>
        <w:t xml:space="preserve"> 319 чел.).</w:t>
      </w:r>
    </w:p>
    <w:p w:rsidR="003F5257" w:rsidRPr="003F5257" w:rsidRDefault="003F5257" w:rsidP="003F5257">
      <w:pPr>
        <w:spacing w:after="0" w:line="240" w:lineRule="auto"/>
        <w:ind w:right="-284"/>
        <w:contextualSpacing/>
        <w:jc w:val="both"/>
        <w:rPr>
          <w:rFonts w:ascii="Times New Roman" w:hAnsi="Times New Roman"/>
          <w:sz w:val="24"/>
          <w:szCs w:val="24"/>
        </w:rPr>
      </w:pPr>
      <w:r w:rsidRPr="003F5257">
        <w:rPr>
          <w:rFonts w:ascii="Times New Roman" w:hAnsi="Times New Roman"/>
          <w:noProof/>
          <w:sz w:val="24"/>
          <w:szCs w:val="24"/>
        </w:rPr>
        <w:drawing>
          <wp:inline distT="0" distB="0" distL="0" distR="0">
            <wp:extent cx="6124575" cy="2019300"/>
            <wp:effectExtent l="0" t="0" r="0" b="0"/>
            <wp:docPr id="3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В целом по республике 66,4% зарегистрированных граждан в качестве лиц, ищущих подходящую работу, являлись жителями городов. В то же время, по трем районам республики в числе зарегистрированных граждан преобладали жители сельской местности, удельный вес которых составил:</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 в </w:t>
      </w:r>
      <w:proofErr w:type="spellStart"/>
      <w:r w:rsidRPr="003F5257">
        <w:rPr>
          <w:rFonts w:ascii="Times New Roman" w:hAnsi="Times New Roman"/>
          <w:sz w:val="24"/>
          <w:szCs w:val="24"/>
        </w:rPr>
        <w:t>Григориопольском</w:t>
      </w:r>
      <w:proofErr w:type="spellEnd"/>
      <w:r w:rsidRPr="003F5257">
        <w:rPr>
          <w:rFonts w:ascii="Times New Roman" w:hAnsi="Times New Roman"/>
          <w:sz w:val="24"/>
          <w:szCs w:val="24"/>
        </w:rPr>
        <w:t xml:space="preserve"> районе – 75,7%, </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 в </w:t>
      </w:r>
      <w:proofErr w:type="spellStart"/>
      <w:r w:rsidRPr="003F5257">
        <w:rPr>
          <w:rFonts w:ascii="Times New Roman" w:hAnsi="Times New Roman"/>
          <w:sz w:val="24"/>
          <w:szCs w:val="24"/>
        </w:rPr>
        <w:t>Слободзейском</w:t>
      </w:r>
      <w:proofErr w:type="spellEnd"/>
      <w:r w:rsidRPr="003F5257">
        <w:rPr>
          <w:rFonts w:ascii="Times New Roman" w:hAnsi="Times New Roman"/>
          <w:sz w:val="24"/>
          <w:szCs w:val="24"/>
        </w:rPr>
        <w:t xml:space="preserve"> районе – 61,4%,</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в Каменском районе – 60,9%.</w:t>
      </w:r>
    </w:p>
    <w:p w:rsidR="003F5257" w:rsidRPr="003F5257" w:rsidRDefault="003F5257" w:rsidP="003F5257">
      <w:pPr>
        <w:spacing w:after="0" w:line="240" w:lineRule="auto"/>
        <w:ind w:firstLine="709"/>
        <w:jc w:val="both"/>
        <w:rPr>
          <w:rFonts w:ascii="Times New Roman" w:hAnsi="Times New Roman"/>
          <w:sz w:val="24"/>
          <w:szCs w:val="24"/>
        </w:rPr>
      </w:pPr>
      <w:proofErr w:type="gramStart"/>
      <w:r w:rsidRPr="003F5257">
        <w:rPr>
          <w:rFonts w:ascii="Times New Roman" w:hAnsi="Times New Roman"/>
          <w:sz w:val="24"/>
          <w:szCs w:val="24"/>
        </w:rPr>
        <w:t xml:space="preserve">Наибольшее количество зарегистрированных граждан пришлось на следующие Центры социального страхования и социальной защиты: г. Тирасполь – 1 928 человек,              г. Рыбница и </w:t>
      </w:r>
      <w:proofErr w:type="spellStart"/>
      <w:r w:rsidRPr="003F5257">
        <w:rPr>
          <w:rFonts w:ascii="Times New Roman" w:hAnsi="Times New Roman"/>
          <w:sz w:val="24"/>
          <w:szCs w:val="24"/>
        </w:rPr>
        <w:t>Рыбницкий</w:t>
      </w:r>
      <w:proofErr w:type="spellEnd"/>
      <w:r w:rsidRPr="003F5257">
        <w:rPr>
          <w:rFonts w:ascii="Times New Roman" w:hAnsi="Times New Roman"/>
          <w:sz w:val="24"/>
          <w:szCs w:val="24"/>
        </w:rPr>
        <w:t xml:space="preserve"> район – 1 828 человек, г. </w:t>
      </w:r>
      <w:proofErr w:type="spellStart"/>
      <w:r w:rsidRPr="003F5257">
        <w:rPr>
          <w:rFonts w:ascii="Times New Roman" w:hAnsi="Times New Roman"/>
          <w:sz w:val="24"/>
          <w:szCs w:val="24"/>
        </w:rPr>
        <w:t>Слободзея</w:t>
      </w:r>
      <w:proofErr w:type="spellEnd"/>
      <w:r w:rsidRPr="003F5257">
        <w:rPr>
          <w:rFonts w:ascii="Times New Roman" w:hAnsi="Times New Roman"/>
          <w:sz w:val="24"/>
          <w:szCs w:val="24"/>
        </w:rPr>
        <w:t xml:space="preserve"> и </w:t>
      </w:r>
      <w:proofErr w:type="spellStart"/>
      <w:r w:rsidRPr="003F5257">
        <w:rPr>
          <w:rFonts w:ascii="Times New Roman" w:hAnsi="Times New Roman"/>
          <w:sz w:val="24"/>
          <w:szCs w:val="24"/>
        </w:rPr>
        <w:t>Слободзейский</w:t>
      </w:r>
      <w:proofErr w:type="spellEnd"/>
      <w:r w:rsidRPr="003F5257">
        <w:rPr>
          <w:rFonts w:ascii="Times New Roman" w:hAnsi="Times New Roman"/>
          <w:sz w:val="24"/>
          <w:szCs w:val="24"/>
        </w:rPr>
        <w:t xml:space="preserve"> район –           1 161 чело</w:t>
      </w:r>
      <w:r w:rsidR="00D3205E">
        <w:rPr>
          <w:rFonts w:ascii="Times New Roman" w:hAnsi="Times New Roman"/>
          <w:sz w:val="24"/>
          <w:szCs w:val="24"/>
        </w:rPr>
        <w:t>век, г. Бендеры – 1 049 человек, что в совокупности составляет</w:t>
      </w:r>
      <w:r w:rsidRPr="003F5257">
        <w:rPr>
          <w:rFonts w:ascii="Times New Roman" w:hAnsi="Times New Roman"/>
          <w:sz w:val="24"/>
          <w:szCs w:val="24"/>
        </w:rPr>
        <w:t xml:space="preserve"> 83,2% граждан, зарегистрированны</w:t>
      </w:r>
      <w:r w:rsidR="00D3205E">
        <w:rPr>
          <w:rFonts w:ascii="Times New Roman" w:hAnsi="Times New Roman"/>
          <w:sz w:val="24"/>
          <w:szCs w:val="24"/>
        </w:rPr>
        <w:t>х в качестве лиц, ищущих работу</w:t>
      </w:r>
      <w:r w:rsidRPr="003F5257">
        <w:rPr>
          <w:rFonts w:ascii="Times New Roman" w:hAnsi="Times New Roman"/>
          <w:sz w:val="24"/>
          <w:szCs w:val="24"/>
        </w:rPr>
        <w:t>.</w:t>
      </w:r>
      <w:proofErr w:type="gramEnd"/>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Среди граждан, зарегистрированных в Центрах социального страхования и социальной защиты в качестве лиц, ищущих работу, наиболее многочисленными являлись следующие категории:</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граждане, имеющие длительный (более года) перерыв в работе, – 4 260 человек, их удельный вес в общей численности составил 59,4% (+4,7 п.п.);</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 граждане, ранее не работавшие, ищущие работу впервые, – 1 286 человек, </w:t>
      </w:r>
      <w:r w:rsidR="006D627A">
        <w:rPr>
          <w:rFonts w:ascii="Times New Roman" w:hAnsi="Times New Roman"/>
          <w:sz w:val="24"/>
          <w:szCs w:val="24"/>
        </w:rPr>
        <w:t xml:space="preserve">или </w:t>
      </w:r>
      <w:r w:rsidRPr="003F5257">
        <w:rPr>
          <w:rFonts w:ascii="Times New Roman" w:hAnsi="Times New Roman"/>
          <w:sz w:val="24"/>
          <w:szCs w:val="24"/>
        </w:rPr>
        <w:t>17,9% (+2,6 п.п.);</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 граждане, уволенные с последнего места работы в связи с ликвидацией организации, сокращением численности или штата работников организации и обратившиеся в службу занятости в течение года, - 304 человека, </w:t>
      </w:r>
      <w:r w:rsidR="006D627A">
        <w:rPr>
          <w:rFonts w:ascii="Times New Roman" w:hAnsi="Times New Roman"/>
          <w:sz w:val="24"/>
          <w:szCs w:val="24"/>
        </w:rPr>
        <w:t>или</w:t>
      </w:r>
      <w:r w:rsidRPr="003F5257">
        <w:rPr>
          <w:rFonts w:ascii="Times New Roman" w:hAnsi="Times New Roman"/>
          <w:sz w:val="24"/>
          <w:szCs w:val="24"/>
        </w:rPr>
        <w:t xml:space="preserve"> 4,2% (-2,2 п.п.).</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По состоянию на 1 июля 2017 года численность зарегистрированных граждан в качестве лиц, ищущих работу, составила 6 879 чел. (на 1 июля 2016 года – 4 591 чел.), из них 5 903 гражданина имели статус безработного, т. е. получали пособие по безработице (на </w:t>
      </w:r>
      <w:r w:rsidR="005A6FFC">
        <w:rPr>
          <w:rFonts w:ascii="Times New Roman" w:hAnsi="Times New Roman"/>
          <w:sz w:val="24"/>
          <w:szCs w:val="24"/>
        </w:rPr>
        <w:t xml:space="preserve">                 </w:t>
      </w:r>
      <w:r w:rsidRPr="003F5257">
        <w:rPr>
          <w:rFonts w:ascii="Times New Roman" w:hAnsi="Times New Roman"/>
          <w:sz w:val="24"/>
          <w:szCs w:val="24"/>
        </w:rPr>
        <w:t>1 июля 2016 года – 3 659 чел.).</w:t>
      </w:r>
    </w:p>
    <w:p w:rsidR="003F5257" w:rsidRPr="003F5257" w:rsidRDefault="003F5257" w:rsidP="003F5257">
      <w:pPr>
        <w:spacing w:after="0" w:line="240" w:lineRule="auto"/>
        <w:ind w:firstLine="540"/>
        <w:contextualSpacing/>
        <w:jc w:val="both"/>
        <w:rPr>
          <w:rFonts w:ascii="Times New Roman" w:hAnsi="Times New Roman"/>
          <w:sz w:val="24"/>
          <w:szCs w:val="24"/>
        </w:rPr>
      </w:pPr>
      <w:proofErr w:type="gramStart"/>
      <w:r w:rsidRPr="003F5257">
        <w:rPr>
          <w:rFonts w:ascii="Times New Roman" w:hAnsi="Times New Roman"/>
          <w:sz w:val="24"/>
          <w:szCs w:val="24"/>
        </w:rPr>
        <w:t xml:space="preserve">Уровень регистрируемой безработицы в среднем по республике по состоянию на               1 июля 2017 года составил </w:t>
      </w:r>
      <w:r w:rsidR="009A4AB2">
        <w:rPr>
          <w:rFonts w:ascii="Times New Roman" w:hAnsi="Times New Roman"/>
          <w:sz w:val="24"/>
          <w:szCs w:val="24"/>
        </w:rPr>
        <w:t>4,9</w:t>
      </w:r>
      <w:r w:rsidRPr="003F5257">
        <w:rPr>
          <w:rFonts w:ascii="Times New Roman" w:hAnsi="Times New Roman"/>
          <w:sz w:val="24"/>
          <w:szCs w:val="24"/>
        </w:rPr>
        <w:t>7% к численности экономически активного населения (без учета численности работающих в силовых структурах), увеличившись за год на 1,</w:t>
      </w:r>
      <w:r w:rsidR="009A4AB2">
        <w:rPr>
          <w:rFonts w:ascii="Times New Roman" w:hAnsi="Times New Roman"/>
          <w:sz w:val="24"/>
          <w:szCs w:val="24"/>
        </w:rPr>
        <w:t>5</w:t>
      </w:r>
      <w:r w:rsidRPr="003F5257">
        <w:rPr>
          <w:rFonts w:ascii="Times New Roman" w:hAnsi="Times New Roman"/>
          <w:sz w:val="24"/>
          <w:szCs w:val="24"/>
        </w:rPr>
        <w:t>6 п.п.</w:t>
      </w:r>
      <w:proofErr w:type="gramEnd"/>
    </w:p>
    <w:p w:rsidR="003F5257" w:rsidRPr="003F5257" w:rsidRDefault="003F5257" w:rsidP="003F5257">
      <w:pPr>
        <w:spacing w:after="0" w:line="240" w:lineRule="auto"/>
        <w:jc w:val="both"/>
        <w:rPr>
          <w:noProof/>
        </w:rPr>
      </w:pPr>
      <w:r w:rsidRPr="003F5257">
        <w:rPr>
          <w:noProof/>
        </w:rPr>
        <w:lastRenderedPageBreak/>
        <w:drawing>
          <wp:inline distT="0" distB="0" distL="0" distR="0">
            <wp:extent cx="5495925" cy="3209925"/>
            <wp:effectExtent l="19050" t="0" r="0" b="0"/>
            <wp:docPr id="3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F5257" w:rsidRPr="003F5257" w:rsidRDefault="003F5257" w:rsidP="003F5257">
      <w:pPr>
        <w:spacing w:after="0" w:line="240" w:lineRule="auto"/>
        <w:ind w:firstLine="709"/>
        <w:jc w:val="both"/>
        <w:rPr>
          <w:rFonts w:ascii="Times New Roman" w:hAnsi="Times New Roman"/>
          <w:noProof/>
          <w:sz w:val="24"/>
          <w:szCs w:val="24"/>
        </w:rPr>
      </w:pPr>
      <w:r w:rsidRPr="003F5257">
        <w:rPr>
          <w:rFonts w:ascii="Times New Roman" w:hAnsi="Times New Roman"/>
          <w:sz w:val="24"/>
          <w:szCs w:val="24"/>
        </w:rPr>
        <w:t>За январь-июнь 2017 года в Центры социального страхования и социальной защиты республики работодателями заявлено 1 998 вакантных рабочих места (должности) (за январь-июнь 2016 года – 1 000 ед.), однако следует отметить, что по состоянию на                   1 июля 2017 года в банке числилось 1 705 вакансий. Среди заявленных работодателями вакансий 81,9</w:t>
      </w:r>
      <w:r w:rsidRPr="003F5257">
        <w:rPr>
          <w:rFonts w:ascii="Times New Roman" w:hAnsi="Times New Roman"/>
          <w:color w:val="000000"/>
          <w:sz w:val="24"/>
          <w:szCs w:val="24"/>
        </w:rPr>
        <w:t>% составляли вакантные места по рабочим профессиям и 18,1% - для специалистов и служащих.</w:t>
      </w:r>
    </w:p>
    <w:p w:rsidR="003F5257" w:rsidRPr="003F5257" w:rsidRDefault="003F5257" w:rsidP="003F5257">
      <w:pPr>
        <w:spacing w:after="0" w:line="240" w:lineRule="auto"/>
        <w:ind w:firstLine="709"/>
        <w:jc w:val="both"/>
        <w:rPr>
          <w:rFonts w:ascii="Times New Roman" w:hAnsi="Times New Roman"/>
          <w:sz w:val="28"/>
          <w:szCs w:val="28"/>
        </w:rPr>
      </w:pPr>
      <w:r w:rsidRPr="003F5257">
        <w:rPr>
          <w:rFonts w:ascii="Times New Roman" w:hAnsi="Times New Roman"/>
          <w:sz w:val="24"/>
          <w:szCs w:val="24"/>
        </w:rPr>
        <w:t>В разрезе отраслей экономики наибольшее количество заявленных вакансий приходилось на: промышленность – 39,5% от общего количества; сельское хозяйство – 15,3%, образование – 10,9%, строительство – 7,1%, здравоохранение – 6,3%, жилищно-коммунальное хозяйство – 5,2%, транспорт и связь – 4,6%.</w:t>
      </w:r>
    </w:p>
    <w:p w:rsidR="003F5257" w:rsidRPr="003F5257" w:rsidRDefault="003F5257" w:rsidP="003F5257">
      <w:pPr>
        <w:spacing w:after="0" w:line="240" w:lineRule="auto"/>
        <w:ind w:firstLine="567"/>
        <w:jc w:val="both"/>
        <w:rPr>
          <w:rFonts w:ascii="Times New Roman" w:hAnsi="Times New Roman"/>
          <w:sz w:val="24"/>
          <w:szCs w:val="24"/>
        </w:rPr>
      </w:pPr>
      <w:r w:rsidRPr="003F5257">
        <w:rPr>
          <w:rFonts w:ascii="Times New Roman" w:hAnsi="Times New Roman"/>
          <w:sz w:val="24"/>
          <w:szCs w:val="24"/>
        </w:rPr>
        <w:t xml:space="preserve">Коэффициент напряженности на рынке труда (отношение </w:t>
      </w:r>
      <w:r w:rsidRPr="003F5257">
        <w:rPr>
          <w:rFonts w:ascii="Times New Roman" w:hAnsi="Times New Roman"/>
          <w:color w:val="000000"/>
          <w:sz w:val="24"/>
          <w:szCs w:val="24"/>
        </w:rPr>
        <w:t>численности населения, не занятого трудовой деятельностью,</w:t>
      </w:r>
      <w:r w:rsidRPr="003F5257">
        <w:rPr>
          <w:rFonts w:ascii="Times New Roman" w:hAnsi="Times New Roman"/>
          <w:sz w:val="24"/>
          <w:szCs w:val="24"/>
        </w:rPr>
        <w:t xml:space="preserve"> к </w:t>
      </w:r>
      <w:r w:rsidRPr="003F5257">
        <w:rPr>
          <w:rFonts w:ascii="Times New Roman" w:hAnsi="Times New Roman"/>
          <w:color w:val="000000"/>
          <w:sz w:val="24"/>
          <w:szCs w:val="24"/>
        </w:rPr>
        <w:t>числу вакантных должностей)</w:t>
      </w:r>
      <w:r w:rsidRPr="003F5257">
        <w:rPr>
          <w:rFonts w:ascii="Times New Roman" w:hAnsi="Times New Roman"/>
          <w:sz w:val="24"/>
          <w:szCs w:val="24"/>
        </w:rPr>
        <w:t xml:space="preserve"> по состоянию на                1 июля 2017 года составил 4,0 человека на 1 вакантное место (на 1 июля 2016 года – 4,8 человек на 1 вакантное место).</w:t>
      </w:r>
    </w:p>
    <w:p w:rsidR="003F5257" w:rsidRPr="003F5257" w:rsidRDefault="003F5257" w:rsidP="003F5257">
      <w:pPr>
        <w:spacing w:after="0" w:line="240" w:lineRule="auto"/>
        <w:ind w:left="-567" w:right="-284"/>
        <w:jc w:val="both"/>
        <w:rPr>
          <w:rFonts w:ascii="Times New Roman" w:hAnsi="Times New Roman"/>
          <w:sz w:val="24"/>
          <w:szCs w:val="24"/>
        </w:rPr>
      </w:pPr>
      <w:r w:rsidRPr="003F5257">
        <w:rPr>
          <w:rFonts w:ascii="Times New Roman" w:hAnsi="Times New Roman"/>
          <w:noProof/>
          <w:sz w:val="24"/>
          <w:szCs w:val="24"/>
        </w:rPr>
        <w:drawing>
          <wp:inline distT="0" distB="0" distL="0" distR="0">
            <wp:extent cx="6496215" cy="2011680"/>
            <wp:effectExtent l="0" t="0" r="0"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F5257" w:rsidRPr="003F5257" w:rsidRDefault="003F5257" w:rsidP="003F5257">
      <w:pPr>
        <w:spacing w:after="0" w:line="240" w:lineRule="auto"/>
        <w:ind w:left="-567" w:right="-284"/>
        <w:jc w:val="both"/>
        <w:rPr>
          <w:rFonts w:ascii="Times New Roman" w:hAnsi="Times New Roman"/>
          <w:sz w:val="20"/>
          <w:szCs w:val="20"/>
        </w:rPr>
      </w:pPr>
    </w:p>
    <w:p w:rsidR="003F5257" w:rsidRPr="003F5257" w:rsidRDefault="003F5257" w:rsidP="003F5257">
      <w:pPr>
        <w:spacing w:after="0" w:line="240" w:lineRule="auto"/>
        <w:ind w:firstLine="567"/>
        <w:jc w:val="both"/>
        <w:rPr>
          <w:rFonts w:ascii="Times New Roman" w:hAnsi="Times New Roman"/>
          <w:sz w:val="24"/>
          <w:szCs w:val="24"/>
        </w:rPr>
      </w:pPr>
      <w:r w:rsidRPr="003F5257">
        <w:rPr>
          <w:rFonts w:ascii="Times New Roman" w:hAnsi="Times New Roman"/>
          <w:sz w:val="24"/>
          <w:szCs w:val="24"/>
        </w:rPr>
        <w:t>Деятельность государства в области занятости населения в отчетном периоде была направлена на обеспечение гарантированной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w:t>
      </w:r>
      <w:r w:rsidR="006D627A">
        <w:rPr>
          <w:rFonts w:ascii="Times New Roman" w:hAnsi="Times New Roman"/>
          <w:sz w:val="24"/>
          <w:szCs w:val="24"/>
        </w:rPr>
        <w:t>е</w:t>
      </w:r>
      <w:r w:rsidRPr="003F5257">
        <w:rPr>
          <w:rFonts w:ascii="Times New Roman" w:hAnsi="Times New Roman"/>
          <w:sz w:val="24"/>
          <w:szCs w:val="24"/>
        </w:rPr>
        <w:t xml:space="preserve"> трудоустройств</w:t>
      </w:r>
      <w:r w:rsidR="006D627A">
        <w:rPr>
          <w:rFonts w:ascii="Times New Roman" w:hAnsi="Times New Roman"/>
          <w:sz w:val="24"/>
          <w:szCs w:val="24"/>
        </w:rPr>
        <w:t>о</w:t>
      </w:r>
      <w:r w:rsidRPr="003F5257">
        <w:rPr>
          <w:rFonts w:ascii="Times New Roman" w:hAnsi="Times New Roman"/>
          <w:sz w:val="24"/>
          <w:szCs w:val="24"/>
        </w:rPr>
        <w:t>, путем таких разнообразных мер, как помощь в трудоустройстве, организация общественных работ, профессиональное обучение и консультирование и др.</w:t>
      </w:r>
    </w:p>
    <w:p w:rsidR="003F5257" w:rsidRPr="003F5257" w:rsidRDefault="003F5257" w:rsidP="003F5257">
      <w:pPr>
        <w:spacing w:after="0" w:line="240" w:lineRule="auto"/>
        <w:ind w:firstLine="567"/>
        <w:jc w:val="both"/>
        <w:rPr>
          <w:rFonts w:ascii="Times New Roman" w:hAnsi="Times New Roman"/>
          <w:sz w:val="24"/>
          <w:szCs w:val="24"/>
        </w:rPr>
      </w:pPr>
      <w:r w:rsidRPr="003F5257">
        <w:rPr>
          <w:rFonts w:ascii="Times New Roman" w:hAnsi="Times New Roman"/>
          <w:sz w:val="24"/>
          <w:szCs w:val="24"/>
        </w:rPr>
        <w:t xml:space="preserve">За </w:t>
      </w:r>
      <w:r w:rsidR="006D627A">
        <w:rPr>
          <w:rFonts w:ascii="Times New Roman" w:hAnsi="Times New Roman"/>
          <w:sz w:val="24"/>
          <w:szCs w:val="24"/>
        </w:rPr>
        <w:t>отчётный период</w:t>
      </w:r>
      <w:r w:rsidRPr="003F5257">
        <w:rPr>
          <w:rFonts w:ascii="Times New Roman" w:hAnsi="Times New Roman"/>
          <w:sz w:val="24"/>
          <w:szCs w:val="24"/>
        </w:rPr>
        <w:t xml:space="preserve"> при содействии Центров социального страхования и социальной защиты трудоустроено 947 безработных граждан (за январь-июнь 2016 года – 667 человек), из которых число трудоустроенных граждан, относящихся к категории пенсионеров – 14 человек, из них численность граждан, относящихся к категории инвалидов, – 13 человек.</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lastRenderedPageBreak/>
        <w:t>В рассматриваемом периоде в рамках активной политики занятости реализованы следующие мероприятия:</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а) в соответствии с договорами, заключенными с организациями республики, в общественных работах приняли участие 425 безработных граждан, что больше значения аналогичного периода 2016 года на 410 человек. Участниками отработано на общественных работах 3 528 человеко-дней, средняя продолжительность участия составила 8,3 дня. Общественные работы проводились в Военных комиссариатах (оформление личных дел, выписка повесток и их рассылка, уточнение списков призывников), </w:t>
      </w:r>
      <w:r w:rsidR="005D227B">
        <w:rPr>
          <w:rFonts w:ascii="Times New Roman" w:hAnsi="Times New Roman"/>
          <w:sz w:val="24"/>
          <w:szCs w:val="24"/>
        </w:rPr>
        <w:t xml:space="preserve">                                          </w:t>
      </w:r>
      <w:r w:rsidRPr="003F5257">
        <w:rPr>
          <w:rFonts w:ascii="Times New Roman" w:hAnsi="Times New Roman"/>
          <w:sz w:val="24"/>
          <w:szCs w:val="24"/>
        </w:rPr>
        <w:t>МУП «</w:t>
      </w:r>
      <w:proofErr w:type="spellStart"/>
      <w:r w:rsidRPr="003F5257">
        <w:rPr>
          <w:rFonts w:ascii="Times New Roman" w:hAnsi="Times New Roman"/>
          <w:sz w:val="24"/>
          <w:szCs w:val="24"/>
        </w:rPr>
        <w:t>Спецавтохозяйс</w:t>
      </w:r>
      <w:r w:rsidR="006D627A">
        <w:rPr>
          <w:rFonts w:ascii="Times New Roman" w:hAnsi="Times New Roman"/>
          <w:sz w:val="24"/>
          <w:szCs w:val="24"/>
        </w:rPr>
        <w:t>т</w:t>
      </w:r>
      <w:r w:rsidRPr="003F5257">
        <w:rPr>
          <w:rFonts w:ascii="Times New Roman" w:hAnsi="Times New Roman"/>
          <w:sz w:val="24"/>
          <w:szCs w:val="24"/>
        </w:rPr>
        <w:t>во</w:t>
      </w:r>
      <w:proofErr w:type="spellEnd"/>
      <w:r w:rsidRPr="003F5257">
        <w:rPr>
          <w:rFonts w:ascii="Times New Roman" w:hAnsi="Times New Roman"/>
          <w:sz w:val="24"/>
          <w:szCs w:val="24"/>
        </w:rPr>
        <w:t>» (уборка мусора), Каменский цент</w:t>
      </w:r>
      <w:r w:rsidR="005D227B">
        <w:rPr>
          <w:rFonts w:ascii="Times New Roman" w:hAnsi="Times New Roman"/>
          <w:sz w:val="24"/>
          <w:szCs w:val="24"/>
        </w:rPr>
        <w:t>р</w:t>
      </w:r>
      <w:r w:rsidRPr="003F5257">
        <w:rPr>
          <w:rFonts w:ascii="Times New Roman" w:hAnsi="Times New Roman"/>
          <w:sz w:val="24"/>
          <w:szCs w:val="24"/>
        </w:rPr>
        <w:t xml:space="preserve"> развития ребенка, </w:t>
      </w:r>
      <w:r w:rsidR="005D227B">
        <w:rPr>
          <w:rFonts w:ascii="Times New Roman" w:hAnsi="Times New Roman"/>
          <w:sz w:val="24"/>
          <w:szCs w:val="24"/>
        </w:rPr>
        <w:t xml:space="preserve">                               </w:t>
      </w:r>
      <w:r w:rsidRPr="003F5257">
        <w:rPr>
          <w:rFonts w:ascii="Times New Roman" w:hAnsi="Times New Roman"/>
          <w:sz w:val="24"/>
          <w:szCs w:val="24"/>
        </w:rPr>
        <w:t xml:space="preserve">МОУ </w:t>
      </w:r>
      <w:proofErr w:type="gramStart"/>
      <w:r w:rsidRPr="003F5257">
        <w:rPr>
          <w:rFonts w:ascii="Times New Roman" w:hAnsi="Times New Roman"/>
          <w:sz w:val="24"/>
          <w:szCs w:val="24"/>
        </w:rPr>
        <w:t>ДО</w:t>
      </w:r>
      <w:proofErr w:type="gramEnd"/>
      <w:r w:rsidRPr="003F5257">
        <w:rPr>
          <w:rFonts w:ascii="Times New Roman" w:hAnsi="Times New Roman"/>
          <w:sz w:val="24"/>
          <w:szCs w:val="24"/>
        </w:rPr>
        <w:t xml:space="preserve"> «</w:t>
      </w:r>
      <w:proofErr w:type="gramStart"/>
      <w:r w:rsidRPr="003F5257">
        <w:rPr>
          <w:rFonts w:ascii="Times New Roman" w:hAnsi="Times New Roman"/>
          <w:sz w:val="24"/>
          <w:szCs w:val="24"/>
        </w:rPr>
        <w:t>Каменская</w:t>
      </w:r>
      <w:proofErr w:type="gramEnd"/>
      <w:r w:rsidRPr="003F5257">
        <w:rPr>
          <w:rFonts w:ascii="Times New Roman" w:hAnsi="Times New Roman"/>
          <w:sz w:val="24"/>
          <w:szCs w:val="24"/>
        </w:rPr>
        <w:t xml:space="preserve"> СДЮШОР», Администрация сел районов (благоустройство территорий);</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б) на курсовую профессиональную подготовку, переподготовку, повышение квалификации направлено 15 человек. Обучение проводилось по востребованным на рынке труда профессиям таким как: </w:t>
      </w:r>
      <w:proofErr w:type="spellStart"/>
      <w:r w:rsidRPr="003F5257">
        <w:rPr>
          <w:rFonts w:ascii="Times New Roman" w:hAnsi="Times New Roman"/>
          <w:sz w:val="24"/>
          <w:szCs w:val="24"/>
        </w:rPr>
        <w:t>газоэлектросварщик</w:t>
      </w:r>
      <w:proofErr w:type="spellEnd"/>
      <w:r w:rsidRPr="003F5257">
        <w:rPr>
          <w:rFonts w:ascii="Times New Roman" w:hAnsi="Times New Roman"/>
          <w:sz w:val="24"/>
          <w:szCs w:val="24"/>
        </w:rPr>
        <w:t xml:space="preserve">, продавец-кассир, </w:t>
      </w:r>
      <w:proofErr w:type="spellStart"/>
      <w:r w:rsidRPr="003F5257">
        <w:rPr>
          <w:rFonts w:ascii="Times New Roman" w:hAnsi="Times New Roman"/>
          <w:sz w:val="24"/>
          <w:szCs w:val="24"/>
        </w:rPr>
        <w:t>автослесарь</w:t>
      </w:r>
      <w:proofErr w:type="spellEnd"/>
      <w:r w:rsidRPr="003F5257">
        <w:rPr>
          <w:rFonts w:ascii="Times New Roman" w:hAnsi="Times New Roman"/>
          <w:sz w:val="24"/>
          <w:szCs w:val="24"/>
        </w:rPr>
        <w:t>, повар – кондитер, парикмахер, тракторист, электромонтер;</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в) по итогам I полугодия 2017 года проведено 5 «Ярмарок учебных мест», которые посетили более 2 100 человек и 1 мини-ярмарка вакансий «Экскурсия в профессию» в           г. Бендеры, в рамках которой ученикам 9-10-х классов была представлена возможность посетить предприятие обувной промышленности ЗАО «</w:t>
      </w:r>
      <w:proofErr w:type="spellStart"/>
      <w:r w:rsidRPr="003F5257">
        <w:rPr>
          <w:rFonts w:ascii="Times New Roman" w:hAnsi="Times New Roman"/>
          <w:sz w:val="24"/>
          <w:szCs w:val="24"/>
        </w:rPr>
        <w:t>Флоаре</w:t>
      </w:r>
      <w:proofErr w:type="spellEnd"/>
      <w:r w:rsidRPr="003F5257">
        <w:rPr>
          <w:rFonts w:ascii="Times New Roman" w:hAnsi="Times New Roman"/>
          <w:sz w:val="24"/>
          <w:szCs w:val="24"/>
        </w:rPr>
        <w:t>». Выпускникам школ республики и молодым людям, ранее окончившим учебные заведения, а также участникам ярмарки была представлена возможность ознакомиться с условиями приема и обучения в учебных организациях профессионального образования республики. Центрами социального страхования и социальной защиты городов и районов республики было оказано содействие в профессиональном самоопределении около 1,5 тысяч человек (проведены мероприятия по профессиональной ориентации);</w:t>
      </w:r>
    </w:p>
    <w:p w:rsidR="003F5257" w:rsidRPr="003F5257" w:rsidRDefault="003F5257" w:rsidP="003F5257">
      <w:pPr>
        <w:tabs>
          <w:tab w:val="left" w:pos="1134"/>
        </w:tabs>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г) оформлено на досрочную пенсию 19 граждан </w:t>
      </w:r>
      <w:proofErr w:type="spellStart"/>
      <w:r w:rsidRPr="003F5257">
        <w:rPr>
          <w:rFonts w:ascii="Times New Roman" w:hAnsi="Times New Roman"/>
          <w:sz w:val="24"/>
          <w:szCs w:val="24"/>
        </w:rPr>
        <w:t>предпенсионного</w:t>
      </w:r>
      <w:proofErr w:type="spellEnd"/>
      <w:r w:rsidRPr="003F5257">
        <w:rPr>
          <w:rFonts w:ascii="Times New Roman" w:hAnsi="Times New Roman"/>
          <w:sz w:val="24"/>
          <w:szCs w:val="24"/>
        </w:rPr>
        <w:t xml:space="preserve"> возраста, уволенных с последнего места работы в связи с ликвидацией организации, сокращением численности или штата работников организации;</w:t>
      </w:r>
    </w:p>
    <w:p w:rsidR="003F5257" w:rsidRPr="003F5257" w:rsidRDefault="003F5257" w:rsidP="003F5257">
      <w:pPr>
        <w:tabs>
          <w:tab w:val="left" w:pos="1134"/>
        </w:tabs>
        <w:spacing w:after="0" w:line="240" w:lineRule="auto"/>
        <w:ind w:firstLine="709"/>
        <w:jc w:val="both"/>
        <w:rPr>
          <w:rFonts w:ascii="Times New Roman" w:hAnsi="Times New Roman"/>
          <w:sz w:val="24"/>
          <w:szCs w:val="24"/>
        </w:rPr>
      </w:pPr>
      <w:proofErr w:type="spellStart"/>
      <w:r w:rsidRPr="003F5257">
        <w:rPr>
          <w:rFonts w:ascii="Times New Roman" w:hAnsi="Times New Roman"/>
          <w:sz w:val="24"/>
          <w:szCs w:val="24"/>
        </w:rPr>
        <w:t>д</w:t>
      </w:r>
      <w:proofErr w:type="spellEnd"/>
      <w:r w:rsidRPr="003F5257">
        <w:rPr>
          <w:rFonts w:ascii="Times New Roman" w:hAnsi="Times New Roman"/>
          <w:sz w:val="24"/>
          <w:szCs w:val="24"/>
        </w:rPr>
        <w:t>) на постоянную работу трудоустроено 947 граждан, зарегистрированных</w:t>
      </w:r>
      <w:r w:rsidR="005D227B">
        <w:rPr>
          <w:rFonts w:ascii="Times New Roman" w:hAnsi="Times New Roman"/>
          <w:sz w:val="24"/>
          <w:szCs w:val="24"/>
        </w:rPr>
        <w:t xml:space="preserve"> </w:t>
      </w:r>
      <w:r w:rsidRPr="003F5257">
        <w:rPr>
          <w:rFonts w:ascii="Times New Roman" w:hAnsi="Times New Roman"/>
          <w:sz w:val="24"/>
          <w:szCs w:val="24"/>
        </w:rPr>
        <w:t>в Центрах социального страхования и социальной защиты.</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На реализацию программ активной политики занятости в январе-июне 2017 года израсходовано 277,0 тыс. рублей, на материальную поддержку безработных граждан - около 11,5 млн. рублей.</w:t>
      </w:r>
    </w:p>
    <w:p w:rsidR="003F5257" w:rsidRPr="003F5257" w:rsidRDefault="003F5257" w:rsidP="003F5257">
      <w:pPr>
        <w:spacing w:after="0" w:line="240" w:lineRule="auto"/>
        <w:ind w:firstLine="709"/>
        <w:jc w:val="both"/>
        <w:rPr>
          <w:rFonts w:ascii="Times New Roman" w:hAnsi="Times New Roman"/>
          <w:sz w:val="24"/>
          <w:szCs w:val="24"/>
        </w:rPr>
      </w:pPr>
      <w:r w:rsidRPr="003F5257">
        <w:rPr>
          <w:rFonts w:ascii="Times New Roman" w:hAnsi="Times New Roman"/>
          <w:sz w:val="24"/>
          <w:szCs w:val="24"/>
        </w:rPr>
        <w:t xml:space="preserve">Средний размер пособия по безработице в отчетном периоде составил                     417,10 рублей против 429,60 рублей в январе-июне 2016 года. Среднесписочная численность безработных, ежемесячно получавших пособие по безработице, </w:t>
      </w:r>
      <w:r w:rsidR="006D627A">
        <w:rPr>
          <w:rFonts w:ascii="Times New Roman" w:hAnsi="Times New Roman"/>
          <w:sz w:val="24"/>
          <w:szCs w:val="24"/>
        </w:rPr>
        <w:t xml:space="preserve">возросла на 1 609 человек и </w:t>
      </w:r>
      <w:r w:rsidRPr="003F5257">
        <w:rPr>
          <w:rFonts w:ascii="Times New Roman" w:hAnsi="Times New Roman"/>
          <w:sz w:val="24"/>
          <w:szCs w:val="24"/>
        </w:rPr>
        <w:t xml:space="preserve">сложилась на уровне </w:t>
      </w:r>
      <w:r w:rsidR="006D627A">
        <w:rPr>
          <w:rFonts w:ascii="Times New Roman" w:hAnsi="Times New Roman"/>
          <w:sz w:val="24"/>
          <w:szCs w:val="24"/>
        </w:rPr>
        <w:t>4 531 человек</w:t>
      </w:r>
      <w:r w:rsidRPr="003F5257">
        <w:rPr>
          <w:rFonts w:ascii="Times New Roman" w:hAnsi="Times New Roman"/>
          <w:sz w:val="24"/>
          <w:szCs w:val="24"/>
        </w:rPr>
        <w:t>.</w:t>
      </w:r>
    </w:p>
    <w:p w:rsidR="006E2BBC" w:rsidRDefault="003F5257" w:rsidP="006E2BBC">
      <w:pPr>
        <w:spacing w:after="0" w:line="240" w:lineRule="auto"/>
        <w:ind w:firstLine="709"/>
        <w:jc w:val="both"/>
        <w:rPr>
          <w:rFonts w:ascii="Times New Roman" w:hAnsi="Times New Roman"/>
          <w:color w:val="000000"/>
          <w:sz w:val="24"/>
          <w:szCs w:val="24"/>
          <w:shd w:val="clear" w:color="auto" w:fill="FFFFFF"/>
        </w:rPr>
      </w:pPr>
      <w:r w:rsidRPr="003F5257">
        <w:rPr>
          <w:rFonts w:ascii="Times New Roman" w:hAnsi="Times New Roman"/>
          <w:sz w:val="24"/>
          <w:szCs w:val="24"/>
          <w:shd w:val="clear" w:color="auto" w:fill="FFFFFF"/>
        </w:rPr>
        <w:t xml:space="preserve">Трудовая миграция населения, </w:t>
      </w:r>
      <w:r w:rsidRPr="003F5257">
        <w:rPr>
          <w:rFonts w:ascii="Times New Roman" w:hAnsi="Times New Roman"/>
          <w:color w:val="000000"/>
          <w:sz w:val="24"/>
          <w:szCs w:val="24"/>
        </w:rPr>
        <w:t>ведущая к</w:t>
      </w:r>
      <w:r w:rsidRPr="003F5257">
        <w:rPr>
          <w:rFonts w:ascii="Times New Roman" w:hAnsi="Times New Roman"/>
          <w:color w:val="000000"/>
          <w:sz w:val="24"/>
          <w:szCs w:val="24"/>
          <w:shd w:val="clear" w:color="auto" w:fill="FFFFFF"/>
        </w:rPr>
        <w:t xml:space="preserve"> «старению» трудовых ресурсов и, как следствие, сокращению численности населения в трудоспособном возрасте, в совокупности с дисбалансом в функционировании системы образования и спроса экономики на рабочую силу определенных профессий и квалификаций, ведет к уменьшению численности трудовых ресурсов и ухудшению их качественных характеристик. Качественное несоответствие параметров спроса на рабочую силу и её предложения приводит к существованию структурной безработицы и неудовлетворенного спроса на труд, а также неэффективного использования рабочей силы, так как часть населения работает не по специальности и, как следствие, теряет часть своего дохода.</w:t>
      </w:r>
    </w:p>
    <w:p w:rsidR="00146BB8" w:rsidRDefault="00146BB8" w:rsidP="00146BB8">
      <w:pPr>
        <w:spacing w:after="0" w:line="240" w:lineRule="auto"/>
        <w:ind w:firstLine="720"/>
        <w:jc w:val="both"/>
        <w:rPr>
          <w:rFonts w:ascii="Times New Roman" w:hAnsi="Times New Roman"/>
          <w:b/>
          <w:sz w:val="24"/>
          <w:szCs w:val="24"/>
        </w:rPr>
      </w:pPr>
    </w:p>
    <w:p w:rsidR="003F227B" w:rsidRDefault="003F227B" w:rsidP="00146BB8">
      <w:pPr>
        <w:spacing w:after="0" w:line="240" w:lineRule="auto"/>
        <w:ind w:firstLine="720"/>
        <w:jc w:val="both"/>
        <w:rPr>
          <w:rFonts w:ascii="Times New Roman" w:hAnsi="Times New Roman"/>
          <w:b/>
          <w:sz w:val="24"/>
          <w:szCs w:val="24"/>
        </w:rPr>
      </w:pPr>
      <w:r>
        <w:rPr>
          <w:rFonts w:ascii="Times New Roman" w:hAnsi="Times New Roman"/>
          <w:b/>
          <w:sz w:val="24"/>
          <w:szCs w:val="24"/>
        </w:rPr>
        <w:t>Финансы</w:t>
      </w:r>
    </w:p>
    <w:p w:rsidR="00146BB8" w:rsidRPr="0080737A" w:rsidRDefault="00146BB8" w:rsidP="00146BB8">
      <w:pPr>
        <w:spacing w:after="0" w:line="240" w:lineRule="auto"/>
        <w:ind w:firstLine="720"/>
        <w:jc w:val="both"/>
        <w:rPr>
          <w:rFonts w:ascii="Times New Roman" w:hAnsi="Times New Roman"/>
          <w:b/>
          <w:sz w:val="24"/>
          <w:szCs w:val="24"/>
        </w:rPr>
      </w:pPr>
    </w:p>
    <w:p w:rsidR="00146BB8" w:rsidRPr="006E2BBC" w:rsidRDefault="00146BB8" w:rsidP="00146BB8">
      <w:pPr>
        <w:widowControl w:val="0"/>
        <w:spacing w:after="0" w:line="240" w:lineRule="auto"/>
        <w:ind w:firstLine="709"/>
        <w:contextualSpacing/>
        <w:jc w:val="both"/>
        <w:rPr>
          <w:rFonts w:ascii="Times New Roman" w:hAnsi="Times New Roman"/>
          <w:b/>
          <w:sz w:val="24"/>
          <w:szCs w:val="24"/>
        </w:rPr>
      </w:pPr>
      <w:r w:rsidRPr="006E2BBC">
        <w:rPr>
          <w:rFonts w:ascii="Times New Roman" w:hAnsi="Times New Roman"/>
          <w:b/>
          <w:sz w:val="24"/>
          <w:szCs w:val="24"/>
        </w:rPr>
        <w:t>Исполнение Консолидированного бюджета</w:t>
      </w:r>
    </w:p>
    <w:p w:rsidR="00146BB8" w:rsidRDefault="00146BB8" w:rsidP="00146BB8">
      <w:pPr>
        <w:widowControl w:val="0"/>
        <w:tabs>
          <w:tab w:val="left" w:pos="630"/>
        </w:tabs>
        <w:autoSpaceDE w:val="0"/>
        <w:autoSpaceDN w:val="0"/>
        <w:adjustRightInd w:val="0"/>
        <w:spacing w:after="0" w:line="240" w:lineRule="auto"/>
        <w:ind w:firstLine="720"/>
        <w:jc w:val="both"/>
        <w:rPr>
          <w:rFonts w:ascii="Times New Roman" w:hAnsi="Times New Roman"/>
          <w:sz w:val="24"/>
          <w:szCs w:val="24"/>
        </w:rPr>
      </w:pPr>
    </w:p>
    <w:p w:rsidR="00146BB8" w:rsidRPr="00D16741" w:rsidRDefault="00146BB8" w:rsidP="00146BB8">
      <w:pPr>
        <w:shd w:val="clear" w:color="auto" w:fill="FFFFFF"/>
        <w:spacing w:after="0" w:line="240" w:lineRule="auto"/>
        <w:ind w:firstLine="709"/>
        <w:jc w:val="both"/>
        <w:rPr>
          <w:rFonts w:ascii="Times New Roman" w:eastAsia="Calibri" w:hAnsi="Times New Roman"/>
          <w:sz w:val="24"/>
          <w:szCs w:val="24"/>
          <w:shd w:val="clear" w:color="auto" w:fill="FFFFFF"/>
        </w:rPr>
      </w:pPr>
      <w:r w:rsidRPr="00D16741">
        <w:rPr>
          <w:rFonts w:ascii="Times New Roman" w:eastAsia="Calibri" w:hAnsi="Times New Roman"/>
          <w:sz w:val="24"/>
          <w:szCs w:val="24"/>
          <w:shd w:val="clear" w:color="auto" w:fill="FFFFFF"/>
        </w:rPr>
        <w:t>Бюджетная политика в январе – июне 2017 года строилась исходя из</w:t>
      </w:r>
      <w:r>
        <w:rPr>
          <w:rFonts w:ascii="Times New Roman" w:eastAsia="Calibri" w:hAnsi="Times New Roman"/>
          <w:sz w:val="24"/>
          <w:szCs w:val="24"/>
          <w:shd w:val="clear" w:color="auto" w:fill="FFFFFF"/>
        </w:rPr>
        <w:t xml:space="preserve"> реальных</w:t>
      </w:r>
      <w:r w:rsidRPr="00D16741">
        <w:rPr>
          <w:rFonts w:ascii="Times New Roman" w:eastAsia="Calibri" w:hAnsi="Times New Roman"/>
          <w:sz w:val="24"/>
          <w:szCs w:val="24"/>
          <w:shd w:val="clear" w:color="auto" w:fill="FFFFFF"/>
        </w:rPr>
        <w:t xml:space="preserve"> возможностей бюджетов всех уровней</w:t>
      </w:r>
      <w:r>
        <w:rPr>
          <w:rFonts w:ascii="Times New Roman" w:eastAsia="Calibri" w:hAnsi="Times New Roman"/>
          <w:sz w:val="24"/>
          <w:szCs w:val="24"/>
          <w:shd w:val="clear" w:color="auto" w:fill="FFFFFF"/>
        </w:rPr>
        <w:t xml:space="preserve"> по выполнению государственных обязательств</w:t>
      </w:r>
      <w:r w:rsidRPr="00D16741">
        <w:rPr>
          <w:rFonts w:ascii="Times New Roman" w:eastAsia="Calibri" w:hAnsi="Times New Roman"/>
          <w:sz w:val="24"/>
          <w:szCs w:val="24"/>
          <w:shd w:val="clear" w:color="auto" w:fill="FFFFFF"/>
        </w:rPr>
        <w:t xml:space="preserve"> в </w:t>
      </w:r>
      <w:r w:rsidRPr="00D16741">
        <w:rPr>
          <w:rFonts w:ascii="Times New Roman" w:eastAsia="Calibri" w:hAnsi="Times New Roman"/>
          <w:sz w:val="24"/>
          <w:szCs w:val="24"/>
          <w:shd w:val="clear" w:color="auto" w:fill="FFFFFF"/>
        </w:rPr>
        <w:lastRenderedPageBreak/>
        <w:t>условиях сложной общеэкономической ситуации в республике, влияющей на формирование доходной части.</w:t>
      </w:r>
    </w:p>
    <w:p w:rsidR="00146BB8" w:rsidRPr="00D16741" w:rsidRDefault="00146BB8" w:rsidP="00146BB8">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По итогам отчетного периода в</w:t>
      </w:r>
      <w:r w:rsidRPr="00D16741">
        <w:rPr>
          <w:rFonts w:ascii="Times New Roman" w:eastAsia="Calibri" w:hAnsi="Times New Roman"/>
          <w:sz w:val="24"/>
          <w:szCs w:val="24"/>
        </w:rPr>
        <w:t xml:space="preserve"> доходную часть консолидированного бюджета поступило средств на сумму 1 187 982 781 руб. (с учетом перечисления чистого дохода центрального банка и гуманитарной помощи Российской Федерации), что на 3,8% (43 561 941 руб.) больше </w:t>
      </w:r>
      <w:r>
        <w:rPr>
          <w:rFonts w:ascii="Times New Roman" w:eastAsia="Calibri" w:hAnsi="Times New Roman"/>
          <w:sz w:val="24"/>
          <w:szCs w:val="24"/>
        </w:rPr>
        <w:t>сопоставимого уровня</w:t>
      </w:r>
      <w:r w:rsidRPr="00D16741">
        <w:rPr>
          <w:rFonts w:ascii="Times New Roman" w:eastAsia="Calibri" w:hAnsi="Times New Roman"/>
          <w:sz w:val="24"/>
          <w:szCs w:val="24"/>
        </w:rPr>
        <w:t xml:space="preserve"> 2016 года. </w:t>
      </w:r>
    </w:p>
    <w:p w:rsidR="00146BB8" w:rsidRPr="00D16741" w:rsidRDefault="005D227B" w:rsidP="005D227B">
      <w:pPr>
        <w:keepNext/>
        <w:spacing w:after="0" w:line="240" w:lineRule="auto"/>
        <w:contextualSpacing/>
        <w:jc w:val="center"/>
        <w:rPr>
          <w:rFonts w:ascii="Times New Roman" w:eastAsia="Calibri" w:hAnsi="Times New Roman"/>
          <w:b/>
          <w:bCs/>
          <w:sz w:val="24"/>
          <w:szCs w:val="24"/>
        </w:rPr>
      </w:pPr>
      <w:r>
        <w:rPr>
          <w:rFonts w:ascii="Times New Roman" w:eastAsia="Calibri" w:hAnsi="Times New Roman"/>
          <w:sz w:val="24"/>
          <w:szCs w:val="24"/>
        </w:rPr>
        <w:t xml:space="preserve">                                                        </w:t>
      </w:r>
      <w:r w:rsidR="001F3D44">
        <w:rPr>
          <w:rFonts w:ascii="Times New Roman" w:eastAsia="Calibri" w:hAnsi="Times New Roman"/>
          <w:sz w:val="24"/>
          <w:szCs w:val="24"/>
        </w:rPr>
        <w:t xml:space="preserve">                      </w:t>
      </w:r>
      <w:r>
        <w:rPr>
          <w:rFonts w:ascii="Times New Roman" w:eastAsia="Calibri" w:hAnsi="Times New Roman"/>
          <w:sz w:val="24"/>
          <w:szCs w:val="24"/>
        </w:rPr>
        <w:t xml:space="preserve">    </w:t>
      </w:r>
      <w:r w:rsidR="00146BB8" w:rsidRPr="00D16741">
        <w:rPr>
          <w:rFonts w:ascii="Times New Roman" w:eastAsia="Calibri" w:hAnsi="Times New Roman"/>
          <w:sz w:val="24"/>
          <w:szCs w:val="24"/>
        </w:rPr>
        <w:t>Таблица №</w:t>
      </w:r>
      <w:r w:rsidR="00091304">
        <w:rPr>
          <w:rFonts w:ascii="Times New Roman" w:eastAsia="Calibri" w:hAnsi="Times New Roman"/>
          <w:sz w:val="24"/>
          <w:szCs w:val="24"/>
        </w:rPr>
        <w:t>7</w:t>
      </w:r>
    </w:p>
    <w:p w:rsidR="00146BB8" w:rsidRPr="00832D29" w:rsidRDefault="00146BB8" w:rsidP="00146BB8">
      <w:pPr>
        <w:keepNext/>
        <w:spacing w:after="0" w:line="240" w:lineRule="auto"/>
        <w:contextualSpacing/>
        <w:jc w:val="center"/>
        <w:rPr>
          <w:rFonts w:ascii="Times New Roman" w:eastAsia="Calibri" w:hAnsi="Times New Roman"/>
          <w:b/>
          <w:bCs/>
        </w:rPr>
      </w:pPr>
      <w:r w:rsidRPr="00832D29">
        <w:rPr>
          <w:rFonts w:ascii="Times New Roman" w:eastAsia="Calibri" w:hAnsi="Times New Roman"/>
          <w:b/>
          <w:bCs/>
        </w:rPr>
        <w:t xml:space="preserve">Структура исполнения доходной части </w:t>
      </w:r>
    </w:p>
    <w:p w:rsidR="00146BB8" w:rsidRPr="00832D29" w:rsidRDefault="00146BB8" w:rsidP="00146BB8">
      <w:pPr>
        <w:keepNext/>
        <w:spacing w:after="0" w:line="240" w:lineRule="auto"/>
        <w:contextualSpacing/>
        <w:jc w:val="center"/>
        <w:rPr>
          <w:rFonts w:ascii="Times New Roman" w:eastAsia="Calibri" w:hAnsi="Times New Roman"/>
          <w:b/>
          <w:bCs/>
        </w:rPr>
      </w:pPr>
      <w:r w:rsidRPr="00832D29">
        <w:rPr>
          <w:rFonts w:ascii="Times New Roman" w:eastAsia="Calibri" w:hAnsi="Times New Roman"/>
          <w:b/>
          <w:bCs/>
        </w:rPr>
        <w:t xml:space="preserve">Консолидированного бюджета </w:t>
      </w:r>
    </w:p>
    <w:tbl>
      <w:tblPr>
        <w:tblpPr w:leftFromText="180" w:rightFromText="180" w:vertAnchor="text" w:horzAnchor="page" w:tblpX="2488" w:tblpY="63"/>
        <w:tblW w:w="7479" w:type="dxa"/>
        <w:tblLook w:val="0000"/>
      </w:tblPr>
      <w:tblGrid>
        <w:gridCol w:w="2802"/>
        <w:gridCol w:w="1559"/>
        <w:gridCol w:w="1559"/>
        <w:gridCol w:w="1559"/>
      </w:tblGrid>
      <w:tr w:rsidR="00146BB8" w:rsidRPr="00D16741" w:rsidTr="00832D29">
        <w:trPr>
          <w:cantSplit/>
          <w:trHeight w:val="60"/>
        </w:trPr>
        <w:tc>
          <w:tcPr>
            <w:tcW w:w="2802" w:type="dxa"/>
            <w:tcBorders>
              <w:top w:val="single" w:sz="4" w:space="0" w:color="auto"/>
              <w:left w:val="single" w:sz="8" w:space="0" w:color="auto"/>
              <w:bottom w:val="nil"/>
              <w:right w:val="nil"/>
            </w:tcBorders>
            <w:noWrap/>
          </w:tcPr>
          <w:p w:rsidR="00146BB8" w:rsidRPr="00D16741" w:rsidRDefault="00146BB8" w:rsidP="006A3EF7">
            <w:pPr>
              <w:spacing w:after="0" w:line="240" w:lineRule="auto"/>
              <w:ind w:left="-1134"/>
              <w:rPr>
                <w:rFonts w:ascii="Times New Roman" w:eastAsia="Calibri" w:hAnsi="Times New Roman"/>
                <w:b/>
                <w:bCs/>
              </w:rPr>
            </w:pPr>
            <w:r w:rsidRPr="00D16741">
              <w:rPr>
                <w:rFonts w:ascii="Times New Roman" w:eastAsia="Calibri" w:hAnsi="Times New Roman"/>
                <w:b/>
                <w:bCs/>
              </w:rPr>
              <w:t> </w:t>
            </w:r>
          </w:p>
        </w:tc>
        <w:tc>
          <w:tcPr>
            <w:tcW w:w="1559" w:type="dxa"/>
            <w:vMerge w:val="restart"/>
            <w:tcBorders>
              <w:top w:val="single" w:sz="4" w:space="0" w:color="auto"/>
              <w:left w:val="single" w:sz="8" w:space="0" w:color="auto"/>
              <w:bottom w:val="single" w:sz="8" w:space="0" w:color="000000"/>
              <w:right w:val="single" w:sz="8" w:space="0" w:color="auto"/>
            </w:tcBorders>
            <w:noWrap/>
            <w:vAlign w:val="center"/>
          </w:tcPr>
          <w:p w:rsidR="00146BB8" w:rsidRPr="00D16741" w:rsidRDefault="00146BB8" w:rsidP="006A3EF7">
            <w:pPr>
              <w:spacing w:after="0" w:line="240" w:lineRule="auto"/>
              <w:jc w:val="center"/>
              <w:rPr>
                <w:rFonts w:ascii="Times New Roman" w:eastAsia="Calibri" w:hAnsi="Times New Roman"/>
                <w:b/>
                <w:bCs/>
              </w:rPr>
            </w:pPr>
            <w:r w:rsidRPr="00D16741">
              <w:rPr>
                <w:rFonts w:ascii="Times New Roman" w:eastAsia="Calibri" w:hAnsi="Times New Roman"/>
                <w:b/>
                <w:bCs/>
              </w:rPr>
              <w:t>2016 год</w:t>
            </w:r>
          </w:p>
        </w:tc>
        <w:tc>
          <w:tcPr>
            <w:tcW w:w="1559" w:type="dxa"/>
            <w:vMerge w:val="restart"/>
            <w:tcBorders>
              <w:top w:val="single" w:sz="4" w:space="0" w:color="auto"/>
              <w:left w:val="single" w:sz="8" w:space="0" w:color="auto"/>
              <w:bottom w:val="single" w:sz="8" w:space="0" w:color="000000"/>
              <w:right w:val="single" w:sz="8" w:space="0" w:color="auto"/>
            </w:tcBorders>
            <w:noWrap/>
            <w:vAlign w:val="center"/>
          </w:tcPr>
          <w:p w:rsidR="00146BB8" w:rsidRPr="00D16741" w:rsidRDefault="00146BB8" w:rsidP="006A3EF7">
            <w:pPr>
              <w:spacing w:after="0" w:line="240" w:lineRule="auto"/>
              <w:jc w:val="center"/>
              <w:rPr>
                <w:rFonts w:ascii="Times New Roman" w:eastAsia="Calibri" w:hAnsi="Times New Roman"/>
                <w:b/>
                <w:bCs/>
              </w:rPr>
            </w:pPr>
            <w:r w:rsidRPr="00D16741">
              <w:rPr>
                <w:rFonts w:ascii="Times New Roman" w:eastAsia="Calibri" w:hAnsi="Times New Roman"/>
                <w:b/>
                <w:bCs/>
              </w:rPr>
              <w:t>2017 год</w:t>
            </w:r>
          </w:p>
        </w:tc>
        <w:tc>
          <w:tcPr>
            <w:tcW w:w="1559" w:type="dxa"/>
            <w:vMerge w:val="restart"/>
            <w:tcBorders>
              <w:top w:val="single" w:sz="4" w:space="0" w:color="auto"/>
              <w:left w:val="nil"/>
              <w:right w:val="single" w:sz="8" w:space="0" w:color="auto"/>
            </w:tcBorders>
          </w:tcPr>
          <w:p w:rsidR="00146BB8" w:rsidRPr="00D16741" w:rsidRDefault="00146BB8" w:rsidP="006A3EF7">
            <w:pPr>
              <w:spacing w:after="0" w:line="240" w:lineRule="auto"/>
              <w:ind w:left="-59"/>
              <w:jc w:val="center"/>
              <w:rPr>
                <w:rFonts w:ascii="Times New Roman" w:eastAsia="Calibri" w:hAnsi="Times New Roman"/>
                <w:b/>
                <w:bCs/>
              </w:rPr>
            </w:pPr>
            <w:r w:rsidRPr="00D16741">
              <w:rPr>
                <w:rFonts w:ascii="Times New Roman" w:eastAsia="Calibri" w:hAnsi="Times New Roman"/>
                <w:b/>
                <w:bCs/>
              </w:rPr>
              <w:t>Темп роста 2017 года к 2016 году, %</w:t>
            </w:r>
          </w:p>
        </w:tc>
      </w:tr>
      <w:tr w:rsidR="00146BB8" w:rsidRPr="00D16741" w:rsidTr="006A3EF7">
        <w:trPr>
          <w:cantSplit/>
          <w:trHeight w:val="549"/>
        </w:trPr>
        <w:tc>
          <w:tcPr>
            <w:tcW w:w="2802" w:type="dxa"/>
            <w:tcBorders>
              <w:top w:val="nil"/>
              <w:left w:val="single" w:sz="8" w:space="0" w:color="auto"/>
              <w:bottom w:val="single" w:sz="8" w:space="0" w:color="auto"/>
              <w:right w:val="nil"/>
            </w:tcBorders>
            <w:noWrap/>
          </w:tcPr>
          <w:p w:rsidR="00146BB8" w:rsidRPr="00D16741" w:rsidRDefault="00146BB8" w:rsidP="006A3EF7">
            <w:pPr>
              <w:spacing w:after="0" w:line="240" w:lineRule="auto"/>
              <w:rPr>
                <w:rFonts w:ascii="Times New Roman" w:eastAsia="Calibri" w:hAnsi="Times New Roman"/>
                <w:b/>
                <w:bCs/>
              </w:rPr>
            </w:pPr>
            <w:r w:rsidRPr="00D16741">
              <w:rPr>
                <w:rFonts w:ascii="Times New Roman" w:eastAsia="Calibri" w:hAnsi="Times New Roman"/>
                <w:b/>
                <w:bCs/>
              </w:rPr>
              <w:t> </w:t>
            </w:r>
          </w:p>
        </w:tc>
        <w:tc>
          <w:tcPr>
            <w:tcW w:w="1559" w:type="dxa"/>
            <w:vMerge/>
            <w:tcBorders>
              <w:top w:val="single" w:sz="4" w:space="0" w:color="auto"/>
              <w:left w:val="single" w:sz="8" w:space="0" w:color="auto"/>
              <w:bottom w:val="single" w:sz="8" w:space="0" w:color="000000"/>
              <w:right w:val="single" w:sz="8" w:space="0" w:color="auto"/>
            </w:tcBorders>
            <w:vAlign w:val="center"/>
          </w:tcPr>
          <w:p w:rsidR="00146BB8" w:rsidRPr="00D16741" w:rsidRDefault="00146BB8" w:rsidP="006A3EF7">
            <w:pPr>
              <w:spacing w:after="0" w:line="240" w:lineRule="auto"/>
              <w:jc w:val="center"/>
              <w:rPr>
                <w:rFonts w:ascii="Times New Roman" w:eastAsia="Calibri" w:hAnsi="Times New Roman"/>
                <w:b/>
                <w:bCs/>
              </w:rPr>
            </w:pPr>
          </w:p>
        </w:tc>
        <w:tc>
          <w:tcPr>
            <w:tcW w:w="1559" w:type="dxa"/>
            <w:vMerge/>
            <w:tcBorders>
              <w:top w:val="single" w:sz="4" w:space="0" w:color="auto"/>
              <w:left w:val="single" w:sz="8" w:space="0" w:color="auto"/>
              <w:bottom w:val="single" w:sz="8" w:space="0" w:color="000000"/>
              <w:right w:val="single" w:sz="8" w:space="0" w:color="auto"/>
            </w:tcBorders>
            <w:vAlign w:val="center"/>
          </w:tcPr>
          <w:p w:rsidR="00146BB8" w:rsidRPr="00D16741" w:rsidRDefault="00146BB8" w:rsidP="006A3EF7">
            <w:pPr>
              <w:spacing w:after="0" w:line="240" w:lineRule="auto"/>
              <w:jc w:val="center"/>
              <w:rPr>
                <w:rFonts w:ascii="Times New Roman" w:eastAsia="Calibri" w:hAnsi="Times New Roman"/>
                <w:b/>
                <w:bCs/>
              </w:rPr>
            </w:pPr>
          </w:p>
        </w:tc>
        <w:tc>
          <w:tcPr>
            <w:tcW w:w="1559" w:type="dxa"/>
            <w:vMerge/>
            <w:tcBorders>
              <w:left w:val="nil"/>
              <w:bottom w:val="single" w:sz="8" w:space="0" w:color="auto"/>
              <w:right w:val="single" w:sz="8" w:space="0" w:color="auto"/>
            </w:tcBorders>
          </w:tcPr>
          <w:p w:rsidR="00146BB8" w:rsidRPr="00D16741" w:rsidRDefault="00146BB8" w:rsidP="006A3EF7">
            <w:pPr>
              <w:spacing w:after="0" w:line="240" w:lineRule="auto"/>
              <w:jc w:val="center"/>
              <w:rPr>
                <w:rFonts w:ascii="Times New Roman" w:eastAsia="Calibri" w:hAnsi="Times New Roman"/>
                <w:b/>
                <w:bCs/>
              </w:rPr>
            </w:pPr>
          </w:p>
        </w:tc>
      </w:tr>
      <w:tr w:rsidR="00146BB8" w:rsidRPr="00D16741" w:rsidTr="006A3EF7">
        <w:trPr>
          <w:trHeight w:val="562"/>
        </w:trPr>
        <w:tc>
          <w:tcPr>
            <w:tcW w:w="2802" w:type="dxa"/>
            <w:tcBorders>
              <w:top w:val="nil"/>
              <w:left w:val="single" w:sz="8" w:space="0" w:color="auto"/>
              <w:bottom w:val="nil"/>
              <w:right w:val="nil"/>
            </w:tcBorders>
            <w:noWrap/>
            <w:vAlign w:val="center"/>
          </w:tcPr>
          <w:p w:rsidR="00146BB8" w:rsidRPr="00D16741" w:rsidRDefault="00146BB8" w:rsidP="006A3EF7">
            <w:pPr>
              <w:spacing w:after="0" w:line="240" w:lineRule="auto"/>
              <w:ind w:left="-56"/>
              <w:rPr>
                <w:rFonts w:ascii="Times New Roman" w:eastAsia="Calibri" w:hAnsi="Times New Roman"/>
                <w:b/>
                <w:bCs/>
              </w:rPr>
            </w:pPr>
            <w:r w:rsidRPr="00D16741">
              <w:rPr>
                <w:rFonts w:ascii="Times New Roman" w:eastAsia="Calibri" w:hAnsi="Times New Roman"/>
                <w:b/>
                <w:bCs/>
              </w:rPr>
              <w:t>Консолидированный бюджет, в т.ч.:</w:t>
            </w:r>
          </w:p>
        </w:tc>
        <w:tc>
          <w:tcPr>
            <w:tcW w:w="1559" w:type="dxa"/>
            <w:tcBorders>
              <w:top w:val="nil"/>
              <w:left w:val="single" w:sz="8" w:space="0" w:color="auto"/>
              <w:bottom w:val="single" w:sz="4" w:space="0" w:color="000000"/>
              <w:right w:val="single" w:sz="8" w:space="0" w:color="auto"/>
            </w:tcBorders>
            <w:noWrap/>
            <w:vAlign w:val="center"/>
          </w:tcPr>
          <w:p w:rsidR="00146BB8" w:rsidRPr="00D16741" w:rsidRDefault="00146BB8" w:rsidP="006A3EF7">
            <w:pPr>
              <w:spacing w:after="0" w:line="240" w:lineRule="auto"/>
              <w:ind w:left="-123" w:right="-61"/>
              <w:jc w:val="center"/>
              <w:rPr>
                <w:rFonts w:ascii="Times New Roman" w:eastAsia="Calibri" w:hAnsi="Times New Roman"/>
                <w:b/>
                <w:bCs/>
              </w:rPr>
            </w:pPr>
            <w:r w:rsidRPr="00D16741">
              <w:rPr>
                <w:rFonts w:ascii="Times New Roman" w:eastAsia="Calibri" w:hAnsi="Times New Roman"/>
                <w:b/>
                <w:bCs/>
              </w:rPr>
              <w:t xml:space="preserve">1 144 420 840 </w:t>
            </w:r>
          </w:p>
        </w:tc>
        <w:tc>
          <w:tcPr>
            <w:tcW w:w="1559" w:type="dxa"/>
            <w:tcBorders>
              <w:top w:val="nil"/>
              <w:left w:val="single" w:sz="8" w:space="0" w:color="auto"/>
              <w:bottom w:val="nil"/>
              <w:right w:val="single" w:sz="8" w:space="0" w:color="auto"/>
            </w:tcBorders>
            <w:noWrap/>
            <w:vAlign w:val="center"/>
          </w:tcPr>
          <w:p w:rsidR="00146BB8" w:rsidRPr="00D16741" w:rsidRDefault="00146BB8" w:rsidP="006A3EF7">
            <w:pPr>
              <w:spacing w:after="0" w:line="240" w:lineRule="auto"/>
              <w:ind w:left="-155" w:right="-190"/>
              <w:jc w:val="center"/>
              <w:rPr>
                <w:rFonts w:ascii="Times New Roman" w:eastAsia="Calibri" w:hAnsi="Times New Roman"/>
                <w:b/>
                <w:bCs/>
              </w:rPr>
            </w:pPr>
            <w:r w:rsidRPr="00D16741">
              <w:rPr>
                <w:rFonts w:ascii="Times New Roman" w:eastAsia="Calibri" w:hAnsi="Times New Roman"/>
                <w:b/>
                <w:bCs/>
              </w:rPr>
              <w:t xml:space="preserve">1 187 982 781  </w:t>
            </w:r>
          </w:p>
        </w:tc>
        <w:tc>
          <w:tcPr>
            <w:tcW w:w="1559" w:type="dxa"/>
            <w:tcBorders>
              <w:top w:val="nil"/>
              <w:left w:val="single" w:sz="8" w:space="0" w:color="auto"/>
              <w:bottom w:val="single" w:sz="4" w:space="0" w:color="000000"/>
              <w:right w:val="single" w:sz="8" w:space="0" w:color="auto"/>
            </w:tcBorders>
            <w:vAlign w:val="center"/>
          </w:tcPr>
          <w:p w:rsidR="00146BB8" w:rsidRPr="00D16741" w:rsidRDefault="00146BB8" w:rsidP="006A3EF7">
            <w:pPr>
              <w:spacing w:after="0" w:line="240" w:lineRule="auto"/>
              <w:jc w:val="center"/>
              <w:rPr>
                <w:rFonts w:ascii="Times New Roman" w:eastAsia="Calibri" w:hAnsi="Times New Roman"/>
                <w:b/>
                <w:bCs/>
              </w:rPr>
            </w:pPr>
            <w:r w:rsidRPr="00D16741">
              <w:rPr>
                <w:rFonts w:ascii="Times New Roman" w:eastAsia="Calibri" w:hAnsi="Times New Roman"/>
                <w:b/>
                <w:bCs/>
              </w:rPr>
              <w:t>103,8</w:t>
            </w:r>
          </w:p>
        </w:tc>
      </w:tr>
      <w:tr w:rsidR="00146BB8" w:rsidRPr="00D16741" w:rsidTr="006A3EF7">
        <w:trPr>
          <w:trHeight w:val="424"/>
        </w:trPr>
        <w:tc>
          <w:tcPr>
            <w:tcW w:w="2802" w:type="dxa"/>
            <w:tcBorders>
              <w:top w:val="single" w:sz="4" w:space="0" w:color="auto"/>
              <w:left w:val="single" w:sz="8" w:space="0" w:color="auto"/>
              <w:bottom w:val="single" w:sz="4" w:space="0" w:color="auto"/>
              <w:right w:val="nil"/>
            </w:tcBorders>
            <w:noWrap/>
            <w:vAlign w:val="center"/>
          </w:tcPr>
          <w:p w:rsidR="00146BB8" w:rsidRPr="00D16741" w:rsidRDefault="00146BB8" w:rsidP="006A3EF7">
            <w:pPr>
              <w:spacing w:after="0" w:line="240" w:lineRule="auto"/>
              <w:ind w:left="-56"/>
              <w:rPr>
                <w:rFonts w:ascii="Times New Roman" w:eastAsia="Calibri" w:hAnsi="Times New Roman"/>
                <w:bCs/>
              </w:rPr>
            </w:pPr>
            <w:r w:rsidRPr="00D16741">
              <w:rPr>
                <w:rFonts w:ascii="Times New Roman" w:eastAsia="Calibri" w:hAnsi="Times New Roman"/>
                <w:bCs/>
              </w:rPr>
              <w:t>Республиканский бюджет</w:t>
            </w:r>
          </w:p>
        </w:tc>
        <w:tc>
          <w:tcPr>
            <w:tcW w:w="1559" w:type="dxa"/>
            <w:tcBorders>
              <w:top w:val="nil"/>
              <w:left w:val="single" w:sz="8" w:space="0" w:color="auto"/>
              <w:bottom w:val="single" w:sz="4" w:space="0" w:color="auto"/>
              <w:right w:val="single" w:sz="8" w:space="0" w:color="auto"/>
            </w:tcBorders>
            <w:noWrap/>
            <w:vAlign w:val="center"/>
          </w:tcPr>
          <w:p w:rsidR="00146BB8" w:rsidRPr="00D16741" w:rsidRDefault="00146BB8" w:rsidP="006A3EF7">
            <w:pPr>
              <w:spacing w:after="0" w:line="240" w:lineRule="auto"/>
              <w:jc w:val="center"/>
              <w:rPr>
                <w:rFonts w:ascii="Times New Roman" w:eastAsia="Calibri" w:hAnsi="Times New Roman"/>
                <w:bCs/>
              </w:rPr>
            </w:pPr>
            <w:r w:rsidRPr="00D16741">
              <w:rPr>
                <w:rFonts w:ascii="Times New Roman" w:eastAsia="Calibri" w:hAnsi="Times New Roman"/>
                <w:bCs/>
              </w:rPr>
              <w:t xml:space="preserve">767 753 783 </w:t>
            </w:r>
          </w:p>
        </w:tc>
        <w:tc>
          <w:tcPr>
            <w:tcW w:w="1559" w:type="dxa"/>
            <w:tcBorders>
              <w:top w:val="single" w:sz="4" w:space="0" w:color="auto"/>
              <w:left w:val="nil"/>
              <w:bottom w:val="single" w:sz="4" w:space="0" w:color="auto"/>
              <w:right w:val="single" w:sz="8" w:space="0" w:color="auto"/>
            </w:tcBorders>
            <w:noWrap/>
            <w:vAlign w:val="center"/>
          </w:tcPr>
          <w:p w:rsidR="00146BB8" w:rsidRPr="00D16741" w:rsidRDefault="00146BB8" w:rsidP="006A3EF7">
            <w:pPr>
              <w:spacing w:after="0" w:line="240" w:lineRule="auto"/>
              <w:jc w:val="center"/>
              <w:rPr>
                <w:rFonts w:ascii="Times New Roman" w:eastAsia="Calibri" w:hAnsi="Times New Roman"/>
                <w:bCs/>
              </w:rPr>
            </w:pPr>
            <w:r w:rsidRPr="00D16741">
              <w:rPr>
                <w:rFonts w:ascii="Times New Roman" w:eastAsia="Calibri" w:hAnsi="Times New Roman"/>
                <w:bCs/>
              </w:rPr>
              <w:t xml:space="preserve">822 346 477 </w:t>
            </w:r>
          </w:p>
        </w:tc>
        <w:tc>
          <w:tcPr>
            <w:tcW w:w="1559" w:type="dxa"/>
            <w:tcBorders>
              <w:top w:val="nil"/>
              <w:left w:val="nil"/>
              <w:bottom w:val="single" w:sz="4" w:space="0" w:color="auto"/>
              <w:right w:val="single" w:sz="8" w:space="0" w:color="auto"/>
            </w:tcBorders>
            <w:vAlign w:val="center"/>
          </w:tcPr>
          <w:p w:rsidR="00146BB8" w:rsidRPr="00D16741" w:rsidRDefault="00146BB8" w:rsidP="006A3EF7">
            <w:pPr>
              <w:spacing w:after="0" w:line="240" w:lineRule="auto"/>
              <w:jc w:val="center"/>
              <w:rPr>
                <w:rFonts w:ascii="Times New Roman" w:eastAsia="Calibri" w:hAnsi="Times New Roman"/>
                <w:bCs/>
              </w:rPr>
            </w:pPr>
            <w:r w:rsidRPr="00D16741">
              <w:rPr>
                <w:rFonts w:ascii="Times New Roman" w:eastAsia="Calibri" w:hAnsi="Times New Roman"/>
                <w:bCs/>
              </w:rPr>
              <w:t>107,1</w:t>
            </w:r>
          </w:p>
        </w:tc>
      </w:tr>
      <w:tr w:rsidR="00146BB8" w:rsidRPr="00D16741" w:rsidTr="006A3EF7">
        <w:trPr>
          <w:trHeight w:val="417"/>
        </w:trPr>
        <w:tc>
          <w:tcPr>
            <w:tcW w:w="2802" w:type="dxa"/>
            <w:tcBorders>
              <w:top w:val="nil"/>
              <w:left w:val="single" w:sz="8" w:space="0" w:color="auto"/>
              <w:bottom w:val="single" w:sz="4" w:space="0" w:color="auto"/>
              <w:right w:val="nil"/>
            </w:tcBorders>
            <w:shd w:val="clear" w:color="auto" w:fill="auto"/>
            <w:noWrap/>
            <w:vAlign w:val="center"/>
          </w:tcPr>
          <w:p w:rsidR="00146BB8" w:rsidRPr="00D16741" w:rsidRDefault="00146BB8" w:rsidP="006A3EF7">
            <w:pPr>
              <w:spacing w:after="0" w:line="240" w:lineRule="auto"/>
              <w:ind w:left="-56"/>
              <w:rPr>
                <w:rFonts w:ascii="Times New Roman" w:eastAsia="Calibri" w:hAnsi="Times New Roman"/>
                <w:bCs/>
              </w:rPr>
            </w:pPr>
            <w:r w:rsidRPr="00D16741">
              <w:rPr>
                <w:rFonts w:ascii="Times New Roman" w:eastAsia="Calibri" w:hAnsi="Times New Roman"/>
                <w:bCs/>
              </w:rPr>
              <w:t>Местные бюджеты</w:t>
            </w:r>
          </w:p>
        </w:tc>
        <w:tc>
          <w:tcPr>
            <w:tcW w:w="1559" w:type="dxa"/>
            <w:tcBorders>
              <w:top w:val="nil"/>
              <w:left w:val="single" w:sz="8" w:space="0" w:color="auto"/>
              <w:bottom w:val="single" w:sz="4" w:space="0" w:color="auto"/>
              <w:right w:val="single" w:sz="8" w:space="0" w:color="auto"/>
            </w:tcBorders>
            <w:shd w:val="clear" w:color="auto" w:fill="auto"/>
            <w:noWrap/>
            <w:vAlign w:val="center"/>
          </w:tcPr>
          <w:p w:rsidR="00146BB8" w:rsidRPr="00D16741" w:rsidRDefault="00146BB8" w:rsidP="006A3EF7">
            <w:pPr>
              <w:spacing w:after="0" w:line="240" w:lineRule="auto"/>
              <w:jc w:val="center"/>
              <w:rPr>
                <w:rFonts w:ascii="Times New Roman" w:eastAsia="Calibri" w:hAnsi="Times New Roman"/>
                <w:bCs/>
              </w:rPr>
            </w:pPr>
            <w:r w:rsidRPr="00D16741">
              <w:rPr>
                <w:rFonts w:ascii="Times New Roman" w:eastAsia="Calibri" w:hAnsi="Times New Roman"/>
                <w:bCs/>
              </w:rPr>
              <w:t xml:space="preserve">376 667 057 </w:t>
            </w:r>
          </w:p>
        </w:tc>
        <w:tc>
          <w:tcPr>
            <w:tcW w:w="1559" w:type="dxa"/>
            <w:tcBorders>
              <w:top w:val="nil"/>
              <w:left w:val="nil"/>
              <w:bottom w:val="single" w:sz="4" w:space="0" w:color="auto"/>
              <w:right w:val="single" w:sz="8" w:space="0" w:color="auto"/>
            </w:tcBorders>
            <w:shd w:val="clear" w:color="auto" w:fill="auto"/>
            <w:noWrap/>
            <w:vAlign w:val="center"/>
          </w:tcPr>
          <w:p w:rsidR="00146BB8" w:rsidRPr="00D16741" w:rsidRDefault="00146BB8" w:rsidP="006A3EF7">
            <w:pPr>
              <w:spacing w:after="0" w:line="240" w:lineRule="auto"/>
              <w:jc w:val="center"/>
              <w:rPr>
                <w:rFonts w:ascii="Times New Roman" w:eastAsia="Calibri" w:hAnsi="Times New Roman"/>
                <w:bCs/>
              </w:rPr>
            </w:pPr>
            <w:r w:rsidRPr="00D16741">
              <w:rPr>
                <w:rFonts w:ascii="Times New Roman" w:eastAsia="Calibri" w:hAnsi="Times New Roman"/>
                <w:bCs/>
              </w:rPr>
              <w:t xml:space="preserve">365 636 303  </w:t>
            </w:r>
          </w:p>
        </w:tc>
        <w:tc>
          <w:tcPr>
            <w:tcW w:w="1559" w:type="dxa"/>
            <w:tcBorders>
              <w:top w:val="nil"/>
              <w:left w:val="nil"/>
              <w:bottom w:val="single" w:sz="4" w:space="0" w:color="auto"/>
              <w:right w:val="single" w:sz="8" w:space="0" w:color="auto"/>
            </w:tcBorders>
            <w:shd w:val="clear" w:color="auto" w:fill="auto"/>
            <w:vAlign w:val="center"/>
          </w:tcPr>
          <w:p w:rsidR="00146BB8" w:rsidRPr="00D16741" w:rsidRDefault="00146BB8" w:rsidP="006A3EF7">
            <w:pPr>
              <w:spacing w:after="0" w:line="240" w:lineRule="auto"/>
              <w:jc w:val="center"/>
              <w:rPr>
                <w:rFonts w:ascii="Times New Roman" w:eastAsia="Calibri" w:hAnsi="Times New Roman"/>
                <w:bCs/>
              </w:rPr>
            </w:pPr>
            <w:r w:rsidRPr="00D16741">
              <w:rPr>
                <w:rFonts w:ascii="Times New Roman" w:eastAsia="Calibri" w:hAnsi="Times New Roman"/>
                <w:bCs/>
              </w:rPr>
              <w:t>97,1</w:t>
            </w:r>
          </w:p>
        </w:tc>
      </w:tr>
    </w:tbl>
    <w:p w:rsidR="00146BB8" w:rsidRPr="00D16741" w:rsidRDefault="00146BB8" w:rsidP="00146BB8">
      <w:pPr>
        <w:spacing w:after="0" w:line="240" w:lineRule="auto"/>
        <w:ind w:left="-1134"/>
        <w:rPr>
          <w:rFonts w:ascii="Times New Roman" w:eastAsia="Calibri" w:hAnsi="Times New Roman"/>
          <w:sz w:val="24"/>
          <w:szCs w:val="24"/>
        </w:rPr>
      </w:pPr>
    </w:p>
    <w:p w:rsidR="00146BB8" w:rsidRPr="00D16741" w:rsidRDefault="00146BB8" w:rsidP="00146BB8">
      <w:pPr>
        <w:spacing w:after="0" w:line="240" w:lineRule="auto"/>
        <w:ind w:firstLine="709"/>
        <w:jc w:val="both"/>
        <w:rPr>
          <w:rFonts w:ascii="Times New Roman" w:eastAsia="Calibri" w:hAnsi="Times New Roman"/>
          <w:sz w:val="24"/>
          <w:szCs w:val="24"/>
        </w:rPr>
      </w:pPr>
    </w:p>
    <w:p w:rsidR="003F227B" w:rsidRDefault="003F227B" w:rsidP="00146BB8">
      <w:pPr>
        <w:spacing w:after="0" w:line="240" w:lineRule="auto"/>
        <w:ind w:firstLine="709"/>
        <w:jc w:val="both"/>
        <w:rPr>
          <w:rFonts w:ascii="Times New Roman" w:hAnsi="Times New Roman"/>
          <w:sz w:val="24"/>
          <w:szCs w:val="24"/>
        </w:rPr>
      </w:pPr>
    </w:p>
    <w:p w:rsidR="003F227B" w:rsidRDefault="003F227B" w:rsidP="00146BB8">
      <w:pPr>
        <w:spacing w:after="0" w:line="240" w:lineRule="auto"/>
        <w:ind w:firstLine="709"/>
        <w:jc w:val="both"/>
        <w:rPr>
          <w:rFonts w:ascii="Times New Roman" w:hAnsi="Times New Roman"/>
          <w:sz w:val="24"/>
          <w:szCs w:val="24"/>
        </w:rPr>
      </w:pPr>
    </w:p>
    <w:p w:rsidR="003F227B" w:rsidRDefault="003F227B" w:rsidP="00146BB8">
      <w:pPr>
        <w:spacing w:after="0" w:line="240" w:lineRule="auto"/>
        <w:ind w:firstLine="709"/>
        <w:jc w:val="both"/>
        <w:rPr>
          <w:rFonts w:ascii="Times New Roman" w:hAnsi="Times New Roman"/>
          <w:sz w:val="24"/>
          <w:szCs w:val="24"/>
        </w:rPr>
      </w:pPr>
    </w:p>
    <w:p w:rsidR="003F227B" w:rsidRDefault="003F227B" w:rsidP="00146BB8">
      <w:pPr>
        <w:spacing w:after="0" w:line="240" w:lineRule="auto"/>
        <w:ind w:firstLine="709"/>
        <w:jc w:val="both"/>
        <w:rPr>
          <w:rFonts w:ascii="Times New Roman" w:hAnsi="Times New Roman"/>
          <w:sz w:val="24"/>
          <w:szCs w:val="24"/>
        </w:rPr>
      </w:pPr>
    </w:p>
    <w:p w:rsidR="003F227B" w:rsidRDefault="003F227B" w:rsidP="00146BB8">
      <w:pPr>
        <w:spacing w:after="0" w:line="240" w:lineRule="auto"/>
        <w:ind w:firstLine="709"/>
        <w:jc w:val="both"/>
        <w:rPr>
          <w:rFonts w:ascii="Times New Roman" w:hAnsi="Times New Roman"/>
          <w:sz w:val="24"/>
          <w:szCs w:val="24"/>
        </w:rPr>
      </w:pPr>
    </w:p>
    <w:p w:rsidR="003F227B" w:rsidRDefault="003F227B" w:rsidP="00146BB8">
      <w:pPr>
        <w:spacing w:after="0" w:line="240" w:lineRule="auto"/>
        <w:ind w:firstLine="709"/>
        <w:jc w:val="both"/>
        <w:rPr>
          <w:rFonts w:ascii="Times New Roman" w:hAnsi="Times New Roman"/>
          <w:sz w:val="24"/>
          <w:szCs w:val="24"/>
        </w:rPr>
      </w:pPr>
    </w:p>
    <w:p w:rsidR="003F227B" w:rsidRDefault="005D227B" w:rsidP="00146BB8">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0" locked="0" layoutInCell="1" allowOverlap="1">
            <wp:simplePos x="0" y="0"/>
            <wp:positionH relativeFrom="margin">
              <wp:posOffset>27940</wp:posOffset>
            </wp:positionH>
            <wp:positionV relativeFrom="margin">
              <wp:posOffset>3146425</wp:posOffset>
            </wp:positionV>
            <wp:extent cx="2580640" cy="2647315"/>
            <wp:effectExtent l="19050" t="0" r="0" b="0"/>
            <wp:wrapSquare wrapText="bothSides"/>
            <wp:docPr id="7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146BB8" w:rsidRPr="00D16741" w:rsidRDefault="00146BB8" w:rsidP="00146BB8">
      <w:pPr>
        <w:spacing w:after="0" w:line="240" w:lineRule="auto"/>
        <w:ind w:firstLine="709"/>
        <w:jc w:val="both"/>
        <w:rPr>
          <w:rFonts w:ascii="Times New Roman" w:eastAsia="Calibri" w:hAnsi="Times New Roman"/>
          <w:sz w:val="24"/>
          <w:szCs w:val="24"/>
        </w:rPr>
      </w:pPr>
      <w:r>
        <w:rPr>
          <w:rFonts w:ascii="Times New Roman" w:hAnsi="Times New Roman"/>
          <w:sz w:val="24"/>
          <w:szCs w:val="24"/>
        </w:rPr>
        <w:t>В</w:t>
      </w:r>
      <w:r w:rsidRPr="00D16741">
        <w:rPr>
          <w:rFonts w:ascii="Times New Roman" w:hAnsi="Times New Roman"/>
          <w:sz w:val="24"/>
          <w:szCs w:val="24"/>
        </w:rPr>
        <w:t xml:space="preserve"> январе - июне 201</w:t>
      </w:r>
      <w:r w:rsidRPr="00D16741">
        <w:rPr>
          <w:rFonts w:ascii="Times New Roman" w:eastAsia="Calibri" w:hAnsi="Times New Roman"/>
          <w:sz w:val="24"/>
          <w:szCs w:val="24"/>
        </w:rPr>
        <w:t>7</w:t>
      </w:r>
      <w:r w:rsidRPr="00D16741">
        <w:rPr>
          <w:rFonts w:ascii="Times New Roman" w:hAnsi="Times New Roman"/>
          <w:sz w:val="24"/>
          <w:szCs w:val="24"/>
        </w:rPr>
        <w:t xml:space="preserve"> года </w:t>
      </w:r>
      <w:r w:rsidRPr="00D16741">
        <w:rPr>
          <w:rFonts w:ascii="Times New Roman" w:eastAsia="Calibri" w:hAnsi="Times New Roman"/>
          <w:sz w:val="24"/>
          <w:szCs w:val="24"/>
        </w:rPr>
        <w:t xml:space="preserve">в формировании </w:t>
      </w:r>
      <w:r w:rsidRPr="00D16741">
        <w:rPr>
          <w:rFonts w:ascii="Times New Roman" w:hAnsi="Times New Roman"/>
          <w:sz w:val="24"/>
          <w:szCs w:val="24"/>
        </w:rPr>
        <w:t>консолидированного бюджета отмечены следующие структурные изменения.</w:t>
      </w:r>
      <w:r w:rsidRPr="00D16741">
        <w:rPr>
          <w:rFonts w:ascii="Times New Roman" w:eastAsia="Calibri" w:hAnsi="Times New Roman"/>
          <w:sz w:val="24"/>
          <w:szCs w:val="24"/>
        </w:rPr>
        <w:t xml:space="preserve"> Так, доходы республиканского бюджета составили               </w:t>
      </w:r>
      <w:r w:rsidRPr="00D16741">
        <w:rPr>
          <w:rFonts w:ascii="Times New Roman" w:eastAsia="Calibri" w:hAnsi="Times New Roman"/>
          <w:bCs/>
          <w:sz w:val="24"/>
          <w:szCs w:val="24"/>
        </w:rPr>
        <w:t>822 346</w:t>
      </w:r>
      <w:r w:rsidR="005D227B">
        <w:rPr>
          <w:rFonts w:ascii="Times New Roman" w:eastAsia="Calibri" w:hAnsi="Times New Roman"/>
          <w:bCs/>
          <w:sz w:val="24"/>
          <w:szCs w:val="24"/>
        </w:rPr>
        <w:t> </w:t>
      </w:r>
      <w:r w:rsidRPr="00D16741">
        <w:rPr>
          <w:rFonts w:ascii="Times New Roman" w:eastAsia="Calibri" w:hAnsi="Times New Roman"/>
          <w:bCs/>
          <w:sz w:val="24"/>
          <w:szCs w:val="24"/>
        </w:rPr>
        <w:t>477</w:t>
      </w:r>
      <w:r w:rsidR="005D227B">
        <w:rPr>
          <w:rFonts w:ascii="Times New Roman" w:eastAsia="Calibri" w:hAnsi="Times New Roman"/>
          <w:bCs/>
          <w:sz w:val="24"/>
          <w:szCs w:val="24"/>
        </w:rPr>
        <w:t xml:space="preserve"> </w:t>
      </w:r>
      <w:r w:rsidRPr="00D16741">
        <w:rPr>
          <w:rFonts w:ascii="Times New Roman" w:eastAsia="Calibri" w:hAnsi="Times New Roman"/>
          <w:sz w:val="24"/>
          <w:szCs w:val="24"/>
        </w:rPr>
        <w:t>руб., или 69,2% совоку</w:t>
      </w:r>
      <w:r w:rsidR="005D227B">
        <w:rPr>
          <w:rFonts w:ascii="Times New Roman" w:eastAsia="Calibri" w:hAnsi="Times New Roman"/>
          <w:sz w:val="24"/>
          <w:szCs w:val="24"/>
        </w:rPr>
        <w:t>пного показателя, что на 2,1 п.</w:t>
      </w:r>
      <w:r w:rsidRPr="00D16741">
        <w:rPr>
          <w:rFonts w:ascii="Times New Roman" w:eastAsia="Calibri" w:hAnsi="Times New Roman"/>
          <w:sz w:val="24"/>
          <w:szCs w:val="24"/>
        </w:rPr>
        <w:t xml:space="preserve">п. выше сопоставимого уровня 2016 года, </w:t>
      </w:r>
      <w:r w:rsidRPr="00D16741">
        <w:rPr>
          <w:rFonts w:ascii="Times New Roman" w:hAnsi="Times New Roman"/>
          <w:sz w:val="24"/>
          <w:szCs w:val="24"/>
        </w:rPr>
        <w:t xml:space="preserve">при соответствующем </w:t>
      </w:r>
      <w:r w:rsidRPr="00D16741">
        <w:rPr>
          <w:rFonts w:ascii="Times New Roman" w:eastAsia="Calibri" w:hAnsi="Times New Roman"/>
          <w:sz w:val="24"/>
          <w:szCs w:val="24"/>
        </w:rPr>
        <w:t xml:space="preserve">сокращении долевого участия </w:t>
      </w:r>
      <w:r w:rsidRPr="00D16741">
        <w:rPr>
          <w:rFonts w:ascii="Times New Roman" w:hAnsi="Times New Roman"/>
          <w:sz w:val="24"/>
          <w:szCs w:val="24"/>
        </w:rPr>
        <w:t xml:space="preserve">поступлений местных бюджетов до </w:t>
      </w:r>
      <w:r w:rsidRPr="00D16741">
        <w:rPr>
          <w:rFonts w:ascii="Times New Roman" w:eastAsia="Calibri" w:hAnsi="Times New Roman"/>
          <w:sz w:val="24"/>
          <w:szCs w:val="24"/>
        </w:rPr>
        <w:t>30,8</w:t>
      </w:r>
      <w:r w:rsidRPr="00D16741">
        <w:rPr>
          <w:rFonts w:ascii="Times New Roman" w:hAnsi="Times New Roman"/>
          <w:sz w:val="24"/>
          <w:szCs w:val="24"/>
        </w:rPr>
        <w:t>%</w:t>
      </w:r>
      <w:r>
        <w:rPr>
          <w:rFonts w:ascii="Times New Roman" w:hAnsi="Times New Roman"/>
          <w:sz w:val="24"/>
          <w:szCs w:val="24"/>
        </w:rPr>
        <w:t>,</w:t>
      </w:r>
      <w:r w:rsidRPr="00D16741">
        <w:rPr>
          <w:rFonts w:ascii="Times New Roman" w:hAnsi="Times New Roman"/>
          <w:sz w:val="24"/>
          <w:szCs w:val="24"/>
        </w:rPr>
        <w:t xml:space="preserve"> или </w:t>
      </w:r>
      <w:r w:rsidRPr="00D16741">
        <w:rPr>
          <w:rFonts w:ascii="Times New Roman" w:eastAsia="Calibri" w:hAnsi="Times New Roman"/>
          <w:bCs/>
          <w:sz w:val="24"/>
          <w:szCs w:val="24"/>
        </w:rPr>
        <w:t>365 636 303 руб</w:t>
      </w:r>
      <w:r w:rsidRPr="00D16741">
        <w:rPr>
          <w:rFonts w:ascii="Times New Roman" w:hAnsi="Times New Roman"/>
          <w:sz w:val="24"/>
          <w:szCs w:val="24"/>
        </w:rPr>
        <w:t>.</w:t>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 xml:space="preserve">Соотношение </w:t>
      </w:r>
      <w:r>
        <w:rPr>
          <w:rFonts w:ascii="Times New Roman" w:eastAsia="Calibri" w:hAnsi="Times New Roman"/>
          <w:sz w:val="24"/>
          <w:szCs w:val="24"/>
        </w:rPr>
        <w:t xml:space="preserve">суммарного объема </w:t>
      </w:r>
      <w:r w:rsidRPr="00D16741">
        <w:rPr>
          <w:rFonts w:ascii="Times New Roman" w:eastAsia="Calibri" w:hAnsi="Times New Roman"/>
          <w:sz w:val="24"/>
          <w:szCs w:val="24"/>
        </w:rPr>
        <w:t>доходной части консолидированного бюджета с ВВП выросло на 1,39 п.п. и составило 30,36%.</w:t>
      </w:r>
    </w:p>
    <w:p w:rsidR="00146BB8" w:rsidRDefault="00146BB8" w:rsidP="00146BB8">
      <w:pPr>
        <w:spacing w:after="0" w:line="240" w:lineRule="auto"/>
        <w:ind w:firstLine="709"/>
        <w:jc w:val="both"/>
        <w:rPr>
          <w:rFonts w:ascii="Times New Roman" w:eastAsia="Calibri" w:hAnsi="Times New Roman"/>
          <w:sz w:val="24"/>
          <w:szCs w:val="24"/>
        </w:rPr>
      </w:pPr>
    </w:p>
    <w:p w:rsidR="00146BB8" w:rsidRDefault="00146BB8" w:rsidP="00146BB8">
      <w:pPr>
        <w:spacing w:after="0" w:line="240" w:lineRule="auto"/>
        <w:ind w:firstLine="709"/>
        <w:jc w:val="both"/>
        <w:rPr>
          <w:rFonts w:ascii="Times New Roman" w:eastAsia="Calibri" w:hAnsi="Times New Roman"/>
          <w:sz w:val="24"/>
          <w:szCs w:val="24"/>
        </w:rPr>
      </w:pPr>
    </w:p>
    <w:p w:rsidR="00146BB8" w:rsidRDefault="00146BB8" w:rsidP="00146BB8">
      <w:pPr>
        <w:spacing w:after="0" w:line="240" w:lineRule="auto"/>
        <w:ind w:firstLine="709"/>
        <w:jc w:val="both"/>
        <w:rPr>
          <w:rFonts w:ascii="Times New Roman" w:eastAsia="Calibri" w:hAnsi="Times New Roman"/>
          <w:sz w:val="24"/>
          <w:szCs w:val="24"/>
        </w:rPr>
      </w:pPr>
    </w:p>
    <w:p w:rsidR="00146BB8" w:rsidRDefault="005D227B" w:rsidP="00146BB8">
      <w:pPr>
        <w:spacing w:after="0" w:line="240" w:lineRule="auto"/>
        <w:ind w:firstLine="709"/>
        <w:jc w:val="both"/>
        <w:rPr>
          <w:rFonts w:ascii="Times New Roman" w:eastAsia="Calibri" w:hAnsi="Times New Roman"/>
          <w:sz w:val="24"/>
          <w:szCs w:val="24"/>
        </w:rPr>
      </w:pPr>
      <w:r>
        <w:rPr>
          <w:rFonts w:ascii="Times New Roman" w:eastAsia="Calibri" w:hAnsi="Times New Roman"/>
          <w:noProof/>
          <w:sz w:val="24"/>
          <w:szCs w:val="24"/>
        </w:rPr>
        <w:drawing>
          <wp:anchor distT="0" distB="0" distL="114300" distR="114300" simplePos="0" relativeHeight="251684864" behindDoc="0" locked="0" layoutInCell="1" allowOverlap="1">
            <wp:simplePos x="0" y="0"/>
            <wp:positionH relativeFrom="margin">
              <wp:posOffset>462280</wp:posOffset>
            </wp:positionH>
            <wp:positionV relativeFrom="margin">
              <wp:posOffset>5865495</wp:posOffset>
            </wp:positionV>
            <wp:extent cx="5239385" cy="2766695"/>
            <wp:effectExtent l="0" t="0" r="0" b="0"/>
            <wp:wrapSquare wrapText="bothSides"/>
            <wp:docPr id="7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 xml:space="preserve">В структуре поступлений в доходную часть консолидированного бюджета наибольшая доля (65,5%) принадлежит </w:t>
      </w:r>
      <w:r w:rsidRPr="00D16741">
        <w:rPr>
          <w:rFonts w:ascii="Times New Roman" w:eastAsia="Calibri" w:hAnsi="Times New Roman"/>
          <w:b/>
          <w:sz w:val="24"/>
          <w:szCs w:val="24"/>
        </w:rPr>
        <w:t>налоговым платежам</w:t>
      </w:r>
      <w:r w:rsidRPr="00D16741">
        <w:rPr>
          <w:rFonts w:ascii="Times New Roman" w:eastAsia="Calibri" w:hAnsi="Times New Roman"/>
          <w:sz w:val="24"/>
          <w:szCs w:val="24"/>
        </w:rPr>
        <w:t xml:space="preserve">, величина которых увеличилась на 4,0% до 777 892 932 руб. При этом в налоговых доходах отражена сумма остатков по паевому фонду в размере 25 000 000 руб., перечисленная в доход </w:t>
      </w:r>
      <w:r w:rsidRPr="00D16741">
        <w:rPr>
          <w:rFonts w:ascii="Times New Roman" w:eastAsia="Calibri" w:hAnsi="Times New Roman"/>
          <w:sz w:val="24"/>
          <w:szCs w:val="24"/>
        </w:rPr>
        <w:lastRenderedPageBreak/>
        <w:t>республиканского бюджета на цели финансирования расходов по социально защищенным статьям в соответствии с Распоряжением Правительства Приднестровской Молдавской Республики от 16 февраля 2017 года №116р (</w:t>
      </w:r>
      <w:proofErr w:type="spellStart"/>
      <w:r w:rsidRPr="00D16741">
        <w:rPr>
          <w:rFonts w:ascii="Times New Roman" w:eastAsia="Calibri" w:hAnsi="Times New Roman"/>
          <w:sz w:val="24"/>
          <w:szCs w:val="24"/>
        </w:rPr>
        <w:t>ндп</w:t>
      </w:r>
      <w:proofErr w:type="spellEnd"/>
      <w:r w:rsidRPr="00D16741">
        <w:rPr>
          <w:rFonts w:ascii="Times New Roman" w:eastAsia="Calibri" w:hAnsi="Times New Roman"/>
          <w:sz w:val="24"/>
          <w:szCs w:val="24"/>
        </w:rPr>
        <w:t xml:space="preserve">). </w:t>
      </w:r>
    </w:p>
    <w:p w:rsidR="00146BB8" w:rsidRPr="00D16741" w:rsidRDefault="00146BB8" w:rsidP="00146BB8">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Н</w:t>
      </w:r>
      <w:r w:rsidRPr="00D16741">
        <w:rPr>
          <w:rFonts w:ascii="Times New Roman" w:eastAsia="Calibri" w:hAnsi="Times New Roman"/>
          <w:sz w:val="24"/>
          <w:szCs w:val="24"/>
        </w:rPr>
        <w:t xml:space="preserve">еналоговые поступления выросли в 7,2 раза и сформировали порядка 16,6% доходной части консолидированного бюджета. Данный рост обусловлен включением части прибыли в размере 175 000 000 руб., перечисленной Приднестровским республиканским банком авансом до утверждения годовой отчетности. Доля доходов целевых бюджетных фондов сохранилась на прошлогоднем уровне (7,9%). </w:t>
      </w:r>
      <w:r>
        <w:rPr>
          <w:rFonts w:ascii="Times New Roman" w:eastAsia="Calibri" w:hAnsi="Times New Roman"/>
          <w:sz w:val="24"/>
          <w:szCs w:val="24"/>
        </w:rPr>
        <w:t>Удельный вес д</w:t>
      </w:r>
      <w:r w:rsidRPr="00D16741">
        <w:rPr>
          <w:rFonts w:ascii="Times New Roman" w:eastAsia="Calibri" w:hAnsi="Times New Roman"/>
          <w:sz w:val="24"/>
          <w:szCs w:val="24"/>
        </w:rPr>
        <w:t>оход</w:t>
      </w:r>
      <w:r>
        <w:rPr>
          <w:rFonts w:ascii="Times New Roman" w:eastAsia="Calibri" w:hAnsi="Times New Roman"/>
          <w:sz w:val="24"/>
          <w:szCs w:val="24"/>
        </w:rPr>
        <w:t>ов</w:t>
      </w:r>
      <w:r w:rsidRPr="00D16741">
        <w:rPr>
          <w:rFonts w:ascii="Times New Roman" w:eastAsia="Calibri" w:hAnsi="Times New Roman"/>
          <w:sz w:val="24"/>
          <w:szCs w:val="24"/>
        </w:rPr>
        <w:t xml:space="preserve"> от предпринимательской и иной приносящей доход деятельности сократилс</w:t>
      </w:r>
      <w:r>
        <w:rPr>
          <w:rFonts w:ascii="Times New Roman" w:eastAsia="Calibri" w:hAnsi="Times New Roman"/>
          <w:sz w:val="24"/>
          <w:szCs w:val="24"/>
        </w:rPr>
        <w:t>я</w:t>
      </w:r>
      <w:r w:rsidRPr="00D16741">
        <w:rPr>
          <w:rFonts w:ascii="Times New Roman" w:eastAsia="Calibri" w:hAnsi="Times New Roman"/>
          <w:sz w:val="24"/>
          <w:szCs w:val="24"/>
        </w:rPr>
        <w:t xml:space="preserve"> на 1,0 п.п., сформировав 8,8% </w:t>
      </w:r>
      <w:r>
        <w:rPr>
          <w:rFonts w:ascii="Times New Roman" w:eastAsia="Calibri" w:hAnsi="Times New Roman"/>
          <w:sz w:val="24"/>
          <w:szCs w:val="24"/>
        </w:rPr>
        <w:t>совокупного показателя</w:t>
      </w:r>
      <w:r w:rsidRPr="00D16741">
        <w:rPr>
          <w:rFonts w:ascii="Times New Roman" w:eastAsia="Calibri" w:hAnsi="Times New Roman"/>
          <w:sz w:val="24"/>
          <w:szCs w:val="24"/>
        </w:rPr>
        <w:t>. При этом доля безвозмездных перечислений выросла на 1,1 п.п. до 1,2% общих доходов консолидированного бюджета</w:t>
      </w:r>
      <w:r>
        <w:rPr>
          <w:rFonts w:ascii="Times New Roman" w:eastAsia="Calibri" w:hAnsi="Times New Roman"/>
          <w:sz w:val="24"/>
          <w:szCs w:val="24"/>
        </w:rPr>
        <w:t>, что в абсолютном выражении соответствует</w:t>
      </w:r>
      <w:r w:rsidRPr="00D16741">
        <w:rPr>
          <w:rFonts w:ascii="Times New Roman" w:eastAsia="Calibri" w:hAnsi="Times New Roman"/>
          <w:sz w:val="24"/>
          <w:szCs w:val="24"/>
        </w:rPr>
        <w:t xml:space="preserve"> 13 978 745 руб. </w:t>
      </w:r>
    </w:p>
    <w:p w:rsidR="00146BB8" w:rsidRPr="00D16741" w:rsidRDefault="00146BB8" w:rsidP="00146BB8">
      <w:pPr>
        <w:spacing w:after="0" w:line="240" w:lineRule="auto"/>
        <w:ind w:firstLine="709"/>
        <w:jc w:val="both"/>
        <w:rPr>
          <w:rFonts w:ascii="Times New Roman" w:eastAsia="Calibri" w:hAnsi="Times New Roman"/>
          <w:b/>
          <w:sz w:val="14"/>
          <w:szCs w:val="14"/>
        </w:rPr>
      </w:pPr>
      <w:r w:rsidRPr="00D16741">
        <w:rPr>
          <w:rFonts w:ascii="Times New Roman" w:eastAsia="Calibri" w:hAnsi="Times New Roman"/>
          <w:b/>
          <w:sz w:val="24"/>
          <w:szCs w:val="24"/>
        </w:rPr>
        <w:t>Налоговая нагрузка</w:t>
      </w:r>
      <w:r w:rsidRPr="00D16741">
        <w:rPr>
          <w:rFonts w:ascii="Times New Roman" w:eastAsia="Calibri" w:hAnsi="Times New Roman"/>
          <w:sz w:val="24"/>
          <w:szCs w:val="24"/>
        </w:rPr>
        <w:t xml:space="preserve"> консолидированного бюджета в целом на экономику республики составила </w:t>
      </w:r>
      <w:r w:rsidRPr="00D16741">
        <w:rPr>
          <w:rFonts w:ascii="Times New Roman" w:eastAsia="Calibri" w:hAnsi="Times New Roman"/>
          <w:b/>
          <w:sz w:val="24"/>
          <w:szCs w:val="24"/>
        </w:rPr>
        <w:t xml:space="preserve">18,1%, </w:t>
      </w:r>
      <w:r w:rsidRPr="00D16741">
        <w:rPr>
          <w:rFonts w:ascii="Times New Roman" w:eastAsia="Calibri" w:hAnsi="Times New Roman"/>
          <w:sz w:val="24"/>
          <w:szCs w:val="24"/>
        </w:rPr>
        <w:t xml:space="preserve">увеличившись на 0,9 п.п. по сравнению с уровнем                       </w:t>
      </w:r>
      <w:r w:rsidRPr="00D16741">
        <w:rPr>
          <w:rFonts w:ascii="Times New Roman" w:eastAsia="Calibri" w:hAnsi="Times New Roman"/>
          <w:sz w:val="24"/>
          <w:szCs w:val="24"/>
          <w:lang w:val="en-US"/>
        </w:rPr>
        <w:t>I</w:t>
      </w:r>
      <w:r w:rsidRPr="00D16741">
        <w:rPr>
          <w:rFonts w:ascii="Times New Roman" w:eastAsia="Calibri" w:hAnsi="Times New Roman"/>
          <w:sz w:val="24"/>
          <w:szCs w:val="24"/>
        </w:rPr>
        <w:t xml:space="preserve"> полугодия 2016 года (</w:t>
      </w:r>
      <w:r w:rsidRPr="00D16741">
        <w:rPr>
          <w:rFonts w:ascii="Times New Roman" w:eastAsia="Calibri" w:hAnsi="Times New Roman"/>
          <w:b/>
          <w:sz w:val="24"/>
          <w:szCs w:val="24"/>
        </w:rPr>
        <w:t>17,2%).</w:t>
      </w:r>
    </w:p>
    <w:p w:rsidR="00146BB8" w:rsidRPr="00D16741" w:rsidRDefault="00146BB8" w:rsidP="00146BB8">
      <w:pPr>
        <w:spacing w:after="0" w:line="240" w:lineRule="auto"/>
        <w:ind w:firstLine="720"/>
        <w:jc w:val="center"/>
        <w:rPr>
          <w:rFonts w:ascii="Times New Roman" w:eastAsia="Calibri" w:hAnsi="Times New Roman"/>
          <w:b/>
          <w:sz w:val="24"/>
          <w:szCs w:val="24"/>
        </w:rPr>
      </w:pPr>
      <w:r w:rsidRPr="00D16741">
        <w:rPr>
          <w:rFonts w:ascii="Times New Roman" w:eastAsia="Calibri" w:hAnsi="Times New Roman"/>
          <w:b/>
          <w:sz w:val="24"/>
          <w:szCs w:val="24"/>
        </w:rPr>
        <w:t xml:space="preserve">Динамика налоговых поступлений в доходную часть </w:t>
      </w:r>
    </w:p>
    <w:p w:rsidR="00146BB8" w:rsidRPr="00D16741" w:rsidRDefault="00146BB8" w:rsidP="00146BB8">
      <w:pPr>
        <w:spacing w:after="0" w:line="240" w:lineRule="auto"/>
        <w:ind w:left="142"/>
        <w:jc w:val="center"/>
        <w:rPr>
          <w:rFonts w:ascii="Times New Roman" w:eastAsia="Calibri" w:hAnsi="Times New Roman"/>
          <w:b/>
          <w:sz w:val="24"/>
          <w:szCs w:val="24"/>
        </w:rPr>
      </w:pPr>
      <w:r w:rsidRPr="00D16741">
        <w:rPr>
          <w:rFonts w:ascii="Times New Roman" w:eastAsia="Calibri" w:hAnsi="Times New Roman"/>
          <w:b/>
          <w:noProof/>
          <w:sz w:val="24"/>
          <w:szCs w:val="24"/>
        </w:rPr>
        <w:drawing>
          <wp:anchor distT="0" distB="0" distL="114300" distR="114300" simplePos="0" relativeHeight="251685888" behindDoc="1" locked="0" layoutInCell="1" allowOverlap="1">
            <wp:simplePos x="0" y="0"/>
            <wp:positionH relativeFrom="column">
              <wp:posOffset>-269240</wp:posOffset>
            </wp:positionH>
            <wp:positionV relativeFrom="paragraph">
              <wp:posOffset>238760</wp:posOffset>
            </wp:positionV>
            <wp:extent cx="6265545" cy="3307715"/>
            <wp:effectExtent l="0" t="0" r="1905" b="0"/>
            <wp:wrapTight wrapText="bothSides">
              <wp:wrapPolygon edited="0">
                <wp:start x="197" y="124"/>
                <wp:lineTo x="197" y="622"/>
                <wp:lineTo x="1708" y="2115"/>
                <wp:lineTo x="263" y="2488"/>
                <wp:lineTo x="263" y="3110"/>
                <wp:lineTo x="2167" y="4105"/>
                <wp:lineTo x="263" y="5100"/>
                <wp:lineTo x="263" y="5722"/>
                <wp:lineTo x="2167" y="6096"/>
                <wp:lineTo x="460" y="7340"/>
                <wp:lineTo x="197" y="7713"/>
                <wp:lineTo x="197" y="10574"/>
                <wp:lineTo x="1708" y="12067"/>
                <wp:lineTo x="263" y="12440"/>
                <wp:lineTo x="263" y="13062"/>
                <wp:lineTo x="2167" y="14057"/>
                <wp:lineTo x="460" y="15052"/>
                <wp:lineTo x="460" y="15674"/>
                <wp:lineTo x="2167" y="16048"/>
                <wp:lineTo x="985" y="17167"/>
                <wp:lineTo x="657" y="17665"/>
                <wp:lineTo x="657" y="18411"/>
                <wp:lineTo x="3087" y="19531"/>
                <wp:lineTo x="3809" y="19531"/>
                <wp:lineTo x="10573" y="19531"/>
                <wp:lineTo x="13660" y="19531"/>
                <wp:lineTo x="18454" y="18660"/>
                <wp:lineTo x="18389" y="18038"/>
                <wp:lineTo x="20293" y="18038"/>
                <wp:lineTo x="21213" y="17416"/>
                <wp:lineTo x="21147" y="16048"/>
                <wp:lineTo x="21607" y="16048"/>
                <wp:lineTo x="21541" y="14430"/>
                <wp:lineTo x="16747" y="14057"/>
                <wp:lineTo x="20162" y="13062"/>
                <wp:lineTo x="20227" y="11694"/>
                <wp:lineTo x="17863" y="11196"/>
                <wp:lineTo x="10508" y="10076"/>
                <wp:lineTo x="21344" y="9330"/>
                <wp:lineTo x="21541" y="8832"/>
                <wp:lineTo x="19965" y="8086"/>
                <wp:lineTo x="20096" y="7340"/>
                <wp:lineTo x="19899" y="6842"/>
                <wp:lineTo x="19242" y="5971"/>
                <wp:lineTo x="16090" y="4105"/>
                <wp:lineTo x="21607" y="3608"/>
                <wp:lineTo x="21607" y="2986"/>
                <wp:lineTo x="18060" y="2115"/>
                <wp:lineTo x="21541" y="1866"/>
                <wp:lineTo x="21607" y="124"/>
                <wp:lineTo x="21081" y="124"/>
                <wp:lineTo x="197" y="124"/>
              </wp:wrapPolygon>
            </wp:wrapTight>
            <wp:docPr id="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D16741">
        <w:rPr>
          <w:rFonts w:ascii="Times New Roman" w:eastAsia="Calibri" w:hAnsi="Times New Roman"/>
          <w:b/>
          <w:sz w:val="24"/>
          <w:szCs w:val="24"/>
        </w:rPr>
        <w:t>Консолидированного бюджета (руб.)</w:t>
      </w:r>
    </w:p>
    <w:p w:rsidR="00146BB8" w:rsidRPr="00D16741" w:rsidRDefault="00146BB8" w:rsidP="00146BB8">
      <w:pPr>
        <w:spacing w:after="0" w:line="240" w:lineRule="auto"/>
        <w:ind w:firstLine="709"/>
        <w:jc w:val="both"/>
        <w:rPr>
          <w:rFonts w:ascii="Times New Roman" w:eastAsia="Calibri" w:hAnsi="Times New Roman"/>
          <w:b/>
          <w:sz w:val="24"/>
          <w:szCs w:val="24"/>
        </w:rPr>
      </w:pPr>
    </w:p>
    <w:p w:rsidR="00146BB8" w:rsidRPr="00D16741" w:rsidRDefault="00146BB8" w:rsidP="00146BB8">
      <w:pPr>
        <w:spacing w:after="0" w:line="240" w:lineRule="auto"/>
        <w:ind w:hanging="284"/>
        <w:rPr>
          <w:rFonts w:ascii="Times New Roman" w:eastAsia="Calibri" w:hAnsi="Times New Roman"/>
          <w:sz w:val="20"/>
          <w:szCs w:val="20"/>
        </w:rPr>
      </w:pPr>
    </w:p>
    <w:p w:rsidR="00146BB8" w:rsidRPr="00D16741" w:rsidRDefault="00146BB8" w:rsidP="00146BB8">
      <w:pPr>
        <w:spacing w:after="0" w:line="240" w:lineRule="auto"/>
        <w:rPr>
          <w:rFonts w:ascii="Times New Roman" w:eastAsia="Calibri" w:hAnsi="Times New Roman"/>
          <w:sz w:val="20"/>
          <w:szCs w:val="20"/>
        </w:rPr>
      </w:pPr>
    </w:p>
    <w:p w:rsidR="00146BB8" w:rsidRPr="00D16741" w:rsidRDefault="00146BB8" w:rsidP="00146BB8">
      <w:pPr>
        <w:spacing w:after="0" w:line="240" w:lineRule="auto"/>
        <w:rPr>
          <w:rFonts w:ascii="Times New Roman" w:eastAsia="Calibri" w:hAnsi="Times New Roman"/>
          <w:sz w:val="20"/>
          <w:szCs w:val="20"/>
        </w:rPr>
      </w:pPr>
    </w:p>
    <w:p w:rsidR="00146BB8" w:rsidRPr="00D16741" w:rsidRDefault="00146BB8" w:rsidP="00146BB8">
      <w:pPr>
        <w:spacing w:after="0" w:line="240" w:lineRule="auto"/>
        <w:rPr>
          <w:rFonts w:ascii="Times New Roman" w:eastAsia="Calibri" w:hAnsi="Times New Roman"/>
          <w:sz w:val="20"/>
          <w:szCs w:val="20"/>
        </w:rPr>
      </w:pPr>
    </w:p>
    <w:p w:rsidR="00146BB8" w:rsidRPr="00D16741" w:rsidRDefault="00146BB8" w:rsidP="00146BB8">
      <w:pPr>
        <w:spacing w:after="0" w:line="240" w:lineRule="auto"/>
        <w:rPr>
          <w:rFonts w:ascii="Times New Roman" w:eastAsia="Calibri" w:hAnsi="Times New Roman"/>
          <w:sz w:val="20"/>
          <w:szCs w:val="20"/>
        </w:rPr>
      </w:pPr>
    </w:p>
    <w:p w:rsidR="00146BB8" w:rsidRDefault="00146BB8" w:rsidP="00146BB8">
      <w:pPr>
        <w:spacing w:after="0" w:line="240" w:lineRule="auto"/>
        <w:rPr>
          <w:rFonts w:ascii="Times New Roman" w:eastAsia="Calibri" w:hAnsi="Times New Roman"/>
          <w:sz w:val="20"/>
          <w:szCs w:val="20"/>
        </w:rPr>
      </w:pPr>
    </w:p>
    <w:p w:rsidR="00146BB8" w:rsidRDefault="00146BB8" w:rsidP="00146BB8">
      <w:pPr>
        <w:spacing w:after="0" w:line="240" w:lineRule="auto"/>
        <w:rPr>
          <w:rFonts w:ascii="Times New Roman" w:eastAsia="Calibri" w:hAnsi="Times New Roman"/>
          <w:sz w:val="20"/>
          <w:szCs w:val="20"/>
        </w:rPr>
      </w:pPr>
    </w:p>
    <w:p w:rsidR="008B4A6C" w:rsidRDefault="008B4A6C" w:rsidP="00146BB8">
      <w:pPr>
        <w:spacing w:after="0" w:line="240" w:lineRule="auto"/>
        <w:rPr>
          <w:rFonts w:ascii="Times New Roman" w:eastAsia="Calibri" w:hAnsi="Times New Roman"/>
          <w:sz w:val="20"/>
          <w:szCs w:val="20"/>
        </w:rPr>
      </w:pPr>
    </w:p>
    <w:p w:rsidR="008B4A6C" w:rsidRDefault="008B4A6C" w:rsidP="00146BB8">
      <w:pPr>
        <w:spacing w:after="0" w:line="240" w:lineRule="auto"/>
        <w:rPr>
          <w:rFonts w:ascii="Times New Roman" w:eastAsia="Calibri" w:hAnsi="Times New Roman"/>
          <w:sz w:val="20"/>
          <w:szCs w:val="20"/>
        </w:rPr>
      </w:pPr>
    </w:p>
    <w:p w:rsidR="008B4A6C" w:rsidRDefault="008B4A6C" w:rsidP="00146BB8">
      <w:pPr>
        <w:spacing w:after="0" w:line="240" w:lineRule="auto"/>
        <w:rPr>
          <w:rFonts w:ascii="Times New Roman" w:eastAsia="Calibri" w:hAnsi="Times New Roman"/>
          <w:sz w:val="20"/>
          <w:szCs w:val="20"/>
        </w:rPr>
      </w:pPr>
    </w:p>
    <w:p w:rsidR="00146BB8" w:rsidRPr="00D16741" w:rsidRDefault="00146BB8" w:rsidP="00146BB8">
      <w:pPr>
        <w:spacing w:after="0" w:line="240" w:lineRule="auto"/>
        <w:rPr>
          <w:rFonts w:ascii="Times New Roman" w:eastAsia="Calibri" w:hAnsi="Times New Roman"/>
          <w:sz w:val="20"/>
          <w:szCs w:val="20"/>
        </w:rPr>
      </w:pPr>
      <w:r w:rsidRPr="00D16741">
        <w:rPr>
          <w:rFonts w:ascii="Times New Roman" w:eastAsia="Calibri" w:hAnsi="Times New Roman"/>
          <w:sz w:val="20"/>
          <w:szCs w:val="20"/>
        </w:rPr>
        <w:t>* - темп роста/спада к предыдущему году</w:t>
      </w:r>
    </w:p>
    <w:p w:rsidR="00146BB8" w:rsidRPr="00D16741" w:rsidRDefault="00146BB8" w:rsidP="00146BB8">
      <w:pPr>
        <w:spacing w:after="0" w:line="240" w:lineRule="auto"/>
        <w:ind w:firstLine="709"/>
        <w:jc w:val="both"/>
        <w:rPr>
          <w:rFonts w:ascii="Times New Roman" w:eastAsia="Calibri" w:hAnsi="Times New Roman"/>
          <w:sz w:val="14"/>
          <w:szCs w:val="14"/>
          <w:highlight w:val="yellow"/>
        </w:rPr>
      </w:pPr>
    </w:p>
    <w:p w:rsidR="00146BB8" w:rsidRPr="00D16741" w:rsidRDefault="00146BB8" w:rsidP="00146BB8">
      <w:pPr>
        <w:spacing w:after="0" w:line="240" w:lineRule="auto"/>
        <w:ind w:firstLine="709"/>
        <w:jc w:val="both"/>
        <w:rPr>
          <w:rFonts w:ascii="Times New Roman" w:eastAsia="Calibri" w:hAnsi="Times New Roman"/>
          <w:sz w:val="24"/>
          <w:szCs w:val="24"/>
          <w:highlight w:val="yellow"/>
        </w:rPr>
      </w:pPr>
      <w:r w:rsidRPr="00D16741">
        <w:rPr>
          <w:rFonts w:ascii="Times New Roman" w:eastAsia="Calibri" w:hAnsi="Times New Roman"/>
          <w:sz w:val="24"/>
          <w:szCs w:val="24"/>
        </w:rPr>
        <w:t>Наибольшую долю (41,7%) в налоговых поступлениях занима</w:t>
      </w:r>
      <w:r>
        <w:rPr>
          <w:rFonts w:ascii="Times New Roman" w:eastAsia="Calibri" w:hAnsi="Times New Roman"/>
          <w:sz w:val="24"/>
          <w:szCs w:val="24"/>
        </w:rPr>
        <w:t xml:space="preserve">ли </w:t>
      </w:r>
      <w:r w:rsidRPr="00D16741">
        <w:rPr>
          <w:rFonts w:ascii="Times New Roman" w:eastAsia="Calibri" w:hAnsi="Times New Roman"/>
          <w:sz w:val="24"/>
          <w:szCs w:val="24"/>
        </w:rPr>
        <w:t>платежи</w:t>
      </w:r>
      <w:r w:rsidRPr="00D16741">
        <w:rPr>
          <w:rFonts w:ascii="Times New Roman" w:eastAsia="Calibri" w:hAnsi="Times New Roman"/>
          <w:b/>
          <w:sz w:val="24"/>
          <w:szCs w:val="24"/>
        </w:rPr>
        <w:t xml:space="preserve"> по налогу на доходы организаций</w:t>
      </w:r>
      <w:r>
        <w:rPr>
          <w:rFonts w:ascii="Times New Roman" w:eastAsia="Calibri" w:hAnsi="Times New Roman"/>
          <w:sz w:val="24"/>
          <w:szCs w:val="24"/>
        </w:rPr>
        <w:t>, которые возро</w:t>
      </w:r>
      <w:r w:rsidRPr="00D16741">
        <w:rPr>
          <w:rFonts w:ascii="Times New Roman" w:eastAsia="Calibri" w:hAnsi="Times New Roman"/>
          <w:sz w:val="24"/>
          <w:szCs w:val="24"/>
        </w:rPr>
        <w:t>сли на 1,2%</w:t>
      </w:r>
      <w:r>
        <w:rPr>
          <w:rFonts w:ascii="Times New Roman" w:eastAsia="Calibri" w:hAnsi="Times New Roman"/>
          <w:sz w:val="24"/>
          <w:szCs w:val="24"/>
        </w:rPr>
        <w:t>, вследствие</w:t>
      </w:r>
      <w:r w:rsidRPr="00D16741">
        <w:rPr>
          <w:rFonts w:ascii="Times New Roman" w:eastAsia="Calibri" w:hAnsi="Times New Roman"/>
          <w:sz w:val="24"/>
          <w:szCs w:val="24"/>
        </w:rPr>
        <w:t xml:space="preserve"> увеличени</w:t>
      </w:r>
      <w:r>
        <w:rPr>
          <w:rFonts w:ascii="Times New Roman" w:eastAsia="Calibri" w:hAnsi="Times New Roman"/>
          <w:sz w:val="24"/>
          <w:szCs w:val="24"/>
        </w:rPr>
        <w:t>я</w:t>
      </w:r>
      <w:r w:rsidRPr="00D16741">
        <w:rPr>
          <w:rFonts w:ascii="Times New Roman" w:eastAsia="Calibri" w:hAnsi="Times New Roman"/>
          <w:sz w:val="24"/>
          <w:szCs w:val="24"/>
        </w:rPr>
        <w:t xml:space="preserve"> производства продукции на 47</w:t>
      </w:r>
      <w:r>
        <w:rPr>
          <w:rFonts w:ascii="Times New Roman" w:eastAsia="Calibri" w:hAnsi="Times New Roman"/>
          <w:sz w:val="24"/>
          <w:szCs w:val="24"/>
        </w:rPr>
        <w:t xml:space="preserve"> промышленных</w:t>
      </w:r>
      <w:r w:rsidRPr="00D16741">
        <w:rPr>
          <w:rFonts w:ascii="Times New Roman" w:eastAsia="Calibri" w:hAnsi="Times New Roman"/>
          <w:sz w:val="24"/>
          <w:szCs w:val="24"/>
        </w:rPr>
        <w:t xml:space="preserve"> предприятиях</w:t>
      </w:r>
      <w:r>
        <w:rPr>
          <w:rFonts w:ascii="Times New Roman" w:eastAsia="Calibri" w:hAnsi="Times New Roman"/>
          <w:sz w:val="24"/>
          <w:szCs w:val="24"/>
        </w:rPr>
        <w:t xml:space="preserve"> республики</w:t>
      </w:r>
      <w:r w:rsidRPr="00D16741">
        <w:rPr>
          <w:rFonts w:ascii="Times New Roman" w:eastAsia="Calibri" w:hAnsi="Times New Roman"/>
          <w:sz w:val="24"/>
          <w:szCs w:val="24"/>
        </w:rPr>
        <w:t>, что составляет 56% от их общего числа.</w:t>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 xml:space="preserve">Поступления </w:t>
      </w:r>
      <w:r w:rsidRPr="00D16741">
        <w:rPr>
          <w:rFonts w:ascii="Times New Roman" w:eastAsia="Calibri" w:hAnsi="Times New Roman"/>
          <w:b/>
          <w:sz w:val="24"/>
          <w:szCs w:val="24"/>
        </w:rPr>
        <w:t>по подоходному налогу с физических лиц</w:t>
      </w:r>
      <w:r w:rsidRPr="00D16741">
        <w:rPr>
          <w:rFonts w:ascii="Times New Roman" w:eastAsia="Calibri" w:hAnsi="Times New Roman"/>
          <w:sz w:val="24"/>
          <w:szCs w:val="24"/>
        </w:rPr>
        <w:t xml:space="preserve"> сократились на 7,7%, что сопровождалось снижением удельного веса</w:t>
      </w:r>
      <w:r>
        <w:rPr>
          <w:rFonts w:ascii="Times New Roman" w:eastAsia="Calibri" w:hAnsi="Times New Roman"/>
          <w:sz w:val="24"/>
          <w:szCs w:val="24"/>
        </w:rPr>
        <w:t xml:space="preserve"> данной статьи</w:t>
      </w:r>
      <w:r w:rsidRPr="00D16741">
        <w:rPr>
          <w:rFonts w:ascii="Times New Roman" w:eastAsia="Calibri" w:hAnsi="Times New Roman"/>
          <w:sz w:val="24"/>
          <w:szCs w:val="24"/>
        </w:rPr>
        <w:t xml:space="preserve"> в налоговых платежах на 2,6 п.п. до 20,3%. На </w:t>
      </w:r>
      <w:r>
        <w:rPr>
          <w:rFonts w:ascii="Times New Roman" w:eastAsia="Calibri" w:hAnsi="Times New Roman"/>
          <w:sz w:val="24"/>
          <w:szCs w:val="24"/>
        </w:rPr>
        <w:t>уменьшение</w:t>
      </w:r>
      <w:r w:rsidRPr="00D16741">
        <w:rPr>
          <w:rFonts w:ascii="Times New Roman" w:eastAsia="Calibri" w:hAnsi="Times New Roman"/>
          <w:sz w:val="24"/>
          <w:szCs w:val="24"/>
        </w:rPr>
        <w:t xml:space="preserve"> данных поступлений повлияло, с одной стороны, сокращение штатной численности</w:t>
      </w:r>
      <w:r>
        <w:rPr>
          <w:rFonts w:ascii="Times New Roman" w:eastAsia="Calibri" w:hAnsi="Times New Roman"/>
          <w:sz w:val="24"/>
          <w:szCs w:val="24"/>
        </w:rPr>
        <w:t xml:space="preserve"> сотрудников</w:t>
      </w:r>
      <w:r w:rsidRPr="00D16741">
        <w:rPr>
          <w:rFonts w:ascii="Times New Roman" w:eastAsia="Calibri" w:hAnsi="Times New Roman"/>
          <w:sz w:val="24"/>
          <w:szCs w:val="24"/>
        </w:rPr>
        <w:t>, фонда оплаты труда и материального стимулирования работников некоторых организаций в отчетном периоде</w:t>
      </w:r>
      <w:r>
        <w:rPr>
          <w:rFonts w:ascii="Times New Roman" w:eastAsia="Calibri" w:hAnsi="Times New Roman"/>
          <w:sz w:val="24"/>
          <w:szCs w:val="24"/>
        </w:rPr>
        <w:t>,</w:t>
      </w:r>
      <w:r w:rsidRPr="00D16741">
        <w:rPr>
          <w:rFonts w:ascii="Times New Roman" w:eastAsia="Calibri" w:hAnsi="Times New Roman"/>
          <w:sz w:val="24"/>
          <w:szCs w:val="24"/>
        </w:rPr>
        <w:t xml:space="preserve"> с другой, выплата 2016 году суще</w:t>
      </w:r>
      <w:r>
        <w:rPr>
          <w:rFonts w:ascii="Times New Roman" w:eastAsia="Calibri" w:hAnsi="Times New Roman"/>
          <w:sz w:val="24"/>
          <w:szCs w:val="24"/>
        </w:rPr>
        <w:t xml:space="preserve">ственных </w:t>
      </w:r>
      <w:r w:rsidRPr="00D16741">
        <w:rPr>
          <w:rFonts w:ascii="Times New Roman" w:eastAsia="Calibri" w:hAnsi="Times New Roman"/>
          <w:sz w:val="24"/>
          <w:szCs w:val="24"/>
        </w:rPr>
        <w:t xml:space="preserve">сумм задолженности по </w:t>
      </w:r>
      <w:r>
        <w:rPr>
          <w:rFonts w:ascii="Times New Roman" w:eastAsia="Calibri" w:hAnsi="Times New Roman"/>
          <w:sz w:val="24"/>
          <w:szCs w:val="24"/>
        </w:rPr>
        <w:t>заработной плате</w:t>
      </w:r>
      <w:r w:rsidRPr="00D16741">
        <w:rPr>
          <w:rFonts w:ascii="Times New Roman" w:eastAsia="Calibri" w:hAnsi="Times New Roman"/>
          <w:sz w:val="24"/>
          <w:szCs w:val="24"/>
        </w:rPr>
        <w:t xml:space="preserve"> работникам бюджетной сферы.</w:t>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Платежи</w:t>
      </w:r>
      <w:r w:rsidRPr="00D16741">
        <w:rPr>
          <w:rFonts w:ascii="Times New Roman" w:eastAsia="Calibri" w:hAnsi="Times New Roman"/>
          <w:b/>
          <w:sz w:val="24"/>
          <w:szCs w:val="24"/>
        </w:rPr>
        <w:t xml:space="preserve"> по налогам на внешнюю торговлю и внешнеэкономические операции</w:t>
      </w:r>
      <w:r w:rsidRPr="00D16741">
        <w:rPr>
          <w:rFonts w:ascii="Times New Roman" w:eastAsia="Calibri" w:hAnsi="Times New Roman"/>
          <w:sz w:val="24"/>
          <w:szCs w:val="24"/>
        </w:rPr>
        <w:t xml:space="preserve"> на фоне увеличения степени интенсивности осуществления импортных и экспортных операций по ввозимым (вывозимым) товарам, подлежащим обложению таможенными пошлинами</w:t>
      </w:r>
      <w:r>
        <w:rPr>
          <w:rFonts w:ascii="Times New Roman" w:eastAsia="Calibri" w:hAnsi="Times New Roman"/>
          <w:sz w:val="24"/>
          <w:szCs w:val="24"/>
        </w:rPr>
        <w:t>,</w:t>
      </w:r>
      <w:r w:rsidRPr="00D16741">
        <w:rPr>
          <w:rFonts w:ascii="Times New Roman" w:eastAsia="Calibri" w:hAnsi="Times New Roman"/>
          <w:sz w:val="24"/>
          <w:szCs w:val="24"/>
        </w:rPr>
        <w:t xml:space="preserve"> выросли на 1,8%. Однако их удельный вес сократился на 0,3 п.п. до 15,8%. </w:t>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Поступления по</w:t>
      </w:r>
      <w:r w:rsidRPr="00D16741">
        <w:rPr>
          <w:rFonts w:ascii="Times New Roman" w:eastAsia="Calibri" w:hAnsi="Times New Roman"/>
          <w:b/>
          <w:sz w:val="24"/>
          <w:szCs w:val="24"/>
        </w:rPr>
        <w:t xml:space="preserve"> налогам на товары и услуги, лицензионные</w:t>
      </w:r>
      <w:r>
        <w:rPr>
          <w:rFonts w:ascii="Times New Roman" w:eastAsia="Calibri" w:hAnsi="Times New Roman"/>
          <w:b/>
          <w:sz w:val="24"/>
          <w:szCs w:val="24"/>
        </w:rPr>
        <w:t xml:space="preserve"> и</w:t>
      </w:r>
      <w:r w:rsidRPr="00D16741">
        <w:rPr>
          <w:rFonts w:ascii="Times New Roman" w:eastAsia="Calibri" w:hAnsi="Times New Roman"/>
          <w:b/>
          <w:sz w:val="24"/>
          <w:szCs w:val="24"/>
        </w:rPr>
        <w:t xml:space="preserve"> регистрационные сборы</w:t>
      </w:r>
      <w:r w:rsidRPr="00D16741">
        <w:rPr>
          <w:rFonts w:ascii="Times New Roman" w:eastAsia="Calibri" w:hAnsi="Times New Roman"/>
          <w:sz w:val="24"/>
          <w:szCs w:val="24"/>
        </w:rPr>
        <w:t xml:space="preserve"> за январь – июнь 2017 года </w:t>
      </w:r>
      <w:r>
        <w:rPr>
          <w:rFonts w:ascii="Times New Roman" w:eastAsia="Calibri" w:hAnsi="Times New Roman"/>
          <w:sz w:val="24"/>
          <w:szCs w:val="24"/>
        </w:rPr>
        <w:t>расширились</w:t>
      </w:r>
      <w:r w:rsidRPr="00D16741">
        <w:rPr>
          <w:rFonts w:ascii="Times New Roman" w:eastAsia="Calibri" w:hAnsi="Times New Roman"/>
          <w:sz w:val="24"/>
          <w:szCs w:val="24"/>
        </w:rPr>
        <w:t xml:space="preserve"> на 28,5% до 59,4 </w:t>
      </w:r>
      <w:proofErr w:type="spellStart"/>
      <w:proofErr w:type="gramStart"/>
      <w:r w:rsidRPr="00D16741">
        <w:rPr>
          <w:rFonts w:ascii="Times New Roman" w:eastAsia="Calibri" w:hAnsi="Times New Roman"/>
          <w:sz w:val="24"/>
          <w:szCs w:val="24"/>
        </w:rPr>
        <w:t>млн</w:t>
      </w:r>
      <w:proofErr w:type="spellEnd"/>
      <w:proofErr w:type="gramEnd"/>
      <w:r w:rsidRPr="00D16741">
        <w:rPr>
          <w:rFonts w:ascii="Times New Roman" w:eastAsia="Calibri" w:hAnsi="Times New Roman"/>
          <w:sz w:val="24"/>
          <w:szCs w:val="24"/>
        </w:rPr>
        <w:t xml:space="preserve"> руб., что соответствует 7,6% налоговых поступлений</w:t>
      </w:r>
      <w:r>
        <w:rPr>
          <w:rFonts w:ascii="Times New Roman" w:eastAsia="Calibri" w:hAnsi="Times New Roman"/>
          <w:sz w:val="24"/>
          <w:szCs w:val="24"/>
        </w:rPr>
        <w:t>.</w:t>
      </w:r>
      <w:r w:rsidR="00D32012">
        <w:rPr>
          <w:rFonts w:ascii="Times New Roman" w:eastAsia="Calibri" w:hAnsi="Times New Roman"/>
          <w:sz w:val="24"/>
          <w:szCs w:val="24"/>
        </w:rPr>
        <w:t xml:space="preserve"> </w:t>
      </w:r>
      <w:r>
        <w:rPr>
          <w:rFonts w:ascii="Times New Roman" w:eastAsia="Calibri" w:hAnsi="Times New Roman"/>
          <w:sz w:val="24"/>
          <w:szCs w:val="24"/>
        </w:rPr>
        <w:t>В основном э</w:t>
      </w:r>
      <w:r w:rsidRPr="00D16741">
        <w:rPr>
          <w:rFonts w:ascii="Times New Roman" w:eastAsia="Calibri" w:hAnsi="Times New Roman"/>
          <w:sz w:val="24"/>
          <w:szCs w:val="24"/>
        </w:rPr>
        <w:t xml:space="preserve">то связано с увеличением объемов производства </w:t>
      </w:r>
      <w:r w:rsidRPr="00D16741">
        <w:rPr>
          <w:rFonts w:ascii="Times New Roman" w:eastAsia="Calibri" w:hAnsi="Times New Roman"/>
          <w:sz w:val="24"/>
          <w:szCs w:val="24"/>
        </w:rPr>
        <w:lastRenderedPageBreak/>
        <w:t xml:space="preserve">и реализации отдельных видов подакцизной продукции, а также </w:t>
      </w:r>
      <w:r>
        <w:rPr>
          <w:rFonts w:ascii="Times New Roman" w:eastAsia="Calibri" w:hAnsi="Times New Roman"/>
          <w:sz w:val="24"/>
          <w:szCs w:val="24"/>
        </w:rPr>
        <w:t>наращиванием</w:t>
      </w:r>
      <w:r w:rsidRPr="00D16741">
        <w:rPr>
          <w:rFonts w:ascii="Times New Roman" w:eastAsia="Calibri" w:hAnsi="Times New Roman"/>
          <w:sz w:val="24"/>
          <w:szCs w:val="24"/>
        </w:rPr>
        <w:t xml:space="preserve"> объемов</w:t>
      </w:r>
      <w:r>
        <w:rPr>
          <w:rFonts w:ascii="Times New Roman" w:eastAsia="Calibri" w:hAnsi="Times New Roman"/>
          <w:sz w:val="24"/>
          <w:szCs w:val="24"/>
        </w:rPr>
        <w:t xml:space="preserve"> продажи</w:t>
      </w:r>
      <w:r w:rsidRPr="00D16741">
        <w:rPr>
          <w:rFonts w:ascii="Times New Roman" w:eastAsia="Calibri" w:hAnsi="Times New Roman"/>
          <w:sz w:val="24"/>
          <w:szCs w:val="24"/>
        </w:rPr>
        <w:t xml:space="preserve"> топлива.</w:t>
      </w:r>
    </w:p>
    <w:p w:rsidR="00146BB8" w:rsidRPr="00D16741" w:rsidRDefault="00146BB8" w:rsidP="00146BB8">
      <w:pPr>
        <w:autoSpaceDE w:val="0"/>
        <w:autoSpaceDN w:val="0"/>
        <w:adjustRightInd w:val="0"/>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Суммы</w:t>
      </w:r>
      <w:r w:rsidR="00D32012">
        <w:rPr>
          <w:rFonts w:ascii="Times New Roman" w:eastAsia="Calibri" w:hAnsi="Times New Roman"/>
          <w:sz w:val="24"/>
          <w:szCs w:val="24"/>
        </w:rPr>
        <w:t xml:space="preserve"> </w:t>
      </w:r>
      <w:r w:rsidRPr="00D16741">
        <w:rPr>
          <w:rFonts w:ascii="Times New Roman" w:eastAsia="Calibri" w:hAnsi="Times New Roman"/>
          <w:b/>
          <w:sz w:val="24"/>
          <w:szCs w:val="24"/>
        </w:rPr>
        <w:t>платежей за пользование природными ресурсами</w:t>
      </w:r>
      <w:r w:rsidRPr="00D16741">
        <w:rPr>
          <w:rFonts w:ascii="Times New Roman" w:eastAsia="Calibri" w:hAnsi="Times New Roman"/>
          <w:sz w:val="24"/>
          <w:szCs w:val="24"/>
        </w:rPr>
        <w:t xml:space="preserve"> в рассматриваемом периоде возр</w:t>
      </w:r>
      <w:r>
        <w:rPr>
          <w:rFonts w:ascii="Times New Roman" w:eastAsia="Calibri" w:hAnsi="Times New Roman"/>
          <w:sz w:val="24"/>
          <w:szCs w:val="24"/>
        </w:rPr>
        <w:t>о</w:t>
      </w:r>
      <w:r w:rsidRPr="00D16741">
        <w:rPr>
          <w:rFonts w:ascii="Times New Roman" w:eastAsia="Calibri" w:hAnsi="Times New Roman"/>
          <w:sz w:val="24"/>
          <w:szCs w:val="24"/>
        </w:rPr>
        <w:t>сли на 84,4% за счет остатков</w:t>
      </w:r>
      <w:r>
        <w:rPr>
          <w:rFonts w:ascii="Times New Roman" w:eastAsia="Calibri" w:hAnsi="Times New Roman"/>
          <w:sz w:val="24"/>
          <w:szCs w:val="24"/>
        </w:rPr>
        <w:t xml:space="preserve"> средств</w:t>
      </w:r>
      <w:r w:rsidRPr="00D16741">
        <w:rPr>
          <w:rFonts w:ascii="Times New Roman" w:eastAsia="Calibri" w:hAnsi="Times New Roman"/>
          <w:sz w:val="24"/>
          <w:szCs w:val="24"/>
        </w:rPr>
        <w:t xml:space="preserve"> по паевому фонду в разме</w:t>
      </w:r>
      <w:r>
        <w:rPr>
          <w:rFonts w:ascii="Times New Roman" w:eastAsia="Calibri" w:hAnsi="Times New Roman"/>
          <w:sz w:val="24"/>
          <w:szCs w:val="24"/>
        </w:rPr>
        <w:t xml:space="preserve">ре </w:t>
      </w:r>
      <w:r w:rsidR="00D32012">
        <w:rPr>
          <w:rFonts w:ascii="Times New Roman" w:eastAsia="Calibri" w:hAnsi="Times New Roman"/>
          <w:sz w:val="24"/>
          <w:szCs w:val="24"/>
        </w:rPr>
        <w:t xml:space="preserve">                </w:t>
      </w:r>
      <w:r>
        <w:rPr>
          <w:rFonts w:ascii="Times New Roman" w:eastAsia="Calibri" w:hAnsi="Times New Roman"/>
          <w:sz w:val="24"/>
          <w:szCs w:val="24"/>
        </w:rPr>
        <w:t>25 000 000 руб., перечисленных</w:t>
      </w:r>
      <w:r w:rsidRPr="00D16741">
        <w:rPr>
          <w:rFonts w:ascii="Times New Roman" w:eastAsia="Calibri" w:hAnsi="Times New Roman"/>
          <w:sz w:val="24"/>
          <w:szCs w:val="24"/>
        </w:rPr>
        <w:t xml:space="preserve"> в доход республиканского бюджета. При этом удельный вес</w:t>
      </w:r>
      <w:r>
        <w:rPr>
          <w:rFonts w:ascii="Times New Roman" w:eastAsia="Calibri" w:hAnsi="Times New Roman"/>
          <w:sz w:val="24"/>
          <w:szCs w:val="24"/>
        </w:rPr>
        <w:t xml:space="preserve"> данной статьи</w:t>
      </w:r>
      <w:r w:rsidRPr="00D16741">
        <w:rPr>
          <w:rFonts w:ascii="Times New Roman" w:eastAsia="Calibri" w:hAnsi="Times New Roman"/>
          <w:sz w:val="24"/>
          <w:szCs w:val="24"/>
        </w:rPr>
        <w:t xml:space="preserve"> в налоговых платежах вырос на 3,4 </w:t>
      </w:r>
      <w:r>
        <w:rPr>
          <w:rFonts w:ascii="Times New Roman" w:eastAsia="Calibri" w:hAnsi="Times New Roman"/>
          <w:sz w:val="24"/>
          <w:szCs w:val="24"/>
        </w:rPr>
        <w:t>п.п.</w:t>
      </w:r>
      <w:r w:rsidRPr="00D16741">
        <w:rPr>
          <w:rFonts w:ascii="Times New Roman" w:eastAsia="Calibri" w:hAnsi="Times New Roman"/>
          <w:sz w:val="24"/>
          <w:szCs w:val="24"/>
        </w:rPr>
        <w:t xml:space="preserve"> до 7,7%. </w:t>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В январе – июне 2017 года</w:t>
      </w:r>
      <w:r w:rsidRPr="00D16741">
        <w:rPr>
          <w:rFonts w:ascii="Times New Roman" w:eastAsia="Calibri" w:hAnsi="Times New Roman"/>
          <w:b/>
          <w:sz w:val="24"/>
          <w:szCs w:val="24"/>
        </w:rPr>
        <w:t xml:space="preserve"> неналоговые поступления</w:t>
      </w:r>
      <w:r w:rsidRPr="00D16741">
        <w:rPr>
          <w:rFonts w:ascii="Times New Roman" w:eastAsia="Calibri" w:hAnsi="Times New Roman"/>
          <w:sz w:val="24"/>
          <w:szCs w:val="24"/>
        </w:rPr>
        <w:t xml:space="preserve"> расширились в 7,2 раза и сложились в сумме </w:t>
      </w:r>
      <w:r w:rsidRPr="00D16741">
        <w:rPr>
          <w:rFonts w:ascii="Times New Roman" w:eastAsia="Calibri" w:hAnsi="Times New Roman"/>
        </w:rPr>
        <w:t>197 711 771 руб</w:t>
      </w:r>
      <w:r w:rsidRPr="00D16741">
        <w:rPr>
          <w:rFonts w:ascii="Times New Roman" w:eastAsia="Calibri" w:hAnsi="Times New Roman"/>
          <w:sz w:val="24"/>
          <w:szCs w:val="24"/>
        </w:rPr>
        <w:t>., что составило 16,6% общих доходов консолидированного бюджета. При этом в неналоговых доходах отражена сумма части прибыли в размере 175 000 000 руб., перечисленная Приднестровским республиканским банком авансом (до утверждения годовой отчетности).</w:t>
      </w:r>
    </w:p>
    <w:p w:rsidR="00146BB8" w:rsidRPr="00D16741" w:rsidRDefault="00146BB8" w:rsidP="00146BB8">
      <w:pPr>
        <w:spacing w:after="0" w:line="240" w:lineRule="auto"/>
        <w:ind w:firstLine="709"/>
        <w:jc w:val="both"/>
        <w:rPr>
          <w:rFonts w:ascii="Times New Roman" w:eastAsia="Calibri" w:hAnsi="Times New Roman"/>
          <w:sz w:val="24"/>
          <w:szCs w:val="24"/>
        </w:rPr>
      </w:pPr>
      <w:r>
        <w:rPr>
          <w:rFonts w:ascii="Times New Roman" w:eastAsia="Calibri" w:hAnsi="Times New Roman"/>
          <w:b/>
          <w:sz w:val="24"/>
          <w:szCs w:val="24"/>
        </w:rPr>
        <w:t>Средства, отражаемые по статье «</w:t>
      </w:r>
      <w:r w:rsidRPr="00D16741">
        <w:rPr>
          <w:rFonts w:ascii="Times New Roman" w:eastAsia="Calibri" w:hAnsi="Times New Roman"/>
          <w:b/>
          <w:sz w:val="24"/>
          <w:szCs w:val="24"/>
        </w:rPr>
        <w:t>Доходы от имущества, находящегося в государственной и муниципальной собственности</w:t>
      </w:r>
      <w:r>
        <w:rPr>
          <w:rFonts w:ascii="Times New Roman" w:eastAsia="Calibri" w:hAnsi="Times New Roman"/>
          <w:b/>
          <w:sz w:val="24"/>
          <w:szCs w:val="24"/>
        </w:rPr>
        <w:t>»</w:t>
      </w:r>
      <w:r w:rsidRPr="00D16741">
        <w:rPr>
          <w:rFonts w:ascii="Times New Roman" w:eastAsia="Calibri" w:hAnsi="Times New Roman"/>
          <w:b/>
          <w:sz w:val="24"/>
          <w:szCs w:val="24"/>
        </w:rPr>
        <w:t>,</w:t>
      </w:r>
      <w:r w:rsidRPr="00D16741">
        <w:rPr>
          <w:rFonts w:ascii="Times New Roman" w:eastAsia="Calibri" w:hAnsi="Times New Roman"/>
          <w:sz w:val="24"/>
          <w:szCs w:val="24"/>
        </w:rPr>
        <w:t xml:space="preserve"> увеличились в 13,4 р. до </w:t>
      </w:r>
      <w:r w:rsidR="00D32012">
        <w:rPr>
          <w:rFonts w:ascii="Times New Roman" w:eastAsia="Calibri" w:hAnsi="Times New Roman"/>
          <w:sz w:val="24"/>
          <w:szCs w:val="24"/>
        </w:rPr>
        <w:t xml:space="preserve">           </w:t>
      </w:r>
      <w:r w:rsidRPr="00D16741">
        <w:rPr>
          <w:rFonts w:ascii="Times New Roman" w:eastAsia="Calibri" w:hAnsi="Times New Roman"/>
          <w:sz w:val="24"/>
          <w:szCs w:val="24"/>
        </w:rPr>
        <w:t xml:space="preserve">184 776 215 руб., </w:t>
      </w:r>
      <w:r>
        <w:rPr>
          <w:rFonts w:ascii="Times New Roman" w:eastAsia="Calibri" w:hAnsi="Times New Roman"/>
          <w:sz w:val="24"/>
          <w:szCs w:val="24"/>
        </w:rPr>
        <w:t>что соответствует 93,5% (+44,8 п.п.) неналоговых поступлений</w:t>
      </w:r>
      <w:r w:rsidRPr="00D16741">
        <w:rPr>
          <w:rFonts w:ascii="Times New Roman" w:eastAsia="Calibri" w:hAnsi="Times New Roman"/>
          <w:sz w:val="24"/>
          <w:szCs w:val="24"/>
        </w:rPr>
        <w:t xml:space="preserve">. </w:t>
      </w:r>
      <w:proofErr w:type="gramStart"/>
      <w:r>
        <w:rPr>
          <w:rFonts w:ascii="Times New Roman" w:eastAsia="Calibri" w:hAnsi="Times New Roman"/>
          <w:sz w:val="24"/>
          <w:szCs w:val="24"/>
        </w:rPr>
        <w:t>В то же время ф</w:t>
      </w:r>
      <w:r w:rsidRPr="00D16741">
        <w:rPr>
          <w:rFonts w:ascii="Times New Roman" w:eastAsia="Calibri" w:hAnsi="Times New Roman"/>
          <w:sz w:val="24"/>
          <w:szCs w:val="24"/>
        </w:rPr>
        <w:t xml:space="preserve">актические суммы поступлений доходов </w:t>
      </w:r>
      <w:r w:rsidRPr="00D16741">
        <w:rPr>
          <w:rFonts w:ascii="Times New Roman" w:eastAsia="Calibri" w:hAnsi="Times New Roman"/>
          <w:b/>
          <w:sz w:val="24"/>
          <w:szCs w:val="24"/>
        </w:rPr>
        <w:t>от продажи</w:t>
      </w:r>
      <w:r w:rsidR="00D32012">
        <w:rPr>
          <w:rFonts w:ascii="Times New Roman" w:eastAsia="Calibri" w:hAnsi="Times New Roman"/>
          <w:b/>
          <w:sz w:val="24"/>
          <w:szCs w:val="24"/>
        </w:rPr>
        <w:t xml:space="preserve"> </w:t>
      </w:r>
      <w:r w:rsidRPr="00D16741">
        <w:rPr>
          <w:rFonts w:ascii="Times New Roman" w:eastAsia="Calibri" w:hAnsi="Times New Roman"/>
          <w:b/>
          <w:sz w:val="24"/>
          <w:szCs w:val="24"/>
        </w:rPr>
        <w:t xml:space="preserve">имущества, находящегося в государственной и муниципальной собственности, </w:t>
      </w:r>
      <w:r w:rsidRPr="00D16741">
        <w:rPr>
          <w:rFonts w:ascii="Times New Roman" w:eastAsia="Calibri" w:hAnsi="Times New Roman"/>
          <w:sz w:val="24"/>
          <w:szCs w:val="24"/>
        </w:rPr>
        <w:t xml:space="preserve">выросли в 2,2 раза и составили </w:t>
      </w:r>
      <w:r w:rsidR="00D32012">
        <w:rPr>
          <w:rFonts w:ascii="Times New Roman" w:eastAsia="Calibri" w:hAnsi="Times New Roman"/>
          <w:sz w:val="24"/>
          <w:szCs w:val="24"/>
        </w:rPr>
        <w:t xml:space="preserve">            </w:t>
      </w:r>
      <w:r w:rsidRPr="00D16741">
        <w:rPr>
          <w:rFonts w:ascii="Times New Roman" w:eastAsia="Calibri" w:hAnsi="Times New Roman"/>
          <w:sz w:val="24"/>
          <w:szCs w:val="24"/>
        </w:rPr>
        <w:t xml:space="preserve">3 023 613 руб., однако при этом их удельный вес сократился на 3,5 п.п. до 1,5%.При этом отмечен спад поступлений </w:t>
      </w:r>
      <w:r w:rsidRPr="00D16741">
        <w:rPr>
          <w:rFonts w:ascii="Times New Roman" w:eastAsia="Calibri" w:hAnsi="Times New Roman"/>
          <w:b/>
          <w:sz w:val="24"/>
          <w:szCs w:val="24"/>
        </w:rPr>
        <w:t>от административных платежей и сборов</w:t>
      </w:r>
      <w:r w:rsidRPr="00D16741">
        <w:rPr>
          <w:rFonts w:ascii="Times New Roman" w:eastAsia="Calibri" w:hAnsi="Times New Roman"/>
          <w:sz w:val="24"/>
          <w:szCs w:val="24"/>
        </w:rPr>
        <w:t xml:space="preserve"> на 33,6%, в результате на фоне существенного роста других поступлений</w:t>
      </w:r>
      <w:proofErr w:type="gramEnd"/>
      <w:r w:rsidRPr="00D16741">
        <w:rPr>
          <w:rFonts w:ascii="Times New Roman" w:eastAsia="Calibri" w:hAnsi="Times New Roman"/>
          <w:sz w:val="24"/>
          <w:szCs w:val="24"/>
        </w:rPr>
        <w:t xml:space="preserve"> их удельный вес в неналоговых платежах снизился на 13,0 п.п. до 1,3%.</w:t>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 xml:space="preserve">Поступления </w:t>
      </w:r>
      <w:r w:rsidRPr="00D16741">
        <w:rPr>
          <w:rFonts w:ascii="Times New Roman" w:eastAsia="Calibri" w:hAnsi="Times New Roman"/>
          <w:b/>
          <w:sz w:val="24"/>
          <w:szCs w:val="24"/>
        </w:rPr>
        <w:t>от штрафных санкций и возмещения ущерба</w:t>
      </w:r>
      <w:r>
        <w:rPr>
          <w:rFonts w:ascii="Times New Roman" w:eastAsia="Calibri" w:hAnsi="Times New Roman"/>
          <w:sz w:val="24"/>
          <w:szCs w:val="24"/>
        </w:rPr>
        <w:t xml:space="preserve"> сократились на 17,0%,долевое представление статьи</w:t>
      </w:r>
      <w:r w:rsidRPr="00D16741">
        <w:rPr>
          <w:rFonts w:ascii="Times New Roman" w:eastAsia="Calibri" w:hAnsi="Times New Roman"/>
          <w:sz w:val="24"/>
          <w:szCs w:val="24"/>
        </w:rPr>
        <w:t xml:space="preserve"> в неналоговых платежах сузил</w:t>
      </w:r>
      <w:r>
        <w:rPr>
          <w:rFonts w:ascii="Times New Roman" w:eastAsia="Calibri" w:hAnsi="Times New Roman"/>
          <w:sz w:val="24"/>
          <w:szCs w:val="24"/>
        </w:rPr>
        <w:t>о</w:t>
      </w:r>
      <w:r w:rsidRPr="00D16741">
        <w:rPr>
          <w:rFonts w:ascii="Times New Roman" w:eastAsia="Calibri" w:hAnsi="Times New Roman"/>
          <w:sz w:val="24"/>
          <w:szCs w:val="24"/>
        </w:rPr>
        <w:t>с</w:t>
      </w:r>
      <w:r>
        <w:rPr>
          <w:rFonts w:ascii="Times New Roman" w:eastAsia="Calibri" w:hAnsi="Times New Roman"/>
          <w:sz w:val="24"/>
          <w:szCs w:val="24"/>
        </w:rPr>
        <w:t>ь</w:t>
      </w:r>
      <w:r w:rsidRPr="00D16741">
        <w:rPr>
          <w:rFonts w:ascii="Times New Roman" w:eastAsia="Calibri" w:hAnsi="Times New Roman"/>
          <w:sz w:val="24"/>
          <w:szCs w:val="24"/>
        </w:rPr>
        <w:t xml:space="preserve"> до 3,7% (или на </w:t>
      </w:r>
      <w:r w:rsidR="00D32012">
        <w:rPr>
          <w:rFonts w:ascii="Times New Roman" w:eastAsia="Calibri" w:hAnsi="Times New Roman"/>
          <w:sz w:val="24"/>
          <w:szCs w:val="24"/>
        </w:rPr>
        <w:t xml:space="preserve">         </w:t>
      </w:r>
      <w:r w:rsidRPr="00D16741">
        <w:rPr>
          <w:rFonts w:ascii="Times New Roman" w:eastAsia="Calibri" w:hAnsi="Times New Roman"/>
          <w:sz w:val="24"/>
          <w:szCs w:val="24"/>
        </w:rPr>
        <w:t>28,0 п.п.).</w:t>
      </w:r>
    </w:p>
    <w:p w:rsidR="00146BB8" w:rsidRPr="00D16741" w:rsidRDefault="00146BB8" w:rsidP="00146BB8">
      <w:pPr>
        <w:spacing w:after="0" w:line="240" w:lineRule="auto"/>
        <w:jc w:val="both"/>
        <w:rPr>
          <w:rFonts w:ascii="Times New Roman" w:eastAsia="Calibri" w:hAnsi="Times New Roman"/>
          <w:sz w:val="24"/>
          <w:szCs w:val="24"/>
        </w:rPr>
      </w:pPr>
      <w:r w:rsidRPr="00D16741">
        <w:rPr>
          <w:rFonts w:ascii="Times New Roman" w:eastAsia="Calibri" w:hAnsi="Times New Roman"/>
          <w:noProof/>
          <w:sz w:val="24"/>
          <w:szCs w:val="24"/>
        </w:rPr>
        <w:drawing>
          <wp:inline distT="0" distB="0" distL="0" distR="0">
            <wp:extent cx="2811615" cy="2003728"/>
            <wp:effectExtent l="19050" t="0" r="7785" b="0"/>
            <wp:docPr id="8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D16741">
        <w:rPr>
          <w:rFonts w:ascii="Times New Roman" w:eastAsia="Calibri" w:hAnsi="Times New Roman"/>
          <w:noProof/>
          <w:sz w:val="24"/>
          <w:szCs w:val="24"/>
        </w:rPr>
        <w:drawing>
          <wp:inline distT="0" distB="0" distL="0" distR="0">
            <wp:extent cx="2811614" cy="1963972"/>
            <wp:effectExtent l="19050" t="0" r="7786" b="0"/>
            <wp:docPr id="8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46BB8" w:rsidRPr="00D16741" w:rsidRDefault="00146BB8" w:rsidP="00146BB8">
      <w:pPr>
        <w:spacing w:after="0" w:line="240" w:lineRule="auto"/>
        <w:ind w:firstLine="709"/>
        <w:jc w:val="both"/>
        <w:rPr>
          <w:rFonts w:ascii="Times New Roman" w:eastAsia="Calibri" w:hAnsi="Times New Roman"/>
          <w:spacing w:val="-4"/>
          <w:sz w:val="24"/>
          <w:szCs w:val="24"/>
        </w:rPr>
      </w:pPr>
      <w:r w:rsidRPr="00D16741">
        <w:rPr>
          <w:rFonts w:ascii="Times New Roman" w:eastAsia="Calibri" w:hAnsi="Times New Roman"/>
          <w:sz w:val="24"/>
          <w:szCs w:val="24"/>
        </w:rPr>
        <w:t xml:space="preserve">В </w:t>
      </w:r>
      <w:r w:rsidRPr="00D16741">
        <w:rPr>
          <w:rFonts w:ascii="Times New Roman" w:eastAsia="Calibri" w:hAnsi="Times New Roman"/>
          <w:sz w:val="24"/>
          <w:szCs w:val="24"/>
          <w:lang w:val="en-US"/>
        </w:rPr>
        <w:t>I</w:t>
      </w:r>
      <w:r w:rsidRPr="00D16741">
        <w:rPr>
          <w:rFonts w:ascii="Times New Roman" w:eastAsia="Calibri" w:hAnsi="Times New Roman"/>
          <w:sz w:val="24"/>
          <w:szCs w:val="24"/>
        </w:rPr>
        <w:t xml:space="preserve"> полугодии 2017 года доходы </w:t>
      </w:r>
      <w:r w:rsidRPr="00D16741">
        <w:rPr>
          <w:rFonts w:ascii="Times New Roman" w:eastAsia="Calibri" w:hAnsi="Times New Roman"/>
          <w:b/>
          <w:sz w:val="24"/>
          <w:szCs w:val="24"/>
        </w:rPr>
        <w:t>целевых бюджетных фондов</w:t>
      </w:r>
      <w:r w:rsidRPr="00D16741">
        <w:rPr>
          <w:rFonts w:ascii="Times New Roman" w:eastAsia="Calibri" w:hAnsi="Times New Roman"/>
          <w:sz w:val="24"/>
          <w:szCs w:val="24"/>
        </w:rPr>
        <w:t xml:space="preserve"> увеличились на 4,6%. При этом рост отмечен по платежам в </w:t>
      </w:r>
      <w:r w:rsidRPr="00D16741">
        <w:rPr>
          <w:rFonts w:ascii="Times New Roman" w:eastAsia="Calibri" w:hAnsi="Times New Roman"/>
          <w:b/>
          <w:sz w:val="24"/>
          <w:szCs w:val="24"/>
        </w:rPr>
        <w:t>дорожные фонды</w:t>
      </w:r>
      <w:r w:rsidRPr="00D16741">
        <w:rPr>
          <w:rFonts w:ascii="Times New Roman" w:eastAsia="Calibri" w:hAnsi="Times New Roman"/>
          <w:sz w:val="24"/>
          <w:szCs w:val="24"/>
        </w:rPr>
        <w:t xml:space="preserve"> на 1,9%. В целевые бюджетные </w:t>
      </w:r>
      <w:r w:rsidRPr="00D16741">
        <w:rPr>
          <w:rFonts w:ascii="Times New Roman" w:eastAsia="Calibri" w:hAnsi="Times New Roman"/>
          <w:b/>
          <w:sz w:val="24"/>
          <w:szCs w:val="24"/>
        </w:rPr>
        <w:t>экологические фонды</w:t>
      </w:r>
      <w:r w:rsidRPr="00D16741">
        <w:rPr>
          <w:rFonts w:ascii="Times New Roman" w:eastAsia="Calibri" w:hAnsi="Times New Roman"/>
          <w:sz w:val="24"/>
          <w:szCs w:val="24"/>
        </w:rPr>
        <w:t xml:space="preserve"> поступило средств на 5,6% меньше</w:t>
      </w:r>
      <w:r>
        <w:rPr>
          <w:rFonts w:ascii="Times New Roman" w:eastAsia="Calibri" w:hAnsi="Times New Roman"/>
          <w:sz w:val="24"/>
          <w:szCs w:val="24"/>
        </w:rPr>
        <w:t>,</w:t>
      </w:r>
      <w:r w:rsidRPr="00D16741">
        <w:rPr>
          <w:rFonts w:ascii="Times New Roman" w:eastAsia="Calibri" w:hAnsi="Times New Roman"/>
          <w:sz w:val="24"/>
          <w:szCs w:val="24"/>
        </w:rPr>
        <w:t xml:space="preserve"> чем в январе – июне 2016 года.</w:t>
      </w:r>
      <w:r w:rsidR="00D32012">
        <w:rPr>
          <w:rFonts w:ascii="Times New Roman" w:eastAsia="Calibri" w:hAnsi="Times New Roman"/>
          <w:sz w:val="24"/>
          <w:szCs w:val="24"/>
        </w:rPr>
        <w:t xml:space="preserve"> </w:t>
      </w:r>
      <w:r w:rsidRPr="00D32012">
        <w:rPr>
          <w:rFonts w:ascii="Times New Roman" w:eastAsia="Calibri" w:hAnsi="Times New Roman"/>
          <w:b/>
          <w:spacing w:val="-4"/>
          <w:sz w:val="24"/>
          <w:szCs w:val="24"/>
        </w:rPr>
        <w:t>Д</w:t>
      </w:r>
      <w:r w:rsidRPr="00D16741">
        <w:rPr>
          <w:rFonts w:ascii="Times New Roman" w:eastAsia="Calibri" w:hAnsi="Times New Roman"/>
          <w:b/>
          <w:spacing w:val="-4"/>
          <w:sz w:val="24"/>
          <w:szCs w:val="24"/>
        </w:rPr>
        <w:t>оходы от предпринимательской и иной приносящей доход деятельности</w:t>
      </w:r>
      <w:r w:rsidRPr="00D16741">
        <w:rPr>
          <w:rFonts w:ascii="Times New Roman" w:eastAsia="Calibri" w:hAnsi="Times New Roman"/>
          <w:spacing w:val="-4"/>
          <w:sz w:val="24"/>
          <w:szCs w:val="24"/>
        </w:rPr>
        <w:t xml:space="preserve"> за </w:t>
      </w:r>
      <w:r w:rsidRPr="00D16741">
        <w:rPr>
          <w:rFonts w:ascii="Times New Roman" w:eastAsia="Calibri" w:hAnsi="Times New Roman"/>
          <w:spacing w:val="-4"/>
          <w:sz w:val="24"/>
          <w:szCs w:val="24"/>
          <w:lang w:val="en-US"/>
        </w:rPr>
        <w:t>I</w:t>
      </w:r>
      <w:r w:rsidRPr="00D16741">
        <w:rPr>
          <w:rFonts w:ascii="Times New Roman" w:eastAsia="Calibri" w:hAnsi="Times New Roman"/>
          <w:spacing w:val="-4"/>
          <w:sz w:val="24"/>
          <w:szCs w:val="24"/>
        </w:rPr>
        <w:t xml:space="preserve"> полугодие 2017 года также сократились на 6,7% и составили 104 707 998 руб.</w:t>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 xml:space="preserve">Поступления средств в целевой </w:t>
      </w:r>
      <w:r w:rsidRPr="00D16741">
        <w:rPr>
          <w:rFonts w:ascii="Times New Roman" w:eastAsia="Calibri" w:hAnsi="Times New Roman"/>
          <w:b/>
          <w:sz w:val="24"/>
          <w:szCs w:val="24"/>
        </w:rPr>
        <w:t>фонд Государственного таможенного комитета</w:t>
      </w:r>
      <w:r w:rsidRPr="00D16741">
        <w:rPr>
          <w:rFonts w:ascii="Times New Roman" w:eastAsia="Calibri" w:hAnsi="Times New Roman"/>
          <w:sz w:val="24"/>
          <w:szCs w:val="24"/>
        </w:rPr>
        <w:t xml:space="preserve"> за отчетный </w:t>
      </w:r>
      <w:r>
        <w:rPr>
          <w:rFonts w:ascii="Times New Roman" w:eastAsia="Calibri" w:hAnsi="Times New Roman"/>
          <w:sz w:val="24"/>
          <w:szCs w:val="24"/>
        </w:rPr>
        <w:t>период</w:t>
      </w:r>
      <w:r w:rsidRPr="00D16741">
        <w:rPr>
          <w:rFonts w:ascii="Times New Roman" w:eastAsia="Calibri" w:hAnsi="Times New Roman"/>
          <w:sz w:val="24"/>
          <w:szCs w:val="24"/>
        </w:rPr>
        <w:t xml:space="preserve"> выросли на 26,5% до 22 314 939 руб.</w:t>
      </w:r>
    </w:p>
    <w:p w:rsidR="00146BB8" w:rsidRPr="00D16741" w:rsidRDefault="00146BB8" w:rsidP="00146BB8">
      <w:pPr>
        <w:spacing w:after="0" w:line="240" w:lineRule="auto"/>
        <w:ind w:firstLine="709"/>
        <w:jc w:val="both"/>
        <w:rPr>
          <w:rFonts w:ascii="Times New Roman" w:eastAsia="Calibri" w:hAnsi="Times New Roman"/>
          <w:spacing w:val="-4"/>
          <w:sz w:val="24"/>
          <w:szCs w:val="24"/>
        </w:rPr>
      </w:pPr>
    </w:p>
    <w:p w:rsidR="00146BB8" w:rsidRPr="00D16741" w:rsidRDefault="00146BB8" w:rsidP="00146BB8">
      <w:pPr>
        <w:spacing w:after="0" w:line="240" w:lineRule="auto"/>
        <w:ind w:firstLine="709"/>
        <w:jc w:val="both"/>
        <w:rPr>
          <w:rFonts w:ascii="Times New Roman" w:eastAsia="Calibri" w:hAnsi="Times New Roman"/>
          <w:spacing w:val="-4"/>
          <w:sz w:val="24"/>
          <w:szCs w:val="24"/>
        </w:rPr>
      </w:pPr>
      <w:r w:rsidRPr="00D16741">
        <w:rPr>
          <w:rFonts w:ascii="Times New Roman" w:eastAsia="Calibri" w:hAnsi="Times New Roman"/>
          <w:spacing w:val="-4"/>
          <w:sz w:val="24"/>
          <w:szCs w:val="24"/>
        </w:rPr>
        <w:t xml:space="preserve">Расходы консолидированного бюджета за январь – июнь 2017 года сократились на 18,9% до 1 831 309 252 руб., в том числе по местным бюджетам – на 20,6%, по республиканскому бюджету - на 18,2%. Данный спад обусловлен завышенной базой сравнения, а именно осуществленной в </w:t>
      </w:r>
      <w:r w:rsidRPr="00D16741">
        <w:rPr>
          <w:rFonts w:ascii="Times New Roman" w:eastAsia="Calibri" w:hAnsi="Times New Roman"/>
          <w:spacing w:val="-4"/>
          <w:sz w:val="24"/>
          <w:szCs w:val="24"/>
          <w:lang w:val="en-US"/>
        </w:rPr>
        <w:t>I</w:t>
      </w:r>
      <w:r w:rsidRPr="00D16741">
        <w:rPr>
          <w:rFonts w:ascii="Times New Roman" w:eastAsia="Calibri" w:hAnsi="Times New Roman"/>
          <w:spacing w:val="-4"/>
          <w:sz w:val="24"/>
          <w:szCs w:val="24"/>
        </w:rPr>
        <w:t xml:space="preserve"> полугодии 2016 года выплатой задолженности по заработной плате сотрудникам бюджетных организаций, сформировавшейся по итогам 2015 года.</w:t>
      </w:r>
    </w:p>
    <w:p w:rsidR="00146BB8"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pacing w:val="-4"/>
          <w:sz w:val="24"/>
          <w:szCs w:val="24"/>
        </w:rPr>
        <w:t xml:space="preserve">Низкий процент исполнения плановых показателей финансирования </w:t>
      </w:r>
      <w:r>
        <w:rPr>
          <w:rFonts w:ascii="Times New Roman" w:eastAsia="Calibri" w:hAnsi="Times New Roman"/>
          <w:spacing w:val="-4"/>
          <w:sz w:val="24"/>
          <w:szCs w:val="24"/>
        </w:rPr>
        <w:t>государственных обязательств</w:t>
      </w:r>
      <w:r w:rsidRPr="00D16741">
        <w:rPr>
          <w:rFonts w:ascii="Times New Roman" w:eastAsia="Calibri" w:hAnsi="Times New Roman"/>
          <w:spacing w:val="-4"/>
          <w:sz w:val="24"/>
          <w:szCs w:val="24"/>
        </w:rPr>
        <w:t xml:space="preserve"> был обусловлен недостаточным уровнем обеспеченности расходов бюджета собственными доходами в виду сохраняющейся сложной ситуации в экономике</w:t>
      </w:r>
      <w:r>
        <w:rPr>
          <w:rFonts w:ascii="Times New Roman" w:eastAsia="Calibri" w:hAnsi="Times New Roman"/>
          <w:spacing w:val="-4"/>
          <w:sz w:val="24"/>
          <w:szCs w:val="24"/>
        </w:rPr>
        <w:t>,</w:t>
      </w:r>
      <w:r w:rsidR="00D32012">
        <w:rPr>
          <w:rFonts w:ascii="Times New Roman" w:eastAsia="Calibri" w:hAnsi="Times New Roman"/>
          <w:spacing w:val="-4"/>
          <w:sz w:val="24"/>
          <w:szCs w:val="24"/>
        </w:rPr>
        <w:t xml:space="preserve"> </w:t>
      </w:r>
      <w:r>
        <w:rPr>
          <w:rFonts w:ascii="Times New Roman" w:eastAsia="Calibri" w:hAnsi="Times New Roman"/>
          <w:spacing w:val="-4"/>
          <w:sz w:val="24"/>
          <w:szCs w:val="24"/>
        </w:rPr>
        <w:t>д</w:t>
      </w:r>
      <w:r w:rsidRPr="00D16741">
        <w:rPr>
          <w:rFonts w:ascii="Times New Roman" w:eastAsia="Calibri" w:hAnsi="Times New Roman"/>
          <w:spacing w:val="-4"/>
          <w:sz w:val="24"/>
          <w:szCs w:val="24"/>
        </w:rPr>
        <w:t>ействующими</w:t>
      </w:r>
      <w:r w:rsidRPr="00D16741">
        <w:rPr>
          <w:rFonts w:ascii="Times New Roman" w:eastAsia="Calibri" w:hAnsi="Times New Roman"/>
          <w:sz w:val="24"/>
          <w:szCs w:val="24"/>
        </w:rPr>
        <w:t xml:space="preserve"> ограничениями и барьерами при осуществлении внешнеэкономической деятельности.</w:t>
      </w:r>
    </w:p>
    <w:p w:rsidR="00A22BDD" w:rsidRDefault="00A22BDD" w:rsidP="00146BB8">
      <w:pPr>
        <w:spacing w:after="0" w:line="240" w:lineRule="auto"/>
        <w:ind w:firstLine="709"/>
        <w:jc w:val="both"/>
        <w:rPr>
          <w:rFonts w:ascii="Times New Roman" w:eastAsia="Calibri" w:hAnsi="Times New Roman"/>
          <w:spacing w:val="-4"/>
          <w:sz w:val="24"/>
          <w:szCs w:val="24"/>
        </w:rPr>
      </w:pPr>
    </w:p>
    <w:p w:rsidR="00A22BDD" w:rsidRDefault="00A22BDD" w:rsidP="00146BB8">
      <w:pPr>
        <w:spacing w:after="0" w:line="240" w:lineRule="auto"/>
        <w:ind w:firstLine="709"/>
        <w:jc w:val="both"/>
        <w:rPr>
          <w:rFonts w:ascii="Times New Roman" w:eastAsia="Calibri" w:hAnsi="Times New Roman"/>
          <w:spacing w:val="-4"/>
          <w:sz w:val="24"/>
          <w:szCs w:val="24"/>
        </w:rPr>
      </w:pPr>
    </w:p>
    <w:p w:rsidR="00A22BDD" w:rsidRDefault="00A22BDD" w:rsidP="00146BB8">
      <w:pPr>
        <w:spacing w:after="0" w:line="240" w:lineRule="auto"/>
        <w:ind w:firstLine="709"/>
        <w:jc w:val="both"/>
        <w:rPr>
          <w:rFonts w:ascii="Times New Roman" w:eastAsia="Calibri" w:hAnsi="Times New Roman"/>
          <w:spacing w:val="-4"/>
          <w:sz w:val="24"/>
          <w:szCs w:val="24"/>
        </w:rPr>
      </w:pPr>
    </w:p>
    <w:p w:rsidR="00146BB8" w:rsidRPr="00D16741" w:rsidRDefault="00FF33CD" w:rsidP="00146BB8">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 xml:space="preserve">                                                                                                     </w:t>
      </w:r>
      <w:r w:rsidR="00146BB8" w:rsidRPr="00D16741">
        <w:rPr>
          <w:rFonts w:ascii="Times New Roman" w:eastAsia="Calibri" w:hAnsi="Times New Roman"/>
          <w:sz w:val="24"/>
          <w:szCs w:val="24"/>
        </w:rPr>
        <w:t>Таблица №</w:t>
      </w:r>
      <w:r w:rsidR="00091304">
        <w:rPr>
          <w:rFonts w:ascii="Times New Roman" w:eastAsia="Calibri" w:hAnsi="Times New Roman"/>
          <w:sz w:val="24"/>
          <w:szCs w:val="24"/>
        </w:rPr>
        <w:t>8</w:t>
      </w:r>
    </w:p>
    <w:p w:rsidR="00146BB8" w:rsidRPr="00832D29" w:rsidRDefault="00146BB8" w:rsidP="00146BB8">
      <w:pPr>
        <w:spacing w:after="0" w:line="240" w:lineRule="auto"/>
        <w:contextualSpacing/>
        <w:jc w:val="center"/>
        <w:rPr>
          <w:rFonts w:ascii="Times New Roman" w:eastAsia="Calibri" w:hAnsi="Times New Roman"/>
          <w:b/>
        </w:rPr>
      </w:pPr>
      <w:r w:rsidRPr="00832D29">
        <w:rPr>
          <w:rFonts w:ascii="Times New Roman" w:eastAsia="Calibri" w:hAnsi="Times New Roman"/>
          <w:b/>
        </w:rPr>
        <w:t>Структура исполнения расходной части</w:t>
      </w:r>
    </w:p>
    <w:p w:rsidR="00146BB8" w:rsidRPr="00832D29" w:rsidRDefault="00146BB8" w:rsidP="00146BB8">
      <w:pPr>
        <w:spacing w:after="0" w:line="240" w:lineRule="auto"/>
        <w:contextualSpacing/>
        <w:jc w:val="center"/>
        <w:rPr>
          <w:rFonts w:ascii="Times New Roman" w:eastAsia="Calibri" w:hAnsi="Times New Roman"/>
          <w:b/>
        </w:rPr>
      </w:pPr>
      <w:r w:rsidRPr="00832D29">
        <w:rPr>
          <w:rFonts w:ascii="Times New Roman" w:eastAsia="Calibri" w:hAnsi="Times New Roman"/>
          <w:b/>
        </w:rPr>
        <w:t>консолидированного бюджета за 1 полугодие 2017 года (руб.)</w:t>
      </w:r>
    </w:p>
    <w:tbl>
      <w:tblPr>
        <w:tblW w:w="8080" w:type="dxa"/>
        <w:tblInd w:w="817" w:type="dxa"/>
        <w:tblLayout w:type="fixed"/>
        <w:tblLook w:val="0000"/>
      </w:tblPr>
      <w:tblGrid>
        <w:gridCol w:w="2836"/>
        <w:gridCol w:w="1559"/>
        <w:gridCol w:w="1559"/>
        <w:gridCol w:w="851"/>
        <w:gridCol w:w="1275"/>
      </w:tblGrid>
      <w:tr w:rsidR="00146BB8" w:rsidRPr="00D16741" w:rsidTr="00832D29">
        <w:trPr>
          <w:trHeight w:val="356"/>
        </w:trPr>
        <w:tc>
          <w:tcPr>
            <w:tcW w:w="2836" w:type="dxa"/>
            <w:tcBorders>
              <w:top w:val="single" w:sz="4" w:space="0" w:color="auto"/>
              <w:left w:val="single" w:sz="4" w:space="0" w:color="auto"/>
              <w:bottom w:val="single" w:sz="4" w:space="0" w:color="auto"/>
              <w:right w:val="single" w:sz="4" w:space="0" w:color="auto"/>
            </w:tcBorders>
            <w:noWrap/>
            <w:vAlign w:val="center"/>
          </w:tcPr>
          <w:p w:rsidR="00146BB8" w:rsidRPr="00D16741" w:rsidRDefault="00146BB8" w:rsidP="006A3EF7">
            <w:pPr>
              <w:spacing w:after="0" w:line="240" w:lineRule="auto"/>
              <w:ind w:left="709"/>
              <w:contextualSpacing/>
              <w:rPr>
                <w:rFonts w:ascii="Times New Roman" w:eastAsia="Calibri" w:hAnsi="Times New Roman"/>
                <w:b/>
              </w:rPr>
            </w:pPr>
          </w:p>
        </w:tc>
        <w:tc>
          <w:tcPr>
            <w:tcW w:w="1559" w:type="dxa"/>
            <w:tcBorders>
              <w:top w:val="single" w:sz="4" w:space="0" w:color="auto"/>
              <w:left w:val="nil"/>
              <w:bottom w:val="single" w:sz="4" w:space="0" w:color="auto"/>
              <w:right w:val="single" w:sz="4" w:space="0" w:color="auto"/>
            </w:tcBorders>
            <w:vAlign w:val="center"/>
          </w:tcPr>
          <w:p w:rsidR="00146BB8" w:rsidRPr="00D16741" w:rsidRDefault="00146BB8" w:rsidP="006A3EF7">
            <w:pPr>
              <w:spacing w:after="0" w:line="240" w:lineRule="auto"/>
              <w:contextualSpacing/>
              <w:jc w:val="center"/>
              <w:rPr>
                <w:rFonts w:ascii="Times New Roman" w:eastAsia="Calibri" w:hAnsi="Times New Roman"/>
                <w:b/>
              </w:rPr>
            </w:pPr>
            <w:r w:rsidRPr="00D16741">
              <w:rPr>
                <w:rFonts w:ascii="Times New Roman" w:eastAsia="Calibri" w:hAnsi="Times New Roman"/>
                <w:b/>
              </w:rPr>
              <w:t>План</w:t>
            </w:r>
          </w:p>
        </w:tc>
        <w:tc>
          <w:tcPr>
            <w:tcW w:w="1559" w:type="dxa"/>
            <w:tcBorders>
              <w:top w:val="single" w:sz="4" w:space="0" w:color="auto"/>
              <w:left w:val="nil"/>
              <w:bottom w:val="single" w:sz="4" w:space="0" w:color="auto"/>
              <w:right w:val="single" w:sz="4" w:space="0" w:color="auto"/>
            </w:tcBorders>
            <w:vAlign w:val="center"/>
          </w:tcPr>
          <w:p w:rsidR="00146BB8" w:rsidRPr="00D16741" w:rsidRDefault="00146BB8" w:rsidP="006A3EF7">
            <w:pPr>
              <w:spacing w:after="0" w:line="240" w:lineRule="auto"/>
              <w:contextualSpacing/>
              <w:jc w:val="center"/>
              <w:rPr>
                <w:rFonts w:ascii="Times New Roman" w:eastAsia="Calibri" w:hAnsi="Times New Roman"/>
                <w:b/>
              </w:rPr>
            </w:pPr>
            <w:r w:rsidRPr="00D16741">
              <w:rPr>
                <w:rFonts w:ascii="Times New Roman" w:eastAsia="Calibri" w:hAnsi="Times New Roman"/>
                <w:b/>
              </w:rPr>
              <w:t>Факт</w:t>
            </w:r>
          </w:p>
        </w:tc>
        <w:tc>
          <w:tcPr>
            <w:tcW w:w="851" w:type="dxa"/>
            <w:tcBorders>
              <w:top w:val="single" w:sz="4" w:space="0" w:color="auto"/>
              <w:left w:val="nil"/>
              <w:bottom w:val="single" w:sz="4" w:space="0" w:color="auto"/>
              <w:right w:val="single" w:sz="4" w:space="0" w:color="auto"/>
            </w:tcBorders>
            <w:vAlign w:val="center"/>
          </w:tcPr>
          <w:p w:rsidR="00146BB8" w:rsidRPr="00D16741" w:rsidRDefault="00146BB8" w:rsidP="006A3EF7">
            <w:pPr>
              <w:spacing w:after="0" w:line="240" w:lineRule="auto"/>
              <w:contextualSpacing/>
              <w:jc w:val="center"/>
              <w:rPr>
                <w:rFonts w:ascii="Times New Roman" w:eastAsia="Calibri" w:hAnsi="Times New Roman"/>
                <w:b/>
              </w:rPr>
            </w:pPr>
            <w:r w:rsidRPr="00D16741">
              <w:rPr>
                <w:rFonts w:ascii="Times New Roman" w:eastAsia="Calibri" w:hAnsi="Times New Roman"/>
                <w:b/>
              </w:rPr>
              <w:t>% исполнения</w:t>
            </w:r>
          </w:p>
        </w:tc>
        <w:tc>
          <w:tcPr>
            <w:tcW w:w="1275" w:type="dxa"/>
            <w:tcBorders>
              <w:top w:val="single" w:sz="4" w:space="0" w:color="auto"/>
              <w:left w:val="nil"/>
              <w:bottom w:val="single" w:sz="4" w:space="0" w:color="auto"/>
              <w:right w:val="single" w:sz="4" w:space="0" w:color="auto"/>
            </w:tcBorders>
          </w:tcPr>
          <w:p w:rsidR="00146BB8" w:rsidRPr="00D16741" w:rsidRDefault="00146BB8" w:rsidP="006A3EF7">
            <w:pPr>
              <w:spacing w:after="0" w:line="240" w:lineRule="auto"/>
              <w:ind w:right="-73"/>
              <w:contextualSpacing/>
              <w:jc w:val="center"/>
              <w:rPr>
                <w:rFonts w:ascii="Times New Roman" w:eastAsia="Calibri" w:hAnsi="Times New Roman"/>
                <w:b/>
              </w:rPr>
            </w:pPr>
            <w:r w:rsidRPr="00D16741">
              <w:rPr>
                <w:rFonts w:ascii="Times New Roman" w:eastAsia="Calibri" w:hAnsi="Times New Roman"/>
                <w:b/>
              </w:rPr>
              <w:t>Темп роста 2017г. к 2016г., %</w:t>
            </w:r>
          </w:p>
        </w:tc>
      </w:tr>
      <w:tr w:rsidR="00146BB8" w:rsidRPr="00D16741" w:rsidTr="00832D29">
        <w:trPr>
          <w:trHeight w:val="80"/>
        </w:trPr>
        <w:tc>
          <w:tcPr>
            <w:tcW w:w="2836" w:type="dxa"/>
            <w:tcBorders>
              <w:top w:val="nil"/>
              <w:left w:val="single" w:sz="4" w:space="0" w:color="auto"/>
              <w:bottom w:val="single" w:sz="4" w:space="0" w:color="auto"/>
              <w:right w:val="single" w:sz="4" w:space="0" w:color="auto"/>
            </w:tcBorders>
            <w:noWrap/>
          </w:tcPr>
          <w:p w:rsidR="00146BB8" w:rsidRPr="00D16741" w:rsidRDefault="00146BB8" w:rsidP="006A3EF7">
            <w:pPr>
              <w:spacing w:after="0" w:line="240" w:lineRule="auto"/>
              <w:contextualSpacing/>
              <w:rPr>
                <w:rFonts w:ascii="Times New Roman" w:eastAsia="Calibri" w:hAnsi="Times New Roman"/>
                <w:b/>
                <w:bCs/>
              </w:rPr>
            </w:pPr>
            <w:r w:rsidRPr="00D16741">
              <w:rPr>
                <w:rFonts w:ascii="Times New Roman" w:eastAsia="Calibri" w:hAnsi="Times New Roman"/>
                <w:b/>
                <w:bCs/>
              </w:rPr>
              <w:t>Консолидированный бюджет</w:t>
            </w:r>
          </w:p>
        </w:tc>
        <w:tc>
          <w:tcPr>
            <w:tcW w:w="1559"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
                <w:bCs/>
              </w:rPr>
            </w:pPr>
            <w:r w:rsidRPr="00D16741">
              <w:rPr>
                <w:rFonts w:ascii="Times New Roman" w:eastAsia="Calibri" w:hAnsi="Times New Roman"/>
                <w:b/>
                <w:bCs/>
              </w:rPr>
              <w:t xml:space="preserve">2 257 755 639 </w:t>
            </w:r>
          </w:p>
        </w:tc>
        <w:tc>
          <w:tcPr>
            <w:tcW w:w="1559"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
                <w:bCs/>
              </w:rPr>
            </w:pPr>
            <w:r w:rsidRPr="00D16741">
              <w:rPr>
                <w:rFonts w:ascii="Times New Roman" w:eastAsia="Calibri" w:hAnsi="Times New Roman"/>
                <w:b/>
                <w:bCs/>
              </w:rPr>
              <w:t xml:space="preserve">1 831 309 252 </w:t>
            </w:r>
          </w:p>
        </w:tc>
        <w:tc>
          <w:tcPr>
            <w:tcW w:w="851"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
                <w:bCs/>
              </w:rPr>
            </w:pPr>
            <w:r w:rsidRPr="00D16741">
              <w:rPr>
                <w:rFonts w:ascii="Times New Roman" w:eastAsia="Calibri" w:hAnsi="Times New Roman"/>
                <w:b/>
                <w:bCs/>
              </w:rPr>
              <w:t>81,1</w:t>
            </w:r>
          </w:p>
        </w:tc>
        <w:tc>
          <w:tcPr>
            <w:tcW w:w="1275" w:type="dxa"/>
            <w:tcBorders>
              <w:top w:val="nil"/>
              <w:left w:val="nil"/>
              <w:bottom w:val="single" w:sz="4" w:space="0" w:color="auto"/>
              <w:right w:val="single" w:sz="4" w:space="0" w:color="auto"/>
            </w:tcBorders>
            <w:vAlign w:val="center"/>
          </w:tcPr>
          <w:p w:rsidR="00146BB8" w:rsidRPr="00D16741" w:rsidRDefault="00146BB8" w:rsidP="006A3EF7">
            <w:pPr>
              <w:spacing w:after="0" w:line="240" w:lineRule="auto"/>
              <w:contextualSpacing/>
              <w:jc w:val="center"/>
              <w:rPr>
                <w:rFonts w:ascii="Times New Roman" w:eastAsia="Calibri" w:hAnsi="Times New Roman"/>
                <w:b/>
                <w:bCs/>
              </w:rPr>
            </w:pPr>
            <w:r w:rsidRPr="00D16741">
              <w:rPr>
                <w:rFonts w:ascii="Times New Roman" w:eastAsia="Calibri" w:hAnsi="Times New Roman"/>
                <w:b/>
                <w:bCs/>
              </w:rPr>
              <w:t>90,9</w:t>
            </w:r>
          </w:p>
        </w:tc>
      </w:tr>
      <w:tr w:rsidR="00146BB8" w:rsidRPr="00D16741" w:rsidTr="00832D29">
        <w:trPr>
          <w:trHeight w:val="313"/>
        </w:trPr>
        <w:tc>
          <w:tcPr>
            <w:tcW w:w="2836" w:type="dxa"/>
            <w:tcBorders>
              <w:top w:val="nil"/>
              <w:left w:val="single" w:sz="4" w:space="0" w:color="auto"/>
              <w:bottom w:val="single" w:sz="4" w:space="0" w:color="auto"/>
              <w:right w:val="single" w:sz="4" w:space="0" w:color="auto"/>
            </w:tcBorders>
            <w:noWrap/>
          </w:tcPr>
          <w:p w:rsidR="00146BB8" w:rsidRPr="00D16741" w:rsidRDefault="00146BB8" w:rsidP="006A3EF7">
            <w:pPr>
              <w:spacing w:after="0" w:line="240" w:lineRule="auto"/>
              <w:contextualSpacing/>
              <w:rPr>
                <w:rFonts w:ascii="Times New Roman" w:eastAsia="Calibri" w:hAnsi="Times New Roman"/>
                <w:bCs/>
              </w:rPr>
            </w:pPr>
            <w:r w:rsidRPr="00D16741">
              <w:rPr>
                <w:rFonts w:ascii="Times New Roman" w:eastAsia="Calibri" w:hAnsi="Times New Roman"/>
                <w:bCs/>
              </w:rPr>
              <w:t>Республиканский бюджет</w:t>
            </w:r>
          </w:p>
        </w:tc>
        <w:tc>
          <w:tcPr>
            <w:tcW w:w="1559"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 xml:space="preserve">1 588 060 564 </w:t>
            </w:r>
          </w:p>
        </w:tc>
        <w:tc>
          <w:tcPr>
            <w:tcW w:w="1559"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 xml:space="preserve">1 299 559 827 </w:t>
            </w:r>
          </w:p>
        </w:tc>
        <w:tc>
          <w:tcPr>
            <w:tcW w:w="851"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81,8</w:t>
            </w:r>
          </w:p>
        </w:tc>
        <w:tc>
          <w:tcPr>
            <w:tcW w:w="1275" w:type="dxa"/>
            <w:tcBorders>
              <w:top w:val="nil"/>
              <w:left w:val="nil"/>
              <w:bottom w:val="single" w:sz="4" w:space="0" w:color="auto"/>
              <w:right w:val="single" w:sz="4" w:space="0" w:color="auto"/>
            </w:tcBorders>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91,0</w:t>
            </w:r>
          </w:p>
        </w:tc>
      </w:tr>
      <w:tr w:rsidR="00146BB8" w:rsidRPr="00D16741" w:rsidTr="00832D29">
        <w:trPr>
          <w:trHeight w:val="289"/>
        </w:trPr>
        <w:tc>
          <w:tcPr>
            <w:tcW w:w="2836" w:type="dxa"/>
            <w:tcBorders>
              <w:top w:val="nil"/>
              <w:left w:val="single" w:sz="4" w:space="0" w:color="auto"/>
              <w:bottom w:val="single" w:sz="4" w:space="0" w:color="auto"/>
              <w:right w:val="single" w:sz="4" w:space="0" w:color="auto"/>
            </w:tcBorders>
            <w:noWrap/>
          </w:tcPr>
          <w:p w:rsidR="00146BB8" w:rsidRPr="00D16741" w:rsidRDefault="00146BB8" w:rsidP="006A3EF7">
            <w:pPr>
              <w:spacing w:after="0" w:line="240" w:lineRule="auto"/>
              <w:contextualSpacing/>
              <w:rPr>
                <w:rFonts w:ascii="Times New Roman" w:eastAsia="Calibri" w:hAnsi="Times New Roman"/>
                <w:bCs/>
              </w:rPr>
            </w:pPr>
            <w:r w:rsidRPr="00D16741">
              <w:rPr>
                <w:rFonts w:ascii="Times New Roman" w:eastAsia="Calibri" w:hAnsi="Times New Roman"/>
                <w:bCs/>
              </w:rPr>
              <w:t>Местные бюджеты, в т.ч.</w:t>
            </w:r>
          </w:p>
        </w:tc>
        <w:tc>
          <w:tcPr>
            <w:tcW w:w="1559"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 xml:space="preserve">669 695 075 </w:t>
            </w:r>
          </w:p>
        </w:tc>
        <w:tc>
          <w:tcPr>
            <w:tcW w:w="1559"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 xml:space="preserve">531 749 425 </w:t>
            </w:r>
          </w:p>
        </w:tc>
        <w:tc>
          <w:tcPr>
            <w:tcW w:w="851" w:type="dxa"/>
            <w:tcBorders>
              <w:top w:val="nil"/>
              <w:left w:val="nil"/>
              <w:bottom w:val="single" w:sz="4" w:space="0" w:color="auto"/>
              <w:right w:val="single" w:sz="4" w:space="0" w:color="auto"/>
            </w:tcBorders>
            <w:noWrap/>
            <w:vAlign w:val="center"/>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79,4</w:t>
            </w:r>
          </w:p>
        </w:tc>
        <w:tc>
          <w:tcPr>
            <w:tcW w:w="1275" w:type="dxa"/>
            <w:tcBorders>
              <w:top w:val="nil"/>
              <w:left w:val="nil"/>
              <w:bottom w:val="single" w:sz="4" w:space="0" w:color="auto"/>
              <w:right w:val="single" w:sz="4" w:space="0" w:color="auto"/>
            </w:tcBorders>
          </w:tcPr>
          <w:p w:rsidR="00146BB8" w:rsidRPr="00D16741" w:rsidRDefault="00146BB8" w:rsidP="006A3EF7">
            <w:pPr>
              <w:spacing w:after="0" w:line="240" w:lineRule="auto"/>
              <w:contextualSpacing/>
              <w:jc w:val="center"/>
              <w:rPr>
                <w:rFonts w:ascii="Times New Roman" w:eastAsia="Calibri" w:hAnsi="Times New Roman"/>
                <w:bCs/>
              </w:rPr>
            </w:pPr>
            <w:r w:rsidRPr="00D16741">
              <w:rPr>
                <w:rFonts w:ascii="Times New Roman" w:eastAsia="Calibri" w:hAnsi="Times New Roman"/>
                <w:bCs/>
              </w:rPr>
              <w:t>90,5</w:t>
            </w:r>
          </w:p>
        </w:tc>
      </w:tr>
    </w:tbl>
    <w:p w:rsidR="00146BB8" w:rsidRPr="00D16741" w:rsidRDefault="00146BB8" w:rsidP="00146BB8">
      <w:pPr>
        <w:spacing w:after="0" w:line="240" w:lineRule="auto"/>
        <w:jc w:val="center"/>
        <w:rPr>
          <w:rFonts w:ascii="Times New Roman" w:eastAsia="Calibri" w:hAnsi="Times New Roman"/>
          <w:sz w:val="24"/>
          <w:szCs w:val="24"/>
        </w:rPr>
      </w:pPr>
      <w:r w:rsidRPr="00D16741">
        <w:rPr>
          <w:rFonts w:ascii="Times New Roman" w:eastAsia="Calibri" w:hAnsi="Times New Roman"/>
          <w:noProof/>
          <w:sz w:val="24"/>
          <w:szCs w:val="24"/>
        </w:rPr>
        <w:drawing>
          <wp:inline distT="0" distB="0" distL="0" distR="0">
            <wp:extent cx="4397072" cy="1812898"/>
            <wp:effectExtent l="0" t="0" r="0" b="0"/>
            <wp:docPr id="8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46BB8" w:rsidRPr="00D16741" w:rsidRDefault="00146BB8" w:rsidP="00146BB8">
      <w:pPr>
        <w:spacing w:line="240" w:lineRule="auto"/>
        <w:ind w:firstLine="709"/>
        <w:contextualSpacing/>
        <w:jc w:val="both"/>
        <w:rPr>
          <w:rFonts w:ascii="Times New Roman" w:eastAsia="Calibri" w:hAnsi="Times New Roman"/>
          <w:sz w:val="24"/>
          <w:szCs w:val="24"/>
        </w:rPr>
      </w:pPr>
      <w:r w:rsidRPr="00D16741">
        <w:rPr>
          <w:rFonts w:ascii="Times New Roman" w:eastAsia="Calibri" w:hAnsi="Times New Roman"/>
          <w:sz w:val="24"/>
          <w:szCs w:val="24"/>
        </w:rPr>
        <w:t>Фактическое финансирование в рассматриваемом периоде по основным разделам функциональной классификации расходов осуществлялось достаточно равномерно. Приоритетными направлениями продолжают оставаться здравоохранение (16,6%) и социальная политика (14,5%), в январе – июне 2016 года по этим направлениям было выделено соответственно 19,</w:t>
      </w:r>
      <w:r>
        <w:rPr>
          <w:rFonts w:ascii="Times New Roman" w:eastAsia="Calibri" w:hAnsi="Times New Roman"/>
          <w:sz w:val="24"/>
          <w:szCs w:val="24"/>
        </w:rPr>
        <w:t xml:space="preserve">4% и 10,7% средств. </w:t>
      </w:r>
      <w:proofErr w:type="gramStart"/>
      <w:r>
        <w:rPr>
          <w:rFonts w:ascii="Times New Roman" w:eastAsia="Calibri" w:hAnsi="Times New Roman"/>
          <w:sz w:val="24"/>
          <w:szCs w:val="24"/>
        </w:rPr>
        <w:t>При этом в</w:t>
      </w:r>
      <w:r w:rsidR="00D32012">
        <w:rPr>
          <w:rFonts w:ascii="Times New Roman" w:eastAsia="Calibri" w:hAnsi="Times New Roman"/>
          <w:sz w:val="24"/>
          <w:szCs w:val="24"/>
        </w:rPr>
        <w:t xml:space="preserve"> </w:t>
      </w:r>
      <w:r w:rsidRPr="00D16741">
        <w:rPr>
          <w:rFonts w:ascii="Times New Roman" w:eastAsia="Calibri" w:hAnsi="Times New Roman"/>
          <w:sz w:val="24"/>
          <w:szCs w:val="24"/>
          <w:lang w:val="en-US"/>
        </w:rPr>
        <w:t>I</w:t>
      </w:r>
      <w:r w:rsidRPr="00D16741">
        <w:rPr>
          <w:rFonts w:ascii="Times New Roman" w:eastAsia="Calibri" w:hAnsi="Times New Roman"/>
          <w:sz w:val="24"/>
          <w:szCs w:val="24"/>
        </w:rPr>
        <w:t xml:space="preserve"> полугодии 2017 года доля фактических расходов государства по финансированию социальных отраслей сократилась на 1,3 п.п. до 41,2% совокупного показателя, доля прочих расходов (в том числе расходов, профинансированных из средств учреждений, оказывающих платные услуги, а также расходов, направленных на реализацию государственных целевых (и нецелевых) программ) выросла с 12,1% до 17,0%.</w:t>
      </w:r>
      <w:proofErr w:type="gramEnd"/>
    </w:p>
    <w:p w:rsidR="00146BB8" w:rsidRPr="00D16741" w:rsidRDefault="00146BB8" w:rsidP="00146BB8">
      <w:pPr>
        <w:spacing w:after="0" w:line="24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В то же время</w:t>
      </w:r>
      <w:r w:rsidRPr="00D16741">
        <w:rPr>
          <w:rFonts w:ascii="Times New Roman" w:eastAsia="Calibri" w:hAnsi="Times New Roman"/>
          <w:sz w:val="24"/>
          <w:szCs w:val="24"/>
        </w:rPr>
        <w:t xml:space="preserve"> доля расходов на финансовую помощь бюджетам других уровней сократилась с 13,2% до 11,4%.</w:t>
      </w:r>
    </w:p>
    <w:p w:rsidR="00146BB8" w:rsidRPr="00D16741" w:rsidRDefault="00146BB8" w:rsidP="00146BB8">
      <w:pPr>
        <w:spacing w:after="0" w:line="240" w:lineRule="auto"/>
        <w:ind w:right="-284" w:hanging="284"/>
        <w:jc w:val="both"/>
        <w:rPr>
          <w:rFonts w:ascii="Times New Roman" w:eastAsia="Calibri" w:hAnsi="Times New Roman"/>
          <w:sz w:val="24"/>
          <w:szCs w:val="24"/>
          <w:highlight w:val="yellow"/>
        </w:rPr>
      </w:pPr>
      <w:r w:rsidRPr="00D16741">
        <w:rPr>
          <w:rFonts w:ascii="Times New Roman" w:eastAsia="Calibri" w:hAnsi="Times New Roman"/>
          <w:noProof/>
          <w:sz w:val="24"/>
          <w:szCs w:val="24"/>
        </w:rPr>
        <w:drawing>
          <wp:inline distT="0" distB="0" distL="0" distR="0">
            <wp:extent cx="2596930" cy="2449001"/>
            <wp:effectExtent l="19050" t="0" r="0" b="0"/>
            <wp:docPr id="8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D16741">
        <w:rPr>
          <w:rFonts w:ascii="Times New Roman" w:eastAsia="Calibri" w:hAnsi="Times New Roman"/>
          <w:noProof/>
          <w:sz w:val="24"/>
          <w:szCs w:val="24"/>
        </w:rPr>
        <w:drawing>
          <wp:inline distT="0" distB="0" distL="0" distR="0">
            <wp:extent cx="3344352" cy="2401294"/>
            <wp:effectExtent l="19050" t="0" r="8448" b="0"/>
            <wp:docPr id="8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46BB8" w:rsidRPr="00D16741" w:rsidRDefault="00146BB8" w:rsidP="00146BB8">
      <w:pPr>
        <w:spacing w:after="0" w:line="240" w:lineRule="auto"/>
        <w:ind w:firstLine="709"/>
        <w:jc w:val="both"/>
        <w:rPr>
          <w:rFonts w:ascii="Times New Roman" w:eastAsia="Calibri" w:hAnsi="Times New Roman"/>
          <w:sz w:val="24"/>
          <w:szCs w:val="24"/>
        </w:rPr>
      </w:pPr>
      <w:r w:rsidRPr="00D16741">
        <w:rPr>
          <w:rFonts w:ascii="Times New Roman" w:eastAsia="Calibri" w:hAnsi="Times New Roman"/>
          <w:sz w:val="24"/>
          <w:szCs w:val="24"/>
        </w:rPr>
        <w:t>Благодаря политики экономии бюджетных средств, выделяемых на содержание государственного аппарата, произошло уменьшение</w:t>
      </w:r>
      <w:r>
        <w:rPr>
          <w:rFonts w:ascii="Times New Roman" w:eastAsia="Calibri" w:hAnsi="Times New Roman"/>
          <w:sz w:val="24"/>
          <w:szCs w:val="24"/>
        </w:rPr>
        <w:t xml:space="preserve"> долевого представления данной статьи</w:t>
      </w:r>
      <w:r w:rsidRPr="00D16741">
        <w:rPr>
          <w:rFonts w:ascii="Times New Roman" w:eastAsia="Calibri" w:hAnsi="Times New Roman"/>
          <w:sz w:val="24"/>
          <w:szCs w:val="24"/>
        </w:rPr>
        <w:t xml:space="preserve"> с 7,2% до 6,3%.</w:t>
      </w:r>
    </w:p>
    <w:p w:rsidR="00146BB8" w:rsidRPr="00D16741" w:rsidRDefault="00146BB8" w:rsidP="00146BB8">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Затраты</w:t>
      </w:r>
      <w:r w:rsidRPr="00D16741">
        <w:rPr>
          <w:rFonts w:ascii="Times New Roman" w:eastAsia="Calibri" w:hAnsi="Times New Roman"/>
          <w:sz w:val="24"/>
          <w:szCs w:val="24"/>
        </w:rPr>
        <w:t xml:space="preserve"> на содержание силовых структур и органов обеспечения правопорядка продолжают оставаться весомой частью в бюджетных расходах, однако их удельный вес сократился с 20,2% до 14,3%.</w:t>
      </w:r>
    </w:p>
    <w:p w:rsidR="00146BB8" w:rsidRPr="00D16741" w:rsidRDefault="00146BB8" w:rsidP="00146BB8">
      <w:pPr>
        <w:suppressAutoHyphens/>
        <w:spacing w:after="0" w:line="240" w:lineRule="auto"/>
        <w:ind w:firstLine="709"/>
        <w:jc w:val="both"/>
        <w:rPr>
          <w:rFonts w:ascii="Times New Roman" w:eastAsia="Calibri" w:hAnsi="Times New Roman"/>
          <w:spacing w:val="-2"/>
          <w:sz w:val="24"/>
          <w:szCs w:val="24"/>
        </w:rPr>
      </w:pPr>
      <w:r w:rsidRPr="00D16741">
        <w:rPr>
          <w:rFonts w:ascii="Times New Roman" w:eastAsia="Calibri" w:hAnsi="Times New Roman"/>
          <w:sz w:val="24"/>
          <w:szCs w:val="24"/>
        </w:rPr>
        <w:t xml:space="preserve">Направленность расходов консолидированного бюджета </w:t>
      </w:r>
      <w:r w:rsidRPr="00D16741">
        <w:rPr>
          <w:rFonts w:ascii="Times New Roman" w:eastAsia="Calibri" w:hAnsi="Times New Roman"/>
          <w:sz w:val="24"/>
          <w:szCs w:val="24"/>
          <w:lang w:val="en-US"/>
        </w:rPr>
        <w:t>I</w:t>
      </w:r>
      <w:r w:rsidRPr="00D16741">
        <w:rPr>
          <w:rFonts w:ascii="Times New Roman" w:eastAsia="Calibri" w:hAnsi="Times New Roman"/>
          <w:sz w:val="24"/>
          <w:szCs w:val="24"/>
        </w:rPr>
        <w:t xml:space="preserve"> </w:t>
      </w:r>
      <w:proofErr w:type="gramStart"/>
      <w:r w:rsidRPr="00D16741">
        <w:rPr>
          <w:rFonts w:ascii="Times New Roman" w:eastAsia="Calibri" w:hAnsi="Times New Roman"/>
          <w:sz w:val="24"/>
          <w:szCs w:val="24"/>
        </w:rPr>
        <w:t>полугодии</w:t>
      </w:r>
      <w:proofErr w:type="gramEnd"/>
      <w:r w:rsidRPr="00D16741">
        <w:rPr>
          <w:rFonts w:ascii="Times New Roman" w:eastAsia="Calibri" w:hAnsi="Times New Roman"/>
          <w:sz w:val="24"/>
          <w:szCs w:val="24"/>
        </w:rPr>
        <w:t xml:space="preserve"> 2017 года сохраняла социальный характер, что подтверждается долей расходов фактически </w:t>
      </w:r>
      <w:r w:rsidRPr="00D16741">
        <w:rPr>
          <w:rFonts w:ascii="Times New Roman" w:eastAsia="Calibri" w:hAnsi="Times New Roman"/>
          <w:sz w:val="24"/>
          <w:szCs w:val="24"/>
        </w:rPr>
        <w:lastRenderedPageBreak/>
        <w:t xml:space="preserve">профинансированных социально-защищенных статей в </w:t>
      </w:r>
      <w:r>
        <w:rPr>
          <w:rFonts w:ascii="Times New Roman" w:eastAsia="Calibri" w:hAnsi="Times New Roman"/>
          <w:sz w:val="24"/>
          <w:szCs w:val="24"/>
        </w:rPr>
        <w:t>суммарном показателе</w:t>
      </w:r>
      <w:r w:rsidRPr="00D16741">
        <w:rPr>
          <w:rFonts w:ascii="Times New Roman" w:eastAsia="Calibri" w:hAnsi="Times New Roman"/>
          <w:sz w:val="24"/>
          <w:szCs w:val="24"/>
        </w:rPr>
        <w:t>, которая составила 85,1% (-0,9%).</w:t>
      </w:r>
      <w:r w:rsidR="00875D3B">
        <w:rPr>
          <w:rFonts w:ascii="Times New Roman" w:eastAsia="Calibri" w:hAnsi="Times New Roman"/>
          <w:sz w:val="24"/>
          <w:szCs w:val="24"/>
        </w:rPr>
        <w:t xml:space="preserve"> </w:t>
      </w:r>
      <w:proofErr w:type="gramStart"/>
      <w:r w:rsidRPr="00D16741">
        <w:rPr>
          <w:rFonts w:ascii="Times New Roman" w:eastAsia="Calibri" w:hAnsi="Times New Roman"/>
          <w:sz w:val="24"/>
          <w:szCs w:val="24"/>
        </w:rPr>
        <w:t xml:space="preserve">Расходы по социально защищенным статьям республиканского бюджета за </w:t>
      </w:r>
      <w:r w:rsidRPr="00D16741">
        <w:rPr>
          <w:rFonts w:ascii="Times New Roman" w:eastAsia="Calibri" w:hAnsi="Times New Roman"/>
          <w:sz w:val="24"/>
          <w:szCs w:val="24"/>
          <w:lang w:val="en-US"/>
        </w:rPr>
        <w:t>I</w:t>
      </w:r>
      <w:r w:rsidRPr="00D16741">
        <w:rPr>
          <w:rFonts w:ascii="Times New Roman" w:eastAsia="Calibri" w:hAnsi="Times New Roman"/>
          <w:sz w:val="24"/>
          <w:szCs w:val="24"/>
        </w:rPr>
        <w:t xml:space="preserve"> полугодие 2017 года были исполнены на 90,5% и профинансированы в объеме </w:t>
      </w:r>
      <w:r w:rsidRPr="00D16741">
        <w:rPr>
          <w:rFonts w:ascii="Times New Roman" w:eastAsia="Calibri" w:hAnsi="Times New Roman"/>
          <w:bCs/>
          <w:sz w:val="24"/>
          <w:szCs w:val="24"/>
        </w:rPr>
        <w:t xml:space="preserve">1 115 493 006 </w:t>
      </w:r>
      <w:r w:rsidRPr="00D16741">
        <w:rPr>
          <w:rFonts w:ascii="Times New Roman" w:eastAsia="Calibri" w:hAnsi="Times New Roman"/>
          <w:sz w:val="24"/>
          <w:szCs w:val="24"/>
        </w:rPr>
        <w:t>руб.</w:t>
      </w:r>
      <w:r w:rsidRPr="00D16741">
        <w:rPr>
          <w:rFonts w:ascii="Times New Roman" w:eastAsia="Calibri" w:hAnsi="Times New Roman"/>
          <w:spacing w:val="-2"/>
          <w:sz w:val="24"/>
          <w:szCs w:val="24"/>
        </w:rPr>
        <w:t xml:space="preserve"> Наибольший удельный вес в них занимали </w:t>
      </w:r>
      <w:r>
        <w:rPr>
          <w:rFonts w:ascii="Times New Roman" w:eastAsia="Calibri" w:hAnsi="Times New Roman"/>
          <w:spacing w:val="-2"/>
          <w:sz w:val="24"/>
          <w:szCs w:val="24"/>
        </w:rPr>
        <w:t>затраты</w:t>
      </w:r>
      <w:r w:rsidRPr="00D16741">
        <w:rPr>
          <w:rFonts w:ascii="Times New Roman" w:eastAsia="Calibri" w:hAnsi="Times New Roman"/>
          <w:spacing w:val="-2"/>
          <w:sz w:val="24"/>
          <w:szCs w:val="24"/>
        </w:rPr>
        <w:t xml:space="preserve"> на выплату заработной платы с учетом взносов на социальное страхование – 57,5%, а также: социальные пенсии – 8,2%; пенсии и пожизненное содержание – 4,6%.</w:t>
      </w:r>
      <w:proofErr w:type="gramEnd"/>
    </w:p>
    <w:p w:rsidR="00146BB8" w:rsidRPr="00D16741" w:rsidRDefault="00146BB8" w:rsidP="00146BB8">
      <w:pPr>
        <w:shd w:val="clear" w:color="auto" w:fill="FFFFFF"/>
        <w:tabs>
          <w:tab w:val="left" w:pos="7368"/>
        </w:tabs>
        <w:spacing w:line="240" w:lineRule="auto"/>
        <w:ind w:firstLine="709"/>
        <w:contextualSpacing/>
        <w:jc w:val="both"/>
        <w:rPr>
          <w:rFonts w:ascii="Times New Roman" w:eastAsia="Calibri" w:hAnsi="Times New Roman"/>
          <w:spacing w:val="-2"/>
          <w:sz w:val="24"/>
          <w:szCs w:val="24"/>
        </w:rPr>
      </w:pPr>
      <w:r w:rsidRPr="00D16741">
        <w:rPr>
          <w:rFonts w:ascii="Times New Roman" w:eastAsia="Calibri" w:hAnsi="Times New Roman"/>
          <w:sz w:val="24"/>
          <w:szCs w:val="24"/>
        </w:rPr>
        <w:t xml:space="preserve">Расходы по социально защищенным статьям местных бюджетов </w:t>
      </w:r>
      <w:r>
        <w:rPr>
          <w:rFonts w:ascii="Times New Roman" w:eastAsia="Calibri" w:hAnsi="Times New Roman"/>
          <w:sz w:val="24"/>
          <w:szCs w:val="24"/>
        </w:rPr>
        <w:t>были</w:t>
      </w:r>
      <w:r w:rsidRPr="00D16741">
        <w:rPr>
          <w:rFonts w:ascii="Times New Roman" w:eastAsia="Calibri" w:hAnsi="Times New Roman"/>
          <w:sz w:val="24"/>
          <w:szCs w:val="24"/>
        </w:rPr>
        <w:t xml:space="preserve"> исполнены на 94,9% и составили </w:t>
      </w:r>
      <w:r w:rsidRPr="00D16741">
        <w:rPr>
          <w:rFonts w:ascii="Times New Roman" w:eastAsia="Calibri" w:hAnsi="Times New Roman"/>
          <w:bCs/>
          <w:sz w:val="24"/>
          <w:szCs w:val="24"/>
        </w:rPr>
        <w:t xml:space="preserve">443 453 372 </w:t>
      </w:r>
      <w:r w:rsidRPr="00D16741">
        <w:rPr>
          <w:rFonts w:ascii="Times New Roman" w:eastAsia="Calibri" w:hAnsi="Times New Roman"/>
          <w:sz w:val="24"/>
          <w:szCs w:val="24"/>
        </w:rPr>
        <w:t>руб.</w:t>
      </w:r>
      <w:r>
        <w:rPr>
          <w:rFonts w:ascii="Times New Roman" w:eastAsia="Calibri" w:hAnsi="Times New Roman"/>
          <w:sz w:val="24"/>
          <w:szCs w:val="24"/>
        </w:rPr>
        <w:t xml:space="preserve">, из которых 95,4% было направлено </w:t>
      </w:r>
      <w:r w:rsidRPr="00D16741">
        <w:rPr>
          <w:rFonts w:ascii="Times New Roman" w:eastAsia="Calibri" w:hAnsi="Times New Roman"/>
          <w:spacing w:val="-2"/>
          <w:sz w:val="24"/>
          <w:szCs w:val="24"/>
        </w:rPr>
        <w:t>на выплату заработной платы с учетом взносов на социальное страхование</w:t>
      </w:r>
      <w:r>
        <w:rPr>
          <w:rFonts w:ascii="Times New Roman" w:eastAsia="Calibri" w:hAnsi="Times New Roman"/>
          <w:spacing w:val="-2"/>
          <w:sz w:val="24"/>
          <w:szCs w:val="24"/>
        </w:rPr>
        <w:t>.</w:t>
      </w:r>
    </w:p>
    <w:p w:rsidR="00146BB8" w:rsidRPr="00D16741" w:rsidRDefault="00146BB8" w:rsidP="00146BB8">
      <w:pPr>
        <w:spacing w:after="0" w:line="240" w:lineRule="auto"/>
        <w:ind w:firstLine="709"/>
        <w:contextualSpacing/>
        <w:jc w:val="both"/>
        <w:rPr>
          <w:rFonts w:ascii="Times New Roman" w:hAnsi="Times New Roman"/>
          <w:sz w:val="24"/>
          <w:szCs w:val="24"/>
        </w:rPr>
      </w:pPr>
      <w:r w:rsidRPr="00D16741">
        <w:rPr>
          <w:rFonts w:ascii="Times New Roman" w:hAnsi="Times New Roman"/>
          <w:sz w:val="24"/>
          <w:szCs w:val="24"/>
        </w:rPr>
        <w:t xml:space="preserve">В январе – июне 2017 года отмечено сокращение сальдо расходов и доходов консолидированного бюджета </w:t>
      </w:r>
      <w:r>
        <w:rPr>
          <w:rFonts w:ascii="Times New Roman" w:hAnsi="Times New Roman"/>
          <w:sz w:val="24"/>
          <w:szCs w:val="24"/>
        </w:rPr>
        <w:t xml:space="preserve">на 26,1% до </w:t>
      </w:r>
      <w:r w:rsidRPr="00D16741">
        <w:rPr>
          <w:rFonts w:ascii="Times New Roman" w:hAnsi="Times New Roman"/>
          <w:sz w:val="24"/>
          <w:szCs w:val="24"/>
        </w:rPr>
        <w:t>643 326 469 руб.</w:t>
      </w:r>
      <w:r>
        <w:rPr>
          <w:rFonts w:ascii="Times New Roman" w:hAnsi="Times New Roman"/>
          <w:sz w:val="24"/>
          <w:szCs w:val="24"/>
        </w:rPr>
        <w:t>, что соответствует</w:t>
      </w:r>
      <w:r w:rsidRPr="00D16741">
        <w:rPr>
          <w:rFonts w:ascii="Times New Roman" w:hAnsi="Times New Roman"/>
          <w:sz w:val="24"/>
          <w:szCs w:val="24"/>
        </w:rPr>
        <w:t xml:space="preserve"> 16,4% ВВП.</w:t>
      </w:r>
    </w:p>
    <w:p w:rsidR="00146BB8" w:rsidRPr="00D16741" w:rsidRDefault="00146BB8" w:rsidP="00146BB8">
      <w:pPr>
        <w:spacing w:after="0" w:line="240" w:lineRule="auto"/>
        <w:ind w:firstLine="709"/>
        <w:jc w:val="right"/>
        <w:rPr>
          <w:rFonts w:ascii="Times New Roman" w:hAnsi="Times New Roman"/>
          <w:sz w:val="24"/>
          <w:szCs w:val="24"/>
        </w:rPr>
      </w:pPr>
      <w:r w:rsidRPr="00D16741">
        <w:rPr>
          <w:rFonts w:ascii="Times New Roman" w:hAnsi="Times New Roman"/>
          <w:sz w:val="24"/>
          <w:szCs w:val="24"/>
        </w:rPr>
        <w:t>Таблица №</w:t>
      </w:r>
      <w:r w:rsidR="00091304">
        <w:rPr>
          <w:rFonts w:ascii="Times New Roman" w:hAnsi="Times New Roman"/>
          <w:sz w:val="24"/>
          <w:szCs w:val="24"/>
        </w:rPr>
        <w:t>9</w:t>
      </w:r>
    </w:p>
    <w:p w:rsidR="00146BB8" w:rsidRPr="00D16741" w:rsidRDefault="00146BB8" w:rsidP="00146BB8">
      <w:pPr>
        <w:spacing w:after="0" w:line="240" w:lineRule="auto"/>
        <w:contextualSpacing/>
        <w:jc w:val="center"/>
        <w:rPr>
          <w:rFonts w:ascii="Times New Roman" w:hAnsi="Times New Roman"/>
          <w:b/>
          <w:sz w:val="24"/>
          <w:szCs w:val="24"/>
        </w:rPr>
      </w:pPr>
      <w:r w:rsidRPr="00D16741">
        <w:rPr>
          <w:rFonts w:ascii="Times New Roman" w:hAnsi="Times New Roman"/>
          <w:b/>
          <w:sz w:val="24"/>
          <w:szCs w:val="24"/>
        </w:rPr>
        <w:t>Сальдо доходов и расходов Консолидированного бюджета</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1"/>
        <w:gridCol w:w="1204"/>
        <w:gridCol w:w="835"/>
        <w:gridCol w:w="745"/>
        <w:gridCol w:w="1244"/>
        <w:gridCol w:w="909"/>
        <w:gridCol w:w="723"/>
        <w:gridCol w:w="1241"/>
      </w:tblGrid>
      <w:tr w:rsidR="00146BB8" w:rsidRPr="00D16741" w:rsidTr="00A22BDD">
        <w:trPr>
          <w:trHeight w:val="381"/>
          <w:jc w:val="center"/>
        </w:trPr>
        <w:tc>
          <w:tcPr>
            <w:tcW w:w="2711" w:type="dxa"/>
            <w:vMerge w:val="restart"/>
            <w:vAlign w:val="center"/>
          </w:tcPr>
          <w:p w:rsidR="00146BB8" w:rsidRPr="00A22BDD" w:rsidRDefault="00146BB8" w:rsidP="006A3EF7">
            <w:pPr>
              <w:spacing w:after="0" w:line="240" w:lineRule="auto"/>
              <w:contextualSpacing/>
              <w:jc w:val="center"/>
              <w:rPr>
                <w:rFonts w:ascii="Times New Roman" w:eastAsia="Calibri" w:hAnsi="Times New Roman"/>
                <w:b/>
              </w:rPr>
            </w:pPr>
          </w:p>
        </w:tc>
        <w:tc>
          <w:tcPr>
            <w:tcW w:w="2784" w:type="dxa"/>
            <w:gridSpan w:val="3"/>
            <w:vAlign w:val="center"/>
          </w:tcPr>
          <w:p w:rsidR="00146BB8" w:rsidRPr="00A22BDD" w:rsidRDefault="00146BB8" w:rsidP="006A3EF7">
            <w:pPr>
              <w:spacing w:after="0" w:line="240" w:lineRule="auto"/>
              <w:contextualSpacing/>
              <w:jc w:val="center"/>
              <w:rPr>
                <w:rFonts w:ascii="Times New Roman" w:eastAsia="Calibri" w:hAnsi="Times New Roman"/>
                <w:b/>
              </w:rPr>
            </w:pPr>
            <w:r w:rsidRPr="00A22BDD">
              <w:rPr>
                <w:rFonts w:ascii="Times New Roman" w:eastAsia="Calibri" w:hAnsi="Times New Roman"/>
                <w:b/>
              </w:rPr>
              <w:t>1 полугодие 2016 года</w:t>
            </w:r>
          </w:p>
        </w:tc>
        <w:tc>
          <w:tcPr>
            <w:tcW w:w="2876" w:type="dxa"/>
            <w:gridSpan w:val="3"/>
            <w:vAlign w:val="center"/>
          </w:tcPr>
          <w:p w:rsidR="00146BB8" w:rsidRPr="00A22BDD" w:rsidRDefault="00146BB8" w:rsidP="006A3EF7">
            <w:pPr>
              <w:spacing w:after="0" w:line="240" w:lineRule="auto"/>
              <w:contextualSpacing/>
              <w:jc w:val="center"/>
              <w:rPr>
                <w:rFonts w:ascii="Times New Roman" w:eastAsia="Calibri" w:hAnsi="Times New Roman"/>
                <w:b/>
              </w:rPr>
            </w:pPr>
            <w:r w:rsidRPr="00A22BDD">
              <w:rPr>
                <w:rFonts w:ascii="Times New Roman" w:eastAsia="Calibri" w:hAnsi="Times New Roman"/>
                <w:b/>
              </w:rPr>
              <w:t>1 полугодие 2017 года</w:t>
            </w:r>
          </w:p>
        </w:tc>
        <w:tc>
          <w:tcPr>
            <w:tcW w:w="1241" w:type="dxa"/>
            <w:vMerge w:val="restart"/>
            <w:vAlign w:val="center"/>
          </w:tcPr>
          <w:p w:rsidR="00146BB8" w:rsidRPr="00A22BDD" w:rsidRDefault="00146BB8" w:rsidP="006A3EF7">
            <w:pPr>
              <w:spacing w:after="0" w:line="240" w:lineRule="auto"/>
              <w:ind w:left="-70" w:right="-165"/>
              <w:contextualSpacing/>
              <w:jc w:val="center"/>
              <w:rPr>
                <w:rFonts w:ascii="Times New Roman" w:eastAsia="Calibri" w:hAnsi="Times New Roman"/>
                <w:b/>
              </w:rPr>
            </w:pPr>
            <w:r w:rsidRPr="00A22BDD">
              <w:rPr>
                <w:rFonts w:ascii="Times New Roman" w:eastAsia="Calibri" w:hAnsi="Times New Roman"/>
                <w:b/>
              </w:rPr>
              <w:t xml:space="preserve">Темп роста. 2017г. к </w:t>
            </w:r>
          </w:p>
          <w:p w:rsidR="00146BB8" w:rsidRPr="00A22BDD" w:rsidRDefault="00146BB8" w:rsidP="006A3EF7">
            <w:pPr>
              <w:spacing w:after="0" w:line="240" w:lineRule="auto"/>
              <w:ind w:left="-70" w:right="-165"/>
              <w:contextualSpacing/>
              <w:jc w:val="center"/>
              <w:rPr>
                <w:rFonts w:ascii="Times New Roman" w:eastAsia="Calibri" w:hAnsi="Times New Roman"/>
                <w:b/>
              </w:rPr>
            </w:pPr>
            <w:r w:rsidRPr="00A22BDD">
              <w:rPr>
                <w:rFonts w:ascii="Times New Roman" w:eastAsia="Calibri" w:hAnsi="Times New Roman"/>
                <w:b/>
              </w:rPr>
              <w:t xml:space="preserve"> 2016г., % </w:t>
            </w:r>
          </w:p>
        </w:tc>
      </w:tr>
      <w:tr w:rsidR="00146BB8" w:rsidRPr="00D16741" w:rsidTr="00A22BDD">
        <w:trPr>
          <w:trHeight w:val="712"/>
          <w:jc w:val="center"/>
        </w:trPr>
        <w:tc>
          <w:tcPr>
            <w:tcW w:w="2711" w:type="dxa"/>
            <w:vMerge/>
            <w:vAlign w:val="center"/>
          </w:tcPr>
          <w:p w:rsidR="00146BB8" w:rsidRPr="00A22BDD" w:rsidRDefault="00146BB8" w:rsidP="006A3EF7">
            <w:pPr>
              <w:spacing w:after="0" w:line="240" w:lineRule="auto"/>
              <w:jc w:val="center"/>
              <w:rPr>
                <w:rFonts w:ascii="Times New Roman" w:eastAsia="Calibri" w:hAnsi="Times New Roman"/>
                <w:b/>
              </w:rPr>
            </w:pPr>
          </w:p>
        </w:tc>
        <w:tc>
          <w:tcPr>
            <w:tcW w:w="1204" w:type="dxa"/>
            <w:vAlign w:val="center"/>
          </w:tcPr>
          <w:p w:rsidR="00146BB8" w:rsidRPr="00A22BDD" w:rsidRDefault="00146BB8" w:rsidP="006A3EF7">
            <w:pPr>
              <w:spacing w:after="0" w:line="240" w:lineRule="auto"/>
              <w:jc w:val="center"/>
              <w:rPr>
                <w:rFonts w:ascii="Times New Roman" w:eastAsia="Calibri" w:hAnsi="Times New Roman"/>
                <w:b/>
              </w:rPr>
            </w:pPr>
            <w:r w:rsidRPr="00A22BDD">
              <w:rPr>
                <w:rFonts w:ascii="Times New Roman" w:eastAsia="Calibri" w:hAnsi="Times New Roman"/>
                <w:b/>
              </w:rPr>
              <w:t>факт</w:t>
            </w:r>
          </w:p>
        </w:tc>
        <w:tc>
          <w:tcPr>
            <w:tcW w:w="835" w:type="dxa"/>
            <w:vAlign w:val="center"/>
          </w:tcPr>
          <w:p w:rsidR="00146BB8" w:rsidRPr="00A22BDD" w:rsidRDefault="00146BB8" w:rsidP="006A3EF7">
            <w:pPr>
              <w:spacing w:after="0" w:line="240" w:lineRule="auto"/>
              <w:jc w:val="center"/>
              <w:rPr>
                <w:rFonts w:ascii="Times New Roman" w:eastAsia="Calibri" w:hAnsi="Times New Roman"/>
                <w:b/>
              </w:rPr>
            </w:pPr>
            <w:r w:rsidRPr="00A22BDD">
              <w:rPr>
                <w:rFonts w:ascii="Times New Roman" w:eastAsia="Calibri" w:hAnsi="Times New Roman"/>
                <w:b/>
              </w:rPr>
              <w:t xml:space="preserve">% к </w:t>
            </w:r>
            <w:proofErr w:type="spellStart"/>
            <w:r w:rsidRPr="00A22BDD">
              <w:rPr>
                <w:rFonts w:ascii="Times New Roman" w:eastAsia="Calibri" w:hAnsi="Times New Roman"/>
                <w:b/>
              </w:rPr>
              <w:t>расх</w:t>
            </w:r>
            <w:proofErr w:type="spellEnd"/>
            <w:r w:rsidRPr="00A22BDD">
              <w:rPr>
                <w:rFonts w:ascii="Times New Roman" w:eastAsia="Calibri" w:hAnsi="Times New Roman"/>
                <w:b/>
              </w:rPr>
              <w:t>. части</w:t>
            </w:r>
          </w:p>
        </w:tc>
        <w:tc>
          <w:tcPr>
            <w:tcW w:w="745" w:type="dxa"/>
            <w:vAlign w:val="center"/>
          </w:tcPr>
          <w:p w:rsidR="00146BB8" w:rsidRPr="00A22BDD" w:rsidRDefault="00146BB8" w:rsidP="006A3EF7">
            <w:pPr>
              <w:spacing w:after="0" w:line="240" w:lineRule="auto"/>
              <w:jc w:val="center"/>
              <w:rPr>
                <w:rFonts w:ascii="Times New Roman" w:eastAsia="Calibri" w:hAnsi="Times New Roman"/>
                <w:b/>
              </w:rPr>
            </w:pPr>
            <w:r w:rsidRPr="00A22BDD">
              <w:rPr>
                <w:rFonts w:ascii="Times New Roman" w:eastAsia="Calibri" w:hAnsi="Times New Roman"/>
                <w:b/>
              </w:rPr>
              <w:t>% к ВВП</w:t>
            </w:r>
          </w:p>
        </w:tc>
        <w:tc>
          <w:tcPr>
            <w:tcW w:w="1244" w:type="dxa"/>
            <w:vAlign w:val="center"/>
          </w:tcPr>
          <w:p w:rsidR="00146BB8" w:rsidRPr="00A22BDD" w:rsidRDefault="00146BB8" w:rsidP="006A3EF7">
            <w:pPr>
              <w:spacing w:after="0" w:line="240" w:lineRule="auto"/>
              <w:jc w:val="center"/>
              <w:rPr>
                <w:rFonts w:ascii="Times New Roman" w:eastAsia="Calibri" w:hAnsi="Times New Roman"/>
                <w:b/>
              </w:rPr>
            </w:pPr>
            <w:r w:rsidRPr="00A22BDD">
              <w:rPr>
                <w:rFonts w:ascii="Times New Roman" w:eastAsia="Calibri" w:hAnsi="Times New Roman"/>
                <w:b/>
              </w:rPr>
              <w:t>факт</w:t>
            </w:r>
          </w:p>
        </w:tc>
        <w:tc>
          <w:tcPr>
            <w:tcW w:w="909" w:type="dxa"/>
            <w:vAlign w:val="center"/>
          </w:tcPr>
          <w:p w:rsidR="00146BB8" w:rsidRPr="00A22BDD" w:rsidRDefault="00146BB8" w:rsidP="006A3EF7">
            <w:pPr>
              <w:spacing w:after="0" w:line="240" w:lineRule="auto"/>
              <w:jc w:val="center"/>
              <w:rPr>
                <w:rFonts w:ascii="Times New Roman" w:eastAsia="Calibri" w:hAnsi="Times New Roman"/>
                <w:b/>
              </w:rPr>
            </w:pPr>
            <w:r w:rsidRPr="00A22BDD">
              <w:rPr>
                <w:rFonts w:ascii="Times New Roman" w:eastAsia="Calibri" w:hAnsi="Times New Roman"/>
                <w:b/>
              </w:rPr>
              <w:t xml:space="preserve">% к </w:t>
            </w:r>
            <w:proofErr w:type="spellStart"/>
            <w:r w:rsidRPr="00A22BDD">
              <w:rPr>
                <w:rFonts w:ascii="Times New Roman" w:eastAsia="Calibri" w:hAnsi="Times New Roman"/>
                <w:b/>
              </w:rPr>
              <w:t>расх</w:t>
            </w:r>
            <w:proofErr w:type="spellEnd"/>
            <w:r w:rsidRPr="00A22BDD">
              <w:rPr>
                <w:rFonts w:ascii="Times New Roman" w:eastAsia="Calibri" w:hAnsi="Times New Roman"/>
                <w:b/>
              </w:rPr>
              <w:t>. части</w:t>
            </w:r>
          </w:p>
        </w:tc>
        <w:tc>
          <w:tcPr>
            <w:tcW w:w="723" w:type="dxa"/>
            <w:vAlign w:val="center"/>
          </w:tcPr>
          <w:p w:rsidR="00146BB8" w:rsidRPr="00A22BDD" w:rsidRDefault="00146BB8" w:rsidP="006A3EF7">
            <w:pPr>
              <w:spacing w:after="0" w:line="240" w:lineRule="auto"/>
              <w:jc w:val="center"/>
              <w:rPr>
                <w:rFonts w:ascii="Times New Roman" w:eastAsia="Calibri" w:hAnsi="Times New Roman"/>
                <w:b/>
              </w:rPr>
            </w:pPr>
            <w:r w:rsidRPr="00A22BDD">
              <w:rPr>
                <w:rFonts w:ascii="Times New Roman" w:eastAsia="Calibri" w:hAnsi="Times New Roman"/>
                <w:b/>
              </w:rPr>
              <w:t>% к ВВП</w:t>
            </w:r>
          </w:p>
        </w:tc>
        <w:tc>
          <w:tcPr>
            <w:tcW w:w="1241" w:type="dxa"/>
            <w:vMerge/>
            <w:vAlign w:val="center"/>
          </w:tcPr>
          <w:p w:rsidR="00146BB8" w:rsidRPr="00A22BDD" w:rsidRDefault="00146BB8" w:rsidP="006A3EF7">
            <w:pPr>
              <w:spacing w:after="0" w:line="240" w:lineRule="auto"/>
              <w:jc w:val="center"/>
              <w:rPr>
                <w:rFonts w:ascii="Times New Roman" w:eastAsia="Calibri" w:hAnsi="Times New Roman"/>
                <w:b/>
              </w:rPr>
            </w:pPr>
          </w:p>
        </w:tc>
      </w:tr>
      <w:tr w:rsidR="00146BB8" w:rsidRPr="00D16741" w:rsidTr="00A22BDD">
        <w:trPr>
          <w:trHeight w:val="639"/>
          <w:jc w:val="center"/>
        </w:trPr>
        <w:tc>
          <w:tcPr>
            <w:tcW w:w="2711" w:type="dxa"/>
          </w:tcPr>
          <w:p w:rsidR="00146BB8" w:rsidRPr="00A22BDD" w:rsidRDefault="00146BB8" w:rsidP="006A3EF7">
            <w:pPr>
              <w:spacing w:after="0" w:line="240" w:lineRule="auto"/>
              <w:ind w:left="-101" w:right="-161"/>
              <w:rPr>
                <w:rFonts w:ascii="Times New Roman" w:eastAsia="Calibri" w:hAnsi="Times New Roman"/>
                <w:b/>
              </w:rPr>
            </w:pPr>
            <w:r w:rsidRPr="00A22BDD">
              <w:rPr>
                <w:rFonts w:ascii="Times New Roman" w:eastAsia="Calibri" w:hAnsi="Times New Roman"/>
                <w:b/>
              </w:rPr>
              <w:t>Сальдо консолидированного бюджета, в том числе:</w:t>
            </w:r>
          </w:p>
        </w:tc>
        <w:tc>
          <w:tcPr>
            <w:tcW w:w="1204" w:type="dxa"/>
            <w:vAlign w:val="center"/>
          </w:tcPr>
          <w:p w:rsidR="00146BB8" w:rsidRPr="00A22BDD" w:rsidRDefault="00146BB8" w:rsidP="006A3EF7">
            <w:pPr>
              <w:spacing w:after="0" w:line="240" w:lineRule="auto"/>
              <w:ind w:left="-124"/>
              <w:jc w:val="right"/>
              <w:rPr>
                <w:rFonts w:ascii="Times New Roman" w:eastAsia="Calibri" w:hAnsi="Times New Roman"/>
                <w:b/>
              </w:rPr>
            </w:pPr>
            <w:r w:rsidRPr="00A22BDD">
              <w:rPr>
                <w:rFonts w:ascii="Times New Roman" w:eastAsia="Calibri" w:hAnsi="Times New Roman"/>
                <w:b/>
              </w:rPr>
              <w:t xml:space="preserve">870 797 395 </w:t>
            </w:r>
          </w:p>
        </w:tc>
        <w:tc>
          <w:tcPr>
            <w:tcW w:w="835" w:type="dxa"/>
            <w:vAlign w:val="center"/>
          </w:tcPr>
          <w:p w:rsidR="00146BB8" w:rsidRPr="00A22BDD" w:rsidRDefault="00146BB8" w:rsidP="006A3EF7">
            <w:pPr>
              <w:spacing w:after="0" w:line="240" w:lineRule="auto"/>
              <w:jc w:val="right"/>
              <w:rPr>
                <w:rFonts w:ascii="Times New Roman" w:eastAsia="Calibri" w:hAnsi="Times New Roman"/>
                <w:b/>
              </w:rPr>
            </w:pPr>
            <w:r w:rsidRPr="00A22BDD">
              <w:rPr>
                <w:rFonts w:ascii="Times New Roman" w:eastAsia="Calibri" w:hAnsi="Times New Roman"/>
                <w:b/>
              </w:rPr>
              <w:t>43,2</w:t>
            </w:r>
          </w:p>
        </w:tc>
        <w:tc>
          <w:tcPr>
            <w:tcW w:w="745" w:type="dxa"/>
            <w:vAlign w:val="center"/>
          </w:tcPr>
          <w:p w:rsidR="00146BB8" w:rsidRPr="00A22BDD" w:rsidRDefault="00146BB8" w:rsidP="006A3EF7">
            <w:pPr>
              <w:spacing w:after="0" w:line="240" w:lineRule="auto"/>
              <w:jc w:val="right"/>
              <w:rPr>
                <w:rFonts w:ascii="Times New Roman" w:eastAsia="Calibri" w:hAnsi="Times New Roman"/>
                <w:b/>
              </w:rPr>
            </w:pPr>
            <w:r w:rsidRPr="00A22BDD">
              <w:rPr>
                <w:rFonts w:ascii="Times New Roman" w:eastAsia="Calibri" w:hAnsi="Times New Roman"/>
                <w:b/>
              </w:rPr>
              <w:t>22,0</w:t>
            </w:r>
          </w:p>
        </w:tc>
        <w:tc>
          <w:tcPr>
            <w:tcW w:w="1244" w:type="dxa"/>
            <w:vAlign w:val="center"/>
          </w:tcPr>
          <w:p w:rsidR="00146BB8" w:rsidRPr="00A22BDD" w:rsidRDefault="00146BB8" w:rsidP="006A3EF7">
            <w:pPr>
              <w:spacing w:after="0" w:line="240" w:lineRule="auto"/>
              <w:ind w:left="-124"/>
              <w:jc w:val="right"/>
              <w:rPr>
                <w:rFonts w:ascii="Times New Roman" w:eastAsia="Calibri" w:hAnsi="Times New Roman"/>
                <w:b/>
              </w:rPr>
            </w:pPr>
            <w:r w:rsidRPr="00A22BDD">
              <w:rPr>
                <w:rFonts w:ascii="Times New Roman" w:eastAsia="Calibri" w:hAnsi="Times New Roman"/>
                <w:b/>
              </w:rPr>
              <w:t xml:space="preserve">643 326 469 </w:t>
            </w:r>
          </w:p>
        </w:tc>
        <w:tc>
          <w:tcPr>
            <w:tcW w:w="909" w:type="dxa"/>
            <w:vAlign w:val="center"/>
          </w:tcPr>
          <w:p w:rsidR="00146BB8" w:rsidRPr="00A22BDD" w:rsidRDefault="00146BB8" w:rsidP="006A3EF7">
            <w:pPr>
              <w:spacing w:after="0" w:line="240" w:lineRule="auto"/>
              <w:jc w:val="right"/>
              <w:rPr>
                <w:rFonts w:ascii="Times New Roman" w:eastAsia="Calibri" w:hAnsi="Times New Roman"/>
                <w:b/>
              </w:rPr>
            </w:pPr>
            <w:r w:rsidRPr="00A22BDD">
              <w:rPr>
                <w:rFonts w:ascii="Times New Roman" w:eastAsia="Calibri" w:hAnsi="Times New Roman"/>
                <w:b/>
              </w:rPr>
              <w:t>35,1</w:t>
            </w:r>
          </w:p>
        </w:tc>
        <w:tc>
          <w:tcPr>
            <w:tcW w:w="723" w:type="dxa"/>
            <w:vAlign w:val="center"/>
          </w:tcPr>
          <w:p w:rsidR="00146BB8" w:rsidRPr="00A22BDD" w:rsidRDefault="00146BB8" w:rsidP="006A3EF7">
            <w:pPr>
              <w:spacing w:after="0" w:line="240" w:lineRule="auto"/>
              <w:jc w:val="right"/>
              <w:rPr>
                <w:rFonts w:ascii="Times New Roman" w:eastAsia="Calibri" w:hAnsi="Times New Roman"/>
                <w:b/>
              </w:rPr>
            </w:pPr>
            <w:r w:rsidRPr="00A22BDD">
              <w:rPr>
                <w:rFonts w:ascii="Times New Roman" w:eastAsia="Calibri" w:hAnsi="Times New Roman"/>
                <w:b/>
              </w:rPr>
              <w:t>16,4</w:t>
            </w:r>
          </w:p>
        </w:tc>
        <w:tc>
          <w:tcPr>
            <w:tcW w:w="1241" w:type="dxa"/>
            <w:vAlign w:val="center"/>
          </w:tcPr>
          <w:p w:rsidR="00146BB8" w:rsidRPr="00A22BDD" w:rsidRDefault="00146BB8" w:rsidP="006A3EF7">
            <w:pPr>
              <w:spacing w:after="0" w:line="240" w:lineRule="auto"/>
              <w:jc w:val="right"/>
              <w:rPr>
                <w:rFonts w:ascii="Times New Roman" w:eastAsia="Calibri" w:hAnsi="Times New Roman"/>
                <w:b/>
              </w:rPr>
            </w:pPr>
            <w:r w:rsidRPr="00A22BDD">
              <w:rPr>
                <w:rFonts w:ascii="Times New Roman" w:eastAsia="Calibri" w:hAnsi="Times New Roman"/>
                <w:b/>
              </w:rPr>
              <w:t>73,9</w:t>
            </w:r>
          </w:p>
        </w:tc>
      </w:tr>
      <w:tr w:rsidR="00146BB8" w:rsidRPr="00D16741" w:rsidTr="00A22BDD">
        <w:trPr>
          <w:trHeight w:val="437"/>
          <w:jc w:val="center"/>
        </w:trPr>
        <w:tc>
          <w:tcPr>
            <w:tcW w:w="2711" w:type="dxa"/>
          </w:tcPr>
          <w:p w:rsidR="00146BB8" w:rsidRPr="00A22BDD" w:rsidRDefault="00146BB8" w:rsidP="006A3EF7">
            <w:pPr>
              <w:spacing w:after="0" w:line="240" w:lineRule="auto"/>
              <w:ind w:left="-91" w:right="-132"/>
              <w:rPr>
                <w:rFonts w:ascii="Times New Roman" w:eastAsia="Calibri" w:hAnsi="Times New Roman"/>
              </w:rPr>
            </w:pPr>
            <w:r w:rsidRPr="00A22BDD">
              <w:rPr>
                <w:rFonts w:ascii="Times New Roman" w:eastAsia="Calibri" w:hAnsi="Times New Roman"/>
              </w:rPr>
              <w:t>Сальдо республиканского бюджета</w:t>
            </w:r>
          </w:p>
        </w:tc>
        <w:tc>
          <w:tcPr>
            <w:tcW w:w="1204" w:type="dxa"/>
            <w:vAlign w:val="center"/>
          </w:tcPr>
          <w:p w:rsidR="00146BB8" w:rsidRPr="00A22BDD" w:rsidRDefault="00146BB8" w:rsidP="006A3EF7">
            <w:pPr>
              <w:spacing w:after="0" w:line="240" w:lineRule="auto"/>
              <w:ind w:left="-124"/>
              <w:jc w:val="right"/>
              <w:rPr>
                <w:rFonts w:ascii="Times New Roman" w:eastAsia="Calibri" w:hAnsi="Times New Roman"/>
                <w:bCs/>
              </w:rPr>
            </w:pPr>
            <w:r w:rsidRPr="00A22BDD">
              <w:rPr>
                <w:rFonts w:ascii="Times New Roman" w:eastAsia="Calibri" w:hAnsi="Times New Roman"/>
                <w:bCs/>
              </w:rPr>
              <w:t xml:space="preserve">659 841 535 </w:t>
            </w:r>
          </w:p>
        </w:tc>
        <w:tc>
          <w:tcPr>
            <w:tcW w:w="835" w:type="dxa"/>
            <w:vAlign w:val="center"/>
          </w:tcPr>
          <w:p w:rsidR="00146BB8" w:rsidRPr="00A22BDD" w:rsidRDefault="00146BB8" w:rsidP="006A3EF7">
            <w:pPr>
              <w:spacing w:after="0" w:line="240" w:lineRule="auto"/>
              <w:jc w:val="right"/>
              <w:rPr>
                <w:rFonts w:ascii="Times New Roman" w:eastAsia="Calibri" w:hAnsi="Times New Roman"/>
                <w:bCs/>
              </w:rPr>
            </w:pPr>
            <w:r w:rsidRPr="00A22BDD">
              <w:rPr>
                <w:rFonts w:ascii="Times New Roman" w:eastAsia="Calibri" w:hAnsi="Times New Roman"/>
                <w:bCs/>
              </w:rPr>
              <w:t>46,2</w:t>
            </w:r>
          </w:p>
        </w:tc>
        <w:tc>
          <w:tcPr>
            <w:tcW w:w="745" w:type="dxa"/>
            <w:vAlign w:val="center"/>
          </w:tcPr>
          <w:p w:rsidR="00146BB8" w:rsidRPr="00A22BDD" w:rsidRDefault="00146BB8" w:rsidP="006A3EF7">
            <w:pPr>
              <w:spacing w:after="0" w:line="240" w:lineRule="auto"/>
              <w:jc w:val="right"/>
              <w:rPr>
                <w:rFonts w:ascii="Times New Roman" w:eastAsia="Calibri" w:hAnsi="Times New Roman"/>
                <w:bCs/>
              </w:rPr>
            </w:pPr>
            <w:r w:rsidRPr="00A22BDD">
              <w:rPr>
                <w:rFonts w:ascii="Times New Roman" w:eastAsia="Calibri" w:hAnsi="Times New Roman"/>
                <w:bCs/>
              </w:rPr>
              <w:t>16,7</w:t>
            </w:r>
          </w:p>
        </w:tc>
        <w:tc>
          <w:tcPr>
            <w:tcW w:w="1244" w:type="dxa"/>
            <w:vAlign w:val="center"/>
          </w:tcPr>
          <w:p w:rsidR="00146BB8" w:rsidRPr="00A22BDD" w:rsidRDefault="00146BB8" w:rsidP="006A3EF7">
            <w:pPr>
              <w:spacing w:after="0" w:line="240" w:lineRule="auto"/>
              <w:ind w:left="-124"/>
              <w:jc w:val="right"/>
              <w:rPr>
                <w:rFonts w:ascii="Times New Roman" w:eastAsia="Calibri" w:hAnsi="Times New Roman"/>
                <w:bCs/>
              </w:rPr>
            </w:pPr>
            <w:r w:rsidRPr="00A22BDD">
              <w:rPr>
                <w:rFonts w:ascii="Times New Roman" w:eastAsia="Calibri" w:hAnsi="Times New Roman"/>
                <w:bCs/>
              </w:rPr>
              <w:t xml:space="preserve">477 213 348 </w:t>
            </w:r>
          </w:p>
        </w:tc>
        <w:tc>
          <w:tcPr>
            <w:tcW w:w="909" w:type="dxa"/>
            <w:vAlign w:val="center"/>
          </w:tcPr>
          <w:p w:rsidR="00146BB8" w:rsidRPr="00A22BDD" w:rsidRDefault="00146BB8" w:rsidP="006A3EF7">
            <w:pPr>
              <w:spacing w:after="0" w:line="240" w:lineRule="auto"/>
              <w:jc w:val="right"/>
              <w:rPr>
                <w:rFonts w:ascii="Times New Roman" w:eastAsia="Calibri" w:hAnsi="Times New Roman"/>
                <w:bCs/>
              </w:rPr>
            </w:pPr>
            <w:r w:rsidRPr="00A22BDD">
              <w:rPr>
                <w:rFonts w:ascii="Times New Roman" w:eastAsia="Calibri" w:hAnsi="Times New Roman"/>
                <w:bCs/>
              </w:rPr>
              <w:t>36,7</w:t>
            </w:r>
          </w:p>
        </w:tc>
        <w:tc>
          <w:tcPr>
            <w:tcW w:w="723" w:type="dxa"/>
            <w:vAlign w:val="center"/>
          </w:tcPr>
          <w:p w:rsidR="00146BB8" w:rsidRPr="00A22BDD" w:rsidRDefault="00146BB8" w:rsidP="006A3EF7">
            <w:pPr>
              <w:spacing w:after="0" w:line="240" w:lineRule="auto"/>
              <w:jc w:val="right"/>
              <w:rPr>
                <w:rFonts w:ascii="Times New Roman" w:eastAsia="Calibri" w:hAnsi="Times New Roman"/>
                <w:bCs/>
              </w:rPr>
            </w:pPr>
            <w:r w:rsidRPr="00A22BDD">
              <w:rPr>
                <w:rFonts w:ascii="Times New Roman" w:eastAsia="Calibri" w:hAnsi="Times New Roman"/>
                <w:bCs/>
              </w:rPr>
              <w:t>12,2</w:t>
            </w:r>
          </w:p>
        </w:tc>
        <w:tc>
          <w:tcPr>
            <w:tcW w:w="1241" w:type="dxa"/>
            <w:vAlign w:val="center"/>
          </w:tcPr>
          <w:p w:rsidR="00146BB8" w:rsidRPr="00A22BDD" w:rsidRDefault="00146BB8" w:rsidP="006A3EF7">
            <w:pPr>
              <w:spacing w:after="0" w:line="240" w:lineRule="auto"/>
              <w:jc w:val="right"/>
              <w:rPr>
                <w:rFonts w:ascii="Times New Roman" w:eastAsia="Calibri" w:hAnsi="Times New Roman"/>
              </w:rPr>
            </w:pPr>
            <w:r w:rsidRPr="00A22BDD">
              <w:rPr>
                <w:rFonts w:ascii="Times New Roman" w:eastAsia="Calibri" w:hAnsi="Times New Roman"/>
              </w:rPr>
              <w:t>72,3</w:t>
            </w:r>
          </w:p>
        </w:tc>
      </w:tr>
      <w:tr w:rsidR="00146BB8" w:rsidRPr="00D16741" w:rsidTr="006A3EF7">
        <w:trPr>
          <w:trHeight w:val="244"/>
          <w:jc w:val="center"/>
        </w:trPr>
        <w:tc>
          <w:tcPr>
            <w:tcW w:w="2711" w:type="dxa"/>
          </w:tcPr>
          <w:p w:rsidR="00146BB8" w:rsidRPr="00A22BDD" w:rsidRDefault="00146BB8" w:rsidP="006A3EF7">
            <w:pPr>
              <w:spacing w:after="0" w:line="240" w:lineRule="auto"/>
              <w:ind w:left="-91" w:right="-132"/>
              <w:rPr>
                <w:rFonts w:ascii="Times New Roman" w:eastAsia="Calibri" w:hAnsi="Times New Roman"/>
              </w:rPr>
            </w:pPr>
            <w:r w:rsidRPr="00A22BDD">
              <w:rPr>
                <w:rFonts w:ascii="Times New Roman" w:eastAsia="Calibri" w:hAnsi="Times New Roman"/>
              </w:rPr>
              <w:t>Сальдо местного бюджета</w:t>
            </w:r>
          </w:p>
        </w:tc>
        <w:tc>
          <w:tcPr>
            <w:tcW w:w="1204" w:type="dxa"/>
            <w:vAlign w:val="center"/>
          </w:tcPr>
          <w:p w:rsidR="00146BB8" w:rsidRPr="00A22BDD" w:rsidRDefault="00146BB8" w:rsidP="006A3EF7">
            <w:pPr>
              <w:spacing w:after="0" w:line="240" w:lineRule="auto"/>
              <w:ind w:left="-124"/>
              <w:jc w:val="right"/>
              <w:rPr>
                <w:rFonts w:ascii="Times New Roman" w:eastAsia="Calibri" w:hAnsi="Times New Roman"/>
              </w:rPr>
            </w:pPr>
            <w:r w:rsidRPr="00A22BDD">
              <w:rPr>
                <w:rFonts w:ascii="Times New Roman" w:eastAsia="Calibri" w:hAnsi="Times New Roman"/>
              </w:rPr>
              <w:t xml:space="preserve">210 955 860 </w:t>
            </w:r>
          </w:p>
        </w:tc>
        <w:tc>
          <w:tcPr>
            <w:tcW w:w="835" w:type="dxa"/>
            <w:vAlign w:val="center"/>
          </w:tcPr>
          <w:p w:rsidR="00146BB8" w:rsidRPr="00A22BDD" w:rsidRDefault="00146BB8" w:rsidP="006A3EF7">
            <w:pPr>
              <w:spacing w:after="0" w:line="240" w:lineRule="auto"/>
              <w:jc w:val="right"/>
              <w:rPr>
                <w:rFonts w:ascii="Times New Roman" w:eastAsia="Calibri" w:hAnsi="Times New Roman"/>
              </w:rPr>
            </w:pPr>
            <w:r w:rsidRPr="00A22BDD">
              <w:rPr>
                <w:rFonts w:ascii="Times New Roman" w:eastAsia="Calibri" w:hAnsi="Times New Roman"/>
              </w:rPr>
              <w:t>35,9</w:t>
            </w:r>
          </w:p>
        </w:tc>
        <w:tc>
          <w:tcPr>
            <w:tcW w:w="745" w:type="dxa"/>
            <w:vAlign w:val="center"/>
          </w:tcPr>
          <w:p w:rsidR="00146BB8" w:rsidRPr="00A22BDD" w:rsidRDefault="00146BB8" w:rsidP="006A3EF7">
            <w:pPr>
              <w:spacing w:after="0" w:line="240" w:lineRule="auto"/>
              <w:jc w:val="right"/>
              <w:rPr>
                <w:rFonts w:ascii="Times New Roman" w:eastAsia="Calibri" w:hAnsi="Times New Roman"/>
              </w:rPr>
            </w:pPr>
            <w:r w:rsidRPr="00A22BDD">
              <w:rPr>
                <w:rFonts w:ascii="Times New Roman" w:eastAsia="Calibri" w:hAnsi="Times New Roman"/>
              </w:rPr>
              <w:t>5,3</w:t>
            </w:r>
          </w:p>
        </w:tc>
        <w:tc>
          <w:tcPr>
            <w:tcW w:w="1244" w:type="dxa"/>
            <w:vAlign w:val="center"/>
          </w:tcPr>
          <w:p w:rsidR="00146BB8" w:rsidRPr="00A22BDD" w:rsidRDefault="00146BB8" w:rsidP="006A3EF7">
            <w:pPr>
              <w:spacing w:after="0" w:line="240" w:lineRule="auto"/>
              <w:ind w:left="-124"/>
              <w:jc w:val="right"/>
              <w:rPr>
                <w:rFonts w:ascii="Times New Roman" w:eastAsia="Calibri" w:hAnsi="Times New Roman"/>
              </w:rPr>
            </w:pPr>
            <w:r w:rsidRPr="00A22BDD">
              <w:rPr>
                <w:rFonts w:ascii="Times New Roman" w:eastAsia="Calibri" w:hAnsi="Times New Roman"/>
              </w:rPr>
              <w:t xml:space="preserve">166 113 121 </w:t>
            </w:r>
          </w:p>
        </w:tc>
        <w:tc>
          <w:tcPr>
            <w:tcW w:w="909" w:type="dxa"/>
            <w:vAlign w:val="center"/>
          </w:tcPr>
          <w:p w:rsidR="00146BB8" w:rsidRPr="00A22BDD" w:rsidRDefault="00146BB8" w:rsidP="006A3EF7">
            <w:pPr>
              <w:spacing w:after="0" w:line="240" w:lineRule="auto"/>
              <w:jc w:val="right"/>
              <w:rPr>
                <w:rFonts w:ascii="Times New Roman" w:eastAsia="Calibri" w:hAnsi="Times New Roman"/>
              </w:rPr>
            </w:pPr>
            <w:r w:rsidRPr="00A22BDD">
              <w:rPr>
                <w:rFonts w:ascii="Times New Roman" w:eastAsia="Calibri" w:hAnsi="Times New Roman"/>
              </w:rPr>
              <w:t>31,2</w:t>
            </w:r>
          </w:p>
        </w:tc>
        <w:tc>
          <w:tcPr>
            <w:tcW w:w="723" w:type="dxa"/>
            <w:vAlign w:val="center"/>
          </w:tcPr>
          <w:p w:rsidR="00146BB8" w:rsidRPr="00A22BDD" w:rsidRDefault="00146BB8" w:rsidP="006A3EF7">
            <w:pPr>
              <w:spacing w:after="0" w:line="240" w:lineRule="auto"/>
              <w:jc w:val="right"/>
              <w:rPr>
                <w:rFonts w:ascii="Times New Roman" w:eastAsia="Calibri" w:hAnsi="Times New Roman"/>
              </w:rPr>
            </w:pPr>
            <w:r w:rsidRPr="00A22BDD">
              <w:rPr>
                <w:rFonts w:ascii="Times New Roman" w:eastAsia="Calibri" w:hAnsi="Times New Roman"/>
              </w:rPr>
              <w:t>4,2</w:t>
            </w:r>
          </w:p>
        </w:tc>
        <w:tc>
          <w:tcPr>
            <w:tcW w:w="1241" w:type="dxa"/>
            <w:vAlign w:val="center"/>
          </w:tcPr>
          <w:p w:rsidR="00146BB8" w:rsidRPr="00A22BDD" w:rsidRDefault="00146BB8" w:rsidP="006A3EF7">
            <w:pPr>
              <w:spacing w:after="0" w:line="240" w:lineRule="auto"/>
              <w:jc w:val="right"/>
              <w:rPr>
                <w:rFonts w:ascii="Times New Roman" w:eastAsia="Calibri" w:hAnsi="Times New Roman"/>
              </w:rPr>
            </w:pPr>
            <w:r w:rsidRPr="00A22BDD">
              <w:rPr>
                <w:rFonts w:ascii="Times New Roman" w:eastAsia="Calibri" w:hAnsi="Times New Roman"/>
              </w:rPr>
              <w:t>78,7</w:t>
            </w:r>
          </w:p>
        </w:tc>
      </w:tr>
    </w:tbl>
    <w:p w:rsidR="00146BB8" w:rsidRPr="00D16741" w:rsidRDefault="00146BB8" w:rsidP="00146BB8">
      <w:pPr>
        <w:spacing w:after="0" w:line="240" w:lineRule="auto"/>
        <w:ind w:firstLine="720"/>
        <w:jc w:val="both"/>
        <w:rPr>
          <w:rFonts w:ascii="Times New Roman" w:hAnsi="Times New Roman"/>
          <w:sz w:val="24"/>
          <w:szCs w:val="24"/>
        </w:rPr>
      </w:pPr>
    </w:p>
    <w:p w:rsidR="00146BB8" w:rsidRDefault="00146BB8" w:rsidP="00146BB8">
      <w:pPr>
        <w:shd w:val="clear" w:color="auto" w:fill="FFFFFF"/>
        <w:spacing w:after="0" w:line="240" w:lineRule="auto"/>
        <w:ind w:firstLine="709"/>
        <w:contextualSpacing/>
        <w:jc w:val="both"/>
        <w:rPr>
          <w:rFonts w:ascii="Times New Roman" w:hAnsi="Times New Roman"/>
          <w:sz w:val="24"/>
          <w:szCs w:val="24"/>
        </w:rPr>
      </w:pPr>
      <w:r w:rsidRPr="00D16741">
        <w:rPr>
          <w:rFonts w:ascii="Times New Roman" w:hAnsi="Times New Roman"/>
          <w:sz w:val="24"/>
          <w:szCs w:val="24"/>
        </w:rPr>
        <w:t xml:space="preserve">В </w:t>
      </w:r>
      <w:r w:rsidRPr="00D16741">
        <w:rPr>
          <w:rFonts w:ascii="Times New Roman" w:hAnsi="Times New Roman"/>
          <w:sz w:val="24"/>
          <w:szCs w:val="24"/>
          <w:lang w:val="en-US"/>
        </w:rPr>
        <w:t>I</w:t>
      </w:r>
      <w:r w:rsidRPr="00D16741">
        <w:rPr>
          <w:rFonts w:ascii="Times New Roman" w:hAnsi="Times New Roman"/>
          <w:sz w:val="24"/>
          <w:szCs w:val="24"/>
        </w:rPr>
        <w:t xml:space="preserve"> полугодии 2017 года сохранялась </w:t>
      </w:r>
      <w:r>
        <w:rPr>
          <w:rFonts w:ascii="Times New Roman" w:hAnsi="Times New Roman"/>
          <w:sz w:val="24"/>
          <w:szCs w:val="24"/>
        </w:rPr>
        <w:t>перманентная</w:t>
      </w:r>
      <w:r w:rsidRPr="00D16741">
        <w:rPr>
          <w:rFonts w:ascii="Times New Roman" w:hAnsi="Times New Roman"/>
          <w:sz w:val="24"/>
          <w:szCs w:val="24"/>
        </w:rPr>
        <w:t xml:space="preserve"> напряженность исполнения бюджетных параметров, что приводит к ограничению возможностей маневра в распределении поступающих ресурсов в виду необходимости поддержания социальной сферы. Кроме того, из-за постоянного недостатка бюджетных средств государство не в состоянии</w:t>
      </w:r>
      <w:r>
        <w:rPr>
          <w:rFonts w:ascii="Times New Roman" w:hAnsi="Times New Roman"/>
          <w:sz w:val="24"/>
          <w:szCs w:val="24"/>
        </w:rPr>
        <w:t xml:space="preserve"> выделять ресурсы на</w:t>
      </w:r>
      <w:r w:rsidRPr="00D16741">
        <w:rPr>
          <w:rFonts w:ascii="Times New Roman" w:hAnsi="Times New Roman"/>
          <w:sz w:val="24"/>
          <w:szCs w:val="24"/>
        </w:rPr>
        <w:t xml:space="preserve"> поддерж</w:t>
      </w:r>
      <w:r>
        <w:rPr>
          <w:rFonts w:ascii="Times New Roman" w:hAnsi="Times New Roman"/>
          <w:sz w:val="24"/>
          <w:szCs w:val="24"/>
        </w:rPr>
        <w:t>ку</w:t>
      </w:r>
      <w:r w:rsidRPr="00D16741">
        <w:rPr>
          <w:rFonts w:ascii="Times New Roman" w:hAnsi="Times New Roman"/>
          <w:sz w:val="24"/>
          <w:szCs w:val="24"/>
        </w:rPr>
        <w:t xml:space="preserve"> инвестиционн</w:t>
      </w:r>
      <w:r>
        <w:rPr>
          <w:rFonts w:ascii="Times New Roman" w:hAnsi="Times New Roman"/>
          <w:sz w:val="24"/>
          <w:szCs w:val="24"/>
        </w:rPr>
        <w:t>ой</w:t>
      </w:r>
      <w:r w:rsidRPr="00D16741">
        <w:rPr>
          <w:rFonts w:ascii="Times New Roman" w:hAnsi="Times New Roman"/>
          <w:sz w:val="24"/>
          <w:szCs w:val="24"/>
        </w:rPr>
        <w:t xml:space="preserve"> активност</w:t>
      </w:r>
      <w:r>
        <w:rPr>
          <w:rFonts w:ascii="Times New Roman" w:hAnsi="Times New Roman"/>
          <w:sz w:val="24"/>
          <w:szCs w:val="24"/>
        </w:rPr>
        <w:t>и</w:t>
      </w:r>
      <w:r w:rsidRPr="00D16741">
        <w:rPr>
          <w:rFonts w:ascii="Times New Roman" w:hAnsi="Times New Roman"/>
          <w:sz w:val="24"/>
          <w:szCs w:val="24"/>
        </w:rPr>
        <w:t xml:space="preserve"> и стимулирова</w:t>
      </w:r>
      <w:r>
        <w:rPr>
          <w:rFonts w:ascii="Times New Roman" w:hAnsi="Times New Roman"/>
          <w:sz w:val="24"/>
          <w:szCs w:val="24"/>
        </w:rPr>
        <w:t>ние</w:t>
      </w:r>
      <w:r w:rsidRPr="00D16741">
        <w:rPr>
          <w:rFonts w:ascii="Times New Roman" w:hAnsi="Times New Roman"/>
          <w:sz w:val="24"/>
          <w:szCs w:val="24"/>
        </w:rPr>
        <w:t xml:space="preserve"> экономическ</w:t>
      </w:r>
      <w:r>
        <w:rPr>
          <w:rFonts w:ascii="Times New Roman" w:hAnsi="Times New Roman"/>
          <w:sz w:val="24"/>
          <w:szCs w:val="24"/>
        </w:rPr>
        <w:t>ого</w:t>
      </w:r>
      <w:r w:rsidRPr="00D16741">
        <w:rPr>
          <w:rFonts w:ascii="Times New Roman" w:hAnsi="Times New Roman"/>
          <w:sz w:val="24"/>
          <w:szCs w:val="24"/>
        </w:rPr>
        <w:t xml:space="preserve"> рост</w:t>
      </w:r>
      <w:r>
        <w:rPr>
          <w:rFonts w:ascii="Times New Roman" w:hAnsi="Times New Roman"/>
          <w:sz w:val="24"/>
          <w:szCs w:val="24"/>
        </w:rPr>
        <w:t>а</w:t>
      </w:r>
      <w:r w:rsidRPr="00D16741">
        <w:rPr>
          <w:rFonts w:ascii="Times New Roman" w:hAnsi="Times New Roman"/>
          <w:sz w:val="24"/>
          <w:szCs w:val="24"/>
        </w:rPr>
        <w:t xml:space="preserve">. </w:t>
      </w:r>
    </w:p>
    <w:p w:rsidR="00CE326F" w:rsidRPr="00090A9B" w:rsidRDefault="00CE326F" w:rsidP="00146BB8">
      <w:pPr>
        <w:shd w:val="clear" w:color="auto" w:fill="FFFFFF"/>
        <w:spacing w:after="0" w:line="240" w:lineRule="auto"/>
        <w:ind w:firstLine="709"/>
        <w:contextualSpacing/>
        <w:jc w:val="both"/>
        <w:rPr>
          <w:rFonts w:ascii="Times New Roman" w:hAnsi="Times New Roman"/>
          <w:sz w:val="24"/>
          <w:szCs w:val="24"/>
        </w:rPr>
      </w:pPr>
    </w:p>
    <w:p w:rsidR="00832D29" w:rsidRPr="0080737A" w:rsidRDefault="00832D29" w:rsidP="00832D29">
      <w:pPr>
        <w:spacing w:after="0" w:line="240" w:lineRule="auto"/>
        <w:ind w:firstLine="720"/>
        <w:contextualSpacing/>
        <w:jc w:val="both"/>
        <w:rPr>
          <w:rFonts w:ascii="Times New Roman" w:hAnsi="Times New Roman"/>
          <w:b/>
          <w:sz w:val="24"/>
          <w:szCs w:val="24"/>
        </w:rPr>
      </w:pPr>
      <w:r w:rsidRPr="0080737A">
        <w:rPr>
          <w:rFonts w:ascii="Times New Roman" w:hAnsi="Times New Roman"/>
          <w:b/>
          <w:sz w:val="24"/>
          <w:szCs w:val="24"/>
        </w:rPr>
        <w:t>Денежно-кредитная политика</w:t>
      </w:r>
    </w:p>
    <w:p w:rsidR="00832D29" w:rsidRPr="00090A9B" w:rsidRDefault="00832D29" w:rsidP="00832D29">
      <w:pPr>
        <w:spacing w:after="0" w:line="240" w:lineRule="auto"/>
        <w:ind w:firstLine="720"/>
        <w:contextualSpacing/>
        <w:jc w:val="both"/>
        <w:rPr>
          <w:rFonts w:ascii="Times New Roman" w:hAnsi="Times New Roman"/>
          <w:b/>
          <w:sz w:val="16"/>
          <w:szCs w:val="16"/>
        </w:rPr>
      </w:pPr>
    </w:p>
    <w:p w:rsidR="00832D29" w:rsidRPr="008C1FB5" w:rsidRDefault="00832D29" w:rsidP="00832D29">
      <w:pPr>
        <w:widowControl w:val="0"/>
        <w:spacing w:after="0" w:line="240" w:lineRule="auto"/>
        <w:ind w:firstLine="709"/>
        <w:contextualSpacing/>
        <w:jc w:val="both"/>
        <w:rPr>
          <w:rFonts w:ascii="Times New Roman" w:hAnsi="Times New Roman"/>
          <w:b/>
          <w:i/>
          <w:color w:val="000000"/>
          <w:sz w:val="24"/>
          <w:szCs w:val="24"/>
        </w:rPr>
      </w:pPr>
      <w:r w:rsidRPr="008C1FB5">
        <w:rPr>
          <w:rFonts w:ascii="Times New Roman" w:hAnsi="Times New Roman"/>
          <w:b/>
          <w:i/>
          <w:color w:val="000000"/>
          <w:sz w:val="24"/>
          <w:szCs w:val="24"/>
        </w:rPr>
        <w:t>Монетарная сфера</w:t>
      </w:r>
    </w:p>
    <w:p w:rsidR="00832D29" w:rsidRPr="00193CF8" w:rsidRDefault="00832D29" w:rsidP="00832D29">
      <w:pPr>
        <w:spacing w:after="0" w:line="240" w:lineRule="auto"/>
        <w:ind w:firstLine="720"/>
        <w:jc w:val="both"/>
        <w:rPr>
          <w:rFonts w:ascii="Times New Roman" w:hAnsi="Times New Roman"/>
          <w:sz w:val="24"/>
          <w:szCs w:val="24"/>
        </w:rPr>
      </w:pPr>
      <w:r w:rsidRPr="00193CF8">
        <w:rPr>
          <w:rFonts w:ascii="Times New Roman" w:hAnsi="Times New Roman"/>
          <w:sz w:val="24"/>
          <w:szCs w:val="24"/>
        </w:rPr>
        <w:t>Рублевое денежное предложение</w:t>
      </w:r>
      <w:r>
        <w:rPr>
          <w:rFonts w:ascii="Times New Roman" w:hAnsi="Times New Roman"/>
          <w:sz w:val="24"/>
          <w:szCs w:val="24"/>
        </w:rPr>
        <w:t xml:space="preserve"> по итогам отчетного периода</w:t>
      </w:r>
      <w:r w:rsidRPr="00193CF8">
        <w:rPr>
          <w:rFonts w:ascii="Times New Roman" w:hAnsi="Times New Roman"/>
          <w:sz w:val="24"/>
          <w:szCs w:val="24"/>
        </w:rPr>
        <w:t xml:space="preserve"> характеризовалось отрицательной динамикой, его объем сократился на 8,7% до 2 999,0 </w:t>
      </w:r>
      <w:proofErr w:type="spellStart"/>
      <w:proofErr w:type="gramStart"/>
      <w:r w:rsidRPr="00193CF8">
        <w:rPr>
          <w:rFonts w:ascii="Times New Roman" w:hAnsi="Times New Roman"/>
          <w:sz w:val="24"/>
          <w:szCs w:val="24"/>
        </w:rPr>
        <w:t>млн</w:t>
      </w:r>
      <w:proofErr w:type="spellEnd"/>
      <w:proofErr w:type="gramEnd"/>
      <w:r w:rsidRPr="00193CF8">
        <w:rPr>
          <w:rFonts w:ascii="Times New Roman" w:hAnsi="Times New Roman"/>
          <w:sz w:val="24"/>
          <w:szCs w:val="24"/>
        </w:rPr>
        <w:t xml:space="preserve"> руб. Определяющим фактором спада выступило существенное сжатие безналичной составляющей</w:t>
      </w:r>
      <w:r>
        <w:rPr>
          <w:rFonts w:ascii="Times New Roman" w:hAnsi="Times New Roman"/>
          <w:sz w:val="24"/>
          <w:szCs w:val="24"/>
        </w:rPr>
        <w:t xml:space="preserve">: на 14,1%, до 1 224,1 </w:t>
      </w:r>
      <w:proofErr w:type="spellStart"/>
      <w:r>
        <w:rPr>
          <w:rFonts w:ascii="Times New Roman" w:hAnsi="Times New Roman"/>
          <w:sz w:val="24"/>
          <w:szCs w:val="24"/>
        </w:rPr>
        <w:t>млн</w:t>
      </w:r>
      <w:proofErr w:type="spellEnd"/>
      <w:r>
        <w:rPr>
          <w:rFonts w:ascii="Times New Roman" w:hAnsi="Times New Roman"/>
          <w:sz w:val="24"/>
          <w:szCs w:val="24"/>
        </w:rPr>
        <w:t xml:space="preserve"> руб.</w:t>
      </w:r>
      <w:r w:rsidRPr="00193CF8">
        <w:rPr>
          <w:rFonts w:ascii="Times New Roman" w:hAnsi="Times New Roman"/>
          <w:sz w:val="24"/>
          <w:szCs w:val="24"/>
        </w:rPr>
        <w:t xml:space="preserve">, </w:t>
      </w:r>
      <w:r>
        <w:rPr>
          <w:rFonts w:ascii="Times New Roman" w:hAnsi="Times New Roman"/>
          <w:sz w:val="24"/>
          <w:szCs w:val="24"/>
        </w:rPr>
        <w:t>что соответствует</w:t>
      </w:r>
      <w:r w:rsidRPr="00193CF8">
        <w:rPr>
          <w:rFonts w:ascii="Times New Roman" w:hAnsi="Times New Roman"/>
          <w:sz w:val="24"/>
          <w:szCs w:val="24"/>
        </w:rPr>
        <w:t xml:space="preserve"> 54,0% рублёвой денежной массы</w:t>
      </w:r>
      <w:r>
        <w:rPr>
          <w:rFonts w:ascii="Times New Roman" w:hAnsi="Times New Roman"/>
          <w:sz w:val="24"/>
          <w:szCs w:val="24"/>
        </w:rPr>
        <w:t>.</w:t>
      </w:r>
      <w:r w:rsidR="00875D3B">
        <w:rPr>
          <w:rFonts w:ascii="Times New Roman" w:hAnsi="Times New Roman"/>
          <w:sz w:val="24"/>
          <w:szCs w:val="24"/>
        </w:rPr>
        <w:t xml:space="preserve"> </w:t>
      </w:r>
      <w:r w:rsidR="00DC788F">
        <w:rPr>
          <w:rFonts w:ascii="Times New Roman" w:hAnsi="Times New Roman"/>
          <w:sz w:val="24"/>
          <w:szCs w:val="24"/>
        </w:rPr>
        <w:t xml:space="preserve">Это </w:t>
      </w:r>
      <w:r>
        <w:rPr>
          <w:rFonts w:ascii="Times New Roman" w:hAnsi="Times New Roman"/>
          <w:sz w:val="24"/>
          <w:szCs w:val="24"/>
        </w:rPr>
        <w:t>стал</w:t>
      </w:r>
      <w:r w:rsidR="00DC788F">
        <w:rPr>
          <w:rFonts w:ascii="Times New Roman" w:hAnsi="Times New Roman"/>
          <w:sz w:val="24"/>
          <w:szCs w:val="24"/>
        </w:rPr>
        <w:t>о</w:t>
      </w:r>
      <w:r>
        <w:rPr>
          <w:rFonts w:ascii="Times New Roman" w:hAnsi="Times New Roman"/>
          <w:sz w:val="24"/>
          <w:szCs w:val="24"/>
        </w:rPr>
        <w:t xml:space="preserve"> следствием предъявления</w:t>
      </w:r>
      <w:r w:rsidRPr="00193CF8">
        <w:rPr>
          <w:rFonts w:ascii="Times New Roman" w:hAnsi="Times New Roman"/>
          <w:sz w:val="24"/>
          <w:szCs w:val="24"/>
        </w:rPr>
        <w:t xml:space="preserve"> накопленных рублевых денежных сре</w:t>
      </w:r>
      <w:proofErr w:type="gramStart"/>
      <w:r w:rsidRPr="00193CF8">
        <w:rPr>
          <w:rFonts w:ascii="Times New Roman" w:hAnsi="Times New Roman"/>
          <w:sz w:val="24"/>
          <w:szCs w:val="24"/>
        </w:rPr>
        <w:t>дств к к</w:t>
      </w:r>
      <w:proofErr w:type="gramEnd"/>
      <w:r w:rsidRPr="00193CF8">
        <w:rPr>
          <w:rFonts w:ascii="Times New Roman" w:hAnsi="Times New Roman"/>
          <w:sz w:val="24"/>
          <w:szCs w:val="24"/>
        </w:rPr>
        <w:t>онвертации в иностранную валюту по механизму покупки валюты с отсрочкой поставки.</w:t>
      </w:r>
    </w:p>
    <w:p w:rsidR="00832D29" w:rsidRDefault="00832D29" w:rsidP="00832D29">
      <w:pPr>
        <w:spacing w:after="0" w:line="240" w:lineRule="auto"/>
        <w:ind w:firstLine="720"/>
        <w:jc w:val="both"/>
        <w:rPr>
          <w:rFonts w:ascii="Times New Roman" w:hAnsi="Times New Roman"/>
          <w:sz w:val="24"/>
          <w:szCs w:val="24"/>
        </w:rPr>
      </w:pPr>
      <w:r>
        <w:rPr>
          <w:rFonts w:ascii="Times New Roman" w:hAnsi="Times New Roman"/>
          <w:sz w:val="24"/>
          <w:szCs w:val="24"/>
        </w:rPr>
        <w:t>Уменьшением</w:t>
      </w:r>
      <w:r w:rsidRPr="00193CF8">
        <w:rPr>
          <w:rFonts w:ascii="Times New Roman" w:hAnsi="Times New Roman"/>
          <w:sz w:val="24"/>
          <w:szCs w:val="24"/>
        </w:rPr>
        <w:t xml:space="preserve"> характеризовался и объем наличных денег в обращении. По состоянию на 1 июля 2017 года он составил 1 074,9</w:t>
      </w:r>
      <w:r>
        <w:rPr>
          <w:rFonts w:ascii="Times New Roman" w:hAnsi="Times New Roman"/>
          <w:sz w:val="24"/>
          <w:szCs w:val="24"/>
        </w:rPr>
        <w:t xml:space="preserve"> </w:t>
      </w:r>
      <w:proofErr w:type="spellStart"/>
      <w:r>
        <w:rPr>
          <w:rFonts w:ascii="Times New Roman" w:hAnsi="Times New Roman"/>
          <w:sz w:val="24"/>
          <w:szCs w:val="24"/>
        </w:rPr>
        <w:t>млн</w:t>
      </w:r>
      <w:proofErr w:type="spellEnd"/>
      <w:r w:rsidRPr="00193CF8">
        <w:rPr>
          <w:rFonts w:ascii="Times New Roman" w:hAnsi="Times New Roman"/>
          <w:sz w:val="24"/>
          <w:szCs w:val="24"/>
        </w:rPr>
        <w:t xml:space="preserve"> руб., что на 1,8% ниже показателя на 1 января 2017 года. Однако на фоне более существенного сокращения безналичного сегмента, доля наличных денег в структуре рублевого денежного предложения повысилась на 3,4 </w:t>
      </w:r>
      <w:r>
        <w:rPr>
          <w:rFonts w:ascii="Times New Roman" w:hAnsi="Times New Roman"/>
          <w:sz w:val="24"/>
          <w:szCs w:val="24"/>
        </w:rPr>
        <w:t>п.п. до 46,8%.</w:t>
      </w:r>
    </w:p>
    <w:p w:rsidR="00832D29" w:rsidRPr="00193CF8" w:rsidRDefault="00832D29" w:rsidP="00832D29">
      <w:pPr>
        <w:spacing w:line="240" w:lineRule="auto"/>
        <w:contextualSpacing/>
        <w:jc w:val="right"/>
        <w:rPr>
          <w:rFonts w:ascii="Times New Roman" w:hAnsi="Times New Roman"/>
          <w:sz w:val="24"/>
          <w:szCs w:val="24"/>
        </w:rPr>
      </w:pPr>
      <w:r w:rsidRPr="00193CF8">
        <w:rPr>
          <w:rFonts w:ascii="Times New Roman" w:hAnsi="Times New Roman"/>
          <w:sz w:val="24"/>
          <w:szCs w:val="24"/>
        </w:rPr>
        <w:t>Таблица №</w:t>
      </w:r>
      <w:r w:rsidR="00091304">
        <w:rPr>
          <w:rFonts w:ascii="Times New Roman" w:hAnsi="Times New Roman"/>
          <w:sz w:val="24"/>
          <w:szCs w:val="24"/>
        </w:rPr>
        <w:t>10</w:t>
      </w:r>
    </w:p>
    <w:p w:rsidR="00832D29" w:rsidRDefault="00832D29" w:rsidP="00832D29">
      <w:pPr>
        <w:spacing w:before="120" w:after="120" w:line="240" w:lineRule="auto"/>
        <w:jc w:val="center"/>
        <w:rPr>
          <w:rFonts w:ascii="Times New Roman" w:hAnsi="Times New Roman"/>
          <w:b/>
          <w:color w:val="000000"/>
          <w:sz w:val="24"/>
          <w:szCs w:val="24"/>
        </w:rPr>
      </w:pPr>
      <w:bookmarkStart w:id="1" w:name="OLE_LINK10"/>
      <w:r w:rsidRPr="00193CF8">
        <w:rPr>
          <w:rFonts w:ascii="Times New Roman" w:hAnsi="Times New Roman"/>
          <w:b/>
          <w:color w:val="000000"/>
          <w:sz w:val="24"/>
          <w:szCs w:val="24"/>
        </w:rPr>
        <w:t>Структура и динамика денежного предложения</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1125"/>
        <w:gridCol w:w="1126"/>
        <w:gridCol w:w="1126"/>
        <w:gridCol w:w="1126"/>
        <w:gridCol w:w="991"/>
      </w:tblGrid>
      <w:tr w:rsidR="00832D29" w:rsidRPr="008C1FB5" w:rsidTr="006A3EF7">
        <w:trPr>
          <w:cantSplit/>
          <w:trHeight w:val="75"/>
        </w:trPr>
        <w:tc>
          <w:tcPr>
            <w:tcW w:w="4137" w:type="dxa"/>
            <w:vMerge w:val="restart"/>
            <w:shd w:val="clear" w:color="auto" w:fill="C0C0C0"/>
          </w:tcPr>
          <w:p w:rsidR="00832D29" w:rsidRPr="008C1FB5" w:rsidRDefault="00832D29" w:rsidP="006A3EF7">
            <w:pPr>
              <w:spacing w:after="0" w:line="240" w:lineRule="auto"/>
              <w:ind w:right="-1"/>
              <w:jc w:val="both"/>
              <w:rPr>
                <w:rFonts w:ascii="Times New Roman" w:hAnsi="Times New Roman"/>
                <w:color w:val="000000"/>
                <w:sz w:val="20"/>
                <w:szCs w:val="20"/>
              </w:rPr>
            </w:pPr>
            <w:bookmarkStart w:id="2" w:name="OLE_LINK4"/>
            <w:bookmarkStart w:id="3" w:name="OLE_LINK7"/>
          </w:p>
        </w:tc>
        <w:tc>
          <w:tcPr>
            <w:tcW w:w="2251" w:type="dxa"/>
            <w:gridSpan w:val="2"/>
            <w:shd w:val="clear" w:color="auto" w:fill="C0C0C0"/>
            <w:vAlign w:val="center"/>
          </w:tcPr>
          <w:p w:rsidR="00832D29" w:rsidRPr="008C1FB5" w:rsidRDefault="00832D29" w:rsidP="006A3EF7">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на 01.01.201</w:t>
            </w:r>
            <w:r>
              <w:rPr>
                <w:rFonts w:ascii="Times New Roman" w:hAnsi="Times New Roman"/>
                <w:color w:val="000000"/>
                <w:sz w:val="20"/>
                <w:szCs w:val="20"/>
              </w:rPr>
              <w:t>7</w:t>
            </w:r>
            <w:r w:rsidRPr="008C1FB5">
              <w:rPr>
                <w:rFonts w:ascii="Times New Roman" w:hAnsi="Times New Roman"/>
                <w:color w:val="000000"/>
                <w:sz w:val="20"/>
                <w:szCs w:val="20"/>
              </w:rPr>
              <w:t xml:space="preserve"> г.</w:t>
            </w:r>
          </w:p>
        </w:tc>
        <w:tc>
          <w:tcPr>
            <w:tcW w:w="2252" w:type="dxa"/>
            <w:gridSpan w:val="2"/>
            <w:shd w:val="clear" w:color="auto" w:fill="C0C0C0"/>
            <w:vAlign w:val="center"/>
          </w:tcPr>
          <w:p w:rsidR="00832D29" w:rsidRPr="008C1FB5" w:rsidRDefault="00832D29" w:rsidP="006A3EF7">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на 01.0</w:t>
            </w:r>
            <w:r>
              <w:rPr>
                <w:rFonts w:ascii="Times New Roman" w:hAnsi="Times New Roman"/>
                <w:color w:val="000000"/>
                <w:sz w:val="20"/>
                <w:szCs w:val="20"/>
              </w:rPr>
              <w:t>7</w:t>
            </w:r>
            <w:r w:rsidRPr="008C1FB5">
              <w:rPr>
                <w:rFonts w:ascii="Times New Roman" w:hAnsi="Times New Roman"/>
                <w:color w:val="000000"/>
                <w:sz w:val="20"/>
                <w:szCs w:val="20"/>
              </w:rPr>
              <w:t>.201</w:t>
            </w:r>
            <w:r>
              <w:rPr>
                <w:rFonts w:ascii="Times New Roman" w:hAnsi="Times New Roman"/>
                <w:color w:val="000000"/>
                <w:sz w:val="20"/>
                <w:szCs w:val="20"/>
              </w:rPr>
              <w:t>7</w:t>
            </w:r>
            <w:r w:rsidRPr="008C1FB5">
              <w:rPr>
                <w:rFonts w:ascii="Times New Roman" w:hAnsi="Times New Roman"/>
                <w:color w:val="000000"/>
                <w:sz w:val="20"/>
                <w:szCs w:val="20"/>
              </w:rPr>
              <w:t xml:space="preserve"> г.</w:t>
            </w:r>
          </w:p>
        </w:tc>
        <w:tc>
          <w:tcPr>
            <w:tcW w:w="991" w:type="dxa"/>
            <w:vMerge w:val="restart"/>
            <w:shd w:val="clear" w:color="auto" w:fill="C0C0C0"/>
          </w:tcPr>
          <w:p w:rsidR="00832D29" w:rsidRPr="008C1FB5" w:rsidRDefault="00832D29" w:rsidP="006A3EF7">
            <w:pPr>
              <w:spacing w:after="0" w:line="240" w:lineRule="auto"/>
              <w:ind w:left="-108" w:right="-108"/>
              <w:jc w:val="center"/>
              <w:rPr>
                <w:rFonts w:ascii="Times New Roman" w:hAnsi="Times New Roman"/>
                <w:color w:val="000000"/>
                <w:sz w:val="20"/>
                <w:szCs w:val="20"/>
              </w:rPr>
            </w:pPr>
            <w:r w:rsidRPr="008C1FB5">
              <w:rPr>
                <w:rFonts w:ascii="Times New Roman" w:hAnsi="Times New Roman"/>
                <w:color w:val="000000"/>
                <w:sz w:val="20"/>
                <w:szCs w:val="20"/>
              </w:rPr>
              <w:t>темп</w:t>
            </w:r>
          </w:p>
          <w:p w:rsidR="00832D29" w:rsidRPr="008C1FB5" w:rsidRDefault="00832D29" w:rsidP="006A3EF7">
            <w:pPr>
              <w:spacing w:after="0" w:line="240" w:lineRule="auto"/>
              <w:ind w:left="-108" w:right="-108"/>
              <w:jc w:val="center"/>
              <w:rPr>
                <w:rFonts w:ascii="Times New Roman" w:hAnsi="Times New Roman"/>
                <w:color w:val="000000"/>
                <w:sz w:val="20"/>
                <w:szCs w:val="20"/>
              </w:rPr>
            </w:pPr>
            <w:r w:rsidRPr="008C1FB5">
              <w:rPr>
                <w:rFonts w:ascii="Times New Roman" w:hAnsi="Times New Roman"/>
                <w:color w:val="000000"/>
                <w:sz w:val="20"/>
                <w:szCs w:val="20"/>
              </w:rPr>
              <w:t>роста, %</w:t>
            </w:r>
          </w:p>
        </w:tc>
      </w:tr>
      <w:tr w:rsidR="00832D29" w:rsidRPr="008C1FB5" w:rsidTr="006A3EF7">
        <w:trPr>
          <w:cantSplit/>
          <w:trHeight w:val="70"/>
        </w:trPr>
        <w:tc>
          <w:tcPr>
            <w:tcW w:w="4137" w:type="dxa"/>
            <w:vMerge/>
          </w:tcPr>
          <w:p w:rsidR="00832D29" w:rsidRPr="008C1FB5" w:rsidRDefault="00832D29" w:rsidP="006A3EF7">
            <w:pPr>
              <w:spacing w:after="0" w:line="240" w:lineRule="auto"/>
              <w:ind w:right="-1"/>
              <w:jc w:val="both"/>
              <w:rPr>
                <w:rFonts w:ascii="Times New Roman" w:hAnsi="Times New Roman"/>
                <w:color w:val="000000"/>
                <w:sz w:val="20"/>
                <w:szCs w:val="20"/>
              </w:rPr>
            </w:pPr>
          </w:p>
        </w:tc>
        <w:tc>
          <w:tcPr>
            <w:tcW w:w="1125" w:type="dxa"/>
            <w:shd w:val="clear" w:color="auto" w:fill="C0C0C0"/>
          </w:tcPr>
          <w:p w:rsidR="00832D29" w:rsidRPr="008C1FB5" w:rsidRDefault="00832D29" w:rsidP="006A3EF7">
            <w:pPr>
              <w:spacing w:after="0" w:line="240" w:lineRule="auto"/>
              <w:jc w:val="center"/>
              <w:rPr>
                <w:rFonts w:ascii="Times New Roman" w:hAnsi="Times New Roman"/>
                <w:color w:val="000000"/>
                <w:sz w:val="20"/>
                <w:szCs w:val="20"/>
              </w:rPr>
            </w:pPr>
            <w:proofErr w:type="spellStart"/>
            <w:r w:rsidRPr="008C1FB5">
              <w:rPr>
                <w:rFonts w:ascii="Times New Roman" w:hAnsi="Times New Roman"/>
                <w:color w:val="000000"/>
                <w:sz w:val="20"/>
                <w:szCs w:val="20"/>
              </w:rPr>
              <w:t>млн</w:t>
            </w:r>
            <w:proofErr w:type="spellEnd"/>
            <w:r w:rsidRPr="008C1FB5">
              <w:rPr>
                <w:rFonts w:ascii="Times New Roman" w:hAnsi="Times New Roman"/>
                <w:color w:val="000000"/>
                <w:sz w:val="20"/>
                <w:szCs w:val="20"/>
              </w:rPr>
              <w:t xml:space="preserve"> руб.</w:t>
            </w:r>
          </w:p>
        </w:tc>
        <w:tc>
          <w:tcPr>
            <w:tcW w:w="1126" w:type="dxa"/>
            <w:shd w:val="clear" w:color="auto" w:fill="C0C0C0"/>
          </w:tcPr>
          <w:p w:rsidR="00832D29" w:rsidRPr="008C1FB5" w:rsidRDefault="00832D29" w:rsidP="006A3EF7">
            <w:pPr>
              <w:keepNext/>
              <w:spacing w:after="0" w:line="240" w:lineRule="auto"/>
              <w:ind w:left="-117" w:right="-108"/>
              <w:jc w:val="center"/>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уд. вес, %</w:t>
            </w:r>
          </w:p>
        </w:tc>
        <w:tc>
          <w:tcPr>
            <w:tcW w:w="1126" w:type="dxa"/>
            <w:tcBorders>
              <w:bottom w:val="double" w:sz="4" w:space="0" w:color="auto"/>
            </w:tcBorders>
            <w:shd w:val="clear" w:color="auto" w:fill="C0C0C0"/>
          </w:tcPr>
          <w:p w:rsidR="00832D29" w:rsidRPr="008C1FB5" w:rsidRDefault="00832D29" w:rsidP="006A3EF7">
            <w:pPr>
              <w:spacing w:after="0" w:line="240" w:lineRule="auto"/>
              <w:jc w:val="center"/>
              <w:rPr>
                <w:rFonts w:ascii="Times New Roman" w:hAnsi="Times New Roman"/>
                <w:color w:val="000000"/>
                <w:sz w:val="20"/>
                <w:szCs w:val="20"/>
              </w:rPr>
            </w:pPr>
            <w:proofErr w:type="spellStart"/>
            <w:r w:rsidRPr="008C1FB5">
              <w:rPr>
                <w:rFonts w:ascii="Times New Roman" w:hAnsi="Times New Roman"/>
                <w:color w:val="000000"/>
                <w:sz w:val="20"/>
                <w:szCs w:val="20"/>
              </w:rPr>
              <w:t>млн</w:t>
            </w:r>
            <w:proofErr w:type="spellEnd"/>
            <w:r w:rsidRPr="008C1FB5">
              <w:rPr>
                <w:rFonts w:ascii="Times New Roman" w:hAnsi="Times New Roman"/>
                <w:color w:val="000000"/>
                <w:sz w:val="20"/>
                <w:szCs w:val="20"/>
              </w:rPr>
              <w:t xml:space="preserve"> руб.</w:t>
            </w:r>
          </w:p>
        </w:tc>
        <w:tc>
          <w:tcPr>
            <w:tcW w:w="1126" w:type="dxa"/>
            <w:shd w:val="clear" w:color="auto" w:fill="C0C0C0"/>
          </w:tcPr>
          <w:p w:rsidR="00832D29" w:rsidRPr="008C1FB5" w:rsidRDefault="00832D29" w:rsidP="006A3EF7">
            <w:pPr>
              <w:keepNext/>
              <w:spacing w:after="0" w:line="240" w:lineRule="auto"/>
              <w:ind w:left="-117" w:right="-108"/>
              <w:jc w:val="center"/>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уд. вес, %</w:t>
            </w:r>
          </w:p>
        </w:tc>
        <w:tc>
          <w:tcPr>
            <w:tcW w:w="991" w:type="dxa"/>
            <w:vMerge/>
            <w:shd w:val="clear" w:color="auto" w:fill="C0C0C0"/>
          </w:tcPr>
          <w:p w:rsidR="00832D29" w:rsidRPr="008C1FB5" w:rsidRDefault="00832D29" w:rsidP="006A3EF7">
            <w:pPr>
              <w:keepNext/>
              <w:spacing w:after="0" w:line="240" w:lineRule="auto"/>
              <w:ind w:left="-91" w:right="-94"/>
              <w:outlineLvl w:val="2"/>
              <w:rPr>
                <w:rFonts w:ascii="Times New Roman" w:hAnsi="Times New Roman" w:cs="Arial"/>
                <w:bCs/>
                <w:color w:val="000000"/>
                <w:sz w:val="20"/>
                <w:szCs w:val="20"/>
              </w:rPr>
            </w:pPr>
          </w:p>
        </w:tc>
      </w:tr>
      <w:tr w:rsidR="00832D29" w:rsidRPr="008C1FB5" w:rsidTr="006A3EF7">
        <w:trPr>
          <w:cantSplit/>
          <w:trHeight w:val="50"/>
        </w:trPr>
        <w:tc>
          <w:tcPr>
            <w:tcW w:w="4137" w:type="dxa"/>
            <w:tcBorders>
              <w:top w:val="double" w:sz="4" w:space="0" w:color="auto"/>
              <w:bottom w:val="single" w:sz="4" w:space="0" w:color="auto"/>
            </w:tcBorders>
            <w:shd w:val="clear" w:color="auto" w:fill="E6E6E6"/>
          </w:tcPr>
          <w:p w:rsidR="00832D29" w:rsidRPr="008C1FB5" w:rsidRDefault="00832D29" w:rsidP="006A3EF7">
            <w:pPr>
              <w:keepNext/>
              <w:spacing w:after="0" w:line="240" w:lineRule="auto"/>
              <w:ind w:right="-1"/>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Полная денежная масса (М3)</w:t>
            </w:r>
          </w:p>
        </w:tc>
        <w:tc>
          <w:tcPr>
            <w:tcW w:w="1125" w:type="dxa"/>
            <w:tcBorders>
              <w:top w:val="double" w:sz="4" w:space="0" w:color="auto"/>
              <w:bottom w:val="single" w:sz="4" w:space="0" w:color="auto"/>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5 320,9</w:t>
            </w:r>
          </w:p>
        </w:tc>
        <w:tc>
          <w:tcPr>
            <w:tcW w:w="1126" w:type="dxa"/>
            <w:tcBorders>
              <w:top w:val="double" w:sz="4" w:space="0" w:color="auto"/>
              <w:bottom w:val="single" w:sz="4" w:space="0" w:color="auto"/>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100,0</w:t>
            </w:r>
          </w:p>
        </w:tc>
        <w:tc>
          <w:tcPr>
            <w:tcW w:w="1126" w:type="dxa"/>
            <w:tcBorders>
              <w:top w:val="double" w:sz="4" w:space="0" w:color="auto"/>
              <w:bottom w:val="single" w:sz="4" w:space="0" w:color="auto"/>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6 641,9</w:t>
            </w:r>
          </w:p>
        </w:tc>
        <w:tc>
          <w:tcPr>
            <w:tcW w:w="1126" w:type="dxa"/>
            <w:tcBorders>
              <w:top w:val="double" w:sz="4" w:space="0" w:color="auto"/>
              <w:bottom w:val="single" w:sz="4" w:space="0" w:color="auto"/>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100,0</w:t>
            </w:r>
          </w:p>
        </w:tc>
        <w:tc>
          <w:tcPr>
            <w:tcW w:w="991" w:type="dxa"/>
            <w:tcBorders>
              <w:top w:val="double" w:sz="4" w:space="0" w:color="auto"/>
              <w:bottom w:val="single" w:sz="4" w:space="0" w:color="auto"/>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124,8</w:t>
            </w:r>
          </w:p>
        </w:tc>
      </w:tr>
      <w:tr w:rsidR="00832D29" w:rsidRPr="008C1FB5" w:rsidTr="006A3EF7">
        <w:trPr>
          <w:cantSplit/>
          <w:trHeight w:val="50"/>
        </w:trPr>
        <w:tc>
          <w:tcPr>
            <w:tcW w:w="4137" w:type="dxa"/>
            <w:tcBorders>
              <w:top w:val="single" w:sz="4" w:space="0" w:color="auto"/>
              <w:bottom w:val="nil"/>
            </w:tcBorders>
            <w:shd w:val="clear" w:color="auto" w:fill="E6E6E6"/>
          </w:tcPr>
          <w:p w:rsidR="00832D29" w:rsidRPr="008C1FB5" w:rsidRDefault="00832D29" w:rsidP="006A3EF7">
            <w:pPr>
              <w:keepNext/>
              <w:spacing w:after="0" w:line="240" w:lineRule="auto"/>
              <w:ind w:left="32" w:right="-1" w:firstLine="112"/>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в том числе:</w:t>
            </w:r>
          </w:p>
        </w:tc>
        <w:tc>
          <w:tcPr>
            <w:tcW w:w="1125" w:type="dxa"/>
            <w:tcBorders>
              <w:top w:val="single" w:sz="4" w:space="0" w:color="auto"/>
              <w:bottom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991" w:type="dxa"/>
            <w:tcBorders>
              <w:top w:val="single" w:sz="4" w:space="0" w:color="auto"/>
              <w:bottom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r>
      <w:tr w:rsidR="00832D29" w:rsidRPr="008C1FB5" w:rsidTr="006A3EF7">
        <w:trPr>
          <w:cantSplit/>
          <w:trHeight w:val="77"/>
        </w:trPr>
        <w:tc>
          <w:tcPr>
            <w:tcW w:w="4137" w:type="dxa"/>
            <w:tcBorders>
              <w:top w:val="nil"/>
            </w:tcBorders>
            <w:shd w:val="clear" w:color="auto" w:fill="E6E6E6"/>
          </w:tcPr>
          <w:p w:rsidR="00832D29" w:rsidRPr="008C1FB5" w:rsidRDefault="00832D29" w:rsidP="006A3EF7">
            <w:pPr>
              <w:keepNext/>
              <w:spacing w:after="0" w:line="240" w:lineRule="auto"/>
              <w:ind w:left="116" w:right="-108" w:firstLine="12"/>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Национальная денежная масса (</w:t>
            </w:r>
            <w:bookmarkStart w:id="4" w:name="OLE_LINK5"/>
            <w:r w:rsidRPr="008C1FB5">
              <w:rPr>
                <w:rFonts w:ascii="Times New Roman" w:hAnsi="Times New Roman" w:cs="Arial"/>
                <w:bCs/>
                <w:color w:val="000000"/>
                <w:sz w:val="20"/>
                <w:szCs w:val="20"/>
              </w:rPr>
              <w:t>М2х</w:t>
            </w:r>
            <w:bookmarkEnd w:id="4"/>
            <w:r w:rsidRPr="008C1FB5">
              <w:rPr>
                <w:rFonts w:ascii="Times New Roman" w:hAnsi="Times New Roman" w:cs="Arial"/>
                <w:bCs/>
                <w:color w:val="000000"/>
                <w:sz w:val="20"/>
                <w:szCs w:val="20"/>
              </w:rPr>
              <w:t>)</w:t>
            </w:r>
          </w:p>
        </w:tc>
        <w:tc>
          <w:tcPr>
            <w:tcW w:w="1125" w:type="dxa"/>
            <w:tcBorders>
              <w:top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2 518,8</w:t>
            </w:r>
          </w:p>
        </w:tc>
        <w:tc>
          <w:tcPr>
            <w:tcW w:w="1126" w:type="dxa"/>
            <w:tcBorders>
              <w:top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47,3</w:t>
            </w:r>
          </w:p>
        </w:tc>
        <w:tc>
          <w:tcPr>
            <w:tcW w:w="1126" w:type="dxa"/>
            <w:tcBorders>
              <w:top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2 299,0</w:t>
            </w:r>
          </w:p>
        </w:tc>
        <w:tc>
          <w:tcPr>
            <w:tcW w:w="1126" w:type="dxa"/>
            <w:tcBorders>
              <w:top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34,6</w:t>
            </w:r>
          </w:p>
        </w:tc>
        <w:tc>
          <w:tcPr>
            <w:tcW w:w="991" w:type="dxa"/>
            <w:tcBorders>
              <w:top w:val="nil"/>
            </w:tcBorders>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91,3</w:t>
            </w:r>
          </w:p>
        </w:tc>
      </w:tr>
      <w:tr w:rsidR="00832D29" w:rsidRPr="008C1FB5" w:rsidTr="006A3EF7">
        <w:trPr>
          <w:cantSplit/>
          <w:trHeight w:val="183"/>
        </w:trPr>
        <w:tc>
          <w:tcPr>
            <w:tcW w:w="4137" w:type="dxa"/>
            <w:tcBorders>
              <w:bottom w:val="single" w:sz="4" w:space="0" w:color="FFFFFF"/>
            </w:tcBorders>
          </w:tcPr>
          <w:p w:rsidR="00832D29" w:rsidRPr="008C1FB5" w:rsidRDefault="00832D29" w:rsidP="006A3EF7">
            <w:pPr>
              <w:keepNext/>
              <w:tabs>
                <w:tab w:val="left" w:pos="612"/>
              </w:tabs>
              <w:spacing w:after="0" w:line="240" w:lineRule="auto"/>
              <w:ind w:left="252" w:right="-108" w:firstLine="46"/>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в том числе</w:t>
            </w:r>
            <w:r w:rsidRPr="008C1FB5">
              <w:rPr>
                <w:rFonts w:ascii="Times New Roman" w:hAnsi="Times New Roman" w:cs="Arial"/>
                <w:bCs/>
                <w:color w:val="000000"/>
                <w:sz w:val="20"/>
                <w:szCs w:val="20"/>
                <w:lang w:val="en-US"/>
              </w:rPr>
              <w:t>:</w:t>
            </w:r>
          </w:p>
        </w:tc>
        <w:tc>
          <w:tcPr>
            <w:tcW w:w="1125" w:type="dxa"/>
            <w:tcBorders>
              <w:bottom w:val="single" w:sz="4" w:space="0" w:color="FFFFFF"/>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c>
          <w:tcPr>
            <w:tcW w:w="991" w:type="dxa"/>
            <w:tcBorders>
              <w:bottom w:val="single" w:sz="4" w:space="0" w:color="FFFFFF"/>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p>
        </w:tc>
      </w:tr>
      <w:tr w:rsidR="00832D29" w:rsidRPr="008C1FB5" w:rsidTr="006A3EF7">
        <w:trPr>
          <w:cantSplit/>
          <w:trHeight w:val="193"/>
        </w:trPr>
        <w:tc>
          <w:tcPr>
            <w:tcW w:w="4137" w:type="dxa"/>
            <w:tcBorders>
              <w:top w:val="single" w:sz="4" w:space="0" w:color="FFFFFF"/>
              <w:bottom w:val="single" w:sz="4" w:space="0" w:color="auto"/>
            </w:tcBorders>
          </w:tcPr>
          <w:p w:rsidR="00832D29" w:rsidRPr="008C1FB5" w:rsidRDefault="00832D29" w:rsidP="006A3EF7">
            <w:pPr>
              <w:keepNext/>
              <w:tabs>
                <w:tab w:val="left" w:pos="176"/>
                <w:tab w:val="left" w:pos="612"/>
              </w:tabs>
              <w:spacing w:after="0" w:line="240" w:lineRule="auto"/>
              <w:ind w:left="252" w:right="-108" w:firstLine="46"/>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 наличные деньги в обращении</w:t>
            </w:r>
          </w:p>
        </w:tc>
        <w:tc>
          <w:tcPr>
            <w:tcW w:w="1125"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1 094,2</w:t>
            </w:r>
          </w:p>
        </w:tc>
        <w:tc>
          <w:tcPr>
            <w:tcW w:w="1126"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20,6</w:t>
            </w:r>
          </w:p>
        </w:tc>
        <w:tc>
          <w:tcPr>
            <w:tcW w:w="1126"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1 074,9</w:t>
            </w:r>
          </w:p>
        </w:tc>
        <w:tc>
          <w:tcPr>
            <w:tcW w:w="1126"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16,2</w:t>
            </w:r>
          </w:p>
        </w:tc>
        <w:tc>
          <w:tcPr>
            <w:tcW w:w="991"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98,2</w:t>
            </w:r>
          </w:p>
        </w:tc>
      </w:tr>
      <w:tr w:rsidR="00832D29" w:rsidRPr="008C1FB5" w:rsidTr="006A3EF7">
        <w:trPr>
          <w:cantSplit/>
          <w:trHeight w:val="193"/>
        </w:trPr>
        <w:tc>
          <w:tcPr>
            <w:tcW w:w="4137" w:type="dxa"/>
            <w:tcBorders>
              <w:top w:val="single" w:sz="4" w:space="0" w:color="FFFFFF"/>
              <w:bottom w:val="single" w:sz="4" w:space="0" w:color="auto"/>
            </w:tcBorders>
          </w:tcPr>
          <w:p w:rsidR="00832D29" w:rsidRPr="008C1FB5" w:rsidRDefault="00832D29" w:rsidP="006A3EF7">
            <w:pPr>
              <w:keepNext/>
              <w:tabs>
                <w:tab w:val="left" w:pos="176"/>
                <w:tab w:val="left" w:pos="612"/>
              </w:tabs>
              <w:spacing w:after="0" w:line="240" w:lineRule="auto"/>
              <w:ind w:left="252" w:right="-108" w:firstLine="46"/>
              <w:outlineLvl w:val="2"/>
              <w:rPr>
                <w:rFonts w:ascii="Times New Roman" w:hAnsi="Times New Roman" w:cs="Arial"/>
                <w:bCs/>
                <w:color w:val="000000"/>
                <w:sz w:val="20"/>
                <w:szCs w:val="20"/>
              </w:rPr>
            </w:pPr>
            <w:r w:rsidRPr="008C1FB5">
              <w:rPr>
                <w:rFonts w:ascii="Times New Roman" w:hAnsi="Times New Roman" w:cs="Arial"/>
                <w:bCs/>
                <w:color w:val="000000"/>
                <w:sz w:val="20"/>
                <w:szCs w:val="20"/>
                <w:lang w:val="en-US"/>
              </w:rPr>
              <w:t>-</w:t>
            </w:r>
            <w:r w:rsidRPr="008C1FB5">
              <w:rPr>
                <w:rFonts w:ascii="Times New Roman" w:hAnsi="Times New Roman" w:cs="Arial"/>
                <w:bCs/>
                <w:color w:val="000000"/>
                <w:sz w:val="20"/>
                <w:szCs w:val="20"/>
              </w:rPr>
              <w:t xml:space="preserve"> безналичные денежные средства</w:t>
            </w:r>
          </w:p>
        </w:tc>
        <w:tc>
          <w:tcPr>
            <w:tcW w:w="1125"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1 424,6</w:t>
            </w:r>
          </w:p>
        </w:tc>
        <w:tc>
          <w:tcPr>
            <w:tcW w:w="1126"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79,4</w:t>
            </w:r>
          </w:p>
        </w:tc>
        <w:tc>
          <w:tcPr>
            <w:tcW w:w="1126"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1 224,1</w:t>
            </w:r>
          </w:p>
        </w:tc>
        <w:tc>
          <w:tcPr>
            <w:tcW w:w="1126"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83,8</w:t>
            </w:r>
          </w:p>
        </w:tc>
        <w:tc>
          <w:tcPr>
            <w:tcW w:w="991" w:type="dxa"/>
            <w:tcBorders>
              <w:top w:val="single" w:sz="4" w:space="0" w:color="FFFFFF"/>
              <w:bottom w:val="single" w:sz="4" w:space="0" w:color="auto"/>
            </w:tcBorders>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85,9</w:t>
            </w:r>
          </w:p>
        </w:tc>
      </w:tr>
      <w:tr w:rsidR="00832D29" w:rsidRPr="008C1FB5" w:rsidTr="006A3EF7">
        <w:trPr>
          <w:trHeight w:val="170"/>
        </w:trPr>
        <w:tc>
          <w:tcPr>
            <w:tcW w:w="4137" w:type="dxa"/>
            <w:shd w:val="clear" w:color="auto" w:fill="E6E6E6"/>
          </w:tcPr>
          <w:p w:rsidR="00832D29" w:rsidRPr="008C1FB5" w:rsidRDefault="00832D29" w:rsidP="006A3EF7">
            <w:pPr>
              <w:tabs>
                <w:tab w:val="left" w:pos="0"/>
                <w:tab w:val="left" w:pos="612"/>
              </w:tabs>
              <w:spacing w:after="0" w:line="240" w:lineRule="auto"/>
              <w:ind w:left="144" w:right="-1"/>
              <w:rPr>
                <w:rFonts w:ascii="Times New Roman" w:hAnsi="Times New Roman"/>
                <w:color w:val="000000"/>
                <w:sz w:val="20"/>
                <w:szCs w:val="20"/>
              </w:rPr>
            </w:pPr>
            <w:r w:rsidRPr="008C1FB5">
              <w:rPr>
                <w:rFonts w:ascii="Times New Roman" w:hAnsi="Times New Roman"/>
                <w:color w:val="000000"/>
                <w:sz w:val="20"/>
                <w:szCs w:val="20"/>
              </w:rPr>
              <w:t>Денежная масса в иностранной валюте</w:t>
            </w:r>
          </w:p>
        </w:tc>
        <w:tc>
          <w:tcPr>
            <w:tcW w:w="1125" w:type="dxa"/>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2 802,1</w:t>
            </w:r>
          </w:p>
        </w:tc>
        <w:tc>
          <w:tcPr>
            <w:tcW w:w="1126" w:type="dxa"/>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52,7</w:t>
            </w:r>
          </w:p>
        </w:tc>
        <w:tc>
          <w:tcPr>
            <w:tcW w:w="1126" w:type="dxa"/>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4 342,9</w:t>
            </w:r>
          </w:p>
        </w:tc>
        <w:tc>
          <w:tcPr>
            <w:tcW w:w="1126" w:type="dxa"/>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65,4</w:t>
            </w:r>
          </w:p>
        </w:tc>
        <w:tc>
          <w:tcPr>
            <w:tcW w:w="991" w:type="dxa"/>
            <w:shd w:val="clear" w:color="auto" w:fill="E6E6E6"/>
            <w:vAlign w:val="bottom"/>
          </w:tcPr>
          <w:p w:rsidR="00832D29" w:rsidRPr="008C1FB5" w:rsidRDefault="00832D29" w:rsidP="006A3EF7">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155,0</w:t>
            </w:r>
          </w:p>
        </w:tc>
      </w:tr>
    </w:tbl>
    <w:bookmarkEnd w:id="1"/>
    <w:bookmarkEnd w:id="2"/>
    <w:bookmarkEnd w:id="3"/>
    <w:p w:rsidR="00832D29" w:rsidRDefault="00832D29" w:rsidP="00832D29">
      <w:pPr>
        <w:spacing w:before="120" w:after="0" w:line="240" w:lineRule="auto"/>
        <w:ind w:firstLine="709"/>
        <w:jc w:val="both"/>
        <w:rPr>
          <w:rFonts w:ascii="Times New Roman" w:hAnsi="Times New Roman"/>
          <w:sz w:val="24"/>
        </w:rPr>
      </w:pPr>
      <w:r w:rsidRPr="00193CF8">
        <w:rPr>
          <w:rFonts w:ascii="Times New Roman" w:hAnsi="Times New Roman"/>
          <w:sz w:val="24"/>
        </w:rPr>
        <w:lastRenderedPageBreak/>
        <w:t xml:space="preserve">В отличие от динамики рублевого предложения величина денежной массы в иностранной валюте за анализируемый период выросла на 55,0% (на 1 540,8 </w:t>
      </w:r>
      <w:proofErr w:type="spellStart"/>
      <w:proofErr w:type="gramStart"/>
      <w:r w:rsidRPr="00193CF8">
        <w:rPr>
          <w:rFonts w:ascii="Times New Roman" w:hAnsi="Times New Roman"/>
          <w:sz w:val="24"/>
        </w:rPr>
        <w:t>млн</w:t>
      </w:r>
      <w:proofErr w:type="spellEnd"/>
      <w:proofErr w:type="gramEnd"/>
      <w:r w:rsidRPr="00193CF8">
        <w:rPr>
          <w:rFonts w:ascii="Times New Roman" w:hAnsi="Times New Roman"/>
          <w:sz w:val="24"/>
        </w:rPr>
        <w:t xml:space="preserve"> руб.) до                    4 342,9 </w:t>
      </w:r>
      <w:proofErr w:type="spellStart"/>
      <w:r w:rsidRPr="00193CF8">
        <w:rPr>
          <w:rFonts w:ascii="Times New Roman" w:hAnsi="Times New Roman"/>
          <w:sz w:val="24"/>
        </w:rPr>
        <w:t>млн</w:t>
      </w:r>
      <w:proofErr w:type="spellEnd"/>
      <w:r w:rsidRPr="00193CF8">
        <w:rPr>
          <w:rFonts w:ascii="Times New Roman" w:hAnsi="Times New Roman"/>
          <w:sz w:val="24"/>
        </w:rPr>
        <w:t xml:space="preserve"> руб. Расширение отмечалось в разрезе всех структурных компонент, в том числе эквивалент валютной наличности в кассах банков увеличился в 1,6 раза до 433,7 </w:t>
      </w:r>
      <w:proofErr w:type="spellStart"/>
      <w:r w:rsidRPr="00193CF8">
        <w:rPr>
          <w:rFonts w:ascii="Times New Roman" w:hAnsi="Times New Roman"/>
          <w:sz w:val="24"/>
        </w:rPr>
        <w:t>млн</w:t>
      </w:r>
      <w:proofErr w:type="spellEnd"/>
      <w:r w:rsidRPr="00193CF8">
        <w:rPr>
          <w:rFonts w:ascii="Times New Roman" w:hAnsi="Times New Roman"/>
          <w:sz w:val="24"/>
        </w:rPr>
        <w:t xml:space="preserve"> руб., объем средств, задействованных в операциях с ценными бумагами</w:t>
      </w:r>
      <w:r w:rsidR="00DC788F">
        <w:rPr>
          <w:rFonts w:ascii="Times New Roman" w:hAnsi="Times New Roman"/>
          <w:sz w:val="24"/>
        </w:rPr>
        <w:t>,</w:t>
      </w:r>
      <w:r w:rsidRPr="00193CF8">
        <w:rPr>
          <w:rFonts w:ascii="Times New Roman" w:hAnsi="Times New Roman"/>
          <w:sz w:val="24"/>
        </w:rPr>
        <w:t xml:space="preserve"> вырос на 28,5% до </w:t>
      </w:r>
      <w:r w:rsidR="00875D3B">
        <w:rPr>
          <w:rFonts w:ascii="Times New Roman" w:hAnsi="Times New Roman"/>
          <w:sz w:val="24"/>
        </w:rPr>
        <w:t xml:space="preserve">             </w:t>
      </w:r>
      <w:r w:rsidRPr="00193CF8">
        <w:rPr>
          <w:rFonts w:ascii="Times New Roman" w:hAnsi="Times New Roman"/>
          <w:sz w:val="24"/>
        </w:rPr>
        <w:t xml:space="preserve">79,4 </w:t>
      </w:r>
      <w:proofErr w:type="spellStart"/>
      <w:proofErr w:type="gramStart"/>
      <w:r w:rsidRPr="00193CF8">
        <w:rPr>
          <w:rFonts w:ascii="Times New Roman" w:hAnsi="Times New Roman"/>
          <w:sz w:val="24"/>
        </w:rPr>
        <w:t>млн</w:t>
      </w:r>
      <w:proofErr w:type="spellEnd"/>
      <w:proofErr w:type="gramEnd"/>
      <w:r w:rsidRPr="00193CF8">
        <w:rPr>
          <w:rFonts w:ascii="Times New Roman" w:hAnsi="Times New Roman"/>
          <w:sz w:val="24"/>
        </w:rPr>
        <w:t xml:space="preserve"> руб. Наиболее заметным пополнением характеризовались остатки средств на срочных депозитах (+41,8% до 2 931,8 </w:t>
      </w:r>
      <w:proofErr w:type="spellStart"/>
      <w:r w:rsidRPr="00193CF8">
        <w:rPr>
          <w:rFonts w:ascii="Times New Roman" w:hAnsi="Times New Roman"/>
          <w:sz w:val="24"/>
        </w:rPr>
        <w:t>млн</w:t>
      </w:r>
      <w:proofErr w:type="spellEnd"/>
      <w:r w:rsidRPr="00193CF8">
        <w:rPr>
          <w:rFonts w:ascii="Times New Roman" w:hAnsi="Times New Roman"/>
          <w:sz w:val="24"/>
        </w:rPr>
        <w:t xml:space="preserve"> руб.) и на депозитах до востребования (в 2,2 раза до</w:t>
      </w:r>
      <w:r w:rsidR="00875D3B">
        <w:rPr>
          <w:rFonts w:ascii="Times New Roman" w:hAnsi="Times New Roman"/>
          <w:sz w:val="24"/>
        </w:rPr>
        <w:t xml:space="preserve"> </w:t>
      </w:r>
      <w:r w:rsidRPr="00193CF8">
        <w:rPr>
          <w:rFonts w:ascii="Times New Roman" w:hAnsi="Times New Roman"/>
          <w:sz w:val="24"/>
        </w:rPr>
        <w:t xml:space="preserve">897,9 </w:t>
      </w:r>
      <w:proofErr w:type="spellStart"/>
      <w:r w:rsidRPr="00193CF8">
        <w:rPr>
          <w:rFonts w:ascii="Times New Roman" w:hAnsi="Times New Roman"/>
          <w:sz w:val="24"/>
        </w:rPr>
        <w:t>млн</w:t>
      </w:r>
      <w:proofErr w:type="spellEnd"/>
      <w:r w:rsidRPr="00193CF8">
        <w:rPr>
          <w:rFonts w:ascii="Times New Roman" w:hAnsi="Times New Roman"/>
          <w:sz w:val="24"/>
        </w:rPr>
        <w:t xml:space="preserve"> руб.).</w:t>
      </w:r>
    </w:p>
    <w:p w:rsidR="00832D29" w:rsidRPr="00193CF8" w:rsidRDefault="00832D29" w:rsidP="00832D29">
      <w:pPr>
        <w:widowControl w:val="0"/>
        <w:spacing w:after="0" w:line="240" w:lineRule="auto"/>
        <w:jc w:val="right"/>
        <w:rPr>
          <w:rFonts w:ascii="Times New Roman" w:hAnsi="Times New Roman"/>
          <w:bCs/>
          <w:iCs/>
          <w:sz w:val="24"/>
          <w:szCs w:val="24"/>
        </w:rPr>
      </w:pPr>
      <w:r w:rsidRPr="00193CF8">
        <w:rPr>
          <w:rFonts w:ascii="Times New Roman" w:hAnsi="Times New Roman"/>
          <w:bCs/>
          <w:iCs/>
          <w:sz w:val="24"/>
          <w:szCs w:val="24"/>
        </w:rPr>
        <w:t>Таблица №</w:t>
      </w:r>
      <w:r w:rsidR="00091304">
        <w:rPr>
          <w:rFonts w:ascii="Times New Roman" w:hAnsi="Times New Roman"/>
          <w:bCs/>
          <w:iCs/>
          <w:sz w:val="24"/>
          <w:szCs w:val="24"/>
        </w:rPr>
        <w:t>11</w:t>
      </w:r>
    </w:p>
    <w:p w:rsidR="00832D29" w:rsidRPr="008C1FB5" w:rsidRDefault="00832D29" w:rsidP="00832D29">
      <w:pPr>
        <w:spacing w:after="0" w:line="240" w:lineRule="auto"/>
        <w:jc w:val="center"/>
        <w:rPr>
          <w:rFonts w:ascii="Times New Roman" w:hAnsi="Times New Roman"/>
          <w:b/>
          <w:color w:val="000000"/>
          <w:sz w:val="24"/>
          <w:szCs w:val="24"/>
        </w:rPr>
      </w:pPr>
      <w:r w:rsidRPr="00193CF8">
        <w:rPr>
          <w:rFonts w:ascii="Times New Roman" w:hAnsi="Times New Roman"/>
          <w:b/>
          <w:color w:val="000000"/>
          <w:sz w:val="24"/>
          <w:szCs w:val="24"/>
        </w:rPr>
        <w:t>Структура и динамика денежной базы</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240"/>
        <w:gridCol w:w="1240"/>
        <w:gridCol w:w="1240"/>
        <w:gridCol w:w="1241"/>
        <w:gridCol w:w="1126"/>
      </w:tblGrid>
      <w:tr w:rsidR="00832D29" w:rsidRPr="008C1FB5" w:rsidTr="006A3EF7">
        <w:trPr>
          <w:cantSplit/>
          <w:trHeight w:val="151"/>
        </w:trPr>
        <w:tc>
          <w:tcPr>
            <w:tcW w:w="3544" w:type="dxa"/>
            <w:vMerge w:val="restart"/>
            <w:shd w:val="clear" w:color="auto" w:fill="CCCCCC"/>
          </w:tcPr>
          <w:p w:rsidR="00832D29" w:rsidRPr="008C1FB5" w:rsidRDefault="00832D29" w:rsidP="006A3EF7">
            <w:pPr>
              <w:spacing w:after="0" w:line="240" w:lineRule="auto"/>
              <w:ind w:left="-108"/>
              <w:jc w:val="both"/>
              <w:rPr>
                <w:rFonts w:ascii="Times New Roman" w:hAnsi="Times New Roman"/>
                <w:color w:val="000000"/>
                <w:sz w:val="20"/>
                <w:szCs w:val="20"/>
              </w:rPr>
            </w:pPr>
          </w:p>
        </w:tc>
        <w:tc>
          <w:tcPr>
            <w:tcW w:w="2480" w:type="dxa"/>
            <w:gridSpan w:val="2"/>
            <w:shd w:val="clear" w:color="auto" w:fill="CCCCCC"/>
            <w:vAlign w:val="bottom"/>
          </w:tcPr>
          <w:p w:rsidR="00832D29" w:rsidRPr="008C1FB5" w:rsidRDefault="00832D29" w:rsidP="006A3EF7">
            <w:pPr>
              <w:spacing w:after="0" w:line="240" w:lineRule="auto"/>
              <w:ind w:left="-107" w:right="-111"/>
              <w:jc w:val="center"/>
              <w:rPr>
                <w:rFonts w:ascii="Times New Roman" w:hAnsi="Times New Roman"/>
                <w:sz w:val="20"/>
                <w:szCs w:val="20"/>
              </w:rPr>
            </w:pPr>
            <w:r w:rsidRPr="008C1FB5">
              <w:rPr>
                <w:rFonts w:ascii="Times New Roman" w:hAnsi="Times New Roman"/>
                <w:sz w:val="20"/>
                <w:szCs w:val="20"/>
              </w:rPr>
              <w:t>на 01.01.201</w:t>
            </w:r>
            <w:r>
              <w:rPr>
                <w:rFonts w:ascii="Times New Roman" w:hAnsi="Times New Roman"/>
                <w:sz w:val="20"/>
                <w:szCs w:val="20"/>
              </w:rPr>
              <w:t>7</w:t>
            </w:r>
            <w:r w:rsidRPr="008C1FB5">
              <w:rPr>
                <w:rFonts w:ascii="Times New Roman" w:hAnsi="Times New Roman"/>
                <w:sz w:val="20"/>
                <w:szCs w:val="20"/>
              </w:rPr>
              <w:t xml:space="preserve"> г.</w:t>
            </w:r>
          </w:p>
        </w:tc>
        <w:tc>
          <w:tcPr>
            <w:tcW w:w="2481" w:type="dxa"/>
            <w:gridSpan w:val="2"/>
            <w:shd w:val="clear" w:color="auto" w:fill="CCCCCC"/>
            <w:vAlign w:val="bottom"/>
          </w:tcPr>
          <w:p w:rsidR="00832D29" w:rsidRPr="008C1FB5" w:rsidRDefault="00832D29" w:rsidP="006A3EF7">
            <w:pPr>
              <w:spacing w:after="0" w:line="240" w:lineRule="auto"/>
              <w:ind w:left="-107" w:right="-111"/>
              <w:jc w:val="center"/>
              <w:rPr>
                <w:rFonts w:ascii="Times New Roman" w:hAnsi="Times New Roman"/>
                <w:sz w:val="20"/>
                <w:szCs w:val="20"/>
              </w:rPr>
            </w:pPr>
            <w:r w:rsidRPr="008C1FB5">
              <w:rPr>
                <w:rFonts w:ascii="Times New Roman" w:hAnsi="Times New Roman"/>
                <w:sz w:val="20"/>
                <w:szCs w:val="20"/>
              </w:rPr>
              <w:t>на 01.0</w:t>
            </w:r>
            <w:r>
              <w:rPr>
                <w:rFonts w:ascii="Times New Roman" w:hAnsi="Times New Roman"/>
                <w:sz w:val="20"/>
                <w:szCs w:val="20"/>
              </w:rPr>
              <w:t>7</w:t>
            </w:r>
            <w:r w:rsidRPr="008C1FB5">
              <w:rPr>
                <w:rFonts w:ascii="Times New Roman" w:hAnsi="Times New Roman"/>
                <w:sz w:val="20"/>
                <w:szCs w:val="20"/>
              </w:rPr>
              <w:t>.201</w:t>
            </w:r>
            <w:r>
              <w:rPr>
                <w:rFonts w:ascii="Times New Roman" w:hAnsi="Times New Roman"/>
                <w:sz w:val="20"/>
                <w:szCs w:val="20"/>
              </w:rPr>
              <w:t>7</w:t>
            </w:r>
            <w:r w:rsidRPr="008C1FB5">
              <w:rPr>
                <w:rFonts w:ascii="Times New Roman" w:hAnsi="Times New Roman"/>
                <w:sz w:val="20"/>
                <w:szCs w:val="20"/>
              </w:rPr>
              <w:t xml:space="preserve"> г.</w:t>
            </w:r>
          </w:p>
        </w:tc>
        <w:tc>
          <w:tcPr>
            <w:tcW w:w="1126" w:type="dxa"/>
            <w:vMerge w:val="restart"/>
            <w:shd w:val="clear" w:color="auto" w:fill="CCCCCC"/>
            <w:vAlign w:val="center"/>
          </w:tcPr>
          <w:p w:rsidR="00832D29" w:rsidRPr="008C1FB5" w:rsidRDefault="00832D29" w:rsidP="006A3EF7">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темп роста, %</w:t>
            </w:r>
          </w:p>
        </w:tc>
      </w:tr>
      <w:tr w:rsidR="00832D29" w:rsidRPr="008C1FB5" w:rsidTr="006A3EF7">
        <w:trPr>
          <w:cantSplit/>
          <w:trHeight w:val="117"/>
        </w:trPr>
        <w:tc>
          <w:tcPr>
            <w:tcW w:w="3544" w:type="dxa"/>
            <w:vMerge/>
            <w:tcBorders>
              <w:bottom w:val="double" w:sz="4" w:space="0" w:color="auto"/>
            </w:tcBorders>
          </w:tcPr>
          <w:p w:rsidR="00832D29" w:rsidRPr="008C1FB5" w:rsidRDefault="00832D29" w:rsidP="006A3EF7">
            <w:pPr>
              <w:spacing w:after="0" w:line="240" w:lineRule="auto"/>
              <w:ind w:left="-108"/>
              <w:jc w:val="both"/>
              <w:rPr>
                <w:rFonts w:ascii="Times New Roman" w:hAnsi="Times New Roman"/>
                <w:color w:val="000000"/>
                <w:sz w:val="20"/>
                <w:szCs w:val="20"/>
              </w:rPr>
            </w:pPr>
          </w:p>
        </w:tc>
        <w:tc>
          <w:tcPr>
            <w:tcW w:w="1240" w:type="dxa"/>
            <w:tcBorders>
              <w:bottom w:val="double" w:sz="4" w:space="0" w:color="auto"/>
            </w:tcBorders>
            <w:shd w:val="clear" w:color="auto" w:fill="CCCCCC"/>
            <w:vAlign w:val="center"/>
          </w:tcPr>
          <w:p w:rsidR="00832D29" w:rsidRPr="008C1FB5" w:rsidRDefault="00832D29" w:rsidP="006A3EF7">
            <w:pPr>
              <w:spacing w:after="0" w:line="240" w:lineRule="auto"/>
              <w:jc w:val="center"/>
              <w:rPr>
                <w:rFonts w:ascii="Times New Roman" w:hAnsi="Times New Roman"/>
                <w:color w:val="000000"/>
                <w:sz w:val="20"/>
                <w:szCs w:val="20"/>
              </w:rPr>
            </w:pPr>
            <w:proofErr w:type="spellStart"/>
            <w:r w:rsidRPr="008C1FB5">
              <w:rPr>
                <w:rFonts w:ascii="Times New Roman" w:hAnsi="Times New Roman"/>
                <w:color w:val="000000"/>
                <w:sz w:val="20"/>
                <w:szCs w:val="20"/>
              </w:rPr>
              <w:t>млн</w:t>
            </w:r>
            <w:proofErr w:type="spellEnd"/>
            <w:r w:rsidRPr="008C1FB5">
              <w:rPr>
                <w:rFonts w:ascii="Times New Roman" w:hAnsi="Times New Roman"/>
                <w:color w:val="000000"/>
                <w:sz w:val="20"/>
                <w:szCs w:val="20"/>
              </w:rPr>
              <w:t xml:space="preserve"> руб.</w:t>
            </w:r>
          </w:p>
        </w:tc>
        <w:tc>
          <w:tcPr>
            <w:tcW w:w="1240" w:type="dxa"/>
            <w:tcBorders>
              <w:bottom w:val="double" w:sz="4" w:space="0" w:color="auto"/>
            </w:tcBorders>
            <w:shd w:val="clear" w:color="auto" w:fill="CCCCCC"/>
            <w:vAlign w:val="center"/>
          </w:tcPr>
          <w:p w:rsidR="00832D29" w:rsidRPr="008C1FB5" w:rsidRDefault="00832D29" w:rsidP="006A3EF7">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уд. вес, %</w:t>
            </w:r>
          </w:p>
        </w:tc>
        <w:tc>
          <w:tcPr>
            <w:tcW w:w="1240" w:type="dxa"/>
            <w:tcBorders>
              <w:bottom w:val="double" w:sz="4" w:space="0" w:color="auto"/>
            </w:tcBorders>
            <w:shd w:val="clear" w:color="auto" w:fill="CCCCCC"/>
            <w:vAlign w:val="center"/>
          </w:tcPr>
          <w:p w:rsidR="00832D29" w:rsidRPr="008C1FB5" w:rsidRDefault="00832D29" w:rsidP="006A3EF7">
            <w:pPr>
              <w:spacing w:after="0" w:line="240" w:lineRule="auto"/>
              <w:jc w:val="center"/>
              <w:rPr>
                <w:rFonts w:ascii="Times New Roman" w:hAnsi="Times New Roman"/>
                <w:color w:val="000000"/>
                <w:sz w:val="20"/>
                <w:szCs w:val="20"/>
              </w:rPr>
            </w:pPr>
            <w:proofErr w:type="spellStart"/>
            <w:r w:rsidRPr="008C1FB5">
              <w:rPr>
                <w:rFonts w:ascii="Times New Roman" w:hAnsi="Times New Roman"/>
                <w:color w:val="000000"/>
                <w:sz w:val="20"/>
                <w:szCs w:val="20"/>
              </w:rPr>
              <w:t>млн</w:t>
            </w:r>
            <w:proofErr w:type="spellEnd"/>
            <w:r w:rsidRPr="008C1FB5">
              <w:rPr>
                <w:rFonts w:ascii="Times New Roman" w:hAnsi="Times New Roman"/>
                <w:color w:val="000000"/>
                <w:sz w:val="20"/>
                <w:szCs w:val="20"/>
              </w:rPr>
              <w:t xml:space="preserve"> руб.</w:t>
            </w:r>
          </w:p>
        </w:tc>
        <w:tc>
          <w:tcPr>
            <w:tcW w:w="1241" w:type="dxa"/>
            <w:tcBorders>
              <w:bottom w:val="double" w:sz="4" w:space="0" w:color="auto"/>
            </w:tcBorders>
            <w:shd w:val="clear" w:color="auto" w:fill="CCCCCC"/>
            <w:vAlign w:val="center"/>
          </w:tcPr>
          <w:p w:rsidR="00832D29" w:rsidRPr="008C1FB5" w:rsidRDefault="00832D29" w:rsidP="006A3EF7">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уд. вес, %</w:t>
            </w:r>
          </w:p>
        </w:tc>
        <w:tc>
          <w:tcPr>
            <w:tcW w:w="1126" w:type="dxa"/>
            <w:vMerge/>
            <w:tcBorders>
              <w:bottom w:val="double" w:sz="4" w:space="0" w:color="auto"/>
            </w:tcBorders>
            <w:vAlign w:val="center"/>
          </w:tcPr>
          <w:p w:rsidR="00832D29" w:rsidRPr="008C1FB5" w:rsidRDefault="00832D29" w:rsidP="006A3EF7">
            <w:pPr>
              <w:spacing w:after="0" w:line="240" w:lineRule="auto"/>
              <w:jc w:val="both"/>
              <w:rPr>
                <w:rFonts w:ascii="Times New Roman" w:hAnsi="Times New Roman"/>
                <w:color w:val="000000"/>
                <w:sz w:val="20"/>
                <w:szCs w:val="20"/>
              </w:rPr>
            </w:pPr>
          </w:p>
        </w:tc>
      </w:tr>
      <w:tr w:rsidR="00832D29" w:rsidRPr="008C1FB5" w:rsidTr="006A3EF7">
        <w:trPr>
          <w:trHeight w:val="221"/>
        </w:trPr>
        <w:tc>
          <w:tcPr>
            <w:tcW w:w="3544" w:type="dxa"/>
            <w:tcBorders>
              <w:top w:val="double" w:sz="4" w:space="0" w:color="auto"/>
            </w:tcBorders>
            <w:shd w:val="clear" w:color="auto" w:fill="E0E0E0"/>
            <w:vAlign w:val="center"/>
          </w:tcPr>
          <w:p w:rsidR="00832D29" w:rsidRPr="008C1FB5" w:rsidRDefault="00832D29" w:rsidP="006A3EF7">
            <w:pPr>
              <w:spacing w:after="0" w:line="240" w:lineRule="auto"/>
              <w:rPr>
                <w:rFonts w:ascii="Times New Roman" w:hAnsi="Times New Roman"/>
                <w:color w:val="000000"/>
                <w:sz w:val="20"/>
                <w:szCs w:val="20"/>
              </w:rPr>
            </w:pPr>
            <w:r w:rsidRPr="008C1FB5">
              <w:rPr>
                <w:rFonts w:ascii="Times New Roman" w:hAnsi="Times New Roman"/>
                <w:color w:val="000000"/>
                <w:sz w:val="20"/>
                <w:szCs w:val="20"/>
              </w:rPr>
              <w:t>Денежная база</w:t>
            </w:r>
          </w:p>
        </w:tc>
        <w:tc>
          <w:tcPr>
            <w:tcW w:w="1240" w:type="dxa"/>
            <w:tcBorders>
              <w:top w:val="double" w:sz="4" w:space="0" w:color="auto"/>
            </w:tcBorders>
            <w:shd w:val="clear" w:color="auto" w:fill="E0E0E0"/>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2 119,7</w:t>
            </w:r>
          </w:p>
        </w:tc>
        <w:tc>
          <w:tcPr>
            <w:tcW w:w="1240" w:type="dxa"/>
            <w:tcBorders>
              <w:top w:val="double" w:sz="4" w:space="0" w:color="auto"/>
            </w:tcBorders>
            <w:shd w:val="clear" w:color="auto" w:fill="E0E0E0"/>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100,0</w:t>
            </w:r>
          </w:p>
        </w:tc>
        <w:tc>
          <w:tcPr>
            <w:tcW w:w="1240" w:type="dxa"/>
            <w:tcBorders>
              <w:top w:val="double" w:sz="4" w:space="0" w:color="auto"/>
            </w:tcBorders>
            <w:shd w:val="clear" w:color="auto" w:fill="E0E0E0"/>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1 813,6</w:t>
            </w:r>
          </w:p>
        </w:tc>
        <w:tc>
          <w:tcPr>
            <w:tcW w:w="1241" w:type="dxa"/>
            <w:tcBorders>
              <w:top w:val="double" w:sz="4" w:space="0" w:color="auto"/>
            </w:tcBorders>
            <w:shd w:val="clear" w:color="auto" w:fill="E0E0E0"/>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100,0</w:t>
            </w:r>
          </w:p>
        </w:tc>
        <w:tc>
          <w:tcPr>
            <w:tcW w:w="1126" w:type="dxa"/>
            <w:tcBorders>
              <w:top w:val="double" w:sz="4" w:space="0" w:color="auto"/>
            </w:tcBorders>
            <w:shd w:val="clear" w:color="auto" w:fill="E0E0E0"/>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85,6</w:t>
            </w:r>
          </w:p>
        </w:tc>
      </w:tr>
      <w:tr w:rsidR="00832D29" w:rsidRPr="008C1FB5" w:rsidTr="006A3EF7">
        <w:trPr>
          <w:trHeight w:val="140"/>
        </w:trPr>
        <w:tc>
          <w:tcPr>
            <w:tcW w:w="3544" w:type="dxa"/>
            <w:tcBorders>
              <w:bottom w:val="nil"/>
            </w:tcBorders>
            <w:vAlign w:val="center"/>
          </w:tcPr>
          <w:p w:rsidR="00832D29" w:rsidRPr="008C1FB5" w:rsidRDefault="00832D29" w:rsidP="006A3EF7">
            <w:pPr>
              <w:spacing w:after="0" w:line="240" w:lineRule="auto"/>
              <w:ind w:left="74" w:firstLine="102"/>
              <w:rPr>
                <w:rFonts w:ascii="Times New Roman" w:hAnsi="Times New Roman"/>
                <w:color w:val="000000"/>
                <w:sz w:val="20"/>
                <w:szCs w:val="20"/>
              </w:rPr>
            </w:pPr>
            <w:r w:rsidRPr="008C1FB5">
              <w:rPr>
                <w:rFonts w:ascii="Times New Roman" w:hAnsi="Times New Roman"/>
                <w:color w:val="000000"/>
                <w:sz w:val="20"/>
                <w:szCs w:val="20"/>
              </w:rPr>
              <w:t>в том числе:</w:t>
            </w:r>
          </w:p>
        </w:tc>
        <w:tc>
          <w:tcPr>
            <w:tcW w:w="1240" w:type="dxa"/>
            <w:tcBorders>
              <w:bottom w:val="nil"/>
            </w:tcBorders>
            <w:vAlign w:val="bottom"/>
          </w:tcPr>
          <w:p w:rsidR="00832D29" w:rsidRPr="008C1FB5" w:rsidRDefault="00832D29" w:rsidP="006A3EF7">
            <w:pPr>
              <w:spacing w:after="0" w:line="240" w:lineRule="auto"/>
              <w:ind w:right="176"/>
              <w:rPr>
                <w:rFonts w:ascii="Times New Roman" w:hAnsi="Times New Roman" w:cs="Arial CYR"/>
                <w:sz w:val="20"/>
                <w:szCs w:val="20"/>
              </w:rPr>
            </w:pPr>
          </w:p>
        </w:tc>
        <w:tc>
          <w:tcPr>
            <w:tcW w:w="1240" w:type="dxa"/>
            <w:tcBorders>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p>
        </w:tc>
        <w:tc>
          <w:tcPr>
            <w:tcW w:w="1240" w:type="dxa"/>
            <w:tcBorders>
              <w:bottom w:val="nil"/>
            </w:tcBorders>
            <w:vAlign w:val="bottom"/>
          </w:tcPr>
          <w:p w:rsidR="00832D29" w:rsidRPr="008C1FB5" w:rsidRDefault="00832D29" w:rsidP="006A3EF7">
            <w:pPr>
              <w:spacing w:after="0" w:line="240" w:lineRule="auto"/>
              <w:ind w:right="176"/>
              <w:rPr>
                <w:rFonts w:ascii="Times New Roman" w:hAnsi="Times New Roman" w:cs="Arial CYR"/>
                <w:sz w:val="20"/>
                <w:szCs w:val="20"/>
              </w:rPr>
            </w:pPr>
          </w:p>
        </w:tc>
        <w:tc>
          <w:tcPr>
            <w:tcW w:w="1241" w:type="dxa"/>
            <w:tcBorders>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p>
        </w:tc>
        <w:tc>
          <w:tcPr>
            <w:tcW w:w="1126" w:type="dxa"/>
            <w:tcBorders>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p>
        </w:tc>
      </w:tr>
      <w:tr w:rsidR="00832D29" w:rsidRPr="008C1FB5" w:rsidTr="006A3EF7">
        <w:tc>
          <w:tcPr>
            <w:tcW w:w="3544" w:type="dxa"/>
            <w:tcBorders>
              <w:top w:val="nil"/>
              <w:bottom w:val="nil"/>
            </w:tcBorders>
            <w:vAlign w:val="center"/>
          </w:tcPr>
          <w:p w:rsidR="00832D29" w:rsidRPr="008C1FB5" w:rsidRDefault="00832D29" w:rsidP="006A3EF7">
            <w:pPr>
              <w:spacing w:after="0" w:line="240" w:lineRule="auto"/>
              <w:ind w:left="176"/>
              <w:rPr>
                <w:rFonts w:ascii="Times New Roman" w:hAnsi="Times New Roman"/>
                <w:color w:val="000000"/>
                <w:sz w:val="20"/>
                <w:szCs w:val="20"/>
              </w:rPr>
            </w:pPr>
            <w:r w:rsidRPr="008C1FB5">
              <w:rPr>
                <w:rFonts w:ascii="Times New Roman" w:hAnsi="Times New Roman"/>
                <w:color w:val="000000"/>
                <w:sz w:val="20"/>
                <w:szCs w:val="20"/>
              </w:rPr>
              <w:t>- наличные деньги в обращении</w:t>
            </w:r>
          </w:p>
        </w:tc>
        <w:tc>
          <w:tcPr>
            <w:tcW w:w="1240"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1 094,2</w:t>
            </w:r>
          </w:p>
        </w:tc>
        <w:tc>
          <w:tcPr>
            <w:tcW w:w="1240"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51,6</w:t>
            </w:r>
          </w:p>
        </w:tc>
        <w:tc>
          <w:tcPr>
            <w:tcW w:w="1240"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1 074,9</w:t>
            </w:r>
          </w:p>
        </w:tc>
        <w:tc>
          <w:tcPr>
            <w:tcW w:w="1241"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59,3</w:t>
            </w:r>
          </w:p>
        </w:tc>
        <w:tc>
          <w:tcPr>
            <w:tcW w:w="1126"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98,2</w:t>
            </w:r>
          </w:p>
        </w:tc>
      </w:tr>
      <w:tr w:rsidR="00832D29" w:rsidRPr="008C1FB5" w:rsidTr="006A3EF7">
        <w:tc>
          <w:tcPr>
            <w:tcW w:w="3544" w:type="dxa"/>
            <w:tcBorders>
              <w:top w:val="nil"/>
              <w:bottom w:val="nil"/>
            </w:tcBorders>
            <w:vAlign w:val="center"/>
          </w:tcPr>
          <w:p w:rsidR="00832D29" w:rsidRPr="008C1FB5" w:rsidRDefault="00832D29" w:rsidP="006A3EF7">
            <w:pPr>
              <w:spacing w:after="0" w:line="240" w:lineRule="auto"/>
              <w:ind w:left="74" w:firstLine="102"/>
              <w:rPr>
                <w:rFonts w:ascii="Times New Roman" w:hAnsi="Times New Roman"/>
                <w:color w:val="000000"/>
                <w:sz w:val="20"/>
                <w:szCs w:val="20"/>
              </w:rPr>
            </w:pPr>
            <w:r w:rsidRPr="008C1FB5">
              <w:rPr>
                <w:rFonts w:ascii="Times New Roman" w:hAnsi="Times New Roman"/>
                <w:color w:val="000000"/>
                <w:sz w:val="20"/>
                <w:szCs w:val="20"/>
              </w:rPr>
              <w:t>- средства в кассах банков</w:t>
            </w:r>
          </w:p>
        </w:tc>
        <w:tc>
          <w:tcPr>
            <w:tcW w:w="1240"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203,1</w:t>
            </w:r>
          </w:p>
        </w:tc>
        <w:tc>
          <w:tcPr>
            <w:tcW w:w="1240"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9,6</w:t>
            </w:r>
          </w:p>
        </w:tc>
        <w:tc>
          <w:tcPr>
            <w:tcW w:w="1240"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104,7</w:t>
            </w:r>
          </w:p>
        </w:tc>
        <w:tc>
          <w:tcPr>
            <w:tcW w:w="1241"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5,8</w:t>
            </w:r>
          </w:p>
        </w:tc>
        <w:tc>
          <w:tcPr>
            <w:tcW w:w="1126" w:type="dxa"/>
            <w:tcBorders>
              <w:top w:val="nil"/>
              <w:bottom w:val="nil"/>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51,6</w:t>
            </w:r>
          </w:p>
        </w:tc>
      </w:tr>
      <w:tr w:rsidR="00832D29" w:rsidRPr="008C1FB5" w:rsidTr="006A3EF7">
        <w:tc>
          <w:tcPr>
            <w:tcW w:w="3544" w:type="dxa"/>
            <w:tcBorders>
              <w:top w:val="nil"/>
              <w:bottom w:val="single" w:sz="4" w:space="0" w:color="auto"/>
            </w:tcBorders>
            <w:vAlign w:val="center"/>
          </w:tcPr>
          <w:p w:rsidR="00832D29" w:rsidRPr="008C1FB5" w:rsidRDefault="00832D29" w:rsidP="006A3EF7">
            <w:pPr>
              <w:spacing w:after="0" w:line="240" w:lineRule="auto"/>
              <w:ind w:left="312" w:hanging="136"/>
              <w:rPr>
                <w:rFonts w:ascii="Times New Roman" w:hAnsi="Times New Roman"/>
                <w:color w:val="000000"/>
                <w:sz w:val="20"/>
                <w:szCs w:val="20"/>
              </w:rPr>
            </w:pPr>
            <w:r w:rsidRPr="008C1FB5">
              <w:rPr>
                <w:rFonts w:ascii="Times New Roman" w:hAnsi="Times New Roman"/>
                <w:color w:val="000000"/>
                <w:sz w:val="20"/>
                <w:szCs w:val="20"/>
              </w:rPr>
              <w:t>- корреспондентские счета коммерческих банков</w:t>
            </w:r>
          </w:p>
        </w:tc>
        <w:tc>
          <w:tcPr>
            <w:tcW w:w="1240" w:type="dxa"/>
            <w:tcBorders>
              <w:top w:val="nil"/>
              <w:bottom w:val="single" w:sz="4" w:space="0" w:color="auto"/>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822,4</w:t>
            </w:r>
          </w:p>
        </w:tc>
        <w:tc>
          <w:tcPr>
            <w:tcW w:w="1240" w:type="dxa"/>
            <w:tcBorders>
              <w:top w:val="nil"/>
              <w:bottom w:val="single" w:sz="4" w:space="0" w:color="auto"/>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38,8</w:t>
            </w:r>
          </w:p>
        </w:tc>
        <w:tc>
          <w:tcPr>
            <w:tcW w:w="1240" w:type="dxa"/>
            <w:tcBorders>
              <w:top w:val="nil"/>
              <w:bottom w:val="single" w:sz="4" w:space="0" w:color="auto"/>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633,9</w:t>
            </w:r>
          </w:p>
        </w:tc>
        <w:tc>
          <w:tcPr>
            <w:tcW w:w="1241" w:type="dxa"/>
            <w:tcBorders>
              <w:top w:val="nil"/>
              <w:bottom w:val="single" w:sz="4" w:space="0" w:color="auto"/>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34,9</w:t>
            </w:r>
          </w:p>
        </w:tc>
        <w:tc>
          <w:tcPr>
            <w:tcW w:w="1126" w:type="dxa"/>
            <w:tcBorders>
              <w:top w:val="nil"/>
              <w:bottom w:val="single" w:sz="4" w:space="0" w:color="auto"/>
            </w:tcBorders>
            <w:vAlign w:val="bottom"/>
          </w:tcPr>
          <w:p w:rsidR="00832D29" w:rsidRPr="008C1FB5" w:rsidRDefault="00832D29" w:rsidP="006A3EF7">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77,1</w:t>
            </w:r>
          </w:p>
        </w:tc>
      </w:tr>
    </w:tbl>
    <w:p w:rsidR="00832D29" w:rsidRDefault="00832D29" w:rsidP="00832D29">
      <w:pPr>
        <w:spacing w:after="0" w:line="240" w:lineRule="auto"/>
        <w:ind w:firstLine="709"/>
        <w:jc w:val="both"/>
        <w:rPr>
          <w:rFonts w:ascii="Times New Roman" w:hAnsi="Times New Roman"/>
          <w:color w:val="000000"/>
          <w:sz w:val="24"/>
          <w:szCs w:val="24"/>
        </w:rPr>
      </w:pPr>
    </w:p>
    <w:p w:rsidR="00832D29" w:rsidRPr="00193CF8" w:rsidRDefault="00832D29" w:rsidP="00832D29">
      <w:pPr>
        <w:widowControl w:val="0"/>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 xml:space="preserve">Благодаря </w:t>
      </w:r>
      <w:r>
        <w:rPr>
          <w:rFonts w:ascii="Times New Roman" w:hAnsi="Times New Roman"/>
          <w:color w:val="000000"/>
          <w:sz w:val="24"/>
          <w:szCs w:val="24"/>
        </w:rPr>
        <w:t xml:space="preserve">реализованному </w:t>
      </w:r>
      <w:r w:rsidRPr="00193CF8">
        <w:rPr>
          <w:rFonts w:ascii="Times New Roman" w:hAnsi="Times New Roman"/>
          <w:color w:val="000000"/>
          <w:sz w:val="24"/>
          <w:szCs w:val="24"/>
        </w:rPr>
        <w:t>механизм</w:t>
      </w:r>
      <w:r>
        <w:rPr>
          <w:rFonts w:ascii="Times New Roman" w:hAnsi="Times New Roman"/>
          <w:color w:val="000000"/>
          <w:sz w:val="24"/>
          <w:szCs w:val="24"/>
        </w:rPr>
        <w:t>у</w:t>
      </w:r>
      <w:r w:rsidRPr="00193CF8">
        <w:rPr>
          <w:rFonts w:ascii="Times New Roman" w:hAnsi="Times New Roman"/>
          <w:color w:val="000000"/>
          <w:sz w:val="24"/>
          <w:szCs w:val="24"/>
        </w:rPr>
        <w:t xml:space="preserve"> удовлетворения накопленного спроса коммерческих банков и экономических агентов на иностранную валюту </w:t>
      </w:r>
      <w:r>
        <w:rPr>
          <w:rFonts w:ascii="Times New Roman" w:hAnsi="Times New Roman"/>
          <w:color w:val="000000"/>
          <w:sz w:val="24"/>
          <w:szCs w:val="24"/>
        </w:rPr>
        <w:t>путем</w:t>
      </w:r>
      <w:r w:rsidRPr="00193CF8">
        <w:rPr>
          <w:rFonts w:ascii="Times New Roman" w:hAnsi="Times New Roman"/>
          <w:color w:val="000000"/>
          <w:sz w:val="24"/>
          <w:szCs w:val="24"/>
        </w:rPr>
        <w:t xml:space="preserve"> проведени</w:t>
      </w:r>
      <w:r>
        <w:rPr>
          <w:rFonts w:ascii="Times New Roman" w:hAnsi="Times New Roman"/>
          <w:color w:val="000000"/>
          <w:sz w:val="24"/>
          <w:szCs w:val="24"/>
        </w:rPr>
        <w:t>я</w:t>
      </w:r>
      <w:r w:rsidRPr="00193CF8">
        <w:rPr>
          <w:rFonts w:ascii="Times New Roman" w:hAnsi="Times New Roman"/>
          <w:color w:val="000000"/>
          <w:sz w:val="24"/>
          <w:szCs w:val="24"/>
        </w:rPr>
        <w:t xml:space="preserve"> валютных интервенций, рублева</w:t>
      </w:r>
      <w:r>
        <w:rPr>
          <w:rFonts w:ascii="Times New Roman" w:hAnsi="Times New Roman"/>
          <w:color w:val="000000"/>
          <w:sz w:val="24"/>
          <w:szCs w:val="24"/>
        </w:rPr>
        <w:t xml:space="preserve">я денежная база за I полугодие </w:t>
      </w:r>
      <w:r w:rsidRPr="00193CF8">
        <w:rPr>
          <w:rFonts w:ascii="Times New Roman" w:hAnsi="Times New Roman"/>
          <w:color w:val="000000"/>
          <w:sz w:val="24"/>
          <w:szCs w:val="24"/>
        </w:rPr>
        <w:t>2017 года сократилась на 14,4%, или на</w:t>
      </w:r>
      <w:r>
        <w:rPr>
          <w:rFonts w:ascii="Times New Roman" w:hAnsi="Times New Roman"/>
          <w:color w:val="000000"/>
          <w:sz w:val="24"/>
          <w:szCs w:val="24"/>
        </w:rPr>
        <w:t xml:space="preserve"> 306,1 </w:t>
      </w:r>
      <w:proofErr w:type="spellStart"/>
      <w:r>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составив в абсолютном выражении по состоянию на 1 июля 2017 года 1 813,6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В основном это было обусловлено снижением объема обязательств центрального банка по выпущенным наличным денежным средствам на 9,1% до 1 179,6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w:t>
      </w:r>
    </w:p>
    <w:p w:rsidR="00832D29" w:rsidRPr="00550E07" w:rsidRDefault="00832D29" w:rsidP="00832D29">
      <w:pPr>
        <w:widowControl w:val="0"/>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Результатом наблюдаемых процессов на денежном рынке республики стал рост денежного мультипликатора М2х (отношение национальной денежной массы и денежной базы) с 1,19 до 1,27. Однако необходимо констатировать, что это не связано с активной денежно-кредитной мультипликацией, а обусловлено действующим механизмом регулирования валютного рынка, применяемым Центральным банком в рамках жесткой денежно-кредитной политики, предусматривающим, в частности, валютные интервенции с отсрочкой поставки, а также операции СВОП с коммерческими банками.</w:t>
      </w:r>
    </w:p>
    <w:p w:rsidR="00832D29" w:rsidRPr="007D2E0A" w:rsidRDefault="00832D29" w:rsidP="00832D29">
      <w:pPr>
        <w:widowControl w:val="0"/>
        <w:spacing w:after="0" w:line="240" w:lineRule="auto"/>
        <w:ind w:firstLine="709"/>
        <w:jc w:val="both"/>
        <w:rPr>
          <w:rFonts w:ascii="Times New Roman" w:hAnsi="Times New Roman"/>
          <w:b/>
          <w:i/>
          <w:color w:val="000000"/>
          <w:sz w:val="24"/>
          <w:szCs w:val="24"/>
        </w:rPr>
      </w:pPr>
    </w:p>
    <w:p w:rsidR="00832D29" w:rsidRPr="00EB7F81" w:rsidRDefault="00832D29" w:rsidP="00832D29">
      <w:pPr>
        <w:widowControl w:val="0"/>
        <w:spacing w:after="0" w:line="240" w:lineRule="auto"/>
        <w:ind w:firstLine="709"/>
        <w:jc w:val="both"/>
        <w:rPr>
          <w:rFonts w:ascii="Times New Roman" w:hAnsi="Times New Roman"/>
          <w:b/>
          <w:i/>
          <w:color w:val="000000"/>
          <w:sz w:val="24"/>
          <w:szCs w:val="24"/>
        </w:rPr>
      </w:pPr>
      <w:r w:rsidRPr="00EB7F81">
        <w:rPr>
          <w:rFonts w:ascii="Times New Roman" w:hAnsi="Times New Roman"/>
          <w:b/>
          <w:i/>
          <w:color w:val="000000"/>
          <w:sz w:val="24"/>
          <w:szCs w:val="24"/>
        </w:rPr>
        <w:t>Валютная сфера</w:t>
      </w:r>
    </w:p>
    <w:p w:rsidR="00832D29" w:rsidRDefault="00832D29" w:rsidP="00832D29">
      <w:pPr>
        <w:widowControl w:val="0"/>
        <w:spacing w:after="0" w:line="240" w:lineRule="auto"/>
        <w:ind w:firstLine="709"/>
        <w:jc w:val="both"/>
        <w:rPr>
          <w:rFonts w:ascii="Times New Roman" w:hAnsi="Times New Roman"/>
          <w:color w:val="000000"/>
          <w:sz w:val="24"/>
          <w:szCs w:val="24"/>
        </w:rPr>
      </w:pPr>
      <w:r w:rsidRPr="00EB7F81">
        <w:rPr>
          <w:rFonts w:ascii="Times New Roman" w:hAnsi="Times New Roman"/>
          <w:color w:val="000000"/>
          <w:sz w:val="24"/>
          <w:szCs w:val="24"/>
        </w:rPr>
        <w:t>Ситуация на внутреннем валютном рынке в течение отчетного периода оставалась достаточно сложной. Негативные</w:t>
      </w:r>
      <w:r w:rsidRPr="00B30217">
        <w:rPr>
          <w:rFonts w:ascii="Times New Roman" w:hAnsi="Times New Roman"/>
          <w:color w:val="000000"/>
          <w:sz w:val="24"/>
          <w:szCs w:val="24"/>
        </w:rPr>
        <w:t xml:space="preserve"> тенденции значительно усилились после срыва подписания контракта по поставке электроэнергии в Республику Молдова. В результате курсовые котировки валют протестировали очередные максимумы, ещ</w:t>
      </w:r>
      <w:r>
        <w:rPr>
          <w:rFonts w:ascii="Times New Roman" w:hAnsi="Times New Roman"/>
          <w:color w:val="000000"/>
          <w:sz w:val="24"/>
          <w:szCs w:val="24"/>
        </w:rPr>
        <w:t>е</w:t>
      </w:r>
      <w:r w:rsidRPr="00B30217">
        <w:rPr>
          <w:rFonts w:ascii="Times New Roman" w:hAnsi="Times New Roman"/>
          <w:color w:val="000000"/>
          <w:sz w:val="24"/>
          <w:szCs w:val="24"/>
        </w:rPr>
        <w:t xml:space="preserve"> более увеличив разрыв с официально установленными значениями. Разрыв между официальным курсом и курсом, сформированным на наличном и безналичном рынке, достигал 4,2-5 </w:t>
      </w:r>
      <w:r>
        <w:rPr>
          <w:rFonts w:ascii="Times New Roman" w:hAnsi="Times New Roman"/>
          <w:color w:val="000000"/>
          <w:sz w:val="24"/>
          <w:szCs w:val="24"/>
        </w:rPr>
        <w:t xml:space="preserve">рублей </w:t>
      </w:r>
      <w:r w:rsidRPr="00B30217">
        <w:rPr>
          <w:rFonts w:ascii="Times New Roman" w:hAnsi="Times New Roman"/>
          <w:color w:val="000000"/>
          <w:sz w:val="24"/>
          <w:szCs w:val="24"/>
        </w:rPr>
        <w:t>(11,3 против 15,5-16,3 рублей за доллар США). В сложившихся условиях безальтернативным решением стала девальвация приднестровского рубля, осуществлённая центральным банком. Постепенно удовлетворяя спрос клиентов на валюту посредством проведения валютных интервенций, удалось вернуть рынок в контролируемое легальное поле</w:t>
      </w:r>
      <w:r>
        <w:rPr>
          <w:rFonts w:ascii="Times New Roman" w:hAnsi="Times New Roman"/>
          <w:color w:val="000000"/>
          <w:sz w:val="24"/>
          <w:szCs w:val="24"/>
        </w:rPr>
        <w:t>.</w:t>
      </w:r>
      <w:r w:rsidR="00875D3B">
        <w:rPr>
          <w:rFonts w:ascii="Times New Roman" w:hAnsi="Times New Roman"/>
          <w:color w:val="000000"/>
          <w:sz w:val="24"/>
          <w:szCs w:val="24"/>
        </w:rPr>
        <w:t xml:space="preserve"> </w:t>
      </w:r>
      <w:r>
        <w:rPr>
          <w:rFonts w:ascii="Times New Roman" w:hAnsi="Times New Roman"/>
          <w:color w:val="000000"/>
          <w:sz w:val="24"/>
          <w:szCs w:val="24"/>
        </w:rPr>
        <w:t>О</w:t>
      </w:r>
      <w:r w:rsidRPr="00B30217">
        <w:rPr>
          <w:rFonts w:ascii="Times New Roman" w:hAnsi="Times New Roman"/>
          <w:color w:val="000000"/>
          <w:sz w:val="24"/>
          <w:szCs w:val="24"/>
        </w:rPr>
        <w:t xml:space="preserve">фициальный курс доллара после длительного периода фиксирования был повышен с 11,30 до 15,0 руб./долл. </w:t>
      </w:r>
    </w:p>
    <w:p w:rsidR="00832D29" w:rsidRPr="005540F2" w:rsidRDefault="00832D29" w:rsidP="00832D29">
      <w:pPr>
        <w:widowControl w:val="0"/>
        <w:spacing w:after="0" w:line="240" w:lineRule="auto"/>
        <w:ind w:firstLine="709"/>
        <w:jc w:val="both"/>
        <w:rPr>
          <w:rFonts w:ascii="Times New Roman" w:hAnsi="Times New Roman"/>
          <w:color w:val="000000"/>
          <w:sz w:val="24"/>
          <w:szCs w:val="24"/>
        </w:rPr>
      </w:pPr>
      <w:r w:rsidRPr="005540F2">
        <w:rPr>
          <w:rFonts w:ascii="Times New Roman" w:hAnsi="Times New Roman"/>
          <w:color w:val="000000"/>
          <w:sz w:val="24"/>
          <w:szCs w:val="24"/>
        </w:rPr>
        <w:t>Итогом произошедших изменений стало снижение индекса реального эффективного валютного курса – основного индикатора при принятии решений о курсовой политике (в качестве цели денежно-кредитной политики принято его значение близкое к 1). По итогам января-июня 2017 года он составил 0,967, что свидетельствует об относительном повышении ценовой конкурентоспособности приднестровской продукции за рубежом и восстановлени</w:t>
      </w:r>
      <w:r>
        <w:rPr>
          <w:rFonts w:ascii="Times New Roman" w:hAnsi="Times New Roman"/>
          <w:color w:val="000000"/>
          <w:sz w:val="24"/>
          <w:szCs w:val="24"/>
        </w:rPr>
        <w:t>и</w:t>
      </w:r>
      <w:r w:rsidRPr="005540F2">
        <w:rPr>
          <w:rFonts w:ascii="Times New Roman" w:hAnsi="Times New Roman"/>
          <w:color w:val="000000"/>
          <w:sz w:val="24"/>
          <w:szCs w:val="24"/>
        </w:rPr>
        <w:t xml:space="preserve"> утраченных с января 2014 года позиций, когда производилась активная девальвация национальных валют стран основных торговых партн</w:t>
      </w:r>
      <w:r>
        <w:rPr>
          <w:rFonts w:ascii="Times New Roman" w:hAnsi="Times New Roman"/>
          <w:color w:val="000000"/>
          <w:sz w:val="24"/>
          <w:szCs w:val="24"/>
        </w:rPr>
        <w:t>е</w:t>
      </w:r>
      <w:r w:rsidRPr="005540F2">
        <w:rPr>
          <w:rFonts w:ascii="Times New Roman" w:hAnsi="Times New Roman"/>
          <w:color w:val="000000"/>
          <w:sz w:val="24"/>
          <w:szCs w:val="24"/>
        </w:rPr>
        <w:t xml:space="preserve">ров </w:t>
      </w:r>
      <w:r>
        <w:rPr>
          <w:rFonts w:ascii="Times New Roman" w:hAnsi="Times New Roman"/>
          <w:color w:val="000000"/>
          <w:sz w:val="24"/>
          <w:szCs w:val="24"/>
        </w:rPr>
        <w:t>республики.</w:t>
      </w:r>
    </w:p>
    <w:p w:rsidR="00832D29" w:rsidRPr="005540F2" w:rsidRDefault="00832D29" w:rsidP="00832D29">
      <w:pPr>
        <w:widowControl w:val="0"/>
        <w:spacing w:after="0" w:line="240" w:lineRule="auto"/>
        <w:ind w:firstLine="709"/>
        <w:jc w:val="both"/>
        <w:rPr>
          <w:rFonts w:ascii="Times New Roman" w:hAnsi="Times New Roman"/>
          <w:color w:val="000000"/>
          <w:sz w:val="24"/>
          <w:szCs w:val="24"/>
        </w:rPr>
      </w:pPr>
      <w:bookmarkStart w:id="5" w:name="OLE_LINK9"/>
      <w:r w:rsidRPr="005540F2">
        <w:rPr>
          <w:rFonts w:ascii="Times New Roman" w:hAnsi="Times New Roman"/>
          <w:color w:val="000000"/>
          <w:sz w:val="24"/>
          <w:szCs w:val="24"/>
        </w:rPr>
        <w:t xml:space="preserve">На практике это выразилось в повышении покупательной способности иностранных валют на территории </w:t>
      </w:r>
      <w:r>
        <w:rPr>
          <w:rFonts w:ascii="Times New Roman" w:hAnsi="Times New Roman"/>
          <w:color w:val="000000"/>
          <w:sz w:val="24"/>
          <w:szCs w:val="24"/>
        </w:rPr>
        <w:t>республики</w:t>
      </w:r>
      <w:r w:rsidRPr="005540F2">
        <w:rPr>
          <w:rFonts w:ascii="Times New Roman" w:hAnsi="Times New Roman"/>
          <w:color w:val="000000"/>
          <w:sz w:val="24"/>
          <w:szCs w:val="24"/>
        </w:rPr>
        <w:t>. В частности, по итогам отч</w:t>
      </w:r>
      <w:r>
        <w:rPr>
          <w:rFonts w:ascii="Times New Roman" w:hAnsi="Times New Roman"/>
          <w:color w:val="000000"/>
          <w:sz w:val="24"/>
          <w:szCs w:val="24"/>
        </w:rPr>
        <w:t>е</w:t>
      </w:r>
      <w:r w:rsidRPr="005540F2">
        <w:rPr>
          <w:rFonts w:ascii="Times New Roman" w:hAnsi="Times New Roman"/>
          <w:color w:val="000000"/>
          <w:sz w:val="24"/>
          <w:szCs w:val="24"/>
        </w:rPr>
        <w:t xml:space="preserve">тного периода набор </w:t>
      </w:r>
      <w:r w:rsidRPr="005540F2">
        <w:rPr>
          <w:rFonts w:ascii="Times New Roman" w:hAnsi="Times New Roman"/>
          <w:color w:val="000000"/>
          <w:sz w:val="24"/>
          <w:szCs w:val="24"/>
        </w:rPr>
        <w:lastRenderedPageBreak/>
        <w:t>материальных благ, доступный после конвертации доллара США, расширился на 7,4%, гривны – на 7,5%, евро – на 14,1%, российского рубля – на 15,2% и молдавского лея – на 18,7%. Подобная динамика положительным образом отражается на всех получателях иностранной валюты из внешнего мира, в том числе при экспорте и поступлении денежных трансфертов, благодаря увеличению товарного наполнения каждой конвертируемой единицы иностранной валюты.</w:t>
      </w:r>
    </w:p>
    <w:bookmarkEnd w:id="5"/>
    <w:p w:rsidR="00832D29" w:rsidRDefault="00832D29" w:rsidP="00832D29">
      <w:pPr>
        <w:widowControl w:val="0"/>
        <w:spacing w:after="0" w:line="240" w:lineRule="auto"/>
        <w:ind w:firstLine="709"/>
        <w:jc w:val="both"/>
        <w:rPr>
          <w:rFonts w:ascii="Times New Roman" w:hAnsi="Times New Roman"/>
          <w:color w:val="000000"/>
          <w:sz w:val="24"/>
          <w:szCs w:val="24"/>
        </w:rPr>
      </w:pPr>
    </w:p>
    <w:p w:rsidR="00832D29" w:rsidRPr="00193CF8" w:rsidRDefault="00832D29" w:rsidP="00832D29">
      <w:pPr>
        <w:widowControl w:val="0"/>
        <w:spacing w:after="0" w:line="240" w:lineRule="auto"/>
        <w:ind w:firstLine="709"/>
        <w:jc w:val="both"/>
        <w:rPr>
          <w:rFonts w:ascii="Times New Roman" w:hAnsi="Times New Roman"/>
          <w:b/>
          <w:bCs/>
          <w:i/>
          <w:iCs/>
          <w:sz w:val="24"/>
          <w:szCs w:val="24"/>
        </w:rPr>
      </w:pPr>
      <w:r w:rsidRPr="00193CF8">
        <w:rPr>
          <w:rFonts w:ascii="Times New Roman" w:hAnsi="Times New Roman"/>
          <w:b/>
          <w:bCs/>
          <w:i/>
          <w:iCs/>
          <w:sz w:val="24"/>
          <w:szCs w:val="24"/>
        </w:rPr>
        <w:t>Кредитная деятельность ПРБ</w:t>
      </w:r>
    </w:p>
    <w:p w:rsidR="00832D29" w:rsidRPr="00193CF8" w:rsidRDefault="00832D29" w:rsidP="00832D29">
      <w:pPr>
        <w:widowControl w:val="0"/>
        <w:spacing w:after="0" w:line="240" w:lineRule="auto"/>
        <w:ind w:firstLine="709"/>
        <w:jc w:val="both"/>
        <w:rPr>
          <w:rFonts w:ascii="Times New Roman" w:hAnsi="Times New Roman"/>
          <w:bCs/>
          <w:iCs/>
          <w:sz w:val="24"/>
          <w:szCs w:val="24"/>
        </w:rPr>
      </w:pPr>
      <w:r w:rsidRPr="00193CF8">
        <w:rPr>
          <w:rFonts w:ascii="Times New Roman" w:hAnsi="Times New Roman"/>
          <w:bCs/>
          <w:iCs/>
          <w:sz w:val="24"/>
          <w:szCs w:val="24"/>
        </w:rPr>
        <w:t>По состоянию на 1 июля 2017 года совокупная задолженность банков перед Приднестровским республиканским банком составила 818,2 </w:t>
      </w:r>
      <w:proofErr w:type="spellStart"/>
      <w:r w:rsidRPr="00193CF8">
        <w:rPr>
          <w:rFonts w:ascii="Times New Roman" w:hAnsi="Times New Roman"/>
          <w:bCs/>
          <w:iCs/>
          <w:sz w:val="24"/>
          <w:szCs w:val="24"/>
        </w:rPr>
        <w:t>млн</w:t>
      </w:r>
      <w:proofErr w:type="spellEnd"/>
      <w:r w:rsidRPr="00193CF8">
        <w:rPr>
          <w:rFonts w:ascii="Times New Roman" w:hAnsi="Times New Roman"/>
          <w:bCs/>
          <w:iCs/>
          <w:sz w:val="24"/>
          <w:szCs w:val="24"/>
        </w:rPr>
        <w:t> руб., в том числе по кредитам – 112,8 </w:t>
      </w:r>
      <w:proofErr w:type="spellStart"/>
      <w:r w:rsidRPr="00193CF8">
        <w:rPr>
          <w:rFonts w:ascii="Times New Roman" w:hAnsi="Times New Roman"/>
          <w:bCs/>
          <w:iCs/>
          <w:sz w:val="24"/>
          <w:szCs w:val="24"/>
        </w:rPr>
        <w:t>млн</w:t>
      </w:r>
      <w:proofErr w:type="spellEnd"/>
      <w:r w:rsidRPr="00193CF8">
        <w:rPr>
          <w:rFonts w:ascii="Times New Roman" w:hAnsi="Times New Roman"/>
          <w:bCs/>
          <w:iCs/>
          <w:sz w:val="24"/>
          <w:szCs w:val="24"/>
        </w:rPr>
        <w:t> руб., по депозитам – 705,3 </w:t>
      </w:r>
      <w:proofErr w:type="spellStart"/>
      <w:r w:rsidRPr="00193CF8">
        <w:rPr>
          <w:rFonts w:ascii="Times New Roman" w:hAnsi="Times New Roman"/>
          <w:bCs/>
          <w:iCs/>
          <w:sz w:val="24"/>
          <w:szCs w:val="24"/>
        </w:rPr>
        <w:t>млн</w:t>
      </w:r>
      <w:proofErr w:type="spellEnd"/>
      <w:r w:rsidRPr="00193CF8">
        <w:rPr>
          <w:rFonts w:ascii="Times New Roman" w:hAnsi="Times New Roman"/>
          <w:bCs/>
          <w:iCs/>
          <w:sz w:val="24"/>
          <w:szCs w:val="24"/>
        </w:rPr>
        <w:t xml:space="preserve"> руб. </w:t>
      </w:r>
    </w:p>
    <w:p w:rsidR="00832D29" w:rsidRPr="007D2E0A" w:rsidRDefault="00832D29" w:rsidP="00832D29">
      <w:pPr>
        <w:widowControl w:val="0"/>
        <w:spacing w:after="0" w:line="240" w:lineRule="auto"/>
        <w:ind w:firstLine="709"/>
        <w:jc w:val="both"/>
        <w:rPr>
          <w:rFonts w:ascii="Times New Roman" w:hAnsi="Times New Roman"/>
          <w:bCs/>
          <w:iCs/>
          <w:sz w:val="24"/>
          <w:szCs w:val="24"/>
        </w:rPr>
      </w:pPr>
      <w:r w:rsidRPr="00193CF8">
        <w:rPr>
          <w:rFonts w:ascii="Times New Roman" w:hAnsi="Times New Roman"/>
          <w:bCs/>
          <w:iCs/>
          <w:sz w:val="24"/>
          <w:szCs w:val="24"/>
        </w:rPr>
        <w:t xml:space="preserve">В связи с тем, что в отчётном периоде операции с государственными ценными бумагами не осуществлялись, сумма находящихся в портфеле центрального банка долгосрочных государственных облигаций не изменилась и сохранилась на отметке          296,6 </w:t>
      </w:r>
      <w:proofErr w:type="spellStart"/>
      <w:r w:rsidRPr="00193CF8">
        <w:rPr>
          <w:rFonts w:ascii="Times New Roman" w:hAnsi="Times New Roman"/>
          <w:bCs/>
          <w:iCs/>
          <w:sz w:val="24"/>
          <w:szCs w:val="24"/>
        </w:rPr>
        <w:t>млн</w:t>
      </w:r>
      <w:proofErr w:type="spellEnd"/>
      <w:r w:rsidRPr="00193CF8">
        <w:rPr>
          <w:rFonts w:ascii="Times New Roman" w:hAnsi="Times New Roman"/>
          <w:bCs/>
          <w:iCs/>
          <w:sz w:val="24"/>
          <w:szCs w:val="24"/>
        </w:rPr>
        <w:t xml:space="preserve"> руб.</w:t>
      </w:r>
    </w:p>
    <w:p w:rsidR="00832D29" w:rsidRPr="007D2E0A" w:rsidRDefault="00832D29" w:rsidP="00832D29">
      <w:pPr>
        <w:spacing w:line="235" w:lineRule="auto"/>
        <w:ind w:firstLine="709"/>
        <w:contextualSpacing/>
        <w:jc w:val="both"/>
        <w:rPr>
          <w:rFonts w:ascii="Times New Roman" w:hAnsi="Times New Roman"/>
          <w:sz w:val="24"/>
          <w:szCs w:val="24"/>
        </w:rPr>
      </w:pPr>
    </w:p>
    <w:p w:rsidR="00832D29" w:rsidRPr="007D2E0A" w:rsidRDefault="00832D29" w:rsidP="00832D29">
      <w:pPr>
        <w:widowControl w:val="0"/>
        <w:spacing w:after="0" w:line="240" w:lineRule="auto"/>
        <w:ind w:firstLine="709"/>
        <w:jc w:val="both"/>
        <w:rPr>
          <w:rFonts w:ascii="Times New Roman" w:hAnsi="Times New Roman"/>
          <w:b/>
          <w:bCs/>
          <w:i/>
          <w:iCs/>
          <w:sz w:val="24"/>
          <w:szCs w:val="24"/>
        </w:rPr>
      </w:pPr>
      <w:bookmarkStart w:id="6" w:name="OLE_LINK11"/>
      <w:bookmarkStart w:id="7" w:name="OLE_LINK12"/>
      <w:r w:rsidRPr="007D2E0A">
        <w:rPr>
          <w:rFonts w:ascii="Times New Roman" w:hAnsi="Times New Roman"/>
          <w:b/>
          <w:bCs/>
          <w:i/>
          <w:iCs/>
          <w:sz w:val="24"/>
          <w:szCs w:val="24"/>
        </w:rPr>
        <w:t>Кредитование экономики коммерческими банками</w:t>
      </w:r>
    </w:p>
    <w:p w:rsidR="00832D29" w:rsidRPr="00193CF8" w:rsidRDefault="00832D29" w:rsidP="00832D29">
      <w:pPr>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За отчетный период задолженность по кредитам корпоративных клиентов и населения выросла на 14,9%, составив в абсолю</w:t>
      </w:r>
      <w:r>
        <w:rPr>
          <w:rFonts w:ascii="Times New Roman" w:hAnsi="Times New Roman"/>
          <w:color w:val="000000"/>
          <w:sz w:val="24"/>
          <w:szCs w:val="24"/>
        </w:rPr>
        <w:t xml:space="preserve">тном выражении 4 647,5 </w:t>
      </w:r>
      <w:proofErr w:type="spellStart"/>
      <w:r>
        <w:rPr>
          <w:rFonts w:ascii="Times New Roman" w:hAnsi="Times New Roman"/>
          <w:color w:val="000000"/>
          <w:sz w:val="24"/>
          <w:szCs w:val="24"/>
        </w:rPr>
        <w:t>млн</w:t>
      </w:r>
      <w:proofErr w:type="spellEnd"/>
      <w:r>
        <w:rPr>
          <w:rFonts w:ascii="Times New Roman" w:hAnsi="Times New Roman"/>
          <w:color w:val="000000"/>
          <w:sz w:val="24"/>
          <w:szCs w:val="24"/>
        </w:rPr>
        <w:t xml:space="preserve"> руб.</w:t>
      </w:r>
    </w:p>
    <w:p w:rsidR="00832D29" w:rsidRPr="00193CF8" w:rsidRDefault="00832D29" w:rsidP="00832D29">
      <w:pPr>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Курсовая динамика определила прирост задолженности юридических лиц, половина объема которой сформирована в иностранной валюте (55,2%). В абсолютном выражении расширение валютных кредитов составило 29,1%, увеличение рублёвой задолженности было более умеренным – +2,1%. В результате на 1 рубль ссуд, номинированных в приднестровских рублях, приходилось 1,23 рубля кредитов, выданных в иностранной валюте, тогда как на начало 2017 года данное соотношение составляло 1:0,97.</w:t>
      </w:r>
      <w:r w:rsidR="00875D3B">
        <w:rPr>
          <w:rFonts w:ascii="Times New Roman" w:hAnsi="Times New Roman"/>
          <w:color w:val="000000"/>
          <w:sz w:val="24"/>
          <w:szCs w:val="24"/>
        </w:rPr>
        <w:t xml:space="preserve"> </w:t>
      </w:r>
      <w:r w:rsidRPr="00193CF8">
        <w:rPr>
          <w:rFonts w:ascii="Times New Roman" w:hAnsi="Times New Roman"/>
          <w:color w:val="000000"/>
          <w:sz w:val="24"/>
          <w:szCs w:val="24"/>
        </w:rPr>
        <w:t xml:space="preserve">В целом задолженность корпоративных клиентов по отношению к началу года возросла в номинальном выражении на 15,4%, или на 507,8 </w:t>
      </w:r>
      <w:proofErr w:type="spellStart"/>
      <w:proofErr w:type="gramStart"/>
      <w:r w:rsidRPr="00193CF8">
        <w:rPr>
          <w:rFonts w:ascii="Times New Roman" w:hAnsi="Times New Roman"/>
          <w:color w:val="000000"/>
          <w:sz w:val="24"/>
          <w:szCs w:val="24"/>
        </w:rPr>
        <w:t>млн</w:t>
      </w:r>
      <w:proofErr w:type="spellEnd"/>
      <w:proofErr w:type="gramEnd"/>
      <w:r w:rsidRPr="00193CF8">
        <w:rPr>
          <w:rFonts w:ascii="Times New Roman" w:hAnsi="Times New Roman"/>
          <w:color w:val="000000"/>
          <w:sz w:val="24"/>
          <w:szCs w:val="24"/>
        </w:rPr>
        <w:t xml:space="preserve"> руб., составив на 1 июля 2017 года 3 800,1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что соответствует 46,9% совокупного показателя. Однако, исключив влияние девальвационных процессов, данная часть активов практически не изменилась </w:t>
      </w:r>
      <w:r w:rsidR="00DC788F">
        <w:rPr>
          <w:rFonts w:ascii="Times New Roman" w:hAnsi="Times New Roman"/>
          <w:color w:val="000000"/>
          <w:sz w:val="24"/>
          <w:szCs w:val="24"/>
        </w:rPr>
        <w:br/>
      </w:r>
      <w:r w:rsidRPr="00193CF8">
        <w:rPr>
          <w:rFonts w:ascii="Times New Roman" w:hAnsi="Times New Roman"/>
          <w:color w:val="000000"/>
          <w:sz w:val="24"/>
          <w:szCs w:val="24"/>
        </w:rPr>
        <w:t xml:space="preserve">(-0,3%). </w:t>
      </w:r>
    </w:p>
    <w:p w:rsidR="00832D29" w:rsidRPr="00193CF8" w:rsidRDefault="00832D29" w:rsidP="00832D29">
      <w:pPr>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В структуре совокупной задолженности основной удельный вес принадлежал индустриальному комплексу – 48,2% совокупного показателя</w:t>
      </w:r>
      <w:r>
        <w:rPr>
          <w:rFonts w:ascii="Times New Roman" w:hAnsi="Times New Roman"/>
          <w:color w:val="000000"/>
          <w:sz w:val="24"/>
          <w:szCs w:val="24"/>
        </w:rPr>
        <w:t>,</w:t>
      </w:r>
      <w:r w:rsidRPr="00193CF8">
        <w:rPr>
          <w:rFonts w:ascii="Times New Roman" w:hAnsi="Times New Roman"/>
          <w:color w:val="000000"/>
          <w:sz w:val="24"/>
          <w:szCs w:val="24"/>
        </w:rPr>
        <w:t xml:space="preserve"> или 1 831,6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что на 33,5% больше уровня начала отчетного года. Задолженность по кредитам предприятий торговли увеличилась на 2,7% до 596,0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или 15,7% совокупного объема. Объем задолженности Правительства и бюджетных организаций по итогам отчетного периода вырос на 27,4% и сложился на уровне 625,3 </w:t>
      </w:r>
      <w:proofErr w:type="spellStart"/>
      <w:proofErr w:type="gramStart"/>
      <w:r w:rsidRPr="00193CF8">
        <w:rPr>
          <w:rFonts w:ascii="Times New Roman" w:hAnsi="Times New Roman"/>
          <w:color w:val="000000"/>
          <w:sz w:val="24"/>
          <w:szCs w:val="24"/>
        </w:rPr>
        <w:t>млн</w:t>
      </w:r>
      <w:proofErr w:type="spellEnd"/>
      <w:proofErr w:type="gramEnd"/>
      <w:r w:rsidRPr="00193CF8">
        <w:rPr>
          <w:rFonts w:ascii="Times New Roman" w:hAnsi="Times New Roman"/>
          <w:color w:val="000000"/>
          <w:sz w:val="24"/>
          <w:szCs w:val="24"/>
        </w:rPr>
        <w:t xml:space="preserve"> руб., </w:t>
      </w:r>
      <w:r>
        <w:rPr>
          <w:rFonts w:ascii="Times New Roman" w:hAnsi="Times New Roman"/>
          <w:color w:val="000000"/>
          <w:sz w:val="24"/>
          <w:szCs w:val="24"/>
        </w:rPr>
        <w:t>вследствие</w:t>
      </w:r>
      <w:r w:rsidRPr="00193CF8">
        <w:rPr>
          <w:rFonts w:ascii="Times New Roman" w:hAnsi="Times New Roman"/>
          <w:color w:val="000000"/>
          <w:sz w:val="24"/>
          <w:szCs w:val="24"/>
        </w:rPr>
        <w:t xml:space="preserve"> наращивани</w:t>
      </w:r>
      <w:r>
        <w:rPr>
          <w:rFonts w:ascii="Times New Roman" w:hAnsi="Times New Roman"/>
          <w:color w:val="000000"/>
          <w:sz w:val="24"/>
          <w:szCs w:val="24"/>
        </w:rPr>
        <w:t>я</w:t>
      </w:r>
      <w:r w:rsidRPr="00193CF8">
        <w:rPr>
          <w:rFonts w:ascii="Times New Roman" w:hAnsi="Times New Roman"/>
          <w:color w:val="000000"/>
          <w:sz w:val="24"/>
          <w:szCs w:val="24"/>
        </w:rPr>
        <w:t xml:space="preserve"> краткосрочной задолженности, </w:t>
      </w:r>
      <w:r>
        <w:rPr>
          <w:rFonts w:ascii="Times New Roman" w:hAnsi="Times New Roman"/>
          <w:color w:val="000000"/>
          <w:sz w:val="24"/>
          <w:szCs w:val="24"/>
        </w:rPr>
        <w:t>ввиду наличия</w:t>
      </w:r>
      <w:r w:rsidRPr="00193CF8">
        <w:rPr>
          <w:rFonts w:ascii="Times New Roman" w:hAnsi="Times New Roman"/>
          <w:color w:val="000000"/>
          <w:sz w:val="24"/>
          <w:szCs w:val="24"/>
        </w:rPr>
        <w:t xml:space="preserve"> кассовы</w:t>
      </w:r>
      <w:r>
        <w:rPr>
          <w:rFonts w:ascii="Times New Roman" w:hAnsi="Times New Roman"/>
          <w:color w:val="000000"/>
          <w:sz w:val="24"/>
          <w:szCs w:val="24"/>
        </w:rPr>
        <w:t>х</w:t>
      </w:r>
      <w:r w:rsidRPr="00193CF8">
        <w:rPr>
          <w:rFonts w:ascii="Times New Roman" w:hAnsi="Times New Roman"/>
          <w:color w:val="000000"/>
          <w:sz w:val="24"/>
          <w:szCs w:val="24"/>
        </w:rPr>
        <w:t xml:space="preserve"> разрыв</w:t>
      </w:r>
      <w:r>
        <w:rPr>
          <w:rFonts w:ascii="Times New Roman" w:hAnsi="Times New Roman"/>
          <w:color w:val="000000"/>
          <w:sz w:val="24"/>
          <w:szCs w:val="24"/>
        </w:rPr>
        <w:t>ов</w:t>
      </w:r>
      <w:r w:rsidR="00875D3B">
        <w:rPr>
          <w:rFonts w:ascii="Times New Roman" w:hAnsi="Times New Roman"/>
          <w:color w:val="000000"/>
          <w:sz w:val="24"/>
          <w:szCs w:val="24"/>
        </w:rPr>
        <w:t xml:space="preserve"> </w:t>
      </w:r>
      <w:r>
        <w:rPr>
          <w:rFonts w:ascii="Times New Roman" w:hAnsi="Times New Roman"/>
          <w:color w:val="000000"/>
          <w:sz w:val="24"/>
          <w:szCs w:val="24"/>
        </w:rPr>
        <w:t>при</w:t>
      </w:r>
      <w:r w:rsidRPr="00193CF8">
        <w:rPr>
          <w:rFonts w:ascii="Times New Roman" w:hAnsi="Times New Roman"/>
          <w:color w:val="000000"/>
          <w:sz w:val="24"/>
          <w:szCs w:val="24"/>
        </w:rPr>
        <w:t xml:space="preserve"> исполнении государственного бюджета. В то же время масштабы кредитования торгово-посреднической сети сократились на 17,9%</w:t>
      </w:r>
      <w:r>
        <w:rPr>
          <w:rFonts w:ascii="Times New Roman" w:hAnsi="Times New Roman"/>
          <w:color w:val="000000"/>
          <w:sz w:val="24"/>
          <w:szCs w:val="24"/>
        </w:rPr>
        <w:t>,</w:t>
      </w:r>
      <w:r w:rsidRPr="00193CF8">
        <w:rPr>
          <w:rFonts w:ascii="Times New Roman" w:hAnsi="Times New Roman"/>
          <w:color w:val="000000"/>
          <w:sz w:val="24"/>
          <w:szCs w:val="24"/>
        </w:rPr>
        <w:t xml:space="preserve"> или на 113,0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в результате чего остаток долга торговых фирм на конец июня сложился на отметке 518,4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или 13,6% совокупного показателя. Ссудная задолженность строительных организаций перед коммерческими банками уменьшились </w:t>
      </w:r>
      <w:r>
        <w:rPr>
          <w:rFonts w:ascii="Times New Roman" w:hAnsi="Times New Roman"/>
          <w:color w:val="000000"/>
          <w:sz w:val="24"/>
          <w:szCs w:val="24"/>
        </w:rPr>
        <w:t xml:space="preserve">на </w:t>
      </w:r>
      <w:r w:rsidRPr="00193CF8">
        <w:rPr>
          <w:rFonts w:ascii="Times New Roman" w:hAnsi="Times New Roman"/>
          <w:color w:val="000000"/>
          <w:sz w:val="24"/>
          <w:szCs w:val="24"/>
        </w:rPr>
        <w:t>35,2%</w:t>
      </w:r>
      <w:r>
        <w:rPr>
          <w:rFonts w:ascii="Times New Roman" w:hAnsi="Times New Roman"/>
          <w:color w:val="000000"/>
          <w:sz w:val="24"/>
          <w:szCs w:val="24"/>
        </w:rPr>
        <w:t>,</w:t>
      </w:r>
      <w:r w:rsidRPr="00193CF8">
        <w:rPr>
          <w:rFonts w:ascii="Times New Roman" w:hAnsi="Times New Roman"/>
          <w:color w:val="000000"/>
          <w:sz w:val="24"/>
          <w:szCs w:val="24"/>
        </w:rPr>
        <w:t xml:space="preserve"> или на 12,0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w:t>
      </w:r>
      <w:r>
        <w:rPr>
          <w:rFonts w:ascii="Times New Roman" w:hAnsi="Times New Roman"/>
          <w:color w:val="000000"/>
          <w:sz w:val="24"/>
          <w:szCs w:val="24"/>
        </w:rPr>
        <w:t>,</w:t>
      </w:r>
      <w:r w:rsidRPr="00193CF8">
        <w:rPr>
          <w:rFonts w:ascii="Times New Roman" w:hAnsi="Times New Roman"/>
          <w:color w:val="000000"/>
          <w:sz w:val="24"/>
          <w:szCs w:val="24"/>
        </w:rPr>
        <w:t xml:space="preserve"> до 22,1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w:t>
      </w:r>
    </w:p>
    <w:bookmarkEnd w:id="6"/>
    <w:bookmarkEnd w:id="7"/>
    <w:p w:rsidR="00832D29" w:rsidRPr="00193CF8" w:rsidRDefault="00832D29" w:rsidP="00832D29">
      <w:pPr>
        <w:widowControl w:val="0"/>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 xml:space="preserve">Размер розничного кредитного портфеля по итогам </w:t>
      </w:r>
      <w:r w:rsidRPr="00193CF8">
        <w:rPr>
          <w:rFonts w:ascii="Times New Roman" w:hAnsi="Times New Roman"/>
          <w:color w:val="000000"/>
          <w:sz w:val="24"/>
          <w:szCs w:val="24"/>
          <w:lang w:val="en-US"/>
        </w:rPr>
        <w:t>I</w:t>
      </w:r>
      <w:r w:rsidRPr="00193CF8">
        <w:rPr>
          <w:rFonts w:ascii="Times New Roman" w:hAnsi="Times New Roman"/>
          <w:color w:val="000000"/>
          <w:sz w:val="24"/>
          <w:szCs w:val="24"/>
        </w:rPr>
        <w:t xml:space="preserve"> полугодия 2017 года увеличился на 12,6%. В абсолютном выражении задолженность физических лиц на 1 июля 2017 года сложилась на уровне 847,4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что соответствует 18,2% в структуре кредитов нефинансовому сектору. </w:t>
      </w:r>
    </w:p>
    <w:p w:rsidR="00832D29" w:rsidRPr="00193CF8" w:rsidRDefault="00832D29" w:rsidP="00832D29">
      <w:pPr>
        <w:widowControl w:val="0"/>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 xml:space="preserve">Процесс формирования кредитного портфеля банков характеризовался существенным ростом остатков стандартных ссуд (+368,6 </w:t>
      </w:r>
      <w:proofErr w:type="spellStart"/>
      <w:proofErr w:type="gramStart"/>
      <w:r w:rsidRPr="00193CF8">
        <w:rPr>
          <w:rFonts w:ascii="Times New Roman" w:hAnsi="Times New Roman"/>
          <w:color w:val="000000"/>
          <w:sz w:val="24"/>
          <w:szCs w:val="24"/>
        </w:rPr>
        <w:t>млн</w:t>
      </w:r>
      <w:proofErr w:type="spellEnd"/>
      <w:proofErr w:type="gramEnd"/>
      <w:r w:rsidRPr="00193CF8">
        <w:rPr>
          <w:rFonts w:ascii="Times New Roman" w:hAnsi="Times New Roman"/>
          <w:color w:val="000000"/>
          <w:sz w:val="24"/>
          <w:szCs w:val="24"/>
        </w:rPr>
        <w:t xml:space="preserve"> руб.), обусловившим укрепление их позиций в структуре кредитного портфеля до 42,8%. Вместе с тем долевое представление безнадежных займов увеличилось с 11,8 до 14,2%. С учетом повышения удельного веса безнадежных кредитов, объем созданных резервов на возможные потери по кредитам за первую половину текущего года был увеличен на 38,7% и сложился на отметке </w:t>
      </w:r>
      <w:r w:rsidR="00875D3B">
        <w:rPr>
          <w:rFonts w:ascii="Times New Roman" w:hAnsi="Times New Roman"/>
          <w:color w:val="000000"/>
          <w:sz w:val="24"/>
          <w:szCs w:val="24"/>
        </w:rPr>
        <w:t xml:space="preserve">                </w:t>
      </w:r>
      <w:r w:rsidRPr="00193CF8">
        <w:rPr>
          <w:rFonts w:ascii="Times New Roman" w:hAnsi="Times New Roman"/>
          <w:color w:val="000000"/>
          <w:sz w:val="24"/>
          <w:szCs w:val="24"/>
        </w:rPr>
        <w:t xml:space="preserve">566,1 </w:t>
      </w:r>
      <w:proofErr w:type="spellStart"/>
      <w:proofErr w:type="gramStart"/>
      <w:r w:rsidRPr="00193CF8">
        <w:rPr>
          <w:rFonts w:ascii="Times New Roman" w:hAnsi="Times New Roman"/>
          <w:color w:val="000000"/>
          <w:sz w:val="24"/>
          <w:szCs w:val="24"/>
        </w:rPr>
        <w:t>млн</w:t>
      </w:r>
      <w:proofErr w:type="spellEnd"/>
      <w:proofErr w:type="gramEnd"/>
      <w:r w:rsidRPr="00193CF8">
        <w:rPr>
          <w:rFonts w:ascii="Times New Roman" w:hAnsi="Times New Roman"/>
          <w:color w:val="000000"/>
          <w:sz w:val="24"/>
          <w:szCs w:val="24"/>
        </w:rPr>
        <w:t xml:space="preserve"> руб., </w:t>
      </w:r>
      <w:r>
        <w:rPr>
          <w:rFonts w:ascii="Times New Roman" w:hAnsi="Times New Roman"/>
          <w:color w:val="000000"/>
          <w:sz w:val="24"/>
          <w:szCs w:val="24"/>
        </w:rPr>
        <w:t>или</w:t>
      </w:r>
      <w:r w:rsidRPr="00193CF8">
        <w:rPr>
          <w:rFonts w:ascii="Times New Roman" w:hAnsi="Times New Roman"/>
          <w:color w:val="000000"/>
          <w:sz w:val="24"/>
          <w:szCs w:val="24"/>
        </w:rPr>
        <w:t xml:space="preserve"> 12,0% общего объёма выданных займов.</w:t>
      </w:r>
    </w:p>
    <w:p w:rsidR="00832D29" w:rsidRPr="000F6976" w:rsidRDefault="00832D29" w:rsidP="00832D29">
      <w:pPr>
        <w:widowControl w:val="0"/>
        <w:spacing w:after="0" w:line="240" w:lineRule="auto"/>
        <w:ind w:firstLine="709"/>
        <w:jc w:val="both"/>
        <w:rPr>
          <w:rFonts w:ascii="Times New Roman" w:hAnsi="Times New Roman"/>
          <w:color w:val="000000"/>
          <w:sz w:val="24"/>
          <w:szCs w:val="24"/>
        </w:rPr>
      </w:pPr>
      <w:r w:rsidRPr="00193CF8">
        <w:rPr>
          <w:rFonts w:ascii="Times New Roman" w:hAnsi="Times New Roman"/>
          <w:color w:val="000000"/>
          <w:sz w:val="24"/>
          <w:szCs w:val="24"/>
        </w:rPr>
        <w:t xml:space="preserve">Ввиду </w:t>
      </w:r>
      <w:r>
        <w:rPr>
          <w:rFonts w:ascii="Times New Roman" w:hAnsi="Times New Roman"/>
          <w:color w:val="000000"/>
          <w:sz w:val="24"/>
          <w:szCs w:val="24"/>
        </w:rPr>
        <w:t xml:space="preserve">произведенной </w:t>
      </w:r>
      <w:r w:rsidRPr="00193CF8">
        <w:rPr>
          <w:rFonts w:ascii="Times New Roman" w:hAnsi="Times New Roman"/>
          <w:color w:val="000000"/>
          <w:sz w:val="24"/>
          <w:szCs w:val="24"/>
        </w:rPr>
        <w:t xml:space="preserve">реструктуризации задолженности по кредитам юридических </w:t>
      </w:r>
      <w:r w:rsidRPr="00193CF8">
        <w:rPr>
          <w:rFonts w:ascii="Times New Roman" w:hAnsi="Times New Roman"/>
          <w:color w:val="000000"/>
          <w:sz w:val="24"/>
          <w:szCs w:val="24"/>
        </w:rPr>
        <w:lastRenderedPageBreak/>
        <w:t xml:space="preserve">лиц, объем просроченных ссуд сократился с 695,1 </w:t>
      </w:r>
      <w:proofErr w:type="spellStart"/>
      <w:proofErr w:type="gramStart"/>
      <w:r w:rsidRPr="00193CF8">
        <w:rPr>
          <w:rFonts w:ascii="Times New Roman" w:hAnsi="Times New Roman"/>
          <w:color w:val="000000"/>
          <w:sz w:val="24"/>
          <w:szCs w:val="24"/>
        </w:rPr>
        <w:t>млн</w:t>
      </w:r>
      <w:proofErr w:type="spellEnd"/>
      <w:proofErr w:type="gramEnd"/>
      <w:r w:rsidRPr="00193CF8">
        <w:rPr>
          <w:rFonts w:ascii="Times New Roman" w:hAnsi="Times New Roman"/>
          <w:color w:val="000000"/>
          <w:sz w:val="24"/>
          <w:szCs w:val="24"/>
        </w:rPr>
        <w:t xml:space="preserve"> руб. до 237,6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В результате совокупный объем просроченной задолженности нефинансового сектора сократился с </w:t>
      </w:r>
      <w:r w:rsidR="00875D3B">
        <w:rPr>
          <w:rFonts w:ascii="Times New Roman" w:hAnsi="Times New Roman"/>
          <w:color w:val="000000"/>
          <w:sz w:val="24"/>
          <w:szCs w:val="24"/>
        </w:rPr>
        <w:t xml:space="preserve">          </w:t>
      </w:r>
      <w:r w:rsidRPr="00193CF8">
        <w:rPr>
          <w:rFonts w:ascii="Times New Roman" w:hAnsi="Times New Roman"/>
          <w:color w:val="000000"/>
          <w:sz w:val="24"/>
          <w:szCs w:val="24"/>
        </w:rPr>
        <w:t xml:space="preserve">810,5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на начало года до 372,2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на 1 июля 2017 года. В то же время ростом на 16,6%</w:t>
      </w:r>
      <w:r w:rsidR="00085DBD">
        <w:rPr>
          <w:rFonts w:ascii="Times New Roman" w:hAnsi="Times New Roman"/>
          <w:color w:val="000000"/>
          <w:sz w:val="24"/>
          <w:szCs w:val="24"/>
        </w:rPr>
        <w:t>,</w:t>
      </w:r>
      <w:r w:rsidRPr="00193CF8">
        <w:rPr>
          <w:rFonts w:ascii="Times New Roman" w:hAnsi="Times New Roman"/>
          <w:color w:val="000000"/>
          <w:sz w:val="24"/>
          <w:szCs w:val="24"/>
        </w:rPr>
        <w:t xml:space="preserve"> или на 19,0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w:t>
      </w:r>
      <w:r w:rsidR="00085DBD">
        <w:rPr>
          <w:rFonts w:ascii="Times New Roman" w:hAnsi="Times New Roman"/>
          <w:color w:val="000000"/>
          <w:sz w:val="24"/>
          <w:szCs w:val="24"/>
        </w:rPr>
        <w:t>,</w:t>
      </w:r>
      <w:r w:rsidRPr="00193CF8">
        <w:rPr>
          <w:rFonts w:ascii="Times New Roman" w:hAnsi="Times New Roman"/>
          <w:color w:val="000000"/>
          <w:sz w:val="24"/>
          <w:szCs w:val="24"/>
        </w:rPr>
        <w:t xml:space="preserve"> характеризовалась просроченная</w:t>
      </w:r>
      <w:r>
        <w:rPr>
          <w:rFonts w:ascii="Times New Roman" w:hAnsi="Times New Roman"/>
          <w:color w:val="000000"/>
          <w:sz w:val="24"/>
          <w:szCs w:val="24"/>
        </w:rPr>
        <w:t xml:space="preserve"> задолженность физических лиц, которая сложилась</w:t>
      </w:r>
      <w:r w:rsidRPr="00193CF8">
        <w:rPr>
          <w:rFonts w:ascii="Times New Roman" w:hAnsi="Times New Roman"/>
          <w:color w:val="000000"/>
          <w:sz w:val="24"/>
          <w:szCs w:val="24"/>
        </w:rPr>
        <w:t xml:space="preserve"> на отметке 134,8 </w:t>
      </w:r>
      <w:proofErr w:type="spellStart"/>
      <w:r w:rsidRPr="00193CF8">
        <w:rPr>
          <w:rFonts w:ascii="Times New Roman" w:hAnsi="Times New Roman"/>
          <w:color w:val="000000"/>
          <w:sz w:val="24"/>
          <w:szCs w:val="24"/>
        </w:rPr>
        <w:t>млн</w:t>
      </w:r>
      <w:proofErr w:type="spellEnd"/>
      <w:r w:rsidRPr="00193CF8">
        <w:rPr>
          <w:rFonts w:ascii="Times New Roman" w:hAnsi="Times New Roman"/>
          <w:color w:val="000000"/>
          <w:sz w:val="24"/>
          <w:szCs w:val="24"/>
        </w:rPr>
        <w:t xml:space="preserve"> руб., что соответствует 15,9% совокупного объема.</w:t>
      </w:r>
    </w:p>
    <w:p w:rsidR="00832D29" w:rsidRDefault="00832D29" w:rsidP="00832D29">
      <w:pPr>
        <w:widowControl w:val="0"/>
        <w:spacing w:after="0" w:line="240" w:lineRule="auto"/>
        <w:ind w:firstLine="709"/>
        <w:jc w:val="both"/>
        <w:rPr>
          <w:rFonts w:ascii="Times New Roman" w:hAnsi="Times New Roman"/>
          <w:b/>
          <w:bCs/>
          <w:i/>
          <w:iCs/>
          <w:sz w:val="24"/>
          <w:szCs w:val="24"/>
        </w:rPr>
      </w:pPr>
    </w:p>
    <w:p w:rsidR="00832D29" w:rsidRPr="00193CF8" w:rsidRDefault="00832D29" w:rsidP="00832D29">
      <w:pPr>
        <w:widowControl w:val="0"/>
        <w:spacing w:after="0" w:line="240" w:lineRule="auto"/>
        <w:ind w:firstLine="709"/>
        <w:jc w:val="both"/>
        <w:rPr>
          <w:rFonts w:ascii="Times New Roman" w:hAnsi="Times New Roman"/>
          <w:b/>
          <w:bCs/>
          <w:i/>
          <w:iCs/>
          <w:sz w:val="24"/>
          <w:szCs w:val="24"/>
        </w:rPr>
      </w:pPr>
      <w:r w:rsidRPr="00193CF8">
        <w:rPr>
          <w:rFonts w:ascii="Times New Roman" w:hAnsi="Times New Roman"/>
          <w:b/>
          <w:bCs/>
          <w:i/>
          <w:iCs/>
          <w:sz w:val="24"/>
          <w:szCs w:val="24"/>
        </w:rPr>
        <w:t xml:space="preserve">Инструменты денежно-кредитного регулирования </w:t>
      </w:r>
    </w:p>
    <w:p w:rsidR="00832D29" w:rsidRPr="00193CF8" w:rsidRDefault="00832D29" w:rsidP="00832D29">
      <w:pPr>
        <w:widowControl w:val="0"/>
        <w:spacing w:after="0" w:line="240" w:lineRule="auto"/>
        <w:ind w:firstLine="709"/>
        <w:jc w:val="both"/>
        <w:rPr>
          <w:rFonts w:ascii="Times New Roman" w:hAnsi="Times New Roman"/>
          <w:bCs/>
          <w:iCs/>
          <w:sz w:val="24"/>
          <w:szCs w:val="24"/>
        </w:rPr>
      </w:pPr>
      <w:r w:rsidRPr="00193CF8">
        <w:rPr>
          <w:rFonts w:ascii="Times New Roman" w:hAnsi="Times New Roman"/>
          <w:bCs/>
          <w:iCs/>
          <w:sz w:val="24"/>
          <w:szCs w:val="24"/>
        </w:rPr>
        <w:t>При отсутствии фундаментальных факторов для стабилизации ситуации на валютном рынке, начиная с декабря 2016 года, Центральным банком в экстренном режиме был реализован комплекс тактических мер, направленных на снижение давления со стороны избыточного денежного предложения, который выразился в следующем:</w:t>
      </w:r>
    </w:p>
    <w:p w:rsidR="00832D29" w:rsidRPr="00193CF8" w:rsidRDefault="00832D29" w:rsidP="00832D29">
      <w:pPr>
        <w:widowControl w:val="0"/>
        <w:spacing w:after="0" w:line="240" w:lineRule="auto"/>
        <w:ind w:firstLine="709"/>
        <w:jc w:val="both"/>
        <w:rPr>
          <w:rFonts w:ascii="Times New Roman" w:hAnsi="Times New Roman"/>
          <w:bCs/>
          <w:iCs/>
          <w:sz w:val="24"/>
          <w:szCs w:val="24"/>
        </w:rPr>
      </w:pPr>
      <w:r w:rsidRPr="00193CF8">
        <w:rPr>
          <w:rFonts w:ascii="Times New Roman" w:hAnsi="Times New Roman"/>
          <w:bCs/>
          <w:iCs/>
          <w:sz w:val="24"/>
          <w:szCs w:val="24"/>
        </w:rPr>
        <w:t>- ужесточени</w:t>
      </w:r>
      <w:r>
        <w:rPr>
          <w:rFonts w:ascii="Times New Roman" w:hAnsi="Times New Roman"/>
          <w:bCs/>
          <w:iCs/>
          <w:sz w:val="24"/>
          <w:szCs w:val="24"/>
        </w:rPr>
        <w:t>и</w:t>
      </w:r>
      <w:r w:rsidRPr="00193CF8">
        <w:rPr>
          <w:rFonts w:ascii="Times New Roman" w:hAnsi="Times New Roman"/>
          <w:bCs/>
          <w:iCs/>
          <w:sz w:val="24"/>
          <w:szCs w:val="24"/>
        </w:rPr>
        <w:t xml:space="preserve"> процентной политики;</w:t>
      </w:r>
    </w:p>
    <w:p w:rsidR="00832D29" w:rsidRPr="00193CF8" w:rsidRDefault="00832D29" w:rsidP="00832D29">
      <w:pPr>
        <w:widowControl w:val="0"/>
        <w:spacing w:after="0" w:line="240" w:lineRule="auto"/>
        <w:ind w:firstLine="709"/>
        <w:jc w:val="both"/>
        <w:rPr>
          <w:rFonts w:ascii="Times New Roman" w:hAnsi="Times New Roman"/>
          <w:bCs/>
          <w:iCs/>
          <w:sz w:val="24"/>
          <w:szCs w:val="24"/>
        </w:rPr>
      </w:pPr>
      <w:r w:rsidRPr="00193CF8">
        <w:rPr>
          <w:rFonts w:ascii="Times New Roman" w:hAnsi="Times New Roman"/>
          <w:bCs/>
          <w:iCs/>
          <w:sz w:val="24"/>
          <w:szCs w:val="24"/>
        </w:rPr>
        <w:t>- ужесточени</w:t>
      </w:r>
      <w:r>
        <w:rPr>
          <w:rFonts w:ascii="Times New Roman" w:hAnsi="Times New Roman"/>
          <w:bCs/>
          <w:iCs/>
          <w:sz w:val="24"/>
          <w:szCs w:val="24"/>
        </w:rPr>
        <w:t>и</w:t>
      </w:r>
      <w:r w:rsidRPr="00193CF8">
        <w:rPr>
          <w:rFonts w:ascii="Times New Roman" w:hAnsi="Times New Roman"/>
          <w:bCs/>
          <w:iCs/>
          <w:sz w:val="24"/>
          <w:szCs w:val="24"/>
        </w:rPr>
        <w:t xml:space="preserve"> требований к открытым валютным позициям коммерческих банков;</w:t>
      </w:r>
    </w:p>
    <w:p w:rsidR="00832D29" w:rsidRPr="00193CF8" w:rsidRDefault="00832D29" w:rsidP="00832D29">
      <w:pPr>
        <w:widowControl w:val="0"/>
        <w:spacing w:after="0" w:line="240" w:lineRule="auto"/>
        <w:ind w:firstLine="709"/>
        <w:jc w:val="both"/>
        <w:rPr>
          <w:rFonts w:ascii="Times New Roman" w:hAnsi="Times New Roman"/>
          <w:bCs/>
          <w:iCs/>
          <w:sz w:val="24"/>
          <w:szCs w:val="24"/>
        </w:rPr>
      </w:pPr>
      <w:r w:rsidRPr="00193CF8">
        <w:rPr>
          <w:rFonts w:ascii="Times New Roman" w:hAnsi="Times New Roman"/>
          <w:bCs/>
          <w:iCs/>
          <w:sz w:val="24"/>
          <w:szCs w:val="24"/>
        </w:rPr>
        <w:t>- увеличени</w:t>
      </w:r>
      <w:r>
        <w:rPr>
          <w:rFonts w:ascii="Times New Roman" w:hAnsi="Times New Roman"/>
          <w:bCs/>
          <w:iCs/>
          <w:sz w:val="24"/>
          <w:szCs w:val="24"/>
        </w:rPr>
        <w:t>и</w:t>
      </w:r>
      <w:r w:rsidRPr="00193CF8">
        <w:rPr>
          <w:rFonts w:ascii="Times New Roman" w:hAnsi="Times New Roman"/>
          <w:bCs/>
          <w:iCs/>
          <w:sz w:val="24"/>
          <w:szCs w:val="24"/>
        </w:rPr>
        <w:t xml:space="preserve"> резервных требований;</w:t>
      </w:r>
    </w:p>
    <w:p w:rsidR="00832D29" w:rsidRPr="00193CF8" w:rsidRDefault="00832D29" w:rsidP="00832D29">
      <w:pPr>
        <w:widowControl w:val="0"/>
        <w:spacing w:after="0" w:line="240" w:lineRule="auto"/>
        <w:ind w:firstLine="709"/>
        <w:jc w:val="both"/>
        <w:rPr>
          <w:rFonts w:ascii="Times New Roman" w:hAnsi="Times New Roman"/>
          <w:bCs/>
          <w:iCs/>
          <w:sz w:val="24"/>
          <w:szCs w:val="24"/>
        </w:rPr>
      </w:pPr>
      <w:r w:rsidRPr="00193CF8">
        <w:rPr>
          <w:rFonts w:ascii="Times New Roman" w:hAnsi="Times New Roman"/>
          <w:bCs/>
          <w:iCs/>
          <w:sz w:val="24"/>
          <w:szCs w:val="24"/>
        </w:rPr>
        <w:t>- сняти</w:t>
      </w:r>
      <w:r>
        <w:rPr>
          <w:rFonts w:ascii="Times New Roman" w:hAnsi="Times New Roman"/>
          <w:bCs/>
          <w:iCs/>
          <w:sz w:val="24"/>
          <w:szCs w:val="24"/>
        </w:rPr>
        <w:t>и</w:t>
      </w:r>
      <w:r w:rsidRPr="00193CF8">
        <w:rPr>
          <w:rFonts w:ascii="Times New Roman" w:hAnsi="Times New Roman"/>
          <w:bCs/>
          <w:iCs/>
          <w:sz w:val="24"/>
          <w:szCs w:val="24"/>
        </w:rPr>
        <w:t xml:space="preserve"> денежного навеса за счет продажи валюты коммерческим банкам в собственный портфель с отсрочкой поставки до 1 года.</w:t>
      </w:r>
    </w:p>
    <w:p w:rsidR="00832D29" w:rsidRPr="00193CF8" w:rsidRDefault="00832D29" w:rsidP="00832D29">
      <w:pPr>
        <w:spacing w:after="0" w:line="240" w:lineRule="auto"/>
        <w:ind w:firstLine="709"/>
        <w:jc w:val="both"/>
        <w:rPr>
          <w:rFonts w:ascii="Times New Roman" w:hAnsi="Times New Roman"/>
          <w:sz w:val="24"/>
          <w:szCs w:val="24"/>
        </w:rPr>
      </w:pPr>
      <w:r w:rsidRPr="00193CF8">
        <w:rPr>
          <w:rFonts w:ascii="Times New Roman" w:hAnsi="Times New Roman"/>
          <w:sz w:val="24"/>
          <w:szCs w:val="24"/>
        </w:rPr>
        <w:t>При этом ставка рефинансирования Приднестровского республиканского банка, установленная с 11 августа 2014 года в размере 3,5% годовых, с 16 февраля 2017 года была повышена до 7,0%.</w:t>
      </w:r>
    </w:p>
    <w:p w:rsidR="00832D29" w:rsidRPr="00193CF8" w:rsidRDefault="00832D29" w:rsidP="00832D29">
      <w:pPr>
        <w:spacing w:after="0" w:line="240" w:lineRule="auto"/>
        <w:ind w:firstLine="709"/>
        <w:jc w:val="both"/>
        <w:rPr>
          <w:rFonts w:ascii="Times New Roman" w:hAnsi="Times New Roman"/>
          <w:sz w:val="24"/>
          <w:szCs w:val="24"/>
        </w:rPr>
      </w:pPr>
      <w:r w:rsidRPr="00193CF8">
        <w:rPr>
          <w:rFonts w:ascii="Times New Roman" w:hAnsi="Times New Roman"/>
          <w:sz w:val="24"/>
          <w:szCs w:val="24"/>
        </w:rPr>
        <w:t xml:space="preserve">Ставка страховых взносов по обязательствам банка перед физическими лицами в рублях </w:t>
      </w:r>
      <w:r>
        <w:rPr>
          <w:rFonts w:ascii="Times New Roman" w:hAnsi="Times New Roman"/>
          <w:sz w:val="24"/>
          <w:szCs w:val="24"/>
        </w:rPr>
        <w:t xml:space="preserve">в начале года </w:t>
      </w:r>
      <w:r w:rsidRPr="00193CF8">
        <w:rPr>
          <w:rFonts w:ascii="Times New Roman" w:hAnsi="Times New Roman"/>
          <w:sz w:val="24"/>
          <w:szCs w:val="24"/>
        </w:rPr>
        <w:t>составляла 12%, в иностранной валюте – 14%. С целью недопущения давления на валютный рынок</w:t>
      </w:r>
      <w:bookmarkStart w:id="8" w:name="_GoBack"/>
      <w:bookmarkEnd w:id="8"/>
      <w:r w:rsidRPr="00193CF8">
        <w:rPr>
          <w:rFonts w:ascii="Times New Roman" w:hAnsi="Times New Roman"/>
          <w:sz w:val="24"/>
          <w:szCs w:val="24"/>
        </w:rPr>
        <w:t>, в условиях избыточной рублевой ликвидности, были приняты решения об увеличении норматива обязательных резервов:</w:t>
      </w:r>
      <w:r>
        <w:rPr>
          <w:rFonts w:ascii="Times New Roman" w:hAnsi="Times New Roman"/>
          <w:sz w:val="24"/>
          <w:szCs w:val="24"/>
        </w:rPr>
        <w:t xml:space="preserve"> с 1 февраля</w:t>
      </w:r>
      <w:r w:rsidRPr="00193CF8">
        <w:rPr>
          <w:rFonts w:ascii="Times New Roman" w:hAnsi="Times New Roman"/>
          <w:sz w:val="24"/>
          <w:szCs w:val="24"/>
        </w:rPr>
        <w:t xml:space="preserve"> с 14% до 15% обязательств кредитной организации перед юридическими лицами по средствам, привлеченным в рублях, и с 12% до 14% обязательств банка перед физическими лицами по средствам, привлеченным в иностранной валюте. </w:t>
      </w:r>
    </w:p>
    <w:p w:rsidR="00832D29" w:rsidRPr="00193CF8" w:rsidRDefault="00832D29" w:rsidP="00832D29">
      <w:pPr>
        <w:spacing w:after="0" w:line="240" w:lineRule="auto"/>
        <w:ind w:firstLine="709"/>
        <w:jc w:val="both"/>
        <w:rPr>
          <w:rFonts w:ascii="Times New Roman" w:hAnsi="Times New Roman"/>
          <w:sz w:val="24"/>
          <w:szCs w:val="24"/>
        </w:rPr>
      </w:pPr>
      <w:r w:rsidRPr="00193CF8">
        <w:rPr>
          <w:rFonts w:ascii="Times New Roman" w:hAnsi="Times New Roman"/>
          <w:sz w:val="24"/>
          <w:szCs w:val="24"/>
        </w:rPr>
        <w:t xml:space="preserve">Общий объем средств, аккумулированных в центральном банке в качестве обязательных резервов, увеличился на 18,8%, составив по состоянию на 1 июля 2017 года по действующим кредитным организациям 244,4 </w:t>
      </w:r>
      <w:proofErr w:type="spellStart"/>
      <w:r w:rsidRPr="00193CF8">
        <w:rPr>
          <w:rFonts w:ascii="Times New Roman" w:hAnsi="Times New Roman"/>
          <w:sz w:val="24"/>
          <w:szCs w:val="24"/>
        </w:rPr>
        <w:t>млн</w:t>
      </w:r>
      <w:proofErr w:type="spellEnd"/>
      <w:r w:rsidRPr="00193CF8">
        <w:rPr>
          <w:rFonts w:ascii="Times New Roman" w:hAnsi="Times New Roman"/>
          <w:sz w:val="24"/>
          <w:szCs w:val="24"/>
        </w:rPr>
        <w:t xml:space="preserve"> руб. При этом депонирование осуществлялось исключительно в национальной валюте.</w:t>
      </w:r>
    </w:p>
    <w:p w:rsidR="00832D29" w:rsidRPr="00193CF8" w:rsidRDefault="00832D29" w:rsidP="00832D29">
      <w:pPr>
        <w:widowControl w:val="0"/>
        <w:spacing w:after="0" w:line="240" w:lineRule="auto"/>
        <w:ind w:firstLine="709"/>
        <w:jc w:val="both"/>
        <w:rPr>
          <w:rFonts w:ascii="Times New Roman" w:hAnsi="Times New Roman"/>
          <w:b/>
          <w:bCs/>
          <w:i/>
          <w:iCs/>
          <w:sz w:val="24"/>
          <w:szCs w:val="24"/>
        </w:rPr>
      </w:pPr>
    </w:p>
    <w:p w:rsidR="00832D29" w:rsidRPr="00193CF8" w:rsidRDefault="00832D29" w:rsidP="00832D29">
      <w:pPr>
        <w:widowControl w:val="0"/>
        <w:spacing w:after="0" w:line="240" w:lineRule="auto"/>
        <w:ind w:firstLine="709"/>
        <w:contextualSpacing/>
        <w:jc w:val="both"/>
        <w:rPr>
          <w:rFonts w:ascii="Times New Roman" w:hAnsi="Times New Roman"/>
          <w:b/>
          <w:bCs/>
          <w:i/>
          <w:iCs/>
          <w:sz w:val="24"/>
          <w:szCs w:val="24"/>
        </w:rPr>
      </w:pPr>
      <w:r w:rsidRPr="00193CF8">
        <w:rPr>
          <w:rFonts w:ascii="Times New Roman" w:hAnsi="Times New Roman"/>
          <w:b/>
          <w:bCs/>
          <w:i/>
          <w:iCs/>
          <w:sz w:val="24"/>
          <w:szCs w:val="24"/>
        </w:rPr>
        <w:t>Противодействие легализации (отмыванию) доходов, полученных преступным путем</w:t>
      </w:r>
    </w:p>
    <w:p w:rsidR="00832D29" w:rsidRPr="00193CF8" w:rsidRDefault="00832D29" w:rsidP="00832D29">
      <w:pPr>
        <w:tabs>
          <w:tab w:val="left" w:pos="720"/>
        </w:tabs>
        <w:spacing w:after="0" w:line="240" w:lineRule="auto"/>
        <w:ind w:firstLine="709"/>
        <w:jc w:val="both"/>
        <w:rPr>
          <w:rFonts w:ascii="Times New Roman" w:hAnsi="Times New Roman"/>
          <w:sz w:val="24"/>
          <w:szCs w:val="24"/>
        </w:rPr>
      </w:pPr>
      <w:r w:rsidRPr="00193CF8">
        <w:rPr>
          <w:rFonts w:ascii="Times New Roman" w:hAnsi="Times New Roman"/>
          <w:sz w:val="24"/>
          <w:szCs w:val="24"/>
        </w:rPr>
        <w:t>В рамках реализации функций, установленных статьей 12 Закона Приднестровской Молдавской Республики от 6 апреля 2009 года №704-З-IV «О противодействии легализации (отмыванию) доходов, полученных преступным путём, и финансированию терроризма» осуществлялись мероприятия, направленные на операции с денежными средствами, в отношении которых имелись достаточные основания полагать, что они связаны с легализацией (отмыванием) доходов, полученных преступным путём, и финансированием терроризма.</w:t>
      </w:r>
    </w:p>
    <w:p w:rsidR="00832D29" w:rsidRPr="00A76F62" w:rsidRDefault="00832D29" w:rsidP="00832D29">
      <w:pPr>
        <w:spacing w:line="240" w:lineRule="auto"/>
        <w:ind w:firstLine="709"/>
        <w:contextualSpacing/>
        <w:jc w:val="both"/>
        <w:rPr>
          <w:rFonts w:ascii="Times New Roman" w:hAnsi="Times New Roman"/>
          <w:sz w:val="24"/>
          <w:szCs w:val="24"/>
        </w:rPr>
      </w:pPr>
      <w:r w:rsidRPr="00193CF8">
        <w:rPr>
          <w:rFonts w:ascii="Times New Roman" w:hAnsi="Times New Roman"/>
          <w:sz w:val="24"/>
          <w:szCs w:val="24"/>
        </w:rPr>
        <w:t xml:space="preserve">В </w:t>
      </w:r>
      <w:r>
        <w:rPr>
          <w:rFonts w:ascii="Times New Roman" w:hAnsi="Times New Roman"/>
          <w:sz w:val="24"/>
          <w:szCs w:val="24"/>
        </w:rPr>
        <w:t xml:space="preserve">отчетном периоде </w:t>
      </w:r>
      <w:r w:rsidRPr="00193CF8">
        <w:rPr>
          <w:rFonts w:ascii="Times New Roman" w:hAnsi="Times New Roman"/>
          <w:sz w:val="24"/>
          <w:szCs w:val="24"/>
        </w:rPr>
        <w:t>продолжилось совершенствование норматив</w:t>
      </w:r>
      <w:r>
        <w:rPr>
          <w:rFonts w:ascii="Times New Roman" w:hAnsi="Times New Roman"/>
          <w:sz w:val="24"/>
          <w:szCs w:val="24"/>
        </w:rPr>
        <w:t>но-правовой базы в данной сфере. Кроме того</w:t>
      </w:r>
      <w:r w:rsidRPr="00193CF8">
        <w:rPr>
          <w:rFonts w:ascii="Times New Roman" w:hAnsi="Times New Roman"/>
          <w:sz w:val="24"/>
          <w:szCs w:val="24"/>
        </w:rPr>
        <w:t xml:space="preserve"> в рамках корреспондентских отношений в адрес банков Российской Федерации были подготовлены и направлены документы, затрагивающие вопросы каса</w:t>
      </w:r>
      <w:r>
        <w:rPr>
          <w:rFonts w:ascii="Times New Roman" w:hAnsi="Times New Roman"/>
          <w:sz w:val="24"/>
          <w:szCs w:val="24"/>
        </w:rPr>
        <w:t>тельно</w:t>
      </w:r>
      <w:r w:rsidRPr="00193CF8">
        <w:rPr>
          <w:rFonts w:ascii="Times New Roman" w:hAnsi="Times New Roman"/>
          <w:sz w:val="24"/>
          <w:szCs w:val="24"/>
        </w:rPr>
        <w:t xml:space="preserve"> противодействи</w:t>
      </w:r>
      <w:r>
        <w:rPr>
          <w:rFonts w:ascii="Times New Roman" w:hAnsi="Times New Roman"/>
          <w:sz w:val="24"/>
          <w:szCs w:val="24"/>
        </w:rPr>
        <w:t>я</w:t>
      </w:r>
      <w:r w:rsidRPr="00193CF8">
        <w:rPr>
          <w:rFonts w:ascii="Times New Roman" w:hAnsi="Times New Roman"/>
          <w:sz w:val="24"/>
          <w:szCs w:val="24"/>
        </w:rPr>
        <w:t xml:space="preserve"> легализации (отмыванию) доходов, полученных преступным путём, и финансированию терроризма</w:t>
      </w:r>
      <w:r>
        <w:rPr>
          <w:rFonts w:ascii="Times New Roman" w:hAnsi="Times New Roman"/>
          <w:sz w:val="24"/>
          <w:szCs w:val="24"/>
        </w:rPr>
        <w:t>.</w:t>
      </w:r>
    </w:p>
    <w:p w:rsidR="00832D29" w:rsidRDefault="00832D29" w:rsidP="00146BB8">
      <w:pPr>
        <w:shd w:val="clear" w:color="auto" w:fill="FFFFFF"/>
        <w:spacing w:after="0" w:line="240" w:lineRule="auto"/>
        <w:ind w:firstLine="709"/>
        <w:contextualSpacing/>
        <w:jc w:val="both"/>
        <w:rPr>
          <w:rFonts w:ascii="Times New Roman" w:hAnsi="Times New Roman"/>
          <w:sz w:val="24"/>
          <w:szCs w:val="24"/>
        </w:rPr>
      </w:pPr>
    </w:p>
    <w:p w:rsidR="00CE326F" w:rsidRPr="0080737A" w:rsidRDefault="00CE326F" w:rsidP="00CE326F">
      <w:pPr>
        <w:spacing w:after="0" w:line="240" w:lineRule="auto"/>
        <w:ind w:firstLine="709"/>
        <w:rPr>
          <w:rFonts w:ascii="Times New Roman" w:hAnsi="Times New Roman"/>
          <w:b/>
          <w:sz w:val="24"/>
          <w:szCs w:val="24"/>
        </w:rPr>
      </w:pPr>
      <w:r w:rsidRPr="0080737A">
        <w:rPr>
          <w:rFonts w:ascii="Times New Roman" w:hAnsi="Times New Roman"/>
          <w:b/>
          <w:sz w:val="24"/>
          <w:szCs w:val="24"/>
        </w:rPr>
        <w:t>Экология</w:t>
      </w:r>
    </w:p>
    <w:p w:rsidR="00CE326F" w:rsidRDefault="00CE326F" w:rsidP="00CE326F">
      <w:pPr>
        <w:spacing w:after="0" w:line="240" w:lineRule="auto"/>
        <w:ind w:firstLine="709"/>
        <w:rPr>
          <w:rFonts w:ascii="Times New Roman" w:hAnsi="Times New Roman"/>
          <w:b/>
          <w:sz w:val="24"/>
          <w:szCs w:val="24"/>
        </w:rPr>
      </w:pP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Особенности природно-климатических условий административно-территориальных единиц республики, а также характер и масштабы воздействия предприятий реального сектора, транспорта, сельского и коммунального хозяйства определили величину </w:t>
      </w:r>
      <w:r w:rsidRPr="00805A58">
        <w:rPr>
          <w:rFonts w:ascii="Times New Roman" w:eastAsiaTheme="minorEastAsia" w:hAnsi="Times New Roman" w:cstheme="minorBidi"/>
          <w:spacing w:val="6"/>
          <w:sz w:val="24"/>
          <w:szCs w:val="24"/>
        </w:rPr>
        <w:t>совокупного объема выброшенных в атмосферу вредных веществ. Так, в январе-июне 2017 года,</w:t>
      </w:r>
      <w:r w:rsidR="00875D3B">
        <w:rPr>
          <w:rFonts w:ascii="Times New Roman" w:eastAsiaTheme="minorEastAsia" w:hAnsi="Times New Roman" w:cstheme="minorBidi"/>
          <w:spacing w:val="6"/>
          <w:sz w:val="24"/>
          <w:szCs w:val="24"/>
        </w:rPr>
        <w:t xml:space="preserve"> </w:t>
      </w:r>
      <w:r w:rsidRPr="00805A58">
        <w:rPr>
          <w:rFonts w:ascii="Times New Roman" w:eastAsiaTheme="minorEastAsia" w:hAnsi="Times New Roman" w:cstheme="minorBidi"/>
          <w:spacing w:val="6"/>
          <w:sz w:val="24"/>
          <w:szCs w:val="24"/>
        </w:rPr>
        <w:t>несмотря на снижение объема выбросов загрязняющих веще</w:t>
      </w:r>
      <w:proofErr w:type="gramStart"/>
      <w:r w:rsidRPr="00805A58">
        <w:rPr>
          <w:rFonts w:ascii="Times New Roman" w:eastAsiaTheme="minorEastAsia" w:hAnsi="Times New Roman" w:cstheme="minorBidi"/>
          <w:spacing w:val="6"/>
          <w:sz w:val="24"/>
          <w:szCs w:val="24"/>
        </w:rPr>
        <w:t>ств кр</w:t>
      </w:r>
      <w:proofErr w:type="gramEnd"/>
      <w:r w:rsidRPr="00805A58">
        <w:rPr>
          <w:rFonts w:ascii="Times New Roman" w:eastAsiaTheme="minorEastAsia" w:hAnsi="Times New Roman" w:cstheme="minorBidi"/>
          <w:spacing w:val="6"/>
          <w:sz w:val="24"/>
          <w:szCs w:val="24"/>
        </w:rPr>
        <w:t xml:space="preserve">упнейшим </w:t>
      </w:r>
      <w:r w:rsidRPr="00805A58">
        <w:rPr>
          <w:rFonts w:ascii="Times New Roman" w:eastAsiaTheme="minorEastAsia" w:hAnsi="Times New Roman" w:cstheme="minorBidi"/>
          <w:spacing w:val="6"/>
          <w:sz w:val="24"/>
          <w:szCs w:val="24"/>
        </w:rPr>
        <w:lastRenderedPageBreak/>
        <w:t>предприятием энергетического комплекса, наращивание производственной активности и, как следствие, объема выброшенных вредных веществ на ЗАО «Молдавский металлургический завод», явилось</w:t>
      </w:r>
      <w:r w:rsidRPr="00805A58">
        <w:rPr>
          <w:rFonts w:ascii="Times New Roman" w:eastAsiaTheme="minorEastAsia" w:hAnsi="Times New Roman" w:cstheme="minorBidi"/>
          <w:sz w:val="24"/>
          <w:szCs w:val="24"/>
        </w:rPr>
        <w:t xml:space="preserve"> причиной роста </w:t>
      </w:r>
      <w:r w:rsidRPr="00805A58">
        <w:rPr>
          <w:rFonts w:ascii="Times New Roman" w:eastAsiaTheme="minorEastAsia" w:hAnsi="Times New Roman" w:cstheme="minorBidi"/>
          <w:b/>
          <w:i/>
          <w:sz w:val="24"/>
          <w:szCs w:val="24"/>
        </w:rPr>
        <w:t xml:space="preserve">валового объема выбросов загрязняющих веществ </w:t>
      </w:r>
      <w:r w:rsidRPr="00805A58">
        <w:rPr>
          <w:rFonts w:ascii="Times New Roman" w:eastAsiaTheme="minorEastAsia" w:hAnsi="Times New Roman" w:cstheme="minorBidi"/>
          <w:sz w:val="24"/>
          <w:szCs w:val="24"/>
        </w:rPr>
        <w:t xml:space="preserve">в атмосферный воздух на 2,4% </w:t>
      </w:r>
      <w:r w:rsidRPr="00805A58">
        <w:rPr>
          <w:rFonts w:ascii="Times New Roman" w:eastAsiaTheme="minorEastAsia" w:hAnsi="Times New Roman" w:cstheme="minorBidi"/>
          <w:b/>
          <w:i/>
          <w:sz w:val="24"/>
          <w:szCs w:val="24"/>
        </w:rPr>
        <w:t>до 20 521 тонн</w:t>
      </w:r>
      <w:r w:rsidRPr="00805A58">
        <w:rPr>
          <w:rFonts w:ascii="Times New Roman" w:eastAsiaTheme="minorEastAsia" w:hAnsi="Times New Roman" w:cstheme="minorBidi"/>
          <w:sz w:val="24"/>
          <w:szCs w:val="24"/>
        </w:rPr>
        <w:t>.</w:t>
      </w:r>
    </w:p>
    <w:p w:rsidR="00CE326F" w:rsidRPr="00805A58" w:rsidRDefault="00CE326F" w:rsidP="00CE326F">
      <w:pPr>
        <w:spacing w:after="0" w:line="240" w:lineRule="auto"/>
        <w:ind w:firstLine="720"/>
        <w:jc w:val="both"/>
        <w:rPr>
          <w:rFonts w:ascii="Times New Roman" w:eastAsiaTheme="minorEastAsia" w:hAnsi="Times New Roman" w:cstheme="minorBidi"/>
          <w:spacing w:val="6"/>
          <w:sz w:val="24"/>
          <w:szCs w:val="24"/>
        </w:rPr>
      </w:pPr>
      <w:r w:rsidRPr="00805A58">
        <w:rPr>
          <w:rFonts w:ascii="Times New Roman" w:eastAsiaTheme="minorEastAsia" w:hAnsi="Times New Roman" w:cstheme="minorBidi"/>
          <w:sz w:val="24"/>
          <w:szCs w:val="24"/>
        </w:rPr>
        <w:t>При этом рассматривая источники выбросов, необходимо отметить, что в отчетном периоде с</w:t>
      </w:r>
      <w:r w:rsidRPr="00805A58">
        <w:rPr>
          <w:rFonts w:ascii="Times New Roman" w:eastAsiaTheme="minorEastAsia" w:hAnsi="Times New Roman" w:cstheme="minorBidi"/>
          <w:spacing w:val="6"/>
          <w:sz w:val="24"/>
          <w:szCs w:val="24"/>
        </w:rPr>
        <w:t xml:space="preserve">овокупный объем выброшенных в атмосферу вредных веществ </w:t>
      </w:r>
      <w:r w:rsidRPr="00805A58">
        <w:rPr>
          <w:rFonts w:ascii="Times New Roman" w:eastAsiaTheme="minorEastAsia" w:hAnsi="Times New Roman" w:cstheme="minorBidi"/>
          <w:i/>
          <w:spacing w:val="6"/>
          <w:sz w:val="24"/>
          <w:szCs w:val="24"/>
        </w:rPr>
        <w:t xml:space="preserve">от стационарных источников </w:t>
      </w:r>
      <w:r w:rsidRPr="00805A58">
        <w:rPr>
          <w:rFonts w:ascii="Times New Roman" w:eastAsiaTheme="minorEastAsia" w:hAnsi="Times New Roman" w:cstheme="minorBidi"/>
          <w:spacing w:val="6"/>
          <w:sz w:val="24"/>
          <w:szCs w:val="24"/>
        </w:rPr>
        <w:t xml:space="preserve">сократился на 2,0%, составив 5 306,5 тонн. Данное понижение обусловлено приостановкой в течение двух месяцев, а затем снижением на 30% выработки электроэнергии ЗАО «Молдавская ГРЭС». Таким образом, </w:t>
      </w:r>
      <w:r w:rsidRPr="00805A58">
        <w:rPr>
          <w:rFonts w:ascii="Times New Roman" w:eastAsia="Calibri" w:hAnsi="Times New Roman" w:cstheme="minorBidi"/>
          <w:sz w:val="24"/>
          <w:szCs w:val="24"/>
        </w:rPr>
        <w:t>объем выбросов данного предприятия составил 1 917,4 тонны против 2 714,4 тонны в январе-июне 2016 года</w:t>
      </w:r>
      <w:r w:rsidRPr="00805A58">
        <w:rPr>
          <w:rFonts w:ascii="Times New Roman" w:eastAsiaTheme="minorEastAsia" w:hAnsi="Times New Roman" w:cstheme="minorBidi"/>
          <w:spacing w:val="6"/>
          <w:sz w:val="24"/>
          <w:szCs w:val="24"/>
        </w:rPr>
        <w:t>,</w:t>
      </w:r>
      <w:r w:rsidRPr="00805A58">
        <w:rPr>
          <w:rFonts w:ascii="Times New Roman" w:eastAsia="Calibri" w:hAnsi="Times New Roman" w:cstheme="minorBidi"/>
          <w:sz w:val="24"/>
          <w:szCs w:val="24"/>
        </w:rPr>
        <w:t xml:space="preserve"> что в свою очередь привело к снижению общего количества выбросов от стационарных источников по </w:t>
      </w:r>
      <w:r w:rsidRPr="00805A58">
        <w:rPr>
          <w:rFonts w:ascii="Times New Roman" w:eastAsiaTheme="minorEastAsia" w:hAnsi="Times New Roman" w:cstheme="minorBidi"/>
          <w:spacing w:val="6"/>
          <w:sz w:val="24"/>
          <w:szCs w:val="24"/>
        </w:rPr>
        <w:t>г. </w:t>
      </w:r>
      <w:proofErr w:type="spellStart"/>
      <w:r w:rsidRPr="00805A58">
        <w:rPr>
          <w:rFonts w:ascii="Times New Roman" w:eastAsiaTheme="minorEastAsia" w:hAnsi="Times New Roman" w:cstheme="minorBidi"/>
          <w:spacing w:val="6"/>
          <w:sz w:val="24"/>
          <w:szCs w:val="24"/>
        </w:rPr>
        <w:t>Днестровск</w:t>
      </w:r>
      <w:proofErr w:type="spellEnd"/>
      <w:r w:rsidRPr="00805A58">
        <w:rPr>
          <w:rFonts w:ascii="Times New Roman" w:eastAsiaTheme="minorEastAsia" w:hAnsi="Times New Roman" w:cstheme="minorBidi"/>
          <w:spacing w:val="6"/>
          <w:sz w:val="24"/>
          <w:szCs w:val="24"/>
        </w:rPr>
        <w:t xml:space="preserve"> на 29,2%.</w:t>
      </w:r>
    </w:p>
    <w:p w:rsidR="00CE326F" w:rsidRPr="00805A58" w:rsidRDefault="00CE326F" w:rsidP="00CE326F">
      <w:pPr>
        <w:spacing w:after="0" w:line="240" w:lineRule="auto"/>
        <w:ind w:firstLine="720"/>
        <w:jc w:val="both"/>
        <w:rPr>
          <w:rFonts w:ascii="Times New Roman" w:eastAsia="Calibri" w:hAnsi="Times New Roman" w:cstheme="minorBidi"/>
          <w:sz w:val="24"/>
          <w:szCs w:val="24"/>
        </w:rPr>
      </w:pPr>
      <w:r w:rsidRPr="00805A58">
        <w:rPr>
          <w:rFonts w:ascii="Times New Roman" w:eastAsiaTheme="minorEastAsia" w:hAnsi="Times New Roman" w:cstheme="minorBidi"/>
          <w:spacing w:val="6"/>
          <w:sz w:val="24"/>
          <w:szCs w:val="24"/>
        </w:rPr>
        <w:t xml:space="preserve">Также сокращение объема выбросов вредных веществ в атмосферу от стационарных источников зафиксировано по г. Бендеры на 3,2% и по г. Григориополь и </w:t>
      </w:r>
      <w:proofErr w:type="spellStart"/>
      <w:r w:rsidRPr="00805A58">
        <w:rPr>
          <w:rFonts w:ascii="Times New Roman" w:eastAsiaTheme="minorEastAsia" w:hAnsi="Times New Roman" w:cstheme="minorBidi"/>
          <w:spacing w:val="6"/>
          <w:sz w:val="24"/>
          <w:szCs w:val="24"/>
        </w:rPr>
        <w:t>Григориопольскому</w:t>
      </w:r>
      <w:proofErr w:type="spellEnd"/>
      <w:r w:rsidRPr="00805A58">
        <w:rPr>
          <w:rFonts w:ascii="Times New Roman" w:eastAsiaTheme="minorEastAsia" w:hAnsi="Times New Roman" w:cstheme="minorBidi"/>
          <w:spacing w:val="6"/>
          <w:sz w:val="24"/>
          <w:szCs w:val="24"/>
        </w:rPr>
        <w:t xml:space="preserve"> району на 0,8%, по остальным городам и районам наблюдалось их увеличение. Наибольший прирост зафиксирован по г. Рыбница и </w:t>
      </w:r>
      <w:proofErr w:type="spellStart"/>
      <w:r w:rsidRPr="00805A58">
        <w:rPr>
          <w:rFonts w:ascii="Times New Roman" w:eastAsiaTheme="minorEastAsia" w:hAnsi="Times New Roman" w:cstheme="minorBidi"/>
          <w:spacing w:val="6"/>
          <w:sz w:val="24"/>
          <w:szCs w:val="24"/>
        </w:rPr>
        <w:t>Рыбницкому</w:t>
      </w:r>
      <w:proofErr w:type="spellEnd"/>
      <w:r w:rsidRPr="00805A58">
        <w:rPr>
          <w:rFonts w:ascii="Times New Roman" w:eastAsiaTheme="minorEastAsia" w:hAnsi="Times New Roman" w:cstheme="minorBidi"/>
          <w:spacing w:val="6"/>
          <w:sz w:val="24"/>
          <w:szCs w:val="24"/>
        </w:rPr>
        <w:t xml:space="preserve"> району - +73,3% в связи с наращивание производственной деятельности на </w:t>
      </w:r>
      <w:r w:rsidRPr="00805A58">
        <w:rPr>
          <w:rFonts w:ascii="Times New Roman" w:eastAsia="Calibri" w:hAnsi="Times New Roman" w:cstheme="minorBidi"/>
          <w:sz w:val="24"/>
          <w:szCs w:val="24"/>
        </w:rPr>
        <w:t>ОАО «Молдавский металлургический завод».</w:t>
      </w:r>
    </w:p>
    <w:p w:rsidR="00CE326F" w:rsidRPr="00805A58" w:rsidRDefault="00CE326F" w:rsidP="00CE326F">
      <w:pPr>
        <w:spacing w:after="0" w:line="240" w:lineRule="auto"/>
        <w:ind w:firstLine="720"/>
        <w:jc w:val="both"/>
        <w:rPr>
          <w:rFonts w:ascii="Times New Roman" w:eastAsia="Calibri" w:hAnsi="Times New Roman" w:cstheme="minorBidi"/>
          <w:sz w:val="24"/>
          <w:szCs w:val="24"/>
        </w:rPr>
      </w:pPr>
    </w:p>
    <w:p w:rsidR="00CE326F" w:rsidRPr="00805A58" w:rsidRDefault="00CE326F" w:rsidP="00CE326F">
      <w:pPr>
        <w:spacing w:after="0" w:line="240" w:lineRule="auto"/>
        <w:ind w:left="-709"/>
        <w:rPr>
          <w:rFonts w:ascii="Times New Roman" w:eastAsiaTheme="minorEastAsia" w:hAnsi="Times New Roman" w:cstheme="minorBidi"/>
          <w:spacing w:val="6"/>
          <w:sz w:val="24"/>
          <w:szCs w:val="24"/>
        </w:rPr>
      </w:pPr>
      <w:r w:rsidRPr="00805A58">
        <w:rPr>
          <w:rFonts w:ascii="Times New Roman" w:eastAsiaTheme="minorEastAsia" w:hAnsi="Times New Roman" w:cstheme="minorBidi"/>
          <w:noProof/>
          <w:spacing w:val="6"/>
          <w:sz w:val="24"/>
          <w:szCs w:val="24"/>
        </w:rPr>
        <w:drawing>
          <wp:inline distT="0" distB="0" distL="0" distR="0">
            <wp:extent cx="7029450" cy="3390900"/>
            <wp:effectExtent l="0" t="0" r="0" b="0"/>
            <wp:docPr id="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E326F" w:rsidRPr="00805A58" w:rsidRDefault="00CE326F" w:rsidP="00CE326F">
      <w:pPr>
        <w:spacing w:after="0" w:line="240" w:lineRule="auto"/>
        <w:ind w:firstLine="720"/>
        <w:jc w:val="both"/>
        <w:rPr>
          <w:rFonts w:ascii="Times New Roman" w:eastAsiaTheme="minorEastAsia" w:hAnsi="Times New Roman" w:cstheme="minorBidi"/>
          <w:spacing w:val="6"/>
          <w:sz w:val="24"/>
          <w:szCs w:val="24"/>
        </w:rPr>
      </w:pPr>
    </w:p>
    <w:p w:rsidR="00CE326F" w:rsidRPr="00805A58" w:rsidRDefault="00CE326F" w:rsidP="00CE326F">
      <w:pPr>
        <w:spacing w:after="0" w:line="240" w:lineRule="auto"/>
        <w:ind w:firstLine="709"/>
        <w:jc w:val="both"/>
        <w:rPr>
          <w:rFonts w:ascii="Times New Roman" w:eastAsiaTheme="minorEastAsia" w:hAnsi="Times New Roman" w:cstheme="minorBidi"/>
          <w:spacing w:val="6"/>
          <w:sz w:val="24"/>
          <w:szCs w:val="24"/>
        </w:rPr>
      </w:pPr>
      <w:r w:rsidRPr="00805A58">
        <w:rPr>
          <w:rFonts w:ascii="Times New Roman" w:eastAsiaTheme="minorEastAsia" w:hAnsi="Times New Roman" w:cstheme="minorBidi"/>
          <w:spacing w:val="6"/>
          <w:sz w:val="24"/>
          <w:szCs w:val="24"/>
        </w:rPr>
        <w:t xml:space="preserve">Преобладающее влияние на уровень загрязнения атмосферы городов и районов республики оказывают выбросы </w:t>
      </w:r>
      <w:r w:rsidRPr="00805A58">
        <w:rPr>
          <w:rFonts w:ascii="Times New Roman" w:eastAsiaTheme="minorEastAsia" w:hAnsi="Times New Roman" w:cstheme="minorBidi"/>
          <w:i/>
          <w:spacing w:val="6"/>
          <w:sz w:val="24"/>
          <w:szCs w:val="24"/>
        </w:rPr>
        <w:t xml:space="preserve">от передвижных источников (автотранспорта) </w:t>
      </w:r>
      <w:r w:rsidRPr="00805A58">
        <w:rPr>
          <w:rFonts w:ascii="Times New Roman" w:eastAsiaTheme="minorEastAsia" w:hAnsi="Times New Roman" w:cstheme="minorBidi"/>
          <w:spacing w:val="6"/>
          <w:sz w:val="24"/>
          <w:szCs w:val="24"/>
        </w:rPr>
        <w:t>(74,1% от общего количества выбросов по республике). В январе-июне 2017 года объем данных выбросов превысил сопоставимый уровень минувшего года на 4,1%, составив 15 214,6 тонн.</w:t>
      </w:r>
    </w:p>
    <w:p w:rsidR="00CE326F" w:rsidRPr="00805A58" w:rsidRDefault="00CE326F" w:rsidP="00CE326F">
      <w:pPr>
        <w:spacing w:after="0" w:line="240" w:lineRule="auto"/>
        <w:ind w:firstLine="709"/>
        <w:jc w:val="both"/>
        <w:rPr>
          <w:rFonts w:ascii="Times New Roman" w:eastAsiaTheme="minorEastAsia" w:hAnsi="Times New Roman" w:cstheme="minorBidi"/>
          <w:spacing w:val="6"/>
          <w:sz w:val="24"/>
          <w:szCs w:val="24"/>
        </w:rPr>
      </w:pPr>
    </w:p>
    <w:p w:rsidR="00CE326F" w:rsidRPr="00805A58" w:rsidRDefault="00CE326F" w:rsidP="00CE326F">
      <w:pPr>
        <w:spacing w:after="0" w:line="240" w:lineRule="auto"/>
        <w:ind w:firstLine="720"/>
        <w:jc w:val="center"/>
        <w:rPr>
          <w:rFonts w:ascii="Times New Roman" w:eastAsiaTheme="minorEastAsia" w:hAnsi="Times New Roman" w:cstheme="minorBidi"/>
          <w:b/>
          <w:sz w:val="24"/>
          <w:szCs w:val="24"/>
        </w:rPr>
      </w:pPr>
      <w:r w:rsidRPr="00805A58">
        <w:rPr>
          <w:rFonts w:ascii="Times New Roman" w:eastAsiaTheme="minorEastAsia" w:hAnsi="Times New Roman" w:cstheme="minorBidi"/>
          <w:b/>
          <w:sz w:val="24"/>
          <w:szCs w:val="24"/>
        </w:rPr>
        <w:t xml:space="preserve">Структура выбросов вредных веществ </w:t>
      </w:r>
    </w:p>
    <w:p w:rsidR="00CE326F" w:rsidRPr="00805A58" w:rsidRDefault="00CE326F" w:rsidP="00CE326F">
      <w:pPr>
        <w:spacing w:after="0" w:line="240" w:lineRule="auto"/>
        <w:ind w:firstLine="720"/>
        <w:jc w:val="center"/>
        <w:rPr>
          <w:rFonts w:ascii="Times New Roman" w:eastAsiaTheme="minorEastAsia" w:hAnsi="Times New Roman" w:cstheme="minorBidi"/>
          <w:b/>
          <w:sz w:val="24"/>
          <w:szCs w:val="24"/>
        </w:rPr>
      </w:pPr>
      <w:r w:rsidRPr="00805A58">
        <w:rPr>
          <w:rFonts w:ascii="Times New Roman" w:eastAsiaTheme="minorEastAsia" w:hAnsi="Times New Roman" w:cstheme="minorBidi"/>
          <w:b/>
          <w:sz w:val="24"/>
          <w:szCs w:val="24"/>
        </w:rPr>
        <w:t>в атмосферный воздух (тыс. тонн; %)</w:t>
      </w:r>
    </w:p>
    <w:p w:rsidR="00CE326F" w:rsidRPr="00805A58" w:rsidRDefault="00CE326F" w:rsidP="00CE326F">
      <w:pPr>
        <w:rPr>
          <w:rFonts w:asciiTheme="minorHAnsi" w:eastAsia="Calibri" w:hAnsiTheme="minorHAnsi" w:cstheme="minorBidi"/>
        </w:rPr>
      </w:pPr>
      <w:r w:rsidRPr="00805A58">
        <w:rPr>
          <w:rFonts w:asciiTheme="minorHAnsi" w:eastAsia="Calibri" w:hAnsiTheme="minorHAnsi" w:cstheme="minorBidi"/>
          <w:noProof/>
        </w:rPr>
        <w:drawing>
          <wp:inline distT="0" distB="0" distL="0" distR="0">
            <wp:extent cx="3467100" cy="1257300"/>
            <wp:effectExtent l="19050" t="0" r="0" b="0"/>
            <wp:docPr id="9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805A58">
        <w:rPr>
          <w:rFonts w:asciiTheme="minorHAnsi" w:eastAsia="Calibri" w:hAnsiTheme="minorHAnsi" w:cstheme="minorBidi"/>
          <w:noProof/>
        </w:rPr>
        <w:drawing>
          <wp:inline distT="0" distB="0" distL="0" distR="0">
            <wp:extent cx="2295525" cy="1228725"/>
            <wp:effectExtent l="19050" t="0" r="0" b="0"/>
            <wp:docPr id="9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E326F" w:rsidRPr="00805A58" w:rsidRDefault="00CE326F" w:rsidP="00CE326F">
      <w:pPr>
        <w:spacing w:after="0" w:line="240" w:lineRule="auto"/>
        <w:ind w:firstLine="709"/>
        <w:jc w:val="both"/>
        <w:rPr>
          <w:rFonts w:ascii="Times New Roman" w:eastAsiaTheme="minorEastAsia" w:hAnsi="Times New Roman" w:cstheme="minorBidi"/>
          <w:spacing w:val="5"/>
          <w:sz w:val="24"/>
          <w:szCs w:val="24"/>
        </w:rPr>
      </w:pPr>
      <w:r w:rsidRPr="00805A58">
        <w:rPr>
          <w:rFonts w:ascii="Times New Roman" w:eastAsiaTheme="minorEastAsia" w:hAnsi="Times New Roman" w:cstheme="minorBidi"/>
          <w:spacing w:val="6"/>
          <w:sz w:val="24"/>
          <w:szCs w:val="24"/>
        </w:rPr>
        <w:lastRenderedPageBreak/>
        <w:t>В отчетном периоде снижение объема выбросов вредных веществ в атмосферу от передвижных источников</w:t>
      </w:r>
      <w:r w:rsidR="00875D3B">
        <w:rPr>
          <w:rFonts w:ascii="Times New Roman" w:eastAsiaTheme="minorEastAsia" w:hAnsi="Times New Roman" w:cstheme="minorBidi"/>
          <w:spacing w:val="6"/>
          <w:sz w:val="24"/>
          <w:szCs w:val="24"/>
        </w:rPr>
        <w:t xml:space="preserve"> </w:t>
      </w:r>
      <w:r w:rsidRPr="00805A58">
        <w:rPr>
          <w:rFonts w:ascii="Times New Roman" w:eastAsiaTheme="minorEastAsia" w:hAnsi="Times New Roman" w:cstheme="minorBidi"/>
          <w:spacing w:val="6"/>
          <w:sz w:val="24"/>
          <w:szCs w:val="24"/>
        </w:rPr>
        <w:t xml:space="preserve">зафиксировано по </w:t>
      </w:r>
      <w:proofErr w:type="gramStart"/>
      <w:r w:rsidRPr="00805A58">
        <w:rPr>
          <w:rFonts w:ascii="Times New Roman" w:eastAsiaTheme="minorEastAsia" w:hAnsi="Times New Roman" w:cstheme="minorBidi"/>
          <w:spacing w:val="6"/>
          <w:sz w:val="24"/>
          <w:szCs w:val="24"/>
        </w:rPr>
        <w:t>г</w:t>
      </w:r>
      <w:proofErr w:type="gramEnd"/>
      <w:r w:rsidRPr="00805A58">
        <w:rPr>
          <w:rFonts w:ascii="Times New Roman" w:eastAsiaTheme="minorEastAsia" w:hAnsi="Times New Roman" w:cstheme="minorBidi"/>
          <w:spacing w:val="6"/>
          <w:sz w:val="24"/>
          <w:szCs w:val="24"/>
        </w:rPr>
        <w:t>. </w:t>
      </w:r>
      <w:proofErr w:type="spellStart"/>
      <w:r w:rsidRPr="00805A58">
        <w:rPr>
          <w:rFonts w:ascii="Times New Roman" w:eastAsiaTheme="minorEastAsia" w:hAnsi="Times New Roman" w:cstheme="minorBidi"/>
          <w:spacing w:val="6"/>
          <w:sz w:val="24"/>
          <w:szCs w:val="24"/>
        </w:rPr>
        <w:t>Днестровск</w:t>
      </w:r>
      <w:proofErr w:type="spellEnd"/>
      <w:r w:rsidRPr="00805A58">
        <w:rPr>
          <w:rFonts w:ascii="Times New Roman" w:eastAsiaTheme="minorEastAsia" w:hAnsi="Times New Roman" w:cstheme="minorBidi"/>
          <w:spacing w:val="6"/>
          <w:sz w:val="24"/>
          <w:szCs w:val="24"/>
        </w:rPr>
        <w:t xml:space="preserve"> - на 26,8%, по г. Григориополь и </w:t>
      </w:r>
      <w:proofErr w:type="spellStart"/>
      <w:r w:rsidRPr="00805A58">
        <w:rPr>
          <w:rFonts w:ascii="Times New Roman" w:eastAsiaTheme="minorEastAsia" w:hAnsi="Times New Roman" w:cstheme="minorBidi"/>
          <w:spacing w:val="6"/>
          <w:sz w:val="24"/>
          <w:szCs w:val="24"/>
        </w:rPr>
        <w:t>Григориопольскому</w:t>
      </w:r>
      <w:proofErr w:type="spellEnd"/>
      <w:r w:rsidRPr="00805A58">
        <w:rPr>
          <w:rFonts w:ascii="Times New Roman" w:eastAsiaTheme="minorEastAsia" w:hAnsi="Times New Roman" w:cstheme="minorBidi"/>
          <w:spacing w:val="6"/>
          <w:sz w:val="24"/>
          <w:szCs w:val="24"/>
        </w:rPr>
        <w:t xml:space="preserve"> району - на 12,5% и г. Каменка и Каменскому району - на 17,9%, по остальным городам и районам отмечен их прирост.</w:t>
      </w: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С целью </w:t>
      </w:r>
      <w:r w:rsidRPr="00805A58">
        <w:rPr>
          <w:rFonts w:ascii="Times New Roman" w:eastAsiaTheme="minorEastAsia" w:hAnsi="Times New Roman" w:cstheme="minorBidi"/>
          <w:sz w:val="24"/>
          <w:szCs w:val="24"/>
          <w:u w:val="single"/>
        </w:rPr>
        <w:t>планирования, рационального использования, восстановления и охраны водных и рыбных ресурсов</w:t>
      </w:r>
      <w:r w:rsidR="00875D3B">
        <w:rPr>
          <w:rFonts w:ascii="Times New Roman" w:eastAsiaTheme="minorEastAsia" w:hAnsi="Times New Roman" w:cstheme="minorBidi"/>
          <w:sz w:val="24"/>
          <w:szCs w:val="24"/>
          <w:u w:val="single"/>
        </w:rPr>
        <w:t xml:space="preserve"> </w:t>
      </w:r>
      <w:r w:rsidRPr="00805A58">
        <w:rPr>
          <w:rFonts w:ascii="Times New Roman" w:eastAsiaTheme="minorEastAsia" w:hAnsi="Times New Roman" w:cstheme="minorBidi"/>
          <w:sz w:val="24"/>
          <w:szCs w:val="24"/>
          <w:u w:val="single"/>
        </w:rPr>
        <w:t>республики</w:t>
      </w:r>
      <w:r w:rsidRPr="00805A58">
        <w:rPr>
          <w:rFonts w:ascii="Times New Roman" w:eastAsiaTheme="minorEastAsia" w:hAnsi="Times New Roman" w:cstheme="minorBidi"/>
          <w:sz w:val="24"/>
          <w:szCs w:val="24"/>
        </w:rPr>
        <w:t xml:space="preserve"> в </w:t>
      </w:r>
      <w:r w:rsidRPr="00805A58">
        <w:rPr>
          <w:rFonts w:ascii="Times New Roman" w:eastAsiaTheme="minorEastAsia" w:hAnsi="Times New Roman" w:cstheme="minorBidi"/>
          <w:sz w:val="24"/>
          <w:szCs w:val="24"/>
          <w:lang w:val="en-US"/>
        </w:rPr>
        <w:t>I</w:t>
      </w:r>
      <w:r w:rsidRPr="00805A58">
        <w:rPr>
          <w:rFonts w:ascii="Times New Roman" w:eastAsiaTheme="minorEastAsia" w:hAnsi="Times New Roman" w:cstheme="minorBidi"/>
          <w:sz w:val="24"/>
          <w:szCs w:val="24"/>
        </w:rPr>
        <w:t xml:space="preserve"> полугодии 2017 года:</w:t>
      </w:r>
    </w:p>
    <w:p w:rsidR="00CE326F" w:rsidRPr="00805A58" w:rsidRDefault="00CE326F" w:rsidP="00CE326F">
      <w:pPr>
        <w:numPr>
          <w:ilvl w:val="0"/>
          <w:numId w:val="11"/>
        </w:numPr>
        <w:tabs>
          <w:tab w:val="left" w:pos="284"/>
          <w:tab w:val="left" w:pos="993"/>
        </w:tabs>
        <w:spacing w:after="0" w:line="240" w:lineRule="auto"/>
        <w:ind w:left="0" w:firstLine="709"/>
        <w:contextualSpacing/>
        <w:jc w:val="both"/>
        <w:rPr>
          <w:rFonts w:ascii="Times New Roman" w:hAnsi="Times New Roman"/>
          <w:sz w:val="24"/>
          <w:szCs w:val="24"/>
        </w:rPr>
      </w:pPr>
      <w:r w:rsidRPr="00805A58">
        <w:rPr>
          <w:rFonts w:ascii="Times New Roman" w:hAnsi="Times New Roman"/>
          <w:sz w:val="24"/>
          <w:szCs w:val="24"/>
        </w:rPr>
        <w:t>установлено 167 лимитов водопользования, количество которых сократилось на 936 единиц, данное снижение обусловлено расширением перечня субъектов, которым лимиты не устанавливаются в соответствии с Законом Приднестровской Молдавской Республики от 5 апреля 2016 года № 94-ЗИ-VI «О внесении изменений в Водный кодекс Приднестровской Молдавской Республики»;</w:t>
      </w:r>
    </w:p>
    <w:p w:rsidR="00CE326F" w:rsidRPr="00805A58" w:rsidRDefault="00CE326F" w:rsidP="00CE326F">
      <w:pPr>
        <w:numPr>
          <w:ilvl w:val="0"/>
          <w:numId w:val="11"/>
        </w:numPr>
        <w:tabs>
          <w:tab w:val="left" w:pos="284"/>
          <w:tab w:val="left" w:pos="993"/>
        </w:tabs>
        <w:spacing w:after="0" w:line="240" w:lineRule="auto"/>
        <w:ind w:left="0" w:firstLine="709"/>
        <w:contextualSpacing/>
        <w:jc w:val="both"/>
        <w:rPr>
          <w:rFonts w:ascii="Times New Roman" w:hAnsi="Times New Roman"/>
          <w:sz w:val="24"/>
          <w:szCs w:val="24"/>
        </w:rPr>
      </w:pPr>
      <w:r w:rsidRPr="00805A58">
        <w:rPr>
          <w:rFonts w:ascii="Times New Roman" w:hAnsi="Times New Roman"/>
          <w:sz w:val="24"/>
          <w:szCs w:val="24"/>
        </w:rPr>
        <w:t>выдано разрешений на специальное водопользование по 65 объектам против 43 в январе-июне 2016 году;</w:t>
      </w:r>
    </w:p>
    <w:p w:rsidR="00CE326F" w:rsidRPr="00805A58" w:rsidRDefault="00CE326F" w:rsidP="00CE326F">
      <w:pPr>
        <w:numPr>
          <w:ilvl w:val="0"/>
          <w:numId w:val="11"/>
        </w:numPr>
        <w:tabs>
          <w:tab w:val="left" w:pos="0"/>
          <w:tab w:val="left" w:pos="284"/>
          <w:tab w:val="left" w:pos="993"/>
        </w:tabs>
        <w:spacing w:after="0" w:line="240" w:lineRule="auto"/>
        <w:ind w:left="0" w:firstLine="709"/>
        <w:contextualSpacing/>
        <w:jc w:val="both"/>
        <w:rPr>
          <w:rFonts w:ascii="Times New Roman" w:hAnsi="Times New Roman"/>
          <w:sz w:val="24"/>
          <w:szCs w:val="24"/>
        </w:rPr>
      </w:pPr>
      <w:r w:rsidRPr="00805A58">
        <w:rPr>
          <w:rFonts w:ascii="Times New Roman" w:hAnsi="Times New Roman"/>
          <w:sz w:val="24"/>
          <w:szCs w:val="24"/>
        </w:rPr>
        <w:t xml:space="preserve">проведена государственная экспертиза </w:t>
      </w:r>
      <w:proofErr w:type="spellStart"/>
      <w:r w:rsidRPr="00805A58">
        <w:rPr>
          <w:rFonts w:ascii="Times New Roman" w:hAnsi="Times New Roman"/>
          <w:sz w:val="24"/>
          <w:szCs w:val="24"/>
        </w:rPr>
        <w:t>предпроектной</w:t>
      </w:r>
      <w:proofErr w:type="spellEnd"/>
      <w:r w:rsidRPr="00805A58">
        <w:rPr>
          <w:rFonts w:ascii="Times New Roman" w:hAnsi="Times New Roman"/>
          <w:sz w:val="24"/>
          <w:szCs w:val="24"/>
        </w:rPr>
        <w:t xml:space="preserve"> и проектной документации на строительство и реконструкцию хозяйственных и других объектов, влияющих на состояние водных объектов, по 18 объектам против 65;</w:t>
      </w:r>
    </w:p>
    <w:p w:rsidR="00CE326F" w:rsidRPr="00805A58" w:rsidRDefault="00CE326F" w:rsidP="00CE326F">
      <w:pPr>
        <w:numPr>
          <w:ilvl w:val="0"/>
          <w:numId w:val="11"/>
        </w:numPr>
        <w:tabs>
          <w:tab w:val="left" w:pos="993"/>
        </w:tabs>
        <w:spacing w:after="0" w:line="240" w:lineRule="auto"/>
        <w:ind w:left="0" w:firstLine="709"/>
        <w:contextualSpacing/>
        <w:jc w:val="both"/>
        <w:rPr>
          <w:rFonts w:ascii="Times New Roman" w:hAnsi="Times New Roman"/>
          <w:sz w:val="24"/>
          <w:szCs w:val="24"/>
        </w:rPr>
      </w:pPr>
      <w:r w:rsidRPr="00805A58">
        <w:rPr>
          <w:rFonts w:ascii="Times New Roman" w:hAnsi="Times New Roman"/>
          <w:sz w:val="24"/>
          <w:szCs w:val="24"/>
        </w:rPr>
        <w:t>опломбировано первичных приборов учета забираемой воды водопользователей на 65 объектах, что на 19 объектов больше, чем в январе-июне 2016 года;</w:t>
      </w:r>
    </w:p>
    <w:p w:rsidR="00CE326F" w:rsidRPr="00805A58" w:rsidRDefault="00CE326F" w:rsidP="00CE326F">
      <w:pPr>
        <w:numPr>
          <w:ilvl w:val="0"/>
          <w:numId w:val="11"/>
        </w:numPr>
        <w:tabs>
          <w:tab w:val="left" w:pos="993"/>
        </w:tabs>
        <w:spacing w:after="0" w:line="240" w:lineRule="auto"/>
        <w:ind w:left="0" w:firstLine="709"/>
        <w:contextualSpacing/>
        <w:jc w:val="both"/>
        <w:rPr>
          <w:rFonts w:ascii="Times New Roman" w:hAnsi="Times New Roman"/>
          <w:sz w:val="24"/>
          <w:szCs w:val="24"/>
        </w:rPr>
      </w:pPr>
      <w:r w:rsidRPr="00805A58">
        <w:rPr>
          <w:rFonts w:ascii="Times New Roman" w:hAnsi="Times New Roman"/>
          <w:sz w:val="24"/>
          <w:szCs w:val="24"/>
        </w:rPr>
        <w:t xml:space="preserve">в рамках выполнения мероприятий, направленных на сохранение, поддержание и увеличение рыбных запасов было проведено зарыбление </w:t>
      </w:r>
      <w:proofErr w:type="spellStart"/>
      <w:r w:rsidRPr="00805A58">
        <w:rPr>
          <w:rFonts w:ascii="Times New Roman" w:hAnsi="Times New Roman"/>
          <w:sz w:val="24"/>
          <w:szCs w:val="24"/>
        </w:rPr>
        <w:t>рыбохозяйственных</w:t>
      </w:r>
      <w:proofErr w:type="spellEnd"/>
      <w:r w:rsidRPr="00805A58">
        <w:rPr>
          <w:rFonts w:ascii="Times New Roman" w:hAnsi="Times New Roman"/>
          <w:sz w:val="24"/>
          <w:szCs w:val="24"/>
        </w:rPr>
        <w:t xml:space="preserve"> водоемов разновозрастными группами промысловых видов рыб (белый и пестрый толстолобик, белый амур, карп, карась, судак, лещ, тарань (плотва)) общим весом 9 364 кг и количеством 10 398,3 тыс. шт., в том числе:</w:t>
      </w:r>
    </w:p>
    <w:p w:rsidR="00CE326F" w:rsidRPr="00805A58" w:rsidRDefault="00CE326F" w:rsidP="00CE326F">
      <w:pPr>
        <w:tabs>
          <w:tab w:val="left" w:pos="1134"/>
        </w:tabs>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w:t>
      </w:r>
      <w:r w:rsidRPr="00805A58">
        <w:rPr>
          <w:rFonts w:ascii="Times New Roman" w:eastAsiaTheme="minorEastAsia" w:hAnsi="Times New Roman" w:cstheme="minorBidi"/>
          <w:sz w:val="24"/>
          <w:szCs w:val="24"/>
        </w:rPr>
        <w:tab/>
        <w:t xml:space="preserve">ЗАО «Молдавская ГРЭС» в счет компенсации за ущерб, причиненный работой водозаборных сооружений станции, выпущена в </w:t>
      </w:r>
      <w:proofErr w:type="spellStart"/>
      <w:r w:rsidRPr="00805A58">
        <w:rPr>
          <w:rFonts w:ascii="Times New Roman" w:eastAsiaTheme="minorEastAsia" w:hAnsi="Times New Roman" w:cstheme="minorBidi"/>
          <w:sz w:val="24"/>
          <w:szCs w:val="24"/>
        </w:rPr>
        <w:t>Кучурганское</w:t>
      </w:r>
      <w:proofErr w:type="spellEnd"/>
      <w:r w:rsidRPr="00805A58">
        <w:rPr>
          <w:rFonts w:ascii="Times New Roman" w:eastAsiaTheme="minorEastAsia" w:hAnsi="Times New Roman" w:cstheme="minorBidi"/>
          <w:sz w:val="24"/>
          <w:szCs w:val="24"/>
        </w:rPr>
        <w:t xml:space="preserve"> водохранилище личинка промысловых видов рыб (судак, лещ, тарань, карп, карась) в количестве 6</w:t>
      </w:r>
      <w:r w:rsidRPr="00805A58">
        <w:rPr>
          <w:rFonts w:ascii="Times New Roman" w:eastAsiaTheme="minorEastAsia" w:hAnsi="Times New Roman" w:cstheme="minorBidi"/>
          <w:sz w:val="24"/>
          <w:szCs w:val="24"/>
          <w:lang w:val="en-US"/>
        </w:rPr>
        <w:t> </w:t>
      </w:r>
      <w:r w:rsidRPr="00805A58">
        <w:rPr>
          <w:rFonts w:ascii="Times New Roman" w:eastAsiaTheme="minorEastAsia" w:hAnsi="Times New Roman" w:cstheme="minorBidi"/>
          <w:sz w:val="24"/>
          <w:szCs w:val="24"/>
        </w:rPr>
        <w:t>280 тыс. шт., а также в целях биологической мелиорации выпущена личинка и годовик белого амура, белого и пестрого толстолобиков в количестве 3 530 тыс. шт. и 4,3 тыс. шт. соответственно;</w:t>
      </w:r>
    </w:p>
    <w:p w:rsidR="00CE326F" w:rsidRPr="00805A58" w:rsidRDefault="00CE326F" w:rsidP="00CE326F">
      <w:pPr>
        <w:tabs>
          <w:tab w:val="left" w:pos="1134"/>
        </w:tabs>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w:t>
      </w:r>
      <w:r w:rsidRPr="00805A58">
        <w:rPr>
          <w:rFonts w:ascii="Times New Roman" w:eastAsiaTheme="minorEastAsia" w:hAnsi="Times New Roman" w:cstheme="minorBidi"/>
          <w:sz w:val="24"/>
          <w:szCs w:val="24"/>
        </w:rPr>
        <w:tab/>
        <w:t>общественной организацией «</w:t>
      </w:r>
      <w:proofErr w:type="spellStart"/>
      <w:r w:rsidRPr="00805A58">
        <w:rPr>
          <w:rFonts w:ascii="Times New Roman" w:eastAsiaTheme="minorEastAsia" w:hAnsi="Times New Roman" w:cstheme="minorBidi"/>
          <w:sz w:val="24"/>
          <w:szCs w:val="24"/>
        </w:rPr>
        <w:t>Слободзейское</w:t>
      </w:r>
      <w:proofErr w:type="spellEnd"/>
      <w:r w:rsidRPr="00805A58">
        <w:rPr>
          <w:rFonts w:ascii="Times New Roman" w:eastAsiaTheme="minorEastAsia" w:hAnsi="Times New Roman" w:cstheme="minorBidi"/>
          <w:sz w:val="24"/>
          <w:szCs w:val="24"/>
        </w:rPr>
        <w:t xml:space="preserve"> районное общество охотников и рыболовов» в рамках заключенных договоров между Министерством сельского хозяйства и природных ресурсов, проведено зарыбление </w:t>
      </w:r>
      <w:proofErr w:type="spellStart"/>
      <w:r w:rsidRPr="00805A58">
        <w:rPr>
          <w:rFonts w:ascii="Times New Roman" w:eastAsiaTheme="minorEastAsia" w:hAnsi="Times New Roman" w:cstheme="minorBidi"/>
          <w:sz w:val="24"/>
          <w:szCs w:val="24"/>
        </w:rPr>
        <w:t>Кучурганского</w:t>
      </w:r>
      <w:proofErr w:type="spellEnd"/>
      <w:r w:rsidRPr="00805A58">
        <w:rPr>
          <w:rFonts w:ascii="Times New Roman" w:eastAsiaTheme="minorEastAsia" w:hAnsi="Times New Roman" w:cstheme="minorBidi"/>
          <w:sz w:val="24"/>
          <w:szCs w:val="24"/>
        </w:rPr>
        <w:t xml:space="preserve"> водохранилища годовиком промысловых видов рыб (белый и пестрый толстолобики, белый амур, карась, карп) общим весом 7 700 кг и количеством 582,8 тыс. шт.</w:t>
      </w:r>
    </w:p>
    <w:p w:rsidR="00CE326F" w:rsidRPr="00805A58" w:rsidRDefault="00CE326F" w:rsidP="00CE326F">
      <w:pPr>
        <w:tabs>
          <w:tab w:val="left" w:pos="1134"/>
        </w:tabs>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w:t>
      </w:r>
      <w:r w:rsidRPr="00805A58">
        <w:rPr>
          <w:rFonts w:ascii="Times New Roman" w:eastAsiaTheme="minorEastAsia" w:hAnsi="Times New Roman" w:cstheme="minorBidi"/>
          <w:sz w:val="24"/>
          <w:szCs w:val="24"/>
        </w:rPr>
        <w:tab/>
        <w:t xml:space="preserve">инициативная группа подводных охотников провела зарыбление реки Днестр </w:t>
      </w:r>
      <w:proofErr w:type="spellStart"/>
      <w:r w:rsidRPr="00805A58">
        <w:rPr>
          <w:rFonts w:ascii="Times New Roman" w:eastAsiaTheme="minorEastAsia" w:hAnsi="Times New Roman" w:cstheme="minorBidi"/>
          <w:sz w:val="24"/>
          <w:szCs w:val="24"/>
        </w:rPr>
        <w:t>двухгодовиком</w:t>
      </w:r>
      <w:proofErr w:type="spellEnd"/>
      <w:r w:rsidRPr="00805A58">
        <w:rPr>
          <w:rFonts w:ascii="Times New Roman" w:eastAsiaTheme="minorEastAsia" w:hAnsi="Times New Roman" w:cstheme="minorBidi"/>
          <w:sz w:val="24"/>
          <w:szCs w:val="24"/>
        </w:rPr>
        <w:t xml:space="preserve"> толстолобика весом 360 кг, в количестве 1,2 тыс. шт.</w:t>
      </w:r>
    </w:p>
    <w:p w:rsidR="00CE326F" w:rsidRPr="00805A58" w:rsidRDefault="00CE326F" w:rsidP="00CE326F">
      <w:pPr>
        <w:tabs>
          <w:tab w:val="left" w:pos="1134"/>
        </w:tabs>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Необходимо отметить, что в связи с запретом промыслового рыболовства, установленным Законом Приднестровской Молдавской Республики от 12 июня 2017 года № 128-ЗД-VI «О внесении дополнений в Закон Приднестровской Молдавской Республики «О рыболовстве и сохранении водных биологических ресурсов Приднестровской Молдавской Республики», в отчетном периоде наблюдается снижение объемов зарыбления более чем в 2,6 раза. </w:t>
      </w:r>
    </w:p>
    <w:p w:rsidR="00CE326F" w:rsidRPr="00805A58" w:rsidRDefault="00CE326F" w:rsidP="00CE326F">
      <w:pPr>
        <w:tabs>
          <w:tab w:val="left" w:pos="1134"/>
        </w:tabs>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За разрешения в целях осуществления промыслового рыболовства, любительского и спортивного рыболовства с </w:t>
      </w:r>
      <w:proofErr w:type="spellStart"/>
      <w:r w:rsidRPr="00805A58">
        <w:rPr>
          <w:rFonts w:ascii="Times New Roman" w:eastAsiaTheme="minorEastAsia" w:hAnsi="Times New Roman" w:cstheme="minorBidi"/>
          <w:sz w:val="24"/>
          <w:szCs w:val="24"/>
        </w:rPr>
        <w:t>плавсредств</w:t>
      </w:r>
      <w:proofErr w:type="spellEnd"/>
      <w:r w:rsidRPr="00805A58">
        <w:rPr>
          <w:rFonts w:ascii="Times New Roman" w:eastAsiaTheme="minorEastAsia" w:hAnsi="Times New Roman" w:cstheme="minorBidi"/>
          <w:sz w:val="24"/>
          <w:szCs w:val="24"/>
        </w:rPr>
        <w:t xml:space="preserve"> и подводной охоты в январе-июне 2017 года в Республиканский целевой бюджетный экологический фонд было перечислено 197,3 тыс. руб. (-21,2%).</w:t>
      </w: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В январе-июне 2017 года в области </w:t>
      </w:r>
      <w:r w:rsidRPr="00805A58">
        <w:rPr>
          <w:rFonts w:ascii="Times New Roman" w:eastAsiaTheme="minorEastAsia" w:hAnsi="Times New Roman" w:cstheme="minorBidi"/>
          <w:b/>
          <w:sz w:val="24"/>
          <w:szCs w:val="24"/>
        </w:rPr>
        <w:t>охраны и использования лесных ресурсов</w:t>
      </w:r>
      <w:r w:rsidRPr="00805A58">
        <w:rPr>
          <w:rFonts w:ascii="Times New Roman" w:eastAsiaTheme="minorEastAsia" w:hAnsi="Times New Roman" w:cstheme="minorBidi"/>
          <w:sz w:val="24"/>
          <w:szCs w:val="24"/>
        </w:rPr>
        <w:t xml:space="preserve"> проводились мероприятия, направленные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охрану и защиту.</w:t>
      </w:r>
    </w:p>
    <w:p w:rsidR="00CE326F" w:rsidRPr="00805A58" w:rsidRDefault="00CE326F" w:rsidP="00CE326F">
      <w:pPr>
        <w:spacing w:after="0" w:line="240" w:lineRule="auto"/>
        <w:ind w:firstLine="567"/>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Для этого проведены рубки ухода за лесом и выборочные санитарные рубки на площади 306 га с общим объемом выбираемой древесины 3 789 м</w:t>
      </w:r>
      <w:r w:rsidRPr="00805A58">
        <w:rPr>
          <w:rFonts w:ascii="Times New Roman" w:eastAsiaTheme="minorEastAsia" w:hAnsi="Times New Roman" w:cstheme="minorBidi"/>
          <w:sz w:val="24"/>
          <w:szCs w:val="24"/>
          <w:vertAlign w:val="superscript"/>
        </w:rPr>
        <w:t>3</w:t>
      </w:r>
      <w:r w:rsidRPr="00805A58">
        <w:rPr>
          <w:rFonts w:ascii="Times New Roman" w:eastAsiaTheme="minorEastAsia" w:hAnsi="Times New Roman" w:cstheme="minorBidi"/>
          <w:sz w:val="24"/>
          <w:szCs w:val="24"/>
        </w:rPr>
        <w:t xml:space="preserve">, тогда как в </w:t>
      </w:r>
      <w:r w:rsidRPr="00805A58">
        <w:rPr>
          <w:rFonts w:ascii="Times New Roman" w:eastAsiaTheme="minorEastAsia" w:hAnsi="Times New Roman" w:cstheme="minorBidi"/>
          <w:sz w:val="24"/>
          <w:szCs w:val="24"/>
          <w:lang w:val="en-US"/>
        </w:rPr>
        <w:t>I</w:t>
      </w:r>
      <w:r w:rsidRPr="00805A58">
        <w:rPr>
          <w:rFonts w:ascii="Times New Roman" w:eastAsiaTheme="minorEastAsia" w:hAnsi="Times New Roman" w:cstheme="minorBidi"/>
          <w:sz w:val="24"/>
          <w:szCs w:val="24"/>
        </w:rPr>
        <w:t xml:space="preserve"> полугодии 2016 года данные работы проводились на площади 213 га с общим объемом выбираемой древесины 2 895 м</w:t>
      </w:r>
      <w:r w:rsidRPr="00805A58">
        <w:rPr>
          <w:rFonts w:ascii="Times New Roman" w:eastAsiaTheme="minorEastAsia" w:hAnsi="Times New Roman" w:cstheme="minorBidi"/>
          <w:sz w:val="24"/>
          <w:szCs w:val="24"/>
          <w:vertAlign w:val="superscript"/>
        </w:rPr>
        <w:t>3</w:t>
      </w:r>
      <w:r w:rsidRPr="00805A58">
        <w:rPr>
          <w:rFonts w:ascii="Times New Roman" w:eastAsiaTheme="minorEastAsia" w:hAnsi="Times New Roman" w:cstheme="minorBidi"/>
          <w:sz w:val="24"/>
          <w:szCs w:val="24"/>
        </w:rPr>
        <w:t>.</w:t>
      </w: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lastRenderedPageBreak/>
        <w:t>Сплошные санитарные рубки, которые предусматривают замену насаждений, утративших свои экологические функции на биологически устойчивые продуктивные насаждения, проведены на площади 30 га, что на 4 га больше</w:t>
      </w:r>
      <w:r w:rsidR="00875D3B">
        <w:rPr>
          <w:rFonts w:ascii="Times New Roman" w:eastAsiaTheme="minorEastAsia" w:hAnsi="Times New Roman" w:cstheme="minorBidi"/>
          <w:sz w:val="24"/>
          <w:szCs w:val="24"/>
        </w:rPr>
        <w:t>,</w:t>
      </w:r>
      <w:r w:rsidRPr="00805A58">
        <w:rPr>
          <w:rFonts w:ascii="Times New Roman" w:eastAsiaTheme="minorEastAsia" w:hAnsi="Times New Roman" w:cstheme="minorBidi"/>
          <w:sz w:val="24"/>
          <w:szCs w:val="24"/>
        </w:rPr>
        <w:t xml:space="preserve"> чем в соответствующем периоде 2016 года.</w:t>
      </w:r>
    </w:p>
    <w:p w:rsidR="00CE326F" w:rsidRPr="00805A58" w:rsidRDefault="00CE326F" w:rsidP="00CE326F">
      <w:pPr>
        <w:autoSpaceDE w:val="0"/>
        <w:autoSpaceDN w:val="0"/>
        <w:adjustRightInd w:val="0"/>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В </w:t>
      </w:r>
      <w:r w:rsidRPr="00805A58">
        <w:rPr>
          <w:rFonts w:ascii="Times New Roman" w:eastAsiaTheme="minorEastAsia" w:hAnsi="Times New Roman" w:cstheme="minorBidi"/>
          <w:sz w:val="24"/>
          <w:szCs w:val="24"/>
          <w:lang w:val="en-US"/>
        </w:rPr>
        <w:t>I</w:t>
      </w:r>
      <w:r w:rsidRPr="00805A58">
        <w:rPr>
          <w:rFonts w:ascii="Times New Roman" w:eastAsiaTheme="minorEastAsia" w:hAnsi="Times New Roman" w:cstheme="minorBidi"/>
          <w:sz w:val="24"/>
          <w:szCs w:val="24"/>
        </w:rPr>
        <w:t xml:space="preserve"> полугодии 2017 году посев и посадка леса в </w:t>
      </w:r>
      <w:proofErr w:type="spellStart"/>
      <w:r w:rsidRPr="00805A58">
        <w:rPr>
          <w:rFonts w:ascii="Times New Roman" w:eastAsiaTheme="minorEastAsia" w:hAnsi="Times New Roman" w:cstheme="minorBidi"/>
          <w:sz w:val="24"/>
          <w:szCs w:val="24"/>
        </w:rPr>
        <w:t>Гослесфонде</w:t>
      </w:r>
      <w:proofErr w:type="spellEnd"/>
      <w:r w:rsidRPr="00805A58">
        <w:rPr>
          <w:rFonts w:ascii="Times New Roman" w:eastAsiaTheme="minorEastAsia" w:hAnsi="Times New Roman" w:cstheme="minorBidi"/>
          <w:sz w:val="24"/>
          <w:szCs w:val="24"/>
        </w:rPr>
        <w:t>, как и в минувшем году, проведена на площади 98 га. Дополнение лесных культур прошлых лет проведено на площади 150 га, что вдвое больше базового показателя.</w:t>
      </w:r>
    </w:p>
    <w:p w:rsidR="00CE326F" w:rsidRPr="00805A58" w:rsidRDefault="00CE326F" w:rsidP="00CE326F">
      <w:pPr>
        <w:autoSpaceDE w:val="0"/>
        <w:autoSpaceDN w:val="0"/>
        <w:adjustRightInd w:val="0"/>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Уход за лесными культурами проведен на площади 603 га против 760 га в январе-июне 2016 года. Подготовка почв под посадку выполнена на площади 98 га (+32 га).</w:t>
      </w:r>
    </w:p>
    <w:p w:rsidR="00CE326F" w:rsidRPr="00805A58" w:rsidRDefault="00CE326F" w:rsidP="00CE326F">
      <w:pPr>
        <w:autoSpaceDE w:val="0"/>
        <w:autoSpaceDN w:val="0"/>
        <w:adjustRightInd w:val="0"/>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Для организации противопожарной безопасности территории </w:t>
      </w:r>
      <w:proofErr w:type="spellStart"/>
      <w:r w:rsidRPr="00805A58">
        <w:rPr>
          <w:rFonts w:ascii="Times New Roman" w:eastAsiaTheme="minorEastAsia" w:hAnsi="Times New Roman" w:cstheme="minorBidi"/>
          <w:sz w:val="24"/>
          <w:szCs w:val="24"/>
        </w:rPr>
        <w:t>Гослесфонда</w:t>
      </w:r>
      <w:proofErr w:type="spellEnd"/>
      <w:r w:rsidRPr="00805A58">
        <w:rPr>
          <w:rFonts w:ascii="Times New Roman" w:eastAsiaTheme="minorEastAsia" w:hAnsi="Times New Roman" w:cstheme="minorBidi"/>
          <w:sz w:val="24"/>
          <w:szCs w:val="24"/>
        </w:rPr>
        <w:t xml:space="preserve"> был выполнен ремонт дорог противопожарного назначения в объеме 6,5 км, уход за минерализованными полосами выполнен в объеме 162 км против 61 км в январе-июне 2016 года.</w:t>
      </w: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 xml:space="preserve">В </w:t>
      </w:r>
      <w:r w:rsidRPr="00805A58">
        <w:rPr>
          <w:rFonts w:ascii="Times New Roman" w:eastAsiaTheme="minorEastAsia" w:hAnsi="Times New Roman" w:cstheme="minorBidi"/>
          <w:b/>
          <w:sz w:val="24"/>
          <w:szCs w:val="24"/>
        </w:rPr>
        <w:t>сфере геологического изучения и рационального использования недр,</w:t>
      </w:r>
      <w:r w:rsidRPr="00805A58">
        <w:rPr>
          <w:rFonts w:ascii="Times New Roman" w:eastAsiaTheme="minorEastAsia" w:hAnsi="Times New Roman" w:cstheme="minorBidi"/>
          <w:sz w:val="24"/>
          <w:szCs w:val="24"/>
        </w:rPr>
        <w:t xml:space="preserve"> по данным сводного отчетного баланса запасов полезных ископаемых, разрабатывается 26 месторождений твердых полезных ископаемых, из которых 23 открытым (карьерным) способом и 3 (пильных известняков) проходкой горизонтальных и слабонаклонных подземных выработок-штолен.</w:t>
      </w: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В январе-июне 2017 года объем добычи и производства нерудных строительных материалов сократился к сопоставимому уровню 2016 года на 34,8%, составив 253,3 тыс. м</w:t>
      </w:r>
      <w:r w:rsidRPr="00805A58">
        <w:rPr>
          <w:rFonts w:ascii="Times New Roman" w:eastAsiaTheme="minorEastAsia" w:hAnsi="Times New Roman" w:cstheme="minorBidi"/>
          <w:sz w:val="24"/>
          <w:szCs w:val="24"/>
          <w:vertAlign w:val="superscript"/>
        </w:rPr>
        <w:t>3</w:t>
      </w:r>
      <w:r w:rsidRPr="00805A58">
        <w:rPr>
          <w:rFonts w:ascii="Times New Roman" w:eastAsiaTheme="minorEastAsia" w:hAnsi="Times New Roman" w:cstheme="minorBidi"/>
          <w:sz w:val="24"/>
          <w:szCs w:val="24"/>
        </w:rPr>
        <w:t>. Объем добычи нерудных полезных ископаемых уменьшился до 124,3 тыс. м</w:t>
      </w:r>
      <w:r w:rsidRPr="00805A58">
        <w:rPr>
          <w:rFonts w:ascii="Times New Roman" w:eastAsiaTheme="minorEastAsia" w:hAnsi="Times New Roman" w:cstheme="minorBidi"/>
          <w:sz w:val="24"/>
          <w:szCs w:val="24"/>
          <w:vertAlign w:val="superscript"/>
        </w:rPr>
        <w:t>3</w:t>
      </w:r>
      <w:r w:rsidRPr="00805A58">
        <w:rPr>
          <w:rFonts w:ascii="Times New Roman" w:eastAsiaTheme="minorEastAsia" w:hAnsi="Times New Roman" w:cstheme="minorBidi"/>
          <w:sz w:val="24"/>
          <w:szCs w:val="24"/>
        </w:rPr>
        <w:t xml:space="preserve"> (-11,5%), цементного сырья до 129 тонн (-48,0%). Также в рассматриваемом периоде наблюдалось снижение объема добычи гидроминеральных ресурсов на 14,3% до 2,4 тыс. м</w:t>
      </w:r>
      <w:r w:rsidRPr="00805A58">
        <w:rPr>
          <w:rFonts w:ascii="Times New Roman" w:eastAsiaTheme="minorEastAsia" w:hAnsi="Times New Roman" w:cstheme="minorBidi"/>
          <w:sz w:val="24"/>
          <w:szCs w:val="24"/>
          <w:vertAlign w:val="superscript"/>
        </w:rPr>
        <w:t>3</w:t>
      </w:r>
      <w:r w:rsidRPr="00805A58">
        <w:rPr>
          <w:rFonts w:ascii="Times New Roman" w:eastAsiaTheme="minorEastAsia" w:hAnsi="Times New Roman" w:cstheme="minorBidi"/>
          <w:sz w:val="24"/>
          <w:szCs w:val="24"/>
        </w:rPr>
        <w:t>. Данный факт обусловил сокращение общей суммы платежей за пользование недрами и отчислений на воспроизводство минерально-сырьевой базы на 56,2% до 3 193,7 тыс. руб.</w:t>
      </w: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В рамках выполнения государственной программы геологического изучения, охраны недр и воспроизводства минерально-сырьевой базы в отчетном периоде выполнены геологоразведочные работы в Каменском районе на песчаные и песчано-гравийные породы. Разведано месторождение песчано-гравийных пород в окрестностях г. Каменка для обеспечения дорожно-строительных организаций нерудными строительными материалами.</w:t>
      </w:r>
    </w:p>
    <w:p w:rsidR="00CE326F" w:rsidRPr="00805A58" w:rsidRDefault="00CE326F" w:rsidP="00CE326F">
      <w:pPr>
        <w:spacing w:after="0" w:line="240" w:lineRule="auto"/>
        <w:ind w:firstLine="709"/>
        <w:jc w:val="both"/>
        <w:rPr>
          <w:rFonts w:ascii="Times New Roman" w:eastAsiaTheme="minorEastAsia" w:hAnsi="Times New Roman" w:cstheme="minorBidi"/>
          <w:sz w:val="24"/>
          <w:szCs w:val="24"/>
        </w:rPr>
      </w:pPr>
      <w:r w:rsidRPr="00805A58">
        <w:rPr>
          <w:rFonts w:ascii="Times New Roman" w:eastAsiaTheme="minorEastAsia" w:hAnsi="Times New Roman" w:cstheme="minorBidi"/>
          <w:sz w:val="24"/>
          <w:szCs w:val="24"/>
        </w:rPr>
        <w:t>Также, в рамках вышеуказанной программы, в связи с отсутствием в с. </w:t>
      </w:r>
      <w:proofErr w:type="spellStart"/>
      <w:r w:rsidRPr="00805A58">
        <w:rPr>
          <w:rFonts w:ascii="Times New Roman" w:eastAsiaTheme="minorEastAsia" w:hAnsi="Times New Roman" w:cstheme="minorBidi"/>
          <w:sz w:val="24"/>
          <w:szCs w:val="24"/>
        </w:rPr>
        <w:t>Карагаш</w:t>
      </w:r>
      <w:proofErr w:type="spellEnd"/>
      <w:r w:rsidRPr="00805A58">
        <w:rPr>
          <w:rFonts w:ascii="Times New Roman" w:eastAsiaTheme="minorEastAsia" w:hAnsi="Times New Roman" w:cstheme="minorBidi"/>
          <w:sz w:val="24"/>
          <w:szCs w:val="24"/>
        </w:rPr>
        <w:t xml:space="preserve"> </w:t>
      </w:r>
      <w:proofErr w:type="spellStart"/>
      <w:r w:rsidRPr="00805A58">
        <w:rPr>
          <w:rFonts w:ascii="Times New Roman" w:eastAsiaTheme="minorEastAsia" w:hAnsi="Times New Roman" w:cstheme="minorBidi"/>
          <w:sz w:val="24"/>
          <w:szCs w:val="24"/>
        </w:rPr>
        <w:t>Слободзейского</w:t>
      </w:r>
      <w:proofErr w:type="spellEnd"/>
      <w:r w:rsidRPr="00805A58">
        <w:rPr>
          <w:rFonts w:ascii="Times New Roman" w:eastAsiaTheme="minorEastAsia" w:hAnsi="Times New Roman" w:cstheme="minorBidi"/>
          <w:sz w:val="24"/>
          <w:szCs w:val="24"/>
        </w:rPr>
        <w:t xml:space="preserve"> района качественной питьевой воды, производятся геологоразведочные работы на наличие питьевых вод. По итогам проведенных геологических работ будут подготовлены рекомендации для размещения новых водозаборных скважин с целью удовлетворения населения в питьевой воде.</w:t>
      </w:r>
    </w:p>
    <w:p w:rsidR="00CE326F" w:rsidRPr="00D16741" w:rsidRDefault="00CE326F" w:rsidP="00146BB8">
      <w:pPr>
        <w:shd w:val="clear" w:color="auto" w:fill="FFFFFF"/>
        <w:spacing w:after="0" w:line="240" w:lineRule="auto"/>
        <w:ind w:firstLine="709"/>
        <w:contextualSpacing/>
        <w:jc w:val="both"/>
        <w:rPr>
          <w:rFonts w:ascii="Times New Roman" w:hAnsi="Times New Roman"/>
          <w:sz w:val="24"/>
          <w:szCs w:val="24"/>
        </w:rPr>
      </w:pPr>
    </w:p>
    <w:p w:rsidR="00146BB8" w:rsidRPr="003F5257" w:rsidRDefault="00146BB8" w:rsidP="006E2BBC">
      <w:pPr>
        <w:spacing w:after="0" w:line="240" w:lineRule="auto"/>
        <w:ind w:firstLine="709"/>
        <w:jc w:val="both"/>
        <w:rPr>
          <w:rFonts w:ascii="Times New Roman" w:hAnsi="Times New Roman"/>
          <w:color w:val="000000"/>
          <w:sz w:val="24"/>
          <w:szCs w:val="24"/>
          <w:shd w:val="clear" w:color="auto" w:fill="FFFFFF"/>
        </w:rPr>
      </w:pPr>
    </w:p>
    <w:p w:rsidR="00335844" w:rsidRPr="0080737A" w:rsidRDefault="00335844" w:rsidP="00335844">
      <w:pPr>
        <w:spacing w:after="0" w:line="240" w:lineRule="auto"/>
        <w:ind w:firstLine="709"/>
        <w:jc w:val="both"/>
        <w:rPr>
          <w:rFonts w:ascii="Times New Roman" w:hAnsi="Times New Roman"/>
          <w:sz w:val="24"/>
          <w:szCs w:val="24"/>
          <w:shd w:val="clear" w:color="auto" w:fill="FFFFFF"/>
        </w:rPr>
      </w:pPr>
    </w:p>
    <w:p w:rsidR="00335844" w:rsidRPr="0080737A" w:rsidRDefault="00335844" w:rsidP="00335844">
      <w:pPr>
        <w:spacing w:after="0" w:line="240" w:lineRule="auto"/>
        <w:jc w:val="both"/>
        <w:rPr>
          <w:rFonts w:ascii="Times New Roman" w:hAnsi="Times New Roman"/>
          <w:sz w:val="24"/>
          <w:szCs w:val="24"/>
        </w:rPr>
        <w:sectPr w:rsidR="00335844" w:rsidRPr="0080737A" w:rsidSect="006E2BBC">
          <w:pgSz w:w="11906" w:h="16838" w:code="9"/>
          <w:pgMar w:top="567" w:right="567" w:bottom="1134" w:left="1701" w:header="709" w:footer="709" w:gutter="0"/>
          <w:cols w:space="708"/>
          <w:titlePg/>
          <w:docGrid w:linePitch="360"/>
        </w:sectPr>
      </w:pPr>
    </w:p>
    <w:tbl>
      <w:tblPr>
        <w:tblpPr w:leftFromText="180" w:rightFromText="180" w:vertAnchor="page" w:horzAnchor="margin" w:tblpXSpec="center" w:tblpY="451"/>
        <w:tblW w:w="11207" w:type="dxa"/>
        <w:tblLayout w:type="fixed"/>
        <w:tblLook w:val="00A0"/>
      </w:tblPr>
      <w:tblGrid>
        <w:gridCol w:w="4219"/>
        <w:gridCol w:w="142"/>
        <w:gridCol w:w="850"/>
        <w:gridCol w:w="1134"/>
        <w:gridCol w:w="709"/>
        <w:gridCol w:w="425"/>
        <w:gridCol w:w="544"/>
        <w:gridCol w:w="307"/>
        <w:gridCol w:w="709"/>
        <w:gridCol w:w="425"/>
        <w:gridCol w:w="657"/>
        <w:gridCol w:w="193"/>
        <w:gridCol w:w="893"/>
      </w:tblGrid>
      <w:tr w:rsidR="00C40A42" w:rsidTr="00C40A42">
        <w:trPr>
          <w:gridAfter w:val="2"/>
          <w:wAfter w:w="1086" w:type="dxa"/>
          <w:trHeight w:val="322"/>
        </w:trPr>
        <w:tc>
          <w:tcPr>
            <w:tcW w:w="10121" w:type="dxa"/>
            <w:gridSpan w:val="11"/>
            <w:vAlign w:val="center"/>
            <w:hideMark/>
          </w:tcPr>
          <w:tbl>
            <w:tblPr>
              <w:tblpPr w:leftFromText="180" w:rightFromText="180" w:horzAnchor="page" w:tblpX="448" w:tblpY="-615"/>
              <w:tblW w:w="11340" w:type="dxa"/>
              <w:tblLayout w:type="fixed"/>
              <w:tblLook w:val="00A0"/>
            </w:tblPr>
            <w:tblGrid>
              <w:gridCol w:w="11340"/>
            </w:tblGrid>
            <w:tr w:rsidR="00C40A42" w:rsidTr="00864AD0">
              <w:trPr>
                <w:trHeight w:val="423"/>
              </w:trPr>
              <w:tc>
                <w:tcPr>
                  <w:tcW w:w="11339" w:type="dxa"/>
                  <w:vAlign w:val="bottom"/>
                </w:tcPr>
                <w:p w:rsidR="00C40A42" w:rsidRDefault="00C40A42" w:rsidP="00C40A42">
                  <w:pPr>
                    <w:tabs>
                      <w:tab w:val="left" w:pos="7122"/>
                    </w:tabs>
                    <w:spacing w:after="0" w:line="240" w:lineRule="auto"/>
                    <w:ind w:right="1167"/>
                    <w:jc w:val="right"/>
                    <w:rPr>
                      <w:rFonts w:ascii="Times New Roman" w:hAnsi="Times New Roman"/>
                      <w:b/>
                      <w:bCs/>
                      <w:color w:val="000000"/>
                      <w:sz w:val="24"/>
                      <w:szCs w:val="24"/>
                    </w:rPr>
                  </w:pPr>
                  <w:r>
                    <w:rPr>
                      <w:rFonts w:ascii="Times New Roman" w:hAnsi="Times New Roman"/>
                      <w:b/>
                      <w:bCs/>
                      <w:color w:val="000000"/>
                      <w:sz w:val="24"/>
                      <w:szCs w:val="24"/>
                    </w:rPr>
                    <w:lastRenderedPageBreak/>
                    <w:t>Приложение №1</w:t>
                  </w:r>
                </w:p>
                <w:p w:rsidR="00C40A42" w:rsidRDefault="00C40A42" w:rsidP="00864AD0">
                  <w:pPr>
                    <w:spacing w:after="0" w:line="240" w:lineRule="auto"/>
                    <w:ind w:left="-142" w:firstLine="142"/>
                    <w:jc w:val="center"/>
                    <w:rPr>
                      <w:rFonts w:ascii="Times New Roman" w:hAnsi="Times New Roman"/>
                      <w:b/>
                      <w:bCs/>
                      <w:color w:val="000000"/>
                    </w:rPr>
                  </w:pPr>
                </w:p>
              </w:tc>
            </w:tr>
            <w:tr w:rsidR="00C40A42" w:rsidTr="00864AD0">
              <w:trPr>
                <w:trHeight w:val="420"/>
              </w:trPr>
              <w:tc>
                <w:tcPr>
                  <w:tcW w:w="11339" w:type="dxa"/>
                  <w:vAlign w:val="bottom"/>
                  <w:hideMark/>
                </w:tcPr>
                <w:p w:rsidR="00C40A42" w:rsidRDefault="00C40A42" w:rsidP="00864AD0">
                  <w:pPr>
                    <w:spacing w:after="0" w:line="240" w:lineRule="auto"/>
                    <w:ind w:left="-108"/>
                    <w:jc w:val="center"/>
                    <w:rPr>
                      <w:rFonts w:ascii="Times New Roman" w:hAnsi="Times New Roman"/>
                      <w:b/>
                      <w:bCs/>
                      <w:color w:val="000000"/>
                      <w:sz w:val="24"/>
                      <w:szCs w:val="24"/>
                    </w:rPr>
                  </w:pPr>
                  <w:r>
                    <w:rPr>
                      <w:rFonts w:ascii="Times New Roman" w:hAnsi="Times New Roman"/>
                      <w:b/>
                      <w:bCs/>
                      <w:color w:val="000000"/>
                      <w:sz w:val="24"/>
                      <w:szCs w:val="24"/>
                    </w:rPr>
                    <w:t>Основные макроэкономические показатели</w:t>
                  </w:r>
                </w:p>
                <w:p w:rsidR="00C40A42" w:rsidRDefault="00C40A42" w:rsidP="00864AD0">
                  <w:pPr>
                    <w:spacing w:after="0" w:line="240" w:lineRule="auto"/>
                    <w:ind w:left="-108"/>
                    <w:jc w:val="center"/>
                    <w:rPr>
                      <w:rFonts w:ascii="Times New Roman" w:hAnsi="Times New Roman"/>
                      <w:b/>
                      <w:bCs/>
                      <w:color w:val="000000"/>
                      <w:sz w:val="24"/>
                      <w:szCs w:val="24"/>
                    </w:rPr>
                  </w:pPr>
                  <w:r>
                    <w:rPr>
                      <w:rFonts w:ascii="Times New Roman" w:hAnsi="Times New Roman"/>
                      <w:b/>
                      <w:bCs/>
                      <w:color w:val="000000"/>
                      <w:sz w:val="24"/>
                      <w:szCs w:val="24"/>
                    </w:rPr>
                    <w:t>Приднестровской Молдавской Республики за январь-июнь 2017года</w:t>
                  </w:r>
                </w:p>
              </w:tc>
            </w:tr>
          </w:tbl>
          <w:p w:rsidR="00C40A42" w:rsidRDefault="00C40A42" w:rsidP="00864AD0">
            <w:pPr>
              <w:spacing w:after="0" w:line="240" w:lineRule="auto"/>
              <w:ind w:left="-142" w:firstLine="142"/>
              <w:rPr>
                <w:rFonts w:ascii="Times New Roman" w:hAnsi="Times New Roman"/>
                <w:b/>
                <w:bCs/>
                <w:color w:val="000000"/>
                <w:sz w:val="28"/>
                <w:szCs w:val="28"/>
              </w:rPr>
            </w:pPr>
          </w:p>
        </w:tc>
      </w:tr>
      <w:tr w:rsidR="00C40A42" w:rsidTr="00C40A42">
        <w:trPr>
          <w:trHeight w:val="80"/>
        </w:trPr>
        <w:tc>
          <w:tcPr>
            <w:tcW w:w="4361" w:type="dxa"/>
            <w:gridSpan w:val="2"/>
            <w:tcBorders>
              <w:top w:val="nil"/>
              <w:left w:val="nil"/>
              <w:bottom w:val="single" w:sz="4" w:space="0" w:color="auto"/>
              <w:right w:val="nil"/>
            </w:tcBorders>
            <w:noWrap/>
            <w:vAlign w:val="bottom"/>
          </w:tcPr>
          <w:p w:rsidR="00C40A42" w:rsidRDefault="00C40A42" w:rsidP="00864AD0">
            <w:pPr>
              <w:spacing w:after="0" w:line="240" w:lineRule="auto"/>
              <w:ind w:left="-142" w:firstLine="142"/>
              <w:rPr>
                <w:color w:val="000000"/>
              </w:rPr>
            </w:pPr>
          </w:p>
        </w:tc>
        <w:tc>
          <w:tcPr>
            <w:tcW w:w="850" w:type="dxa"/>
            <w:tcBorders>
              <w:top w:val="nil"/>
              <w:left w:val="nil"/>
              <w:bottom w:val="single" w:sz="4" w:space="0" w:color="auto"/>
              <w:right w:val="nil"/>
            </w:tcBorders>
            <w:noWrap/>
            <w:vAlign w:val="bottom"/>
          </w:tcPr>
          <w:p w:rsidR="00C40A42" w:rsidRDefault="00C40A42" w:rsidP="00864AD0">
            <w:pPr>
              <w:spacing w:after="0" w:line="240" w:lineRule="auto"/>
              <w:ind w:left="-142" w:firstLine="142"/>
              <w:rPr>
                <w:color w:val="000000"/>
              </w:rPr>
            </w:pPr>
          </w:p>
        </w:tc>
        <w:tc>
          <w:tcPr>
            <w:tcW w:w="1134" w:type="dxa"/>
            <w:tcBorders>
              <w:top w:val="nil"/>
              <w:left w:val="nil"/>
              <w:bottom w:val="single" w:sz="4" w:space="0" w:color="auto"/>
              <w:right w:val="nil"/>
            </w:tcBorders>
            <w:noWrap/>
            <w:vAlign w:val="bottom"/>
          </w:tcPr>
          <w:p w:rsidR="00C40A42" w:rsidRDefault="00C40A42" w:rsidP="00864AD0">
            <w:pPr>
              <w:spacing w:after="0" w:line="240" w:lineRule="auto"/>
              <w:ind w:left="-142" w:firstLine="142"/>
              <w:rPr>
                <w:color w:val="000000"/>
              </w:rPr>
            </w:pPr>
          </w:p>
        </w:tc>
        <w:tc>
          <w:tcPr>
            <w:tcW w:w="709" w:type="dxa"/>
            <w:tcBorders>
              <w:top w:val="nil"/>
              <w:left w:val="nil"/>
              <w:bottom w:val="single" w:sz="4" w:space="0" w:color="auto"/>
              <w:right w:val="nil"/>
            </w:tcBorders>
            <w:noWrap/>
            <w:vAlign w:val="bottom"/>
          </w:tcPr>
          <w:p w:rsidR="00C40A42" w:rsidRDefault="00C40A42" w:rsidP="00864AD0">
            <w:pPr>
              <w:spacing w:after="0" w:line="240" w:lineRule="auto"/>
              <w:ind w:left="-142" w:firstLine="142"/>
              <w:rPr>
                <w:color w:val="000000"/>
              </w:rPr>
            </w:pPr>
          </w:p>
        </w:tc>
        <w:tc>
          <w:tcPr>
            <w:tcW w:w="969" w:type="dxa"/>
            <w:gridSpan w:val="2"/>
            <w:tcBorders>
              <w:top w:val="nil"/>
              <w:left w:val="nil"/>
              <w:bottom w:val="single" w:sz="4" w:space="0" w:color="auto"/>
              <w:right w:val="nil"/>
            </w:tcBorders>
            <w:noWrap/>
            <w:vAlign w:val="bottom"/>
          </w:tcPr>
          <w:p w:rsidR="00C40A42" w:rsidRDefault="00C40A42" w:rsidP="00864AD0">
            <w:pPr>
              <w:spacing w:after="0" w:line="240" w:lineRule="auto"/>
              <w:ind w:left="-142" w:firstLine="142"/>
              <w:rPr>
                <w:color w:val="000000"/>
              </w:rPr>
            </w:pPr>
          </w:p>
        </w:tc>
        <w:tc>
          <w:tcPr>
            <w:tcW w:w="1016" w:type="dxa"/>
            <w:gridSpan w:val="2"/>
            <w:tcBorders>
              <w:top w:val="nil"/>
              <w:left w:val="nil"/>
              <w:bottom w:val="single" w:sz="4" w:space="0" w:color="auto"/>
              <w:right w:val="nil"/>
            </w:tcBorders>
            <w:noWrap/>
            <w:vAlign w:val="bottom"/>
          </w:tcPr>
          <w:p w:rsidR="00C40A42" w:rsidRDefault="00C40A42" w:rsidP="00864AD0">
            <w:pPr>
              <w:spacing w:after="0" w:line="240" w:lineRule="auto"/>
              <w:ind w:left="-142" w:firstLine="142"/>
              <w:rPr>
                <w:color w:val="000000"/>
              </w:rPr>
            </w:pPr>
          </w:p>
        </w:tc>
        <w:tc>
          <w:tcPr>
            <w:tcW w:w="1082" w:type="dxa"/>
            <w:gridSpan w:val="2"/>
            <w:tcBorders>
              <w:top w:val="nil"/>
              <w:left w:val="nil"/>
              <w:bottom w:val="single" w:sz="4" w:space="0" w:color="auto"/>
              <w:right w:val="nil"/>
            </w:tcBorders>
          </w:tcPr>
          <w:p w:rsidR="00C40A42" w:rsidRDefault="00C40A42" w:rsidP="00864AD0">
            <w:pPr>
              <w:spacing w:after="0" w:line="240" w:lineRule="auto"/>
              <w:ind w:left="-142" w:firstLine="142"/>
              <w:rPr>
                <w:color w:val="000000"/>
              </w:rPr>
            </w:pPr>
          </w:p>
        </w:tc>
        <w:tc>
          <w:tcPr>
            <w:tcW w:w="1086" w:type="dxa"/>
            <w:gridSpan w:val="2"/>
            <w:tcBorders>
              <w:top w:val="nil"/>
              <w:left w:val="nil"/>
              <w:right w:val="nil"/>
            </w:tcBorders>
            <w:noWrap/>
            <w:vAlign w:val="bottom"/>
          </w:tcPr>
          <w:p w:rsidR="00C40A42" w:rsidRDefault="00C40A42" w:rsidP="00864AD0">
            <w:pPr>
              <w:spacing w:after="0" w:line="240" w:lineRule="auto"/>
              <w:ind w:left="-142" w:firstLine="142"/>
              <w:rPr>
                <w:color w:val="000000"/>
              </w:rPr>
            </w:pPr>
          </w:p>
        </w:tc>
      </w:tr>
      <w:tr w:rsidR="00C40A42" w:rsidTr="00C40A42">
        <w:trPr>
          <w:gridAfter w:val="1"/>
          <w:wAfter w:w="893" w:type="dxa"/>
          <w:trHeight w:val="878"/>
        </w:trPr>
        <w:tc>
          <w:tcPr>
            <w:tcW w:w="4361" w:type="dxa"/>
            <w:gridSpan w:val="2"/>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Показатели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 xml:space="preserve">Ед. </w:t>
            </w:r>
            <w:proofErr w:type="spellStart"/>
            <w:r>
              <w:rPr>
                <w:rFonts w:ascii="Times New Roman" w:hAnsi="Times New Roman"/>
                <w:b/>
                <w:bCs/>
                <w:color w:val="000000"/>
                <w:sz w:val="20"/>
                <w:szCs w:val="20"/>
              </w:rPr>
              <w:t>изм</w:t>
            </w:r>
            <w:proofErr w:type="spellEnd"/>
            <w:r>
              <w:rPr>
                <w:rFonts w:ascii="Times New Roman" w:hAnsi="Times New Roman"/>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 xml:space="preserve">Факт за I полугодие </w:t>
            </w:r>
          </w:p>
          <w:p w:rsidR="00C40A42" w:rsidRDefault="00C40A42" w:rsidP="00864AD0">
            <w:pPr>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2015 г.</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tabs>
                <w:tab w:val="left" w:pos="918"/>
              </w:tabs>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Факт за I полугодие 2016 г.</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left="-95" w:right="-80" w:firstLine="10"/>
              <w:jc w:val="center"/>
              <w:rPr>
                <w:rFonts w:ascii="Times New Roman" w:hAnsi="Times New Roman"/>
                <w:b/>
                <w:bCs/>
                <w:color w:val="000000"/>
                <w:sz w:val="20"/>
                <w:szCs w:val="20"/>
              </w:rPr>
            </w:pPr>
            <w:r>
              <w:rPr>
                <w:rFonts w:ascii="Times New Roman" w:hAnsi="Times New Roman"/>
                <w:b/>
                <w:bCs/>
                <w:color w:val="000000"/>
                <w:sz w:val="20"/>
                <w:szCs w:val="20"/>
              </w:rPr>
              <w:t>Темп роста* 2016 г. к 2015 г., %</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 xml:space="preserve">Факт за I полугодие </w:t>
            </w:r>
          </w:p>
          <w:p w:rsidR="00C40A42" w:rsidRDefault="00C40A42" w:rsidP="00864AD0">
            <w:pPr>
              <w:spacing w:after="0" w:line="240" w:lineRule="auto"/>
              <w:ind w:left="-142" w:right="-108" w:firstLine="34"/>
              <w:jc w:val="center"/>
              <w:rPr>
                <w:rFonts w:ascii="Times New Roman" w:hAnsi="Times New Roman"/>
                <w:b/>
                <w:bCs/>
                <w:color w:val="000000"/>
                <w:sz w:val="20"/>
                <w:szCs w:val="20"/>
              </w:rPr>
            </w:pPr>
            <w:r>
              <w:rPr>
                <w:rFonts w:ascii="Times New Roman" w:hAnsi="Times New Roman"/>
                <w:b/>
                <w:bCs/>
                <w:color w:val="000000"/>
                <w:sz w:val="20"/>
                <w:szCs w:val="20"/>
              </w:rPr>
              <w:t>2017 г.</w:t>
            </w:r>
          </w:p>
        </w:tc>
        <w:tc>
          <w:tcPr>
            <w:tcW w:w="850" w:type="dxa"/>
            <w:gridSpan w:val="2"/>
            <w:tcBorders>
              <w:top w:val="single" w:sz="4" w:space="0" w:color="auto"/>
              <w:left w:val="single" w:sz="4" w:space="0" w:color="auto"/>
              <w:bottom w:val="single" w:sz="4" w:space="0" w:color="auto"/>
              <w:right w:val="single" w:sz="4" w:space="0" w:color="auto"/>
            </w:tcBorders>
          </w:tcPr>
          <w:p w:rsidR="00C40A42" w:rsidRDefault="00C40A42" w:rsidP="00864AD0">
            <w:pPr>
              <w:spacing w:after="0" w:line="240" w:lineRule="auto"/>
              <w:ind w:left="-108" w:right="-108"/>
              <w:jc w:val="center"/>
              <w:rPr>
                <w:rFonts w:ascii="Times New Roman" w:hAnsi="Times New Roman"/>
                <w:b/>
                <w:bCs/>
                <w:color w:val="000000"/>
                <w:sz w:val="20"/>
                <w:szCs w:val="20"/>
              </w:rPr>
            </w:pPr>
            <w:r>
              <w:rPr>
                <w:rFonts w:ascii="Times New Roman" w:hAnsi="Times New Roman"/>
                <w:b/>
                <w:bCs/>
                <w:color w:val="000000"/>
                <w:sz w:val="20"/>
                <w:szCs w:val="20"/>
              </w:rPr>
              <w:t>Темп роста*    2017 г. к 2016 г., %</w:t>
            </w:r>
          </w:p>
        </w:tc>
      </w:tr>
      <w:tr w:rsidR="00C40A42" w:rsidTr="00C40A42">
        <w:trPr>
          <w:gridAfter w:val="1"/>
          <w:wAfter w:w="893" w:type="dxa"/>
          <w:trHeight w:val="97"/>
        </w:trPr>
        <w:tc>
          <w:tcPr>
            <w:tcW w:w="436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50" w:type="dxa"/>
            <w:gridSpan w:val="2"/>
            <w:tcBorders>
              <w:top w:val="single" w:sz="4" w:space="0" w:color="auto"/>
              <w:left w:val="single" w:sz="4" w:space="0" w:color="auto"/>
              <w:bottom w:val="single" w:sz="4" w:space="0" w:color="auto"/>
              <w:right w:val="single" w:sz="4" w:space="0" w:color="auto"/>
            </w:tcBorders>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7</w:t>
            </w:r>
          </w:p>
        </w:tc>
      </w:tr>
      <w:tr w:rsidR="00C40A42" w:rsidRPr="002361A2" w:rsidTr="00C40A42">
        <w:trPr>
          <w:gridAfter w:val="1"/>
          <w:wAfter w:w="893" w:type="dxa"/>
          <w:trHeight w:val="225"/>
        </w:trPr>
        <w:tc>
          <w:tcPr>
            <w:tcW w:w="43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C24B55" w:rsidRDefault="00C40A42" w:rsidP="00864AD0">
            <w:pPr>
              <w:spacing w:after="0" w:line="240" w:lineRule="auto"/>
              <w:ind w:left="-142" w:firstLine="10"/>
              <w:jc w:val="right"/>
              <w:rPr>
                <w:rFonts w:ascii="Times New Roman" w:hAnsi="Times New Roman"/>
                <w:color w:val="000000"/>
                <w:sz w:val="20"/>
                <w:szCs w:val="20"/>
              </w:rPr>
            </w:pPr>
            <w:r w:rsidRPr="00C24B55">
              <w:rPr>
                <w:rFonts w:ascii="Times New Roman" w:hAnsi="Times New Roman"/>
                <w:color w:val="000000"/>
                <w:sz w:val="20"/>
                <w:szCs w:val="20"/>
              </w:rPr>
              <w:t>3 753,0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6686F" w:rsidRDefault="00C40A42" w:rsidP="00864AD0">
            <w:pPr>
              <w:spacing w:after="0" w:line="240" w:lineRule="auto"/>
              <w:ind w:left="-142" w:firstLine="142"/>
              <w:jc w:val="right"/>
              <w:rPr>
                <w:rFonts w:ascii="Times New Roman" w:hAnsi="Times New Roman"/>
                <w:color w:val="000000"/>
                <w:sz w:val="20"/>
                <w:szCs w:val="20"/>
              </w:rPr>
            </w:pPr>
            <w:r w:rsidRPr="0076686F">
              <w:rPr>
                <w:rFonts w:ascii="Times New Roman" w:hAnsi="Times New Roman"/>
                <w:color w:val="000000"/>
                <w:sz w:val="20"/>
                <w:szCs w:val="20"/>
              </w:rPr>
              <w:t>3 950,0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A42" w:rsidRPr="001760CB" w:rsidRDefault="00C40A42" w:rsidP="00864AD0">
            <w:pPr>
              <w:spacing w:after="0" w:line="240" w:lineRule="auto"/>
              <w:ind w:left="-142" w:firstLine="142"/>
              <w:jc w:val="right"/>
              <w:rPr>
                <w:rFonts w:ascii="Times New Roman" w:hAnsi="Times New Roman"/>
                <w:color w:val="000000"/>
                <w:sz w:val="20"/>
                <w:szCs w:val="20"/>
              </w:rPr>
            </w:pPr>
            <w:r w:rsidRPr="001760CB">
              <w:rPr>
                <w:rFonts w:ascii="Times New Roman" w:hAnsi="Times New Roman"/>
                <w:color w:val="000000"/>
                <w:sz w:val="20"/>
                <w:szCs w:val="20"/>
              </w:rPr>
              <w:t>111,2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22EE1" w:rsidRDefault="00C40A42" w:rsidP="00864AD0">
            <w:pPr>
              <w:spacing w:after="0" w:line="240" w:lineRule="auto"/>
              <w:ind w:left="-142" w:firstLine="142"/>
              <w:jc w:val="right"/>
              <w:rPr>
                <w:rFonts w:ascii="Times New Roman" w:hAnsi="Times New Roman"/>
                <w:color w:val="000000"/>
                <w:sz w:val="20"/>
                <w:szCs w:val="20"/>
              </w:rPr>
            </w:pPr>
            <w:r w:rsidRPr="00122EE1">
              <w:rPr>
                <w:rFonts w:ascii="Times New Roman" w:hAnsi="Times New Roman"/>
                <w:color w:val="000000"/>
                <w:sz w:val="20"/>
                <w:szCs w:val="20"/>
              </w:rPr>
              <w:t>3 913,5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22EE1" w:rsidRDefault="00C40A42" w:rsidP="00864AD0">
            <w:pPr>
              <w:spacing w:after="0" w:line="240" w:lineRule="auto"/>
              <w:ind w:left="-142" w:firstLine="142"/>
              <w:jc w:val="right"/>
              <w:rPr>
                <w:rFonts w:ascii="Times New Roman" w:hAnsi="Times New Roman"/>
                <w:color w:val="000000"/>
                <w:sz w:val="20"/>
                <w:szCs w:val="20"/>
              </w:rPr>
            </w:pPr>
            <w:r w:rsidRPr="00122EE1">
              <w:rPr>
                <w:rFonts w:ascii="Times New Roman" w:hAnsi="Times New Roman"/>
                <w:color w:val="000000"/>
                <w:sz w:val="20"/>
                <w:szCs w:val="20"/>
              </w:rPr>
              <w:t>95,4</w:t>
            </w:r>
          </w:p>
        </w:tc>
      </w:tr>
      <w:tr w:rsidR="00C40A42" w:rsidRPr="002361A2" w:rsidTr="00C40A42">
        <w:trPr>
          <w:gridAfter w:val="1"/>
          <w:wAfter w:w="893" w:type="dxa"/>
          <w:trHeight w:val="272"/>
        </w:trPr>
        <w:tc>
          <w:tcPr>
            <w:tcW w:w="43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C24B55" w:rsidRDefault="00C40A42" w:rsidP="00864AD0">
            <w:pPr>
              <w:spacing w:after="0" w:line="240" w:lineRule="auto"/>
              <w:ind w:left="-142" w:firstLine="142"/>
              <w:jc w:val="right"/>
              <w:rPr>
                <w:rFonts w:ascii="Times New Roman" w:hAnsi="Times New Roman"/>
                <w:color w:val="000000"/>
                <w:sz w:val="20"/>
                <w:szCs w:val="20"/>
              </w:rPr>
            </w:pPr>
            <w:r w:rsidRPr="00C24B55">
              <w:rPr>
                <w:rFonts w:ascii="Times New Roman" w:hAnsi="Times New Roman"/>
                <w:color w:val="000000"/>
                <w:sz w:val="20"/>
                <w:szCs w:val="20"/>
              </w:rPr>
              <w:t>338,1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6686F" w:rsidRDefault="00C40A42" w:rsidP="00864AD0">
            <w:pPr>
              <w:spacing w:after="0" w:line="240" w:lineRule="auto"/>
              <w:ind w:left="-142" w:firstLine="142"/>
              <w:jc w:val="right"/>
              <w:rPr>
                <w:rFonts w:ascii="Times New Roman" w:hAnsi="Times New Roman"/>
                <w:color w:val="000000"/>
                <w:sz w:val="20"/>
                <w:szCs w:val="20"/>
              </w:rPr>
            </w:pPr>
            <w:r w:rsidRPr="0076686F">
              <w:rPr>
                <w:rFonts w:ascii="Times New Roman" w:hAnsi="Times New Roman"/>
                <w:color w:val="000000"/>
                <w:sz w:val="20"/>
                <w:szCs w:val="20"/>
              </w:rPr>
              <w:t>35</w:t>
            </w:r>
            <w:r>
              <w:rPr>
                <w:rFonts w:ascii="Times New Roman" w:hAnsi="Times New Roman"/>
                <w:color w:val="000000"/>
                <w:sz w:val="20"/>
                <w:szCs w:val="20"/>
              </w:rPr>
              <w:t>2</w:t>
            </w:r>
            <w:r w:rsidRPr="0076686F">
              <w:rPr>
                <w:rFonts w:ascii="Times New Roman" w:hAnsi="Times New Roman"/>
                <w:color w:val="000000"/>
                <w:sz w:val="20"/>
                <w:szCs w:val="20"/>
              </w:rPr>
              <w:t>,</w:t>
            </w:r>
            <w:r>
              <w:rPr>
                <w:rFonts w:ascii="Times New Roman" w:hAnsi="Times New Roman"/>
                <w:color w:val="000000"/>
                <w:sz w:val="20"/>
                <w:szCs w:val="20"/>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A42" w:rsidRPr="001760CB" w:rsidRDefault="00C40A42" w:rsidP="00864AD0">
            <w:pPr>
              <w:spacing w:after="0" w:line="240" w:lineRule="auto"/>
              <w:ind w:left="-142" w:firstLine="142"/>
              <w:jc w:val="right"/>
              <w:rPr>
                <w:rFonts w:ascii="Times New Roman" w:hAnsi="Times New Roman"/>
                <w:color w:val="000000"/>
                <w:sz w:val="20"/>
                <w:szCs w:val="20"/>
              </w:rPr>
            </w:pPr>
            <w:r w:rsidRPr="001760CB">
              <w:rPr>
                <w:rFonts w:ascii="Times New Roman" w:hAnsi="Times New Roman"/>
                <w:color w:val="000000"/>
                <w:sz w:val="20"/>
                <w:szCs w:val="20"/>
              </w:rPr>
              <w:t>11</w:t>
            </w:r>
            <w:r>
              <w:rPr>
                <w:rFonts w:ascii="Times New Roman" w:hAnsi="Times New Roman"/>
                <w:color w:val="000000"/>
                <w:sz w:val="20"/>
                <w:szCs w:val="20"/>
              </w:rPr>
              <w:t>0</w:t>
            </w:r>
            <w:r w:rsidRPr="001760CB">
              <w:rPr>
                <w:rFonts w:ascii="Times New Roman" w:hAnsi="Times New Roman"/>
                <w:color w:val="000000"/>
                <w:sz w:val="20"/>
                <w:szCs w:val="20"/>
              </w:rPr>
              <w:t>,</w:t>
            </w:r>
            <w:r>
              <w:rPr>
                <w:rFonts w:ascii="Times New Roman" w:hAnsi="Times New Roman"/>
                <w:color w:val="00000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22EE1" w:rsidRDefault="00C40A42" w:rsidP="00864AD0">
            <w:pPr>
              <w:spacing w:after="0" w:line="240" w:lineRule="auto"/>
              <w:ind w:left="-142" w:firstLine="142"/>
              <w:jc w:val="right"/>
              <w:rPr>
                <w:rFonts w:ascii="Times New Roman" w:hAnsi="Times New Roman"/>
                <w:color w:val="000000"/>
                <w:sz w:val="20"/>
                <w:szCs w:val="20"/>
              </w:rPr>
            </w:pPr>
            <w:r w:rsidRPr="00122EE1">
              <w:rPr>
                <w:rFonts w:ascii="Times New Roman" w:hAnsi="Times New Roman"/>
                <w:color w:val="000000"/>
                <w:sz w:val="20"/>
                <w:szCs w:val="20"/>
              </w:rPr>
              <w:t>337,8</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22EE1" w:rsidRDefault="00C40A42" w:rsidP="00864AD0">
            <w:pPr>
              <w:spacing w:after="0" w:line="240" w:lineRule="auto"/>
              <w:ind w:left="-142" w:firstLine="142"/>
              <w:jc w:val="right"/>
              <w:rPr>
                <w:rFonts w:ascii="Times New Roman" w:hAnsi="Times New Roman"/>
                <w:color w:val="000000"/>
                <w:sz w:val="20"/>
                <w:szCs w:val="20"/>
              </w:rPr>
            </w:pPr>
            <w:r w:rsidRPr="00122EE1">
              <w:rPr>
                <w:rFonts w:ascii="Times New Roman" w:hAnsi="Times New Roman"/>
                <w:color w:val="000000"/>
                <w:sz w:val="20"/>
                <w:szCs w:val="20"/>
              </w:rPr>
              <w:t>92,4</w:t>
            </w:r>
          </w:p>
        </w:tc>
      </w:tr>
      <w:tr w:rsidR="00C40A42" w:rsidRPr="002361A2" w:rsidTr="00C40A42">
        <w:trPr>
          <w:gridAfter w:val="1"/>
          <w:wAfter w:w="893" w:type="dxa"/>
          <w:trHeight w:val="409"/>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промышленного производства (оценка)</w:t>
            </w:r>
            <w:r>
              <w:rPr>
                <w:rFonts w:ascii="Times New Roman" w:hAnsi="Times New Roman"/>
                <w:color w:val="000000"/>
                <w:sz w:val="20"/>
                <w:szCs w:val="20"/>
                <w:vertAlign w:val="superscript"/>
              </w:rPr>
              <w:t>1</w:t>
            </w:r>
            <w:r>
              <w:rPr>
                <w:rFonts w:ascii="Times New Roman" w:hAnsi="Times New Roman"/>
                <w:color w:val="000000"/>
                <w:sz w:val="20"/>
                <w:szCs w:val="20"/>
              </w:rPr>
              <w:t xml:space="preserve"> (в текущих ценах)</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4 404,6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90C9D" w:rsidRDefault="00C40A42" w:rsidP="00864AD0">
            <w:pPr>
              <w:spacing w:after="0" w:line="240" w:lineRule="auto"/>
              <w:ind w:left="-142" w:firstLine="142"/>
              <w:jc w:val="right"/>
              <w:rPr>
                <w:rFonts w:ascii="Times New Roman" w:hAnsi="Times New Roman"/>
                <w:color w:val="000000"/>
                <w:sz w:val="20"/>
                <w:szCs w:val="20"/>
              </w:rPr>
            </w:pPr>
            <w:r w:rsidRPr="00390C9D">
              <w:rPr>
                <w:rFonts w:ascii="Times New Roman" w:hAnsi="Times New Roman"/>
                <w:color w:val="000000"/>
                <w:sz w:val="20"/>
                <w:szCs w:val="20"/>
              </w:rPr>
              <w:t>4 024,6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A42" w:rsidRPr="001760CB" w:rsidRDefault="00C40A42" w:rsidP="00864AD0">
            <w:pPr>
              <w:spacing w:after="0" w:line="240" w:lineRule="auto"/>
              <w:ind w:left="-142" w:firstLine="142"/>
              <w:jc w:val="right"/>
              <w:rPr>
                <w:rFonts w:ascii="Times New Roman" w:hAnsi="Times New Roman"/>
                <w:color w:val="000000"/>
                <w:sz w:val="20"/>
                <w:szCs w:val="20"/>
              </w:rPr>
            </w:pPr>
            <w:r w:rsidRPr="001760CB">
              <w:rPr>
                <w:rFonts w:ascii="Times New Roman" w:hAnsi="Times New Roman"/>
                <w:color w:val="000000"/>
                <w:sz w:val="20"/>
                <w:szCs w:val="20"/>
              </w:rPr>
              <w:t>90,5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90C9D"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3 989,6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90C9D"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94,7</w:t>
            </w:r>
          </w:p>
        </w:tc>
      </w:tr>
      <w:tr w:rsidR="00C40A42" w:rsidRPr="002361A2" w:rsidTr="00C40A42">
        <w:trPr>
          <w:gridAfter w:val="1"/>
          <w:wAfter w:w="893" w:type="dxa"/>
          <w:trHeight w:val="359"/>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том числе по предприятия промышленности (в текущих ценах)</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4</w:t>
            </w:r>
            <w:r w:rsidRPr="001E3A72">
              <w:rPr>
                <w:rFonts w:ascii="Times New Roman" w:hAnsi="Times New Roman"/>
                <w:sz w:val="20"/>
                <w:szCs w:val="20"/>
              </w:rPr>
              <w:t> </w:t>
            </w:r>
            <w:r>
              <w:rPr>
                <w:rFonts w:ascii="Times New Roman" w:hAnsi="Times New Roman"/>
                <w:sz w:val="20"/>
                <w:szCs w:val="20"/>
              </w:rPr>
              <w:t>159</w:t>
            </w:r>
            <w:r w:rsidRPr="001E3A72">
              <w:rPr>
                <w:rFonts w:ascii="Times New Roman" w:hAnsi="Times New Roman"/>
                <w:sz w:val="20"/>
                <w:szCs w:val="20"/>
              </w:rPr>
              <w:t>,</w:t>
            </w:r>
            <w:r>
              <w:rPr>
                <w:rFonts w:ascii="Times New Roman" w:hAnsi="Times New Roman"/>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C34169" w:rsidRDefault="00C40A42" w:rsidP="00864AD0">
            <w:pPr>
              <w:spacing w:after="0" w:line="240" w:lineRule="auto"/>
              <w:ind w:left="-142" w:firstLine="142"/>
              <w:jc w:val="right"/>
              <w:rPr>
                <w:rFonts w:ascii="Times New Roman" w:hAnsi="Times New Roman"/>
                <w:sz w:val="20"/>
                <w:szCs w:val="20"/>
              </w:rPr>
            </w:pPr>
            <w:r w:rsidRPr="00C34169">
              <w:rPr>
                <w:rFonts w:ascii="Times New Roman" w:hAnsi="Times New Roman"/>
                <w:sz w:val="20"/>
                <w:szCs w:val="20"/>
              </w:rPr>
              <w:t>3 836,4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C34169" w:rsidRDefault="00C40A42" w:rsidP="00864AD0">
            <w:pPr>
              <w:spacing w:after="0" w:line="240" w:lineRule="auto"/>
              <w:ind w:left="-142" w:firstLine="142"/>
              <w:jc w:val="right"/>
              <w:rPr>
                <w:rFonts w:ascii="Times New Roman" w:hAnsi="Times New Roman"/>
                <w:sz w:val="20"/>
                <w:szCs w:val="20"/>
              </w:rPr>
            </w:pPr>
            <w:r w:rsidRPr="00C34169">
              <w:rPr>
                <w:rFonts w:ascii="Times New Roman" w:hAnsi="Times New Roman"/>
                <w:sz w:val="20"/>
                <w:szCs w:val="20"/>
              </w:rPr>
              <w:t>91,6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C34169" w:rsidRDefault="00C40A42" w:rsidP="00864AD0">
            <w:pPr>
              <w:spacing w:after="0" w:line="240" w:lineRule="auto"/>
              <w:ind w:left="-142" w:firstLine="142"/>
              <w:jc w:val="right"/>
              <w:rPr>
                <w:rFonts w:ascii="Times New Roman" w:hAnsi="Times New Roman"/>
                <w:sz w:val="20"/>
                <w:szCs w:val="20"/>
              </w:rPr>
            </w:pPr>
            <w:r>
              <w:rPr>
                <w:rFonts w:ascii="Times New Roman" w:hAnsi="Times New Roman"/>
                <w:sz w:val="20"/>
                <w:szCs w:val="20"/>
              </w:rPr>
              <w:t>3 766,7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C34169" w:rsidRDefault="00C40A42" w:rsidP="00864AD0">
            <w:pPr>
              <w:spacing w:after="0" w:line="240" w:lineRule="auto"/>
              <w:ind w:left="-142" w:firstLine="142"/>
              <w:jc w:val="right"/>
              <w:rPr>
                <w:rFonts w:ascii="Times New Roman" w:hAnsi="Times New Roman"/>
                <w:sz w:val="20"/>
                <w:szCs w:val="20"/>
              </w:rPr>
            </w:pPr>
            <w:r>
              <w:rPr>
                <w:rFonts w:ascii="Times New Roman" w:hAnsi="Times New Roman"/>
                <w:sz w:val="20"/>
                <w:szCs w:val="20"/>
              </w:rPr>
              <w:t>94,2</w:t>
            </w:r>
          </w:p>
        </w:tc>
      </w:tr>
      <w:tr w:rsidR="00C40A42" w:rsidRPr="002361A2" w:rsidTr="00C40A42">
        <w:trPr>
          <w:gridAfter w:val="1"/>
          <w:wAfter w:w="893" w:type="dxa"/>
          <w:trHeight w:val="324"/>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промышленного производства по полному кругу предприятий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396,8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90C9D" w:rsidRDefault="00C40A42" w:rsidP="00864AD0">
            <w:pPr>
              <w:spacing w:after="0" w:line="240" w:lineRule="auto"/>
              <w:ind w:left="-142" w:firstLine="142"/>
              <w:jc w:val="right"/>
              <w:rPr>
                <w:rFonts w:ascii="Times New Roman" w:hAnsi="Times New Roman"/>
                <w:color w:val="000000"/>
                <w:sz w:val="20"/>
                <w:szCs w:val="20"/>
              </w:rPr>
            </w:pPr>
            <w:r w:rsidRPr="00390C9D">
              <w:rPr>
                <w:rFonts w:ascii="Times New Roman" w:hAnsi="Times New Roman"/>
                <w:color w:val="000000"/>
                <w:sz w:val="20"/>
                <w:szCs w:val="20"/>
              </w:rPr>
              <w:t>358,</w:t>
            </w:r>
            <w:r>
              <w:rPr>
                <w:rFonts w:ascii="Times New Roman" w:hAnsi="Times New Roman"/>
                <w:color w:val="000000"/>
                <w:sz w:val="20"/>
                <w:szCs w:val="20"/>
              </w:rPr>
              <w:t>8</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90C9D" w:rsidRDefault="00C40A42" w:rsidP="00864AD0">
            <w:pPr>
              <w:spacing w:after="0" w:line="240" w:lineRule="auto"/>
              <w:ind w:left="-142" w:firstLine="142"/>
              <w:jc w:val="right"/>
              <w:rPr>
                <w:rFonts w:ascii="Times New Roman" w:hAnsi="Times New Roman"/>
                <w:color w:val="000000"/>
                <w:sz w:val="20"/>
                <w:szCs w:val="20"/>
              </w:rPr>
            </w:pPr>
            <w:r w:rsidRPr="00390C9D">
              <w:rPr>
                <w:rFonts w:ascii="Times New Roman" w:hAnsi="Times New Roman"/>
                <w:color w:val="000000"/>
                <w:sz w:val="20"/>
                <w:szCs w:val="20"/>
              </w:rPr>
              <w:t>89,</w:t>
            </w:r>
            <w:r>
              <w:rPr>
                <w:rFonts w:ascii="Times New Roman" w:hAnsi="Times New Roman"/>
                <w:color w:val="000000"/>
                <w:sz w:val="20"/>
                <w:szCs w:val="20"/>
              </w:rPr>
              <w:t>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90C9D"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344,3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90C9D"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91,6</w:t>
            </w:r>
          </w:p>
        </w:tc>
      </w:tr>
      <w:tr w:rsidR="00C40A42" w:rsidRPr="002361A2" w:rsidTr="00C40A42">
        <w:trPr>
          <w:gridAfter w:val="1"/>
          <w:wAfter w:w="893" w:type="dxa"/>
          <w:trHeight w:val="274"/>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в том числе по предприятия промышленности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374,7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342,0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3E6E5E">
              <w:rPr>
                <w:rFonts w:ascii="Times New Roman" w:hAnsi="Times New Roman"/>
                <w:color w:val="000000"/>
                <w:sz w:val="20"/>
                <w:szCs w:val="20"/>
              </w:rPr>
              <w:t>90,</w:t>
            </w:r>
            <w:r>
              <w:rPr>
                <w:rFonts w:ascii="Times New Roman" w:hAnsi="Times New Roman"/>
                <w:color w:val="000000"/>
                <w:sz w:val="20"/>
                <w:szCs w:val="20"/>
              </w:rPr>
              <w:t>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325,1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91,2</w:t>
            </w:r>
          </w:p>
        </w:tc>
      </w:tr>
      <w:tr w:rsidR="00C40A42" w:rsidRPr="002361A2" w:rsidTr="00C40A42">
        <w:trPr>
          <w:gridAfter w:val="1"/>
          <w:wAfter w:w="893" w:type="dxa"/>
          <w:trHeight w:val="419"/>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Объем сельскохозяйственного производства (в текущих ценах)</w:t>
            </w:r>
            <w:r>
              <w:rPr>
                <w:rFonts w:ascii="Times New Roman" w:hAnsi="Times New Roman"/>
                <w:color w:val="000000"/>
                <w:sz w:val="20"/>
                <w:szCs w:val="20"/>
                <w:vertAlign w:val="superscript"/>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438,9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A026A" w:rsidRDefault="00C40A42" w:rsidP="00864AD0">
            <w:pPr>
              <w:spacing w:after="0" w:line="240" w:lineRule="auto"/>
              <w:ind w:left="-142" w:firstLine="142"/>
              <w:jc w:val="right"/>
              <w:rPr>
                <w:rFonts w:ascii="Times New Roman" w:hAnsi="Times New Roman"/>
                <w:color w:val="000000"/>
                <w:sz w:val="20"/>
                <w:szCs w:val="20"/>
                <w:highlight w:val="yellow"/>
              </w:rPr>
            </w:pPr>
            <w:r w:rsidRPr="007C57E2">
              <w:rPr>
                <w:rFonts w:ascii="Times New Roman" w:hAnsi="Times New Roman"/>
                <w:color w:val="000000"/>
                <w:sz w:val="20"/>
                <w:szCs w:val="20"/>
              </w:rPr>
              <w:t>316,4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A026A" w:rsidRDefault="00C40A42" w:rsidP="00864AD0">
            <w:pPr>
              <w:spacing w:after="0" w:line="240" w:lineRule="auto"/>
              <w:ind w:left="-142" w:firstLine="142"/>
              <w:jc w:val="right"/>
              <w:rPr>
                <w:rFonts w:ascii="Times New Roman" w:hAnsi="Times New Roman"/>
                <w:color w:val="000000"/>
                <w:sz w:val="20"/>
                <w:szCs w:val="20"/>
                <w:highlight w:val="yellow"/>
              </w:rPr>
            </w:pPr>
            <w:r w:rsidRPr="007C57E2">
              <w:rPr>
                <w:rFonts w:ascii="Times New Roman" w:hAnsi="Times New Roman"/>
                <w:color w:val="000000"/>
                <w:sz w:val="20"/>
                <w:szCs w:val="20"/>
              </w:rPr>
              <w:t>92,3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760CB" w:rsidRDefault="00C40A42" w:rsidP="00864AD0">
            <w:pPr>
              <w:spacing w:after="0" w:line="240" w:lineRule="auto"/>
              <w:ind w:left="-142" w:firstLine="142"/>
              <w:jc w:val="right"/>
              <w:rPr>
                <w:rFonts w:ascii="Times New Roman" w:hAnsi="Times New Roman"/>
                <w:color w:val="000000"/>
                <w:sz w:val="20"/>
                <w:szCs w:val="20"/>
              </w:rPr>
            </w:pPr>
            <w:r w:rsidRPr="001760CB">
              <w:rPr>
                <w:rFonts w:ascii="Times New Roman" w:hAnsi="Times New Roman"/>
                <w:color w:val="000000"/>
                <w:sz w:val="20"/>
                <w:szCs w:val="20"/>
              </w:rPr>
              <w:t>297,9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760CB" w:rsidRDefault="00C40A42" w:rsidP="00864AD0">
            <w:pPr>
              <w:spacing w:after="0" w:line="240" w:lineRule="auto"/>
              <w:ind w:left="-142" w:firstLine="142"/>
              <w:jc w:val="right"/>
              <w:rPr>
                <w:rFonts w:ascii="Times New Roman" w:hAnsi="Times New Roman"/>
                <w:color w:val="000000"/>
                <w:sz w:val="20"/>
                <w:szCs w:val="20"/>
              </w:rPr>
            </w:pPr>
            <w:r w:rsidRPr="001760CB">
              <w:rPr>
                <w:rFonts w:ascii="Times New Roman" w:hAnsi="Times New Roman"/>
                <w:color w:val="000000"/>
                <w:sz w:val="20"/>
                <w:szCs w:val="20"/>
              </w:rPr>
              <w:t>107,4</w:t>
            </w:r>
          </w:p>
        </w:tc>
      </w:tr>
      <w:tr w:rsidR="00C40A42" w:rsidRPr="002361A2" w:rsidTr="00C40A42">
        <w:trPr>
          <w:gridAfter w:val="1"/>
          <w:wAfter w:w="893" w:type="dxa"/>
          <w:trHeight w:val="376"/>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39,5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28,2</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91,3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25,7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104,0</w:t>
            </w:r>
          </w:p>
        </w:tc>
      </w:tr>
      <w:tr w:rsidR="00C40A42" w:rsidRPr="002361A2" w:rsidTr="00C40A42">
        <w:trPr>
          <w:gridAfter w:val="1"/>
          <w:wAfter w:w="893" w:type="dxa"/>
          <w:trHeight w:val="361"/>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перевозок грузов организациями автомобильного транспорта </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тыс. тонн</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786,9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786,6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99,9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430,9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54,2</w:t>
            </w:r>
          </w:p>
        </w:tc>
      </w:tr>
      <w:tr w:rsidR="00C40A42" w:rsidRPr="002361A2" w:rsidTr="00C40A42">
        <w:trPr>
          <w:gridAfter w:val="1"/>
          <w:wAfter w:w="893" w:type="dxa"/>
          <w:trHeight w:val="750"/>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Инвестиции в основной капитал, с учетом оценки субъектов малого предпринимательства и индивидуальных застройщиков (в текущих ценах)</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462,1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421,5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77,5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295,5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66,8</w:t>
            </w:r>
          </w:p>
        </w:tc>
      </w:tr>
      <w:tr w:rsidR="00C40A42" w:rsidRPr="002361A2" w:rsidTr="00C40A42">
        <w:trPr>
          <w:gridAfter w:val="1"/>
          <w:wAfter w:w="893" w:type="dxa"/>
          <w:trHeight w:val="476"/>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Ввод в действие жилых домов</w:t>
            </w:r>
          </w:p>
        </w:tc>
        <w:tc>
          <w:tcPr>
            <w:tcW w:w="850" w:type="dxa"/>
            <w:tcBorders>
              <w:top w:val="single" w:sz="4" w:space="0" w:color="auto"/>
              <w:left w:val="single" w:sz="4" w:space="0" w:color="auto"/>
              <w:bottom w:val="single" w:sz="4" w:space="0" w:color="auto"/>
              <w:right w:val="single" w:sz="4" w:space="0" w:color="auto"/>
            </w:tcBorders>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кв. м. общей площади</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9018</w:t>
            </w:r>
            <w:r w:rsidRPr="001E3A72">
              <w:rPr>
                <w:rFonts w:ascii="Times New Roman" w:hAnsi="Times New Roman"/>
                <w:sz w:val="20"/>
                <w:szCs w:val="20"/>
              </w:rPr>
              <w:t>,</w:t>
            </w:r>
            <w:r>
              <w:rPr>
                <w:rFonts w:ascii="Times New Roman" w:hAnsi="Times New Roman"/>
                <w:sz w:val="20"/>
                <w:szCs w:val="20"/>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13 809,6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sidRPr="007C57E2">
              <w:rPr>
                <w:rFonts w:ascii="Times New Roman" w:hAnsi="Times New Roman"/>
                <w:color w:val="000000"/>
                <w:sz w:val="20"/>
                <w:szCs w:val="20"/>
              </w:rPr>
              <w:t>153,1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17 351,5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7C57E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125,6</w:t>
            </w:r>
          </w:p>
        </w:tc>
      </w:tr>
      <w:tr w:rsidR="00C40A42" w:rsidRPr="002361A2" w:rsidTr="00C40A42">
        <w:trPr>
          <w:gridAfter w:val="1"/>
          <w:wAfter w:w="893" w:type="dxa"/>
          <w:trHeight w:val="647"/>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Общий объем розничного товарооборота + общественное питание и платные услуги населению</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3806</w:t>
            </w:r>
            <w:r w:rsidRPr="001E3A72">
              <w:rPr>
                <w:rFonts w:ascii="Times New Roman" w:hAnsi="Times New Roman"/>
                <w:sz w:val="20"/>
                <w:szCs w:val="20"/>
              </w:rPr>
              <w:t>,</w:t>
            </w:r>
            <w:r>
              <w:rPr>
                <w:rFonts w:ascii="Times New Roman" w:hAnsi="Times New Roman"/>
                <w:sz w:val="20"/>
                <w:szCs w:val="20"/>
              </w:rPr>
              <w:t>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3 575,0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93,0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3 955,5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109,9</w:t>
            </w:r>
          </w:p>
        </w:tc>
      </w:tr>
      <w:tr w:rsidR="00C40A42" w:rsidTr="00C40A42">
        <w:trPr>
          <w:gridAfter w:val="1"/>
          <w:wAfter w:w="893" w:type="dxa"/>
          <w:trHeight w:val="312"/>
        </w:trPr>
        <w:tc>
          <w:tcPr>
            <w:tcW w:w="43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Розничный товарооборот +общественное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C40A42" w:rsidRDefault="00C40A42" w:rsidP="00864AD0">
            <w:pPr>
              <w:spacing w:after="0" w:line="240" w:lineRule="auto"/>
              <w:ind w:left="-142" w:firstLine="142"/>
              <w:jc w:val="right"/>
              <w:rPr>
                <w:rFonts w:ascii="Times New Roman" w:hAnsi="Times New Roman"/>
                <w:color w:val="000000"/>
                <w:sz w:val="20"/>
                <w:szCs w:val="20"/>
              </w:rPr>
            </w:pPr>
          </w:p>
        </w:tc>
      </w:tr>
      <w:tr w:rsidR="00C40A42" w:rsidRPr="002361A2" w:rsidTr="00C40A42">
        <w:trPr>
          <w:gridAfter w:val="1"/>
          <w:wAfter w:w="893" w:type="dxa"/>
          <w:trHeight w:val="284"/>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2 698,7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2 486,1</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90,9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2 858,0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113,4</w:t>
            </w:r>
          </w:p>
        </w:tc>
      </w:tr>
      <w:tr w:rsidR="00C40A42" w:rsidRPr="002361A2" w:rsidTr="00C40A42">
        <w:trPr>
          <w:gridAfter w:val="1"/>
          <w:wAfter w:w="893" w:type="dxa"/>
          <w:trHeight w:val="101"/>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77,7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92,1</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40A42" w:rsidRPr="003F5D29" w:rsidRDefault="00C40A42" w:rsidP="00864AD0">
            <w:pPr>
              <w:spacing w:after="0" w:line="240" w:lineRule="auto"/>
              <w:ind w:left="-142" w:firstLine="142"/>
              <w:jc w:val="center"/>
              <w:rPr>
                <w:rFonts w:ascii="Times New Roman" w:hAnsi="Times New Roman"/>
                <w:color w:val="000000"/>
                <w:sz w:val="20"/>
                <w:szCs w:val="20"/>
              </w:rPr>
            </w:pPr>
            <w:proofErr w:type="spellStart"/>
            <w:r w:rsidRPr="003F5D29">
              <w:rPr>
                <w:rFonts w:ascii="Times New Roman" w:hAnsi="Times New Roman"/>
                <w:sz w:val="20"/>
                <w:szCs w:val="20"/>
              </w:rPr>
              <w:t>х</w:t>
            </w:r>
            <w:proofErr w:type="spellEnd"/>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105,9</w:t>
            </w:r>
          </w:p>
        </w:tc>
        <w:tc>
          <w:tcPr>
            <w:tcW w:w="850" w:type="dxa"/>
            <w:gridSpan w:val="2"/>
            <w:tcBorders>
              <w:top w:val="single" w:sz="4" w:space="0" w:color="auto"/>
              <w:left w:val="single" w:sz="4" w:space="0" w:color="auto"/>
              <w:bottom w:val="single" w:sz="4" w:space="0" w:color="auto"/>
              <w:right w:val="single" w:sz="4" w:space="0" w:color="auto"/>
            </w:tcBorders>
          </w:tcPr>
          <w:p w:rsidR="00C40A42" w:rsidRPr="003F5D29" w:rsidRDefault="00C40A42" w:rsidP="00864AD0">
            <w:pPr>
              <w:spacing w:after="0" w:line="240" w:lineRule="auto"/>
              <w:ind w:left="-142" w:firstLine="142"/>
              <w:jc w:val="center"/>
              <w:rPr>
                <w:rFonts w:ascii="Times New Roman" w:hAnsi="Times New Roman"/>
                <w:color w:val="000000"/>
                <w:sz w:val="20"/>
                <w:szCs w:val="20"/>
              </w:rPr>
            </w:pPr>
            <w:proofErr w:type="spellStart"/>
            <w:r>
              <w:rPr>
                <w:rFonts w:ascii="Times New Roman" w:hAnsi="Times New Roman"/>
                <w:color w:val="000000"/>
                <w:sz w:val="20"/>
                <w:szCs w:val="20"/>
              </w:rPr>
              <w:t>х</w:t>
            </w:r>
            <w:proofErr w:type="spellEnd"/>
          </w:p>
        </w:tc>
      </w:tr>
      <w:tr w:rsidR="00C40A42" w:rsidTr="00C40A42">
        <w:trPr>
          <w:gridAfter w:val="1"/>
          <w:wAfter w:w="893" w:type="dxa"/>
          <w:trHeight w:val="270"/>
        </w:trPr>
        <w:tc>
          <w:tcPr>
            <w:tcW w:w="43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платных услуг</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40A42" w:rsidRDefault="00C40A42" w:rsidP="00864AD0">
            <w:pPr>
              <w:spacing w:after="0" w:line="240" w:lineRule="auto"/>
              <w:ind w:left="-142" w:firstLine="142"/>
              <w:jc w:val="right"/>
              <w:rPr>
                <w:rFonts w:ascii="Times New Roman" w:hAnsi="Times New Roman"/>
                <w:color w:val="000000"/>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C40A42" w:rsidRDefault="00C40A42" w:rsidP="00864AD0">
            <w:pPr>
              <w:spacing w:after="0" w:line="240" w:lineRule="auto"/>
              <w:ind w:left="-142" w:firstLine="142"/>
              <w:jc w:val="right"/>
              <w:rPr>
                <w:rFonts w:ascii="Times New Roman" w:hAnsi="Times New Roman"/>
                <w:color w:val="000000"/>
                <w:sz w:val="20"/>
                <w:szCs w:val="20"/>
              </w:rPr>
            </w:pPr>
          </w:p>
        </w:tc>
      </w:tr>
      <w:tr w:rsidR="00C40A42" w:rsidRPr="002361A2" w:rsidTr="00C40A42">
        <w:trPr>
          <w:gridAfter w:val="1"/>
          <w:wAfter w:w="893" w:type="dxa"/>
          <w:trHeight w:val="225"/>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1 108,1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1 088,9</w:t>
            </w:r>
          </w:p>
        </w:tc>
        <w:tc>
          <w:tcPr>
            <w:tcW w:w="851" w:type="dxa"/>
            <w:gridSpan w:val="2"/>
            <w:tcBorders>
              <w:top w:val="single" w:sz="4" w:space="0" w:color="auto"/>
              <w:left w:val="single" w:sz="4" w:space="0" w:color="auto"/>
              <w:bottom w:val="single" w:sz="4" w:space="0" w:color="auto"/>
              <w:right w:val="single" w:sz="4" w:space="0" w:color="auto"/>
            </w:tcBorders>
            <w:noWrap/>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98,2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1 097,5</w:t>
            </w:r>
          </w:p>
        </w:tc>
        <w:tc>
          <w:tcPr>
            <w:tcW w:w="850" w:type="dxa"/>
            <w:gridSpan w:val="2"/>
            <w:tcBorders>
              <w:top w:val="single" w:sz="4" w:space="0" w:color="auto"/>
              <w:left w:val="single" w:sz="4" w:space="0" w:color="auto"/>
              <w:bottom w:val="single" w:sz="4" w:space="0" w:color="auto"/>
              <w:right w:val="single" w:sz="4" w:space="0" w:color="auto"/>
            </w:tcBorders>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101,9</w:t>
            </w:r>
          </w:p>
        </w:tc>
      </w:tr>
      <w:tr w:rsidR="00C40A42" w:rsidRPr="002361A2" w:rsidTr="00C40A42">
        <w:trPr>
          <w:gridAfter w:val="1"/>
          <w:wAfter w:w="893" w:type="dxa"/>
          <w:trHeight w:val="270"/>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92,4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97,9</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center"/>
              <w:rPr>
                <w:rFonts w:ascii="Times New Roman" w:hAnsi="Times New Roman"/>
                <w:color w:val="000000"/>
                <w:sz w:val="20"/>
                <w:szCs w:val="20"/>
              </w:rPr>
            </w:pPr>
            <w:proofErr w:type="spellStart"/>
            <w:r w:rsidRPr="003F5D29">
              <w:rPr>
                <w:rFonts w:ascii="Times New Roman" w:hAnsi="Times New Roman"/>
                <w:sz w:val="20"/>
                <w:szCs w:val="20"/>
              </w:rPr>
              <w:t>х</w:t>
            </w:r>
            <w:proofErr w:type="spellEnd"/>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center"/>
              <w:rPr>
                <w:rFonts w:ascii="Times New Roman" w:hAnsi="Times New Roman"/>
                <w:color w:val="000000"/>
                <w:sz w:val="20"/>
                <w:szCs w:val="20"/>
              </w:rPr>
            </w:pPr>
            <w:proofErr w:type="spellStart"/>
            <w:r>
              <w:rPr>
                <w:rFonts w:ascii="Times New Roman" w:hAnsi="Times New Roman"/>
                <w:color w:val="000000"/>
                <w:sz w:val="20"/>
                <w:szCs w:val="20"/>
              </w:rPr>
              <w:t>х</w:t>
            </w:r>
            <w:proofErr w:type="spellEnd"/>
          </w:p>
        </w:tc>
      </w:tr>
      <w:tr w:rsidR="00C40A42" w:rsidRPr="002361A2" w:rsidTr="00C40A42">
        <w:trPr>
          <w:gridAfter w:val="1"/>
          <w:wAfter w:w="893" w:type="dxa"/>
          <w:trHeight w:val="283"/>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Внешнеторговый оборот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905,2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676,8</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1E3A72">
              <w:rPr>
                <w:rFonts w:ascii="Times New Roman" w:hAnsi="Times New Roman"/>
                <w:color w:val="000000"/>
                <w:sz w:val="20"/>
                <w:szCs w:val="20"/>
              </w:rPr>
              <w:t>74,</w:t>
            </w:r>
            <w:r>
              <w:rPr>
                <w:rFonts w:ascii="Times New Roman" w:hAnsi="Times New Roman"/>
                <w:color w:val="000000"/>
                <w:sz w:val="20"/>
                <w:szCs w:val="20"/>
              </w:rPr>
              <w:t>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700,2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98,9</w:t>
            </w:r>
          </w:p>
        </w:tc>
      </w:tr>
      <w:tr w:rsidR="00C40A42" w:rsidRPr="002361A2" w:rsidTr="00C40A42">
        <w:trPr>
          <w:gridAfter w:val="1"/>
          <w:wAfter w:w="893" w:type="dxa"/>
          <w:trHeight w:val="285"/>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Экспорт товаров</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288,6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253,5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87,9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252,4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97,6</w:t>
            </w:r>
          </w:p>
        </w:tc>
      </w:tr>
      <w:tr w:rsidR="00C40A42" w:rsidRPr="002361A2" w:rsidTr="00C40A42">
        <w:trPr>
          <w:gridAfter w:val="1"/>
          <w:wAfter w:w="893" w:type="dxa"/>
          <w:trHeight w:val="255"/>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Импорт товаров</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616,6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423,2</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1E3A72">
              <w:rPr>
                <w:rFonts w:ascii="Times New Roman" w:hAnsi="Times New Roman"/>
                <w:color w:val="000000"/>
                <w:sz w:val="20"/>
                <w:szCs w:val="20"/>
              </w:rPr>
              <w:t>6</w:t>
            </w:r>
            <w:r>
              <w:rPr>
                <w:rFonts w:ascii="Times New Roman" w:hAnsi="Times New Roman"/>
                <w:color w:val="000000"/>
                <w:sz w:val="20"/>
                <w:szCs w:val="20"/>
              </w:rPr>
              <w:t>8</w:t>
            </w:r>
            <w:r w:rsidRPr="001E3A72">
              <w:rPr>
                <w:rFonts w:ascii="Times New Roman" w:hAnsi="Times New Roman"/>
                <w:color w:val="000000"/>
                <w:sz w:val="20"/>
                <w:szCs w:val="20"/>
              </w:rPr>
              <w:t>,6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447,7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99,7</w:t>
            </w:r>
          </w:p>
        </w:tc>
      </w:tr>
      <w:tr w:rsidR="00C40A42" w:rsidRPr="002361A2" w:rsidTr="00C40A42">
        <w:trPr>
          <w:gridAfter w:val="1"/>
          <w:wAfter w:w="893" w:type="dxa"/>
          <w:trHeight w:val="157"/>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Сальдо внешнеторгового оборота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sidRPr="001E3A72">
              <w:rPr>
                <w:rFonts w:ascii="Times New Roman" w:hAnsi="Times New Roman"/>
                <w:sz w:val="20"/>
                <w:szCs w:val="20"/>
              </w:rPr>
              <w:t>-</w:t>
            </w:r>
            <w:r>
              <w:rPr>
                <w:rFonts w:ascii="Times New Roman" w:hAnsi="Times New Roman"/>
                <w:sz w:val="20"/>
                <w:szCs w:val="20"/>
              </w:rPr>
              <w:t>328</w:t>
            </w:r>
            <w:r w:rsidRPr="001E3A72">
              <w:rPr>
                <w:rFonts w:ascii="Times New Roman" w:hAnsi="Times New Roman"/>
                <w:sz w:val="20"/>
                <w:szCs w:val="20"/>
              </w:rPr>
              <w:t>,</w:t>
            </w:r>
            <w:r>
              <w:rPr>
                <w:rFonts w:ascii="Times New Roman" w:hAnsi="Times New Roman"/>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1E3A72">
              <w:rPr>
                <w:rFonts w:ascii="Times New Roman" w:hAnsi="Times New Roman"/>
                <w:color w:val="000000"/>
                <w:sz w:val="20"/>
                <w:szCs w:val="20"/>
              </w:rPr>
              <w:t>-</w:t>
            </w:r>
            <w:r>
              <w:rPr>
                <w:rFonts w:ascii="Times New Roman" w:hAnsi="Times New Roman"/>
                <w:color w:val="000000"/>
                <w:sz w:val="20"/>
                <w:szCs w:val="20"/>
              </w:rPr>
              <w:t>169,7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center"/>
              <w:rPr>
                <w:rFonts w:ascii="Times New Roman" w:hAnsi="Times New Roman"/>
                <w:color w:val="000000"/>
                <w:sz w:val="20"/>
                <w:szCs w:val="20"/>
              </w:rPr>
            </w:pPr>
            <w:proofErr w:type="spellStart"/>
            <w:r w:rsidRPr="001E3A72">
              <w:rPr>
                <w:rFonts w:ascii="Times New Roman" w:hAnsi="Times New Roman"/>
                <w:sz w:val="20"/>
                <w:szCs w:val="20"/>
              </w:rPr>
              <w:t>х</w:t>
            </w:r>
            <w:proofErr w:type="spellEnd"/>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-195,3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E3A72" w:rsidRDefault="00C40A42" w:rsidP="00864AD0">
            <w:pPr>
              <w:spacing w:after="0" w:line="240" w:lineRule="auto"/>
              <w:ind w:left="-142" w:firstLine="142"/>
              <w:jc w:val="center"/>
              <w:rPr>
                <w:rFonts w:ascii="Times New Roman" w:hAnsi="Times New Roman"/>
                <w:color w:val="000000"/>
                <w:sz w:val="20"/>
                <w:szCs w:val="20"/>
              </w:rPr>
            </w:pPr>
            <w:proofErr w:type="spellStart"/>
            <w:r>
              <w:rPr>
                <w:rFonts w:ascii="Times New Roman" w:hAnsi="Times New Roman"/>
                <w:color w:val="000000"/>
                <w:sz w:val="20"/>
                <w:szCs w:val="20"/>
              </w:rPr>
              <w:t>х</w:t>
            </w:r>
            <w:proofErr w:type="spellEnd"/>
          </w:p>
        </w:tc>
      </w:tr>
      <w:tr w:rsidR="00C40A42" w:rsidRPr="002361A2" w:rsidTr="00C40A42">
        <w:trPr>
          <w:gridAfter w:val="1"/>
          <w:wAfter w:w="893" w:type="dxa"/>
          <w:trHeight w:val="322"/>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 включая субъекты предпринимательства (оценка)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color w:val="1F497D"/>
                <w:sz w:val="20"/>
                <w:szCs w:val="20"/>
              </w:rPr>
            </w:pPr>
            <w:r>
              <w:rPr>
                <w:rFonts w:ascii="Times New Roman" w:hAnsi="Times New Roman"/>
                <w:color w:val="1F497D"/>
                <w:sz w:val="20"/>
                <w:szCs w:val="20"/>
              </w:rPr>
              <w:t>2 308,1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2 204,5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95,4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2 240,7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101,9</w:t>
            </w:r>
          </w:p>
        </w:tc>
      </w:tr>
      <w:tr w:rsidR="00C40A42" w:rsidRPr="002361A2" w:rsidTr="00C40A42">
        <w:trPr>
          <w:gridAfter w:val="1"/>
          <w:wAfter w:w="893" w:type="dxa"/>
          <w:trHeight w:val="257"/>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color w:val="1F497D"/>
                <w:sz w:val="20"/>
                <w:szCs w:val="20"/>
              </w:rPr>
            </w:pPr>
            <w:r>
              <w:rPr>
                <w:rFonts w:ascii="Times New Roman" w:hAnsi="Times New Roman"/>
                <w:color w:val="1F497D"/>
                <w:sz w:val="20"/>
                <w:szCs w:val="20"/>
              </w:rPr>
              <w:t>2 075,4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1 991,5</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1E3A72">
              <w:rPr>
                <w:rFonts w:ascii="Times New Roman" w:hAnsi="Times New Roman"/>
                <w:color w:val="000000"/>
                <w:sz w:val="20"/>
                <w:szCs w:val="20"/>
              </w:rPr>
              <w:t>9</w:t>
            </w:r>
            <w:r>
              <w:rPr>
                <w:rFonts w:ascii="Times New Roman" w:hAnsi="Times New Roman"/>
                <w:color w:val="000000"/>
                <w:sz w:val="20"/>
                <w:szCs w:val="20"/>
              </w:rPr>
              <w:t>6</w:t>
            </w:r>
            <w:r w:rsidRPr="001E3A72">
              <w:rPr>
                <w:rFonts w:ascii="Times New Roman" w:hAnsi="Times New Roman"/>
                <w:color w:val="000000"/>
                <w:sz w:val="20"/>
                <w:szCs w:val="20"/>
              </w:rPr>
              <w:t>,</w:t>
            </w:r>
            <w:r>
              <w:rPr>
                <w:rFonts w:ascii="Times New Roman" w:hAnsi="Times New Roman"/>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2 018,1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101,8</w:t>
            </w:r>
          </w:p>
        </w:tc>
      </w:tr>
      <w:tr w:rsidR="00C40A42" w:rsidRPr="002361A2" w:rsidTr="00C40A42">
        <w:trPr>
          <w:gridAfter w:val="1"/>
          <w:wAfter w:w="893" w:type="dxa"/>
          <w:trHeight w:val="715"/>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Среднесписочная численность работающих, включая субъекты предпринимательства (оценка)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тыс. чел.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color w:val="1F497D"/>
                <w:sz w:val="20"/>
                <w:szCs w:val="20"/>
              </w:rPr>
            </w:pPr>
            <w:r w:rsidRPr="001E3A72">
              <w:rPr>
                <w:rFonts w:ascii="Times New Roman" w:hAnsi="Times New Roman"/>
                <w:color w:val="1F497D"/>
                <w:sz w:val="20"/>
                <w:szCs w:val="20"/>
              </w:rPr>
              <w:t>1</w:t>
            </w:r>
            <w:r>
              <w:rPr>
                <w:rFonts w:ascii="Times New Roman" w:hAnsi="Times New Roman"/>
                <w:color w:val="1F497D"/>
                <w:sz w:val="20"/>
                <w:szCs w:val="20"/>
              </w:rPr>
              <w:t>18,4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114,7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96,9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113,2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99,3</w:t>
            </w:r>
          </w:p>
        </w:tc>
      </w:tr>
      <w:tr w:rsidR="00C40A42" w:rsidRPr="002361A2" w:rsidTr="00C40A42">
        <w:trPr>
          <w:gridAfter w:val="1"/>
          <w:wAfter w:w="893" w:type="dxa"/>
          <w:trHeight w:val="309"/>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включая субъекты предпринимательства (оценка)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color w:val="1F497D"/>
                <w:sz w:val="20"/>
                <w:szCs w:val="20"/>
              </w:rPr>
            </w:pPr>
            <w:r w:rsidRPr="001E3A72">
              <w:rPr>
                <w:rFonts w:ascii="Times New Roman" w:hAnsi="Times New Roman"/>
                <w:color w:val="1F497D"/>
                <w:sz w:val="20"/>
                <w:szCs w:val="20"/>
              </w:rPr>
              <w:t>3 </w:t>
            </w:r>
            <w:r>
              <w:rPr>
                <w:rFonts w:ascii="Times New Roman" w:hAnsi="Times New Roman"/>
                <w:color w:val="1F497D"/>
                <w:sz w:val="20"/>
                <w:szCs w:val="20"/>
              </w:rPr>
              <w:t>776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3 744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98,8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3 812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101,7</w:t>
            </w:r>
          </w:p>
        </w:tc>
      </w:tr>
      <w:tr w:rsidR="00C40A42" w:rsidRPr="002361A2" w:rsidTr="00C40A42">
        <w:trPr>
          <w:gridAfter w:val="1"/>
          <w:wAfter w:w="893" w:type="dxa"/>
          <w:trHeight w:val="574"/>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Среднемесячная заработная плата одного работника</w:t>
            </w:r>
            <w:r>
              <w:rPr>
                <w:rFonts w:ascii="Times New Roman" w:hAnsi="Times New Roman"/>
                <w:color w:val="000000"/>
                <w:sz w:val="20"/>
                <w:szCs w:val="20"/>
                <w:vertAlign w:val="superscript"/>
              </w:rPr>
              <w:t>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3 839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1E3A72">
              <w:rPr>
                <w:rFonts w:ascii="Times New Roman" w:hAnsi="Times New Roman"/>
                <w:color w:val="000000"/>
                <w:sz w:val="20"/>
                <w:szCs w:val="20"/>
              </w:rPr>
              <w:t>3</w:t>
            </w:r>
            <w:r>
              <w:rPr>
                <w:rFonts w:ascii="Times New Roman" w:hAnsi="Times New Roman"/>
                <w:color w:val="000000"/>
                <w:sz w:val="20"/>
                <w:szCs w:val="20"/>
              </w:rPr>
              <w:t xml:space="preserve"> 791</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1E3A72">
              <w:rPr>
                <w:rFonts w:ascii="Times New Roman" w:hAnsi="Times New Roman"/>
                <w:color w:val="000000"/>
                <w:sz w:val="20"/>
                <w:szCs w:val="20"/>
              </w:rPr>
              <w:t>9</w:t>
            </w:r>
            <w:r>
              <w:rPr>
                <w:rFonts w:ascii="Times New Roman" w:hAnsi="Times New Roman"/>
                <w:color w:val="000000"/>
                <w:sz w:val="20"/>
                <w:szCs w:val="20"/>
              </w:rPr>
              <w:t>8</w:t>
            </w:r>
            <w:r w:rsidRPr="001E3A72">
              <w:rPr>
                <w:rFonts w:ascii="Times New Roman" w:hAnsi="Times New Roman"/>
                <w:color w:val="000000"/>
                <w:sz w:val="20"/>
                <w:szCs w:val="20"/>
              </w:rPr>
              <w:t>,</w:t>
            </w:r>
            <w:r>
              <w:rPr>
                <w:rFonts w:ascii="Times New Roman" w:hAnsi="Times New Roman"/>
                <w:color w:val="000000"/>
                <w:sz w:val="20"/>
                <w:szCs w:val="20"/>
              </w:rPr>
              <w:t>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3 845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101,3</w:t>
            </w:r>
          </w:p>
        </w:tc>
      </w:tr>
      <w:tr w:rsidR="00C40A42" w:rsidRPr="002361A2" w:rsidTr="00C40A42">
        <w:trPr>
          <w:gridAfter w:val="1"/>
          <w:wAfter w:w="893" w:type="dxa"/>
          <w:trHeight w:val="272"/>
        </w:trPr>
        <w:tc>
          <w:tcPr>
            <w:tcW w:w="4361" w:type="dxa"/>
            <w:gridSpan w:val="2"/>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одного работника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jc w:val="right"/>
              <w:rPr>
                <w:rFonts w:ascii="Times New Roman" w:hAnsi="Times New Roman"/>
                <w:sz w:val="20"/>
                <w:szCs w:val="20"/>
              </w:rPr>
            </w:pPr>
            <w:r>
              <w:rPr>
                <w:rFonts w:ascii="Times New Roman" w:hAnsi="Times New Roman"/>
                <w:sz w:val="20"/>
                <w:szCs w:val="20"/>
              </w:rPr>
              <w:t>345,9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sidRPr="001E3A72">
              <w:rPr>
                <w:rFonts w:ascii="Times New Roman" w:hAnsi="Times New Roman"/>
                <w:color w:val="000000"/>
                <w:sz w:val="20"/>
                <w:szCs w:val="20"/>
              </w:rPr>
              <w:t>3</w:t>
            </w:r>
            <w:r>
              <w:rPr>
                <w:rFonts w:ascii="Times New Roman" w:hAnsi="Times New Roman"/>
                <w:color w:val="000000"/>
                <w:sz w:val="20"/>
                <w:szCs w:val="20"/>
              </w:rPr>
              <w:t>38</w:t>
            </w:r>
            <w:r w:rsidRPr="001E3A72">
              <w:rPr>
                <w:rFonts w:ascii="Times New Roman" w:hAnsi="Times New Roman"/>
                <w:color w:val="000000"/>
                <w:sz w:val="20"/>
                <w:szCs w:val="20"/>
              </w:rPr>
              <w:t>,</w:t>
            </w:r>
            <w:r>
              <w:rPr>
                <w:rFonts w:ascii="Times New Roman" w:hAnsi="Times New Roman"/>
                <w:color w:val="000000"/>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97,7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331,9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1763D2" w:rsidRDefault="00C40A42" w:rsidP="00864AD0">
            <w:pPr>
              <w:spacing w:after="0" w:line="240" w:lineRule="auto"/>
              <w:ind w:left="-142" w:firstLine="142"/>
              <w:jc w:val="right"/>
              <w:rPr>
                <w:rFonts w:ascii="Times New Roman" w:hAnsi="Times New Roman"/>
                <w:bCs/>
                <w:color w:val="000000"/>
                <w:sz w:val="20"/>
                <w:szCs w:val="20"/>
              </w:rPr>
            </w:pPr>
            <w:r w:rsidRPr="001763D2">
              <w:rPr>
                <w:rFonts w:ascii="Times New Roman" w:hAnsi="Times New Roman"/>
                <w:bCs/>
                <w:color w:val="000000"/>
                <w:sz w:val="20"/>
                <w:szCs w:val="20"/>
              </w:rPr>
              <w:t>98,</w:t>
            </w:r>
            <w:r>
              <w:rPr>
                <w:rFonts w:ascii="Times New Roman" w:hAnsi="Times New Roman"/>
                <w:bCs/>
                <w:color w:val="000000"/>
                <w:sz w:val="20"/>
                <w:szCs w:val="20"/>
              </w:rPr>
              <w:t>2</w:t>
            </w:r>
          </w:p>
        </w:tc>
      </w:tr>
      <w:tr w:rsidR="00C40A42" w:rsidRPr="002361A2" w:rsidTr="00C40A42">
        <w:trPr>
          <w:gridAfter w:val="1"/>
          <w:wAfter w:w="893" w:type="dxa"/>
          <w:trHeight w:val="70"/>
        </w:trPr>
        <w:tc>
          <w:tcPr>
            <w:tcW w:w="4361" w:type="dxa"/>
            <w:gridSpan w:val="2"/>
            <w:tcBorders>
              <w:top w:val="single" w:sz="4" w:space="0" w:color="auto"/>
              <w:left w:val="single" w:sz="4" w:space="0" w:color="auto"/>
              <w:bottom w:val="single" w:sz="4" w:space="0" w:color="auto"/>
              <w:right w:val="single" w:sz="4" w:space="0" w:color="auto"/>
            </w:tcBorders>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lastRenderedPageBreak/>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50" w:type="dxa"/>
            <w:gridSpan w:val="2"/>
            <w:tcBorders>
              <w:top w:val="single" w:sz="4" w:space="0" w:color="auto"/>
              <w:left w:val="single" w:sz="4" w:space="0" w:color="auto"/>
              <w:bottom w:val="single" w:sz="4" w:space="0" w:color="auto"/>
              <w:right w:val="single" w:sz="4" w:space="0" w:color="auto"/>
            </w:tcBorders>
          </w:tcPr>
          <w:p w:rsidR="00C40A42" w:rsidRDefault="00C40A42" w:rsidP="00864A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7</w:t>
            </w:r>
          </w:p>
        </w:tc>
      </w:tr>
      <w:tr w:rsidR="00C40A42" w:rsidRPr="002361A2" w:rsidTr="00C40A42">
        <w:trPr>
          <w:gridAfter w:val="1"/>
          <w:wAfter w:w="893" w:type="dxa"/>
          <w:trHeight w:val="454"/>
        </w:trPr>
        <w:tc>
          <w:tcPr>
            <w:tcW w:w="4361" w:type="dxa"/>
            <w:gridSpan w:val="2"/>
            <w:tcBorders>
              <w:top w:val="single" w:sz="4" w:space="0" w:color="auto"/>
              <w:left w:val="single" w:sz="4" w:space="0" w:color="auto"/>
              <w:bottom w:val="single" w:sz="4" w:space="0" w:color="auto"/>
              <w:right w:val="single" w:sz="4" w:space="0" w:color="auto"/>
            </w:tcBorders>
            <w:vAlign w:val="bottom"/>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Сводный индекс потребительских цен (инфляция)</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vertAlign w:val="superscript"/>
              </w:rPr>
            </w:pPr>
            <w:r w:rsidRPr="001E3A72">
              <w:rPr>
                <w:rFonts w:ascii="Times New Roman" w:hAnsi="Times New Roman"/>
                <w:sz w:val="20"/>
                <w:szCs w:val="20"/>
              </w:rPr>
              <w:t>100,</w:t>
            </w:r>
            <w:r>
              <w:rPr>
                <w:rFonts w:ascii="Times New Roman" w:hAnsi="Times New Roman"/>
                <w:sz w:val="20"/>
                <w:szCs w:val="20"/>
              </w:rPr>
              <w:t>22</w:t>
            </w:r>
            <w:r w:rsidRPr="001E3A72">
              <w:rPr>
                <w:rFonts w:ascii="Times New Roman" w:hAnsi="Times New Roman"/>
                <w:color w:val="000000"/>
                <w:sz w:val="20"/>
                <w:szCs w:val="20"/>
                <w:vertAlign w:val="superscript"/>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vertAlign w:val="superscript"/>
              </w:rPr>
            </w:pPr>
            <w:r w:rsidRPr="003F5D29">
              <w:rPr>
                <w:rFonts w:ascii="Times New Roman" w:hAnsi="Times New Roman"/>
                <w:color w:val="000000"/>
                <w:sz w:val="20"/>
                <w:szCs w:val="20"/>
              </w:rPr>
              <w:t>103,75</w:t>
            </w:r>
            <w:r w:rsidRPr="003F5D29">
              <w:rPr>
                <w:rFonts w:ascii="Times New Roman" w:hAnsi="Times New Roman"/>
                <w:color w:val="000000"/>
                <w:sz w:val="20"/>
                <w:szCs w:val="20"/>
                <w:vertAlign w:val="superscript"/>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100,22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4728E5" w:rsidRDefault="00C40A42" w:rsidP="00864AD0">
            <w:pPr>
              <w:spacing w:after="0" w:line="240" w:lineRule="auto"/>
              <w:ind w:left="-142" w:firstLine="142"/>
              <w:jc w:val="right"/>
              <w:rPr>
                <w:rFonts w:ascii="Times New Roman" w:hAnsi="Times New Roman"/>
                <w:color w:val="000000"/>
                <w:sz w:val="20"/>
                <w:szCs w:val="20"/>
                <w:vertAlign w:val="superscript"/>
              </w:rPr>
            </w:pPr>
            <w:r w:rsidRPr="004728E5">
              <w:rPr>
                <w:rFonts w:ascii="Times New Roman" w:hAnsi="Times New Roman"/>
                <w:color w:val="000000"/>
                <w:sz w:val="20"/>
                <w:szCs w:val="20"/>
              </w:rPr>
              <w:t>106,28</w:t>
            </w:r>
            <w:r>
              <w:rPr>
                <w:rFonts w:ascii="Times New Roman" w:hAnsi="Times New Roman"/>
                <w:color w:val="000000"/>
                <w:sz w:val="20"/>
                <w:szCs w:val="20"/>
                <w:vertAlign w:val="superscript"/>
              </w:rPr>
              <w:t>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105,44</w:t>
            </w:r>
          </w:p>
        </w:tc>
      </w:tr>
      <w:tr w:rsidR="00C40A42" w:rsidRPr="002361A2" w:rsidTr="00C40A42">
        <w:trPr>
          <w:gridAfter w:val="1"/>
          <w:wAfter w:w="893" w:type="dxa"/>
          <w:trHeight w:val="525"/>
        </w:trPr>
        <w:tc>
          <w:tcPr>
            <w:tcW w:w="4361" w:type="dxa"/>
            <w:gridSpan w:val="2"/>
            <w:tcBorders>
              <w:top w:val="single" w:sz="4" w:space="0" w:color="auto"/>
              <w:left w:val="single" w:sz="4" w:space="0" w:color="auto"/>
              <w:bottom w:val="single" w:sz="4" w:space="0" w:color="auto"/>
              <w:right w:val="single" w:sz="4" w:space="0" w:color="auto"/>
            </w:tcBorders>
            <w:vAlign w:val="bottom"/>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Индекс цен производителей на промышленную продукцию</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1E3A72" w:rsidRDefault="00C40A42" w:rsidP="00864AD0">
            <w:pPr>
              <w:spacing w:after="0" w:line="240" w:lineRule="auto"/>
              <w:ind w:left="-142" w:firstLine="142"/>
              <w:jc w:val="right"/>
              <w:rPr>
                <w:rFonts w:ascii="Times New Roman" w:hAnsi="Times New Roman"/>
                <w:color w:val="000000"/>
                <w:sz w:val="20"/>
                <w:szCs w:val="20"/>
                <w:vertAlign w:val="superscript"/>
              </w:rPr>
            </w:pPr>
            <w:r>
              <w:rPr>
                <w:rFonts w:ascii="Times New Roman" w:hAnsi="Times New Roman"/>
                <w:sz w:val="20"/>
                <w:szCs w:val="20"/>
              </w:rPr>
              <w:t>90</w:t>
            </w:r>
            <w:r w:rsidRPr="001E3A72">
              <w:rPr>
                <w:rFonts w:ascii="Times New Roman" w:hAnsi="Times New Roman"/>
                <w:sz w:val="20"/>
                <w:szCs w:val="20"/>
              </w:rPr>
              <w:t>,</w:t>
            </w:r>
            <w:r>
              <w:rPr>
                <w:rFonts w:ascii="Times New Roman" w:hAnsi="Times New Roman"/>
                <w:sz w:val="20"/>
                <w:szCs w:val="20"/>
              </w:rPr>
              <w:t>6</w:t>
            </w:r>
            <w:r w:rsidRPr="001E3A72">
              <w:rPr>
                <w:rFonts w:ascii="Times New Roman" w:hAnsi="Times New Roman"/>
                <w:color w:val="000000"/>
                <w:sz w:val="20"/>
                <w:szCs w:val="20"/>
                <w:vertAlign w:val="superscript"/>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vertAlign w:val="superscript"/>
              </w:rPr>
            </w:pPr>
            <w:r w:rsidRPr="003F5D29">
              <w:rPr>
                <w:rFonts w:ascii="Times New Roman" w:hAnsi="Times New Roman"/>
                <w:color w:val="000000"/>
                <w:sz w:val="20"/>
                <w:szCs w:val="20"/>
              </w:rPr>
              <w:t>104,5</w:t>
            </w:r>
            <w:r w:rsidRPr="003F5D29">
              <w:rPr>
                <w:rFonts w:ascii="Times New Roman" w:hAnsi="Times New Roman"/>
                <w:color w:val="000000"/>
                <w:sz w:val="20"/>
                <w:szCs w:val="20"/>
                <w:vertAlign w:val="superscript"/>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sidRPr="003F5D29">
              <w:rPr>
                <w:rFonts w:ascii="Times New Roman" w:hAnsi="Times New Roman"/>
                <w:color w:val="000000"/>
                <w:sz w:val="20"/>
                <w:szCs w:val="20"/>
              </w:rPr>
              <w:t>84,6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4728E5" w:rsidRDefault="00C40A42" w:rsidP="00864AD0">
            <w:pPr>
              <w:spacing w:after="0" w:line="240" w:lineRule="auto"/>
              <w:ind w:left="-142" w:firstLine="142"/>
              <w:jc w:val="right"/>
              <w:rPr>
                <w:rFonts w:ascii="Times New Roman" w:hAnsi="Times New Roman"/>
                <w:color w:val="000000"/>
                <w:sz w:val="20"/>
                <w:szCs w:val="20"/>
                <w:vertAlign w:val="superscript"/>
              </w:rPr>
            </w:pPr>
            <w:r>
              <w:rPr>
                <w:rFonts w:ascii="Times New Roman" w:hAnsi="Times New Roman"/>
                <w:color w:val="000000"/>
                <w:sz w:val="20"/>
                <w:szCs w:val="20"/>
              </w:rPr>
              <w:t>110,5</w:t>
            </w:r>
            <w:r>
              <w:rPr>
                <w:rFonts w:ascii="Times New Roman" w:hAnsi="Times New Roman"/>
                <w:color w:val="000000"/>
                <w:sz w:val="20"/>
                <w:szCs w:val="20"/>
                <w:vertAlign w:val="superscript"/>
              </w:rPr>
              <w:t>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F5D29"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112,5</w:t>
            </w:r>
          </w:p>
        </w:tc>
      </w:tr>
      <w:tr w:rsidR="00C40A42" w:rsidRPr="002361A2" w:rsidTr="00C40A42">
        <w:trPr>
          <w:gridAfter w:val="1"/>
          <w:wAfter w:w="893" w:type="dxa"/>
          <w:trHeight w:val="300"/>
        </w:trPr>
        <w:tc>
          <w:tcPr>
            <w:tcW w:w="43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Консолидированного бюджета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AD030F" w:rsidRDefault="00C40A42" w:rsidP="00864AD0">
            <w:pPr>
              <w:spacing w:after="0" w:line="240" w:lineRule="auto"/>
              <w:jc w:val="right"/>
              <w:rPr>
                <w:rFonts w:ascii="Times New Roman" w:hAnsi="Times New Roman"/>
                <w:color w:val="1F497D"/>
                <w:sz w:val="20"/>
                <w:szCs w:val="20"/>
              </w:rPr>
            </w:pPr>
            <w:r w:rsidRPr="00AD030F">
              <w:rPr>
                <w:rFonts w:ascii="Times New Roman" w:hAnsi="Times New Roman"/>
                <w:color w:val="1F497D"/>
                <w:sz w:val="20"/>
                <w:szCs w:val="20"/>
              </w:rPr>
              <w:t>1 070,6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1 144,4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106,9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1 188,0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103,8</w:t>
            </w:r>
          </w:p>
        </w:tc>
      </w:tr>
      <w:tr w:rsidR="00C40A42" w:rsidRPr="002361A2" w:rsidTr="00C40A42">
        <w:trPr>
          <w:gridAfter w:val="1"/>
          <w:wAfter w:w="893" w:type="dxa"/>
          <w:trHeight w:val="300"/>
        </w:trPr>
        <w:tc>
          <w:tcPr>
            <w:tcW w:w="4361" w:type="dxa"/>
            <w:gridSpan w:val="2"/>
            <w:vMerge/>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AD030F" w:rsidRDefault="00C40A42" w:rsidP="00864AD0">
            <w:pPr>
              <w:spacing w:after="0" w:line="240" w:lineRule="auto"/>
              <w:jc w:val="right"/>
              <w:rPr>
                <w:rFonts w:ascii="Times New Roman" w:hAnsi="Times New Roman"/>
                <w:color w:val="1F497D"/>
                <w:sz w:val="20"/>
                <w:szCs w:val="20"/>
              </w:rPr>
            </w:pPr>
            <w:r w:rsidRPr="00AD030F">
              <w:rPr>
                <w:rFonts w:ascii="Times New Roman" w:hAnsi="Times New Roman"/>
                <w:color w:val="1F497D"/>
                <w:sz w:val="20"/>
                <w:szCs w:val="20"/>
              </w:rPr>
              <w:t>96,4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10</w:t>
            </w:r>
            <w:r>
              <w:rPr>
                <w:rFonts w:ascii="Times New Roman" w:hAnsi="Times New Roman"/>
                <w:color w:val="000000"/>
                <w:sz w:val="20"/>
                <w:szCs w:val="20"/>
              </w:rPr>
              <w:t>2</w:t>
            </w:r>
            <w:r w:rsidRPr="006C5C45">
              <w:rPr>
                <w:rFonts w:ascii="Times New Roman" w:hAnsi="Times New Roman"/>
                <w:color w:val="000000"/>
                <w:sz w:val="20"/>
                <w:szCs w:val="20"/>
              </w:rPr>
              <w:t>,</w:t>
            </w:r>
            <w:r>
              <w:rPr>
                <w:rFonts w:ascii="Times New Roman" w:hAnsi="Times New Roman"/>
                <w:color w:val="000000"/>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10</w:t>
            </w:r>
            <w:r>
              <w:rPr>
                <w:rFonts w:ascii="Times New Roman" w:hAnsi="Times New Roman"/>
                <w:color w:val="000000"/>
                <w:sz w:val="20"/>
                <w:szCs w:val="20"/>
              </w:rPr>
              <w:t>5</w:t>
            </w:r>
            <w:r w:rsidRPr="003E48D5">
              <w:rPr>
                <w:rFonts w:ascii="Times New Roman" w:hAnsi="Times New Roman"/>
                <w:color w:val="000000"/>
                <w:sz w:val="20"/>
                <w:szCs w:val="20"/>
              </w:rPr>
              <w:t>,</w:t>
            </w:r>
            <w:r>
              <w:rPr>
                <w:rFonts w:ascii="Times New Roman" w:hAnsi="Times New Roman"/>
                <w:color w:val="000000"/>
                <w:sz w:val="20"/>
                <w:szCs w:val="20"/>
              </w:rPr>
              <w:t>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102,5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100,5</w:t>
            </w:r>
          </w:p>
        </w:tc>
      </w:tr>
      <w:tr w:rsidR="00C40A42" w:rsidRPr="002361A2" w:rsidTr="00C40A42">
        <w:trPr>
          <w:gridAfter w:val="1"/>
          <w:wAfter w:w="893" w:type="dxa"/>
          <w:trHeight w:val="300"/>
        </w:trPr>
        <w:tc>
          <w:tcPr>
            <w:tcW w:w="43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Республиканского бюджета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AD030F" w:rsidRDefault="00C40A42" w:rsidP="00864AD0">
            <w:pPr>
              <w:spacing w:after="0" w:line="240" w:lineRule="auto"/>
              <w:jc w:val="right"/>
              <w:rPr>
                <w:rFonts w:ascii="Times New Roman" w:hAnsi="Times New Roman"/>
                <w:color w:val="1F497D"/>
                <w:sz w:val="20"/>
                <w:szCs w:val="20"/>
              </w:rPr>
            </w:pPr>
            <w:r w:rsidRPr="00AD030F">
              <w:rPr>
                <w:rFonts w:ascii="Times New Roman" w:hAnsi="Times New Roman"/>
                <w:color w:val="1F497D"/>
                <w:sz w:val="20"/>
                <w:szCs w:val="20"/>
              </w:rPr>
              <w:t>681,5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767,7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112,6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822,3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107,1</w:t>
            </w:r>
          </w:p>
        </w:tc>
      </w:tr>
      <w:tr w:rsidR="00C40A42" w:rsidRPr="002361A2" w:rsidTr="00C40A42">
        <w:trPr>
          <w:gridAfter w:val="1"/>
          <w:wAfter w:w="893" w:type="dxa"/>
          <w:trHeight w:val="300"/>
        </w:trPr>
        <w:tc>
          <w:tcPr>
            <w:tcW w:w="4361" w:type="dxa"/>
            <w:gridSpan w:val="2"/>
            <w:vMerge/>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AD030F" w:rsidRDefault="00C40A42" w:rsidP="00864AD0">
            <w:pPr>
              <w:spacing w:after="0" w:line="240" w:lineRule="auto"/>
              <w:jc w:val="right"/>
              <w:rPr>
                <w:rFonts w:ascii="Times New Roman" w:hAnsi="Times New Roman"/>
                <w:color w:val="1F497D"/>
                <w:sz w:val="20"/>
                <w:szCs w:val="20"/>
              </w:rPr>
            </w:pPr>
            <w:r w:rsidRPr="00AD030F">
              <w:rPr>
                <w:rFonts w:ascii="Times New Roman" w:hAnsi="Times New Roman"/>
                <w:color w:val="1F497D"/>
                <w:sz w:val="20"/>
                <w:szCs w:val="20"/>
              </w:rPr>
              <w:t>61,4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68,4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111,4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71,0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103,8</w:t>
            </w:r>
          </w:p>
        </w:tc>
      </w:tr>
      <w:tr w:rsidR="00C40A42" w:rsidRPr="002361A2" w:rsidTr="00C40A42">
        <w:trPr>
          <w:gridAfter w:val="1"/>
          <w:wAfter w:w="893" w:type="dxa"/>
          <w:trHeight w:val="300"/>
        </w:trPr>
        <w:tc>
          <w:tcPr>
            <w:tcW w:w="43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местных бюджетов</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389,1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376,7</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96,8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365,6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97,1</w:t>
            </w:r>
          </w:p>
        </w:tc>
      </w:tr>
      <w:tr w:rsidR="00C40A42" w:rsidRPr="002361A2" w:rsidTr="00C40A42">
        <w:trPr>
          <w:gridAfter w:val="1"/>
          <w:wAfter w:w="893" w:type="dxa"/>
          <w:trHeight w:val="300"/>
        </w:trPr>
        <w:tc>
          <w:tcPr>
            <w:tcW w:w="4361" w:type="dxa"/>
            <w:gridSpan w:val="2"/>
            <w:vMerge/>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35,0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33,</w:t>
            </w:r>
            <w:r>
              <w:rPr>
                <w:rFonts w:ascii="Times New Roman" w:hAnsi="Times New Roman"/>
                <w:color w:val="000000"/>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96,</w:t>
            </w:r>
            <w:r>
              <w:rPr>
                <w:rFonts w:ascii="Times New Roman" w:hAnsi="Times New Roman"/>
                <w:color w:val="000000"/>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31,6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94,0</w:t>
            </w:r>
          </w:p>
        </w:tc>
      </w:tr>
      <w:tr w:rsidR="00C40A42" w:rsidRPr="002361A2" w:rsidTr="00C40A42">
        <w:trPr>
          <w:gridAfter w:val="1"/>
          <w:wAfter w:w="893" w:type="dxa"/>
          <w:trHeight w:val="300"/>
        </w:trPr>
        <w:tc>
          <w:tcPr>
            <w:tcW w:w="43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Консолидированного бюджета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1 472,6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2 015,2</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136,8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1 831,3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90,9</w:t>
            </w:r>
          </w:p>
        </w:tc>
      </w:tr>
      <w:tr w:rsidR="00C40A42" w:rsidRPr="002361A2" w:rsidTr="00C40A42">
        <w:trPr>
          <w:gridAfter w:val="1"/>
          <w:wAfter w:w="893" w:type="dxa"/>
          <w:trHeight w:val="300"/>
        </w:trPr>
        <w:tc>
          <w:tcPr>
            <w:tcW w:w="4361" w:type="dxa"/>
            <w:gridSpan w:val="2"/>
            <w:vMerge/>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132,7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179,6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13</w:t>
            </w:r>
            <w:r>
              <w:rPr>
                <w:rFonts w:ascii="Times New Roman" w:hAnsi="Times New Roman"/>
                <w:color w:val="000000"/>
                <w:sz w:val="20"/>
                <w:szCs w:val="20"/>
              </w:rPr>
              <w:t>5</w:t>
            </w:r>
            <w:r w:rsidRPr="003E48D5">
              <w:rPr>
                <w:rFonts w:ascii="Times New Roman" w:hAnsi="Times New Roman"/>
                <w:color w:val="000000"/>
                <w:sz w:val="20"/>
                <w:szCs w:val="20"/>
              </w:rPr>
              <w:t>,</w:t>
            </w:r>
            <w:r>
              <w:rPr>
                <w:rFonts w:ascii="Times New Roman" w:hAnsi="Times New Roman"/>
                <w:color w:val="000000"/>
                <w:sz w:val="20"/>
                <w:szCs w:val="20"/>
              </w:rPr>
              <w:t>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158,1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88,0</w:t>
            </w:r>
          </w:p>
        </w:tc>
      </w:tr>
      <w:tr w:rsidR="00C40A42" w:rsidRPr="002361A2" w:rsidTr="00C40A42">
        <w:trPr>
          <w:gridAfter w:val="1"/>
          <w:wAfter w:w="893" w:type="dxa"/>
          <w:trHeight w:val="300"/>
        </w:trPr>
        <w:tc>
          <w:tcPr>
            <w:tcW w:w="43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Республиканского бюджета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C40A42"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1 008,4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1 427,6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141,6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1 299,6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91,0</w:t>
            </w:r>
          </w:p>
        </w:tc>
      </w:tr>
      <w:tr w:rsidR="00C40A42" w:rsidRPr="002361A2" w:rsidTr="00C40A42">
        <w:trPr>
          <w:gridAfter w:val="1"/>
          <w:wAfter w:w="893" w:type="dxa"/>
          <w:trHeight w:val="300"/>
        </w:trPr>
        <w:tc>
          <w:tcPr>
            <w:tcW w:w="4361" w:type="dxa"/>
            <w:gridSpan w:val="2"/>
            <w:vMerge/>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864AD0"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sidR="00C40A42">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90,8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12</w:t>
            </w:r>
            <w:r>
              <w:rPr>
                <w:rFonts w:ascii="Times New Roman" w:hAnsi="Times New Roman"/>
                <w:color w:val="000000"/>
                <w:sz w:val="20"/>
                <w:szCs w:val="20"/>
              </w:rPr>
              <w:t>7</w:t>
            </w:r>
            <w:r w:rsidRPr="006C5C45">
              <w:rPr>
                <w:rFonts w:ascii="Times New Roman" w:hAnsi="Times New Roman"/>
                <w:color w:val="000000"/>
                <w:sz w:val="20"/>
                <w:szCs w:val="20"/>
              </w:rPr>
              <w:t>,</w:t>
            </w:r>
            <w:r>
              <w:rPr>
                <w:rFonts w:ascii="Times New Roman" w:hAnsi="Times New Roman"/>
                <w:color w:val="000000"/>
                <w:sz w:val="20"/>
                <w:szCs w:val="20"/>
              </w:rPr>
              <w:t>3</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14</w:t>
            </w:r>
            <w:r>
              <w:rPr>
                <w:rFonts w:ascii="Times New Roman" w:hAnsi="Times New Roman"/>
                <w:color w:val="000000"/>
                <w:sz w:val="20"/>
                <w:szCs w:val="20"/>
              </w:rPr>
              <w:t>0</w:t>
            </w:r>
            <w:r w:rsidRPr="003E48D5">
              <w:rPr>
                <w:rFonts w:ascii="Times New Roman" w:hAnsi="Times New Roman"/>
                <w:color w:val="000000"/>
                <w:sz w:val="20"/>
                <w:szCs w:val="20"/>
              </w:rPr>
              <w:t>,</w:t>
            </w:r>
            <w:r>
              <w:rPr>
                <w:rFonts w:ascii="Times New Roman" w:hAnsi="Times New Roman"/>
                <w:color w:val="000000"/>
                <w:sz w:val="20"/>
                <w:szCs w:val="20"/>
              </w:rPr>
              <w:t>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112,2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88,1</w:t>
            </w:r>
          </w:p>
        </w:tc>
      </w:tr>
      <w:tr w:rsidR="00C40A42" w:rsidRPr="002361A2" w:rsidTr="00C40A42">
        <w:trPr>
          <w:gridAfter w:val="1"/>
          <w:wAfter w:w="893" w:type="dxa"/>
          <w:trHeight w:val="300"/>
        </w:trPr>
        <w:tc>
          <w:tcPr>
            <w:tcW w:w="436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местных бюджетов</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864AD0"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sidR="00C40A42">
              <w:rPr>
                <w:rFonts w:ascii="Times New Roman" w:hAnsi="Times New Roman"/>
                <w:color w:val="000000"/>
                <w:sz w:val="20"/>
                <w:szCs w:val="20"/>
              </w:rPr>
              <w:t xml:space="preserve"> руб.</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464,2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587,6</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126,6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531,7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90,5</w:t>
            </w:r>
          </w:p>
        </w:tc>
      </w:tr>
      <w:tr w:rsidR="00C40A42" w:rsidRPr="002361A2" w:rsidTr="00C40A42">
        <w:trPr>
          <w:gridAfter w:val="1"/>
          <w:wAfter w:w="893" w:type="dxa"/>
          <w:trHeight w:val="300"/>
        </w:trPr>
        <w:tc>
          <w:tcPr>
            <w:tcW w:w="4361" w:type="dxa"/>
            <w:gridSpan w:val="2"/>
            <w:vMerge/>
            <w:tcBorders>
              <w:top w:val="single" w:sz="4" w:space="0" w:color="auto"/>
              <w:left w:val="single" w:sz="4" w:space="0" w:color="auto"/>
              <w:bottom w:val="single" w:sz="4" w:space="0" w:color="auto"/>
              <w:right w:val="single" w:sz="4" w:space="0" w:color="auto"/>
            </w:tcBorders>
            <w:vAlign w:val="center"/>
            <w:hideMark/>
          </w:tcPr>
          <w:p w:rsidR="00C40A42" w:rsidRDefault="00C40A42" w:rsidP="00864AD0">
            <w:pPr>
              <w:spacing w:after="0" w:line="240" w:lineRule="auto"/>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40A42" w:rsidRDefault="00864AD0" w:rsidP="00864AD0">
            <w:pPr>
              <w:spacing w:after="0" w:line="240" w:lineRule="auto"/>
              <w:ind w:left="-142" w:right="-108" w:firstLine="34"/>
              <w:jc w:val="center"/>
              <w:rPr>
                <w:rFonts w:ascii="Times New Roman" w:hAnsi="Times New Roman"/>
                <w:color w:val="000000"/>
                <w:sz w:val="20"/>
                <w:szCs w:val="20"/>
              </w:rPr>
            </w:pPr>
            <w:proofErr w:type="spellStart"/>
            <w:r>
              <w:rPr>
                <w:rFonts w:ascii="Times New Roman" w:hAnsi="Times New Roman"/>
                <w:color w:val="000000"/>
                <w:sz w:val="20"/>
                <w:szCs w:val="20"/>
              </w:rPr>
              <w:t>млн</w:t>
            </w:r>
            <w:proofErr w:type="spellEnd"/>
            <w:r w:rsidR="00C40A42">
              <w:rPr>
                <w:rFonts w:ascii="Times New Roman" w:hAnsi="Times New Roman"/>
                <w:color w:val="000000"/>
                <w:sz w:val="20"/>
                <w:szCs w:val="20"/>
              </w:rPr>
              <w:t xml:space="preserve"> дол.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40A42" w:rsidRPr="00BA074F" w:rsidRDefault="00C40A42" w:rsidP="00864AD0">
            <w:pPr>
              <w:spacing w:after="0" w:line="240" w:lineRule="auto"/>
              <w:jc w:val="right"/>
              <w:rPr>
                <w:rFonts w:ascii="Times New Roman" w:hAnsi="Times New Roman"/>
                <w:color w:val="1F497D"/>
                <w:sz w:val="20"/>
                <w:szCs w:val="20"/>
              </w:rPr>
            </w:pPr>
            <w:r w:rsidRPr="00BA074F">
              <w:rPr>
                <w:rFonts w:ascii="Times New Roman" w:hAnsi="Times New Roman"/>
                <w:color w:val="1F497D"/>
                <w:sz w:val="20"/>
                <w:szCs w:val="20"/>
              </w:rPr>
              <w:t>41,8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sidRPr="006C5C45">
              <w:rPr>
                <w:rFonts w:ascii="Times New Roman" w:hAnsi="Times New Roman"/>
                <w:color w:val="000000"/>
                <w:sz w:val="20"/>
                <w:szCs w:val="20"/>
              </w:rPr>
              <w:t>52,</w:t>
            </w:r>
            <w:r>
              <w:rPr>
                <w:rFonts w:ascii="Times New Roman" w:hAnsi="Times New Roman"/>
                <w:color w:val="000000"/>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sidRPr="003E48D5">
              <w:rPr>
                <w:rFonts w:ascii="Times New Roman" w:hAnsi="Times New Roman"/>
                <w:color w:val="000000"/>
                <w:sz w:val="20"/>
                <w:szCs w:val="20"/>
              </w:rPr>
              <w:t>12</w:t>
            </w:r>
            <w:r>
              <w:rPr>
                <w:rFonts w:ascii="Times New Roman" w:hAnsi="Times New Roman"/>
                <w:color w:val="000000"/>
                <w:sz w:val="20"/>
                <w:szCs w:val="20"/>
              </w:rPr>
              <w:t>5</w:t>
            </w:r>
            <w:r w:rsidRPr="003E48D5">
              <w:rPr>
                <w:rFonts w:ascii="Times New Roman" w:hAnsi="Times New Roman"/>
                <w:color w:val="000000"/>
                <w:sz w:val="20"/>
                <w:szCs w:val="20"/>
              </w:rPr>
              <w:t>,</w:t>
            </w:r>
            <w:r>
              <w:rPr>
                <w:rFonts w:ascii="Times New Roman" w:hAnsi="Times New Roman"/>
                <w:color w:val="000000"/>
                <w:sz w:val="20"/>
                <w:szCs w:val="20"/>
              </w:rPr>
              <w:t>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rsidR="00C40A42" w:rsidRPr="006C5C4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45,9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C40A42" w:rsidRPr="003E48D5" w:rsidRDefault="00C40A42" w:rsidP="00864A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87,6</w:t>
            </w:r>
          </w:p>
        </w:tc>
      </w:tr>
      <w:tr w:rsidR="00C40A42" w:rsidTr="00C40A42">
        <w:trPr>
          <w:trHeight w:val="300"/>
        </w:trPr>
        <w:tc>
          <w:tcPr>
            <w:tcW w:w="5211" w:type="dxa"/>
            <w:gridSpan w:val="3"/>
            <w:tcBorders>
              <w:top w:val="single" w:sz="4" w:space="0" w:color="auto"/>
              <w:left w:val="nil"/>
              <w:bottom w:val="nil"/>
              <w:right w:val="nil"/>
            </w:tcBorders>
            <w:noWrap/>
            <w:vAlign w:val="bottom"/>
            <w:hideMark/>
          </w:tcPr>
          <w:p w:rsidR="00C40A42" w:rsidRDefault="00C40A42" w:rsidP="00864AD0">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rPr>
              <w:t>* - темпы пересчитаны к уточненным данным ГСС;</w:t>
            </w:r>
          </w:p>
        </w:tc>
        <w:tc>
          <w:tcPr>
            <w:tcW w:w="1134" w:type="dxa"/>
            <w:tcBorders>
              <w:top w:val="single" w:sz="4" w:space="0" w:color="auto"/>
              <w:left w:val="nil"/>
              <w:bottom w:val="nil"/>
              <w:right w:val="nil"/>
            </w:tcBorders>
            <w:vAlign w:val="bottom"/>
          </w:tcPr>
          <w:p w:rsidR="00C40A42" w:rsidRDefault="00C40A42" w:rsidP="00864AD0">
            <w:pPr>
              <w:spacing w:after="0" w:line="240" w:lineRule="auto"/>
              <w:ind w:left="-142" w:firstLine="142"/>
              <w:rPr>
                <w:color w:val="000000"/>
              </w:rPr>
            </w:pPr>
          </w:p>
        </w:tc>
        <w:tc>
          <w:tcPr>
            <w:tcW w:w="709" w:type="dxa"/>
            <w:tcBorders>
              <w:top w:val="single" w:sz="4" w:space="0" w:color="auto"/>
              <w:left w:val="nil"/>
              <w:bottom w:val="nil"/>
              <w:right w:val="nil"/>
            </w:tcBorders>
            <w:noWrap/>
            <w:vAlign w:val="bottom"/>
          </w:tcPr>
          <w:p w:rsidR="00C40A42" w:rsidRDefault="00C40A42" w:rsidP="00864AD0">
            <w:pPr>
              <w:spacing w:after="0" w:line="240" w:lineRule="auto"/>
              <w:ind w:left="-142" w:firstLine="142"/>
              <w:rPr>
                <w:color w:val="000000"/>
              </w:rPr>
            </w:pPr>
          </w:p>
        </w:tc>
        <w:tc>
          <w:tcPr>
            <w:tcW w:w="969" w:type="dxa"/>
            <w:gridSpan w:val="2"/>
            <w:tcBorders>
              <w:top w:val="single" w:sz="4" w:space="0" w:color="auto"/>
              <w:left w:val="nil"/>
              <w:bottom w:val="nil"/>
              <w:right w:val="nil"/>
            </w:tcBorders>
            <w:noWrap/>
            <w:vAlign w:val="bottom"/>
          </w:tcPr>
          <w:p w:rsidR="00C40A42" w:rsidRDefault="00C40A42" w:rsidP="00864AD0">
            <w:pPr>
              <w:spacing w:after="0" w:line="240" w:lineRule="auto"/>
              <w:ind w:left="-142" w:firstLine="142"/>
              <w:rPr>
                <w:color w:val="000000"/>
              </w:rPr>
            </w:pPr>
          </w:p>
        </w:tc>
        <w:tc>
          <w:tcPr>
            <w:tcW w:w="1016" w:type="dxa"/>
            <w:gridSpan w:val="2"/>
            <w:tcBorders>
              <w:top w:val="single" w:sz="4" w:space="0" w:color="auto"/>
              <w:left w:val="nil"/>
              <w:bottom w:val="nil"/>
              <w:right w:val="nil"/>
            </w:tcBorders>
            <w:noWrap/>
            <w:vAlign w:val="bottom"/>
          </w:tcPr>
          <w:p w:rsidR="00C40A42" w:rsidRDefault="00C40A42" w:rsidP="00864AD0">
            <w:pPr>
              <w:spacing w:after="0" w:line="240" w:lineRule="auto"/>
              <w:ind w:left="-142" w:firstLine="142"/>
              <w:rPr>
                <w:color w:val="000000"/>
              </w:rPr>
            </w:pPr>
          </w:p>
        </w:tc>
        <w:tc>
          <w:tcPr>
            <w:tcW w:w="1082" w:type="dxa"/>
            <w:gridSpan w:val="2"/>
            <w:tcBorders>
              <w:top w:val="single" w:sz="4" w:space="0" w:color="auto"/>
              <w:left w:val="nil"/>
              <w:bottom w:val="nil"/>
              <w:right w:val="nil"/>
            </w:tcBorders>
          </w:tcPr>
          <w:p w:rsidR="00C40A42" w:rsidRDefault="00C40A42" w:rsidP="00864AD0">
            <w:pPr>
              <w:spacing w:after="0" w:line="240" w:lineRule="auto"/>
              <w:ind w:left="-142" w:firstLine="142"/>
              <w:rPr>
                <w:color w:val="000000"/>
              </w:rPr>
            </w:pPr>
          </w:p>
        </w:tc>
        <w:tc>
          <w:tcPr>
            <w:tcW w:w="1086" w:type="dxa"/>
            <w:gridSpan w:val="2"/>
            <w:tcBorders>
              <w:top w:val="single" w:sz="4" w:space="0" w:color="auto"/>
              <w:left w:val="nil"/>
              <w:bottom w:val="nil"/>
              <w:right w:val="nil"/>
            </w:tcBorders>
            <w:noWrap/>
            <w:vAlign w:val="bottom"/>
          </w:tcPr>
          <w:p w:rsidR="00C40A42" w:rsidRDefault="00C40A42" w:rsidP="00864AD0">
            <w:pPr>
              <w:spacing w:after="0" w:line="240" w:lineRule="auto"/>
              <w:ind w:left="-142" w:firstLine="142"/>
              <w:rPr>
                <w:color w:val="000000"/>
              </w:rPr>
            </w:pPr>
          </w:p>
        </w:tc>
      </w:tr>
      <w:tr w:rsidR="00C40A42" w:rsidTr="00C40A42">
        <w:trPr>
          <w:trHeight w:val="300"/>
        </w:trPr>
        <w:tc>
          <w:tcPr>
            <w:tcW w:w="6345" w:type="dxa"/>
            <w:gridSpan w:val="4"/>
            <w:noWrap/>
            <w:vAlign w:val="bottom"/>
            <w:hideMark/>
          </w:tcPr>
          <w:p w:rsidR="00C40A42" w:rsidRDefault="00C40A42" w:rsidP="00864AD0">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1</w:t>
            </w:r>
            <w:r>
              <w:rPr>
                <w:rFonts w:ascii="Times New Roman" w:hAnsi="Times New Roman"/>
                <w:color w:val="000000"/>
                <w:sz w:val="20"/>
                <w:szCs w:val="20"/>
              </w:rPr>
              <w:t xml:space="preserve"> - с учетом объемов субъектов малого предпринимательства;</w:t>
            </w:r>
          </w:p>
          <w:p w:rsidR="00C40A42" w:rsidRDefault="00C40A42" w:rsidP="00864AD0">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2</w:t>
            </w:r>
            <w:r>
              <w:rPr>
                <w:rFonts w:ascii="Times New Roman" w:hAnsi="Times New Roman"/>
                <w:color w:val="000000"/>
                <w:sz w:val="20"/>
                <w:szCs w:val="20"/>
              </w:rPr>
              <w:t xml:space="preserve"> - во всех категориях хозяйств;</w:t>
            </w:r>
          </w:p>
          <w:p w:rsidR="00C40A42" w:rsidRDefault="00C40A42" w:rsidP="00864AD0">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 xml:space="preserve">3 – </w:t>
            </w:r>
            <w:r>
              <w:rPr>
                <w:rFonts w:ascii="Times New Roman" w:hAnsi="Times New Roman"/>
                <w:color w:val="000000"/>
                <w:sz w:val="20"/>
                <w:szCs w:val="20"/>
              </w:rPr>
              <w:t xml:space="preserve">без силовых структур и таможенных органов; </w:t>
            </w:r>
          </w:p>
        </w:tc>
        <w:tc>
          <w:tcPr>
            <w:tcW w:w="709" w:type="dxa"/>
            <w:noWrap/>
            <w:vAlign w:val="bottom"/>
          </w:tcPr>
          <w:p w:rsidR="00C40A42" w:rsidRDefault="00C40A42" w:rsidP="00864AD0">
            <w:pPr>
              <w:spacing w:after="0" w:line="240" w:lineRule="auto"/>
              <w:ind w:left="-142" w:firstLine="142"/>
              <w:rPr>
                <w:color w:val="000000"/>
              </w:rPr>
            </w:pPr>
          </w:p>
        </w:tc>
        <w:tc>
          <w:tcPr>
            <w:tcW w:w="969" w:type="dxa"/>
            <w:gridSpan w:val="2"/>
            <w:noWrap/>
            <w:vAlign w:val="bottom"/>
          </w:tcPr>
          <w:p w:rsidR="00C40A42" w:rsidRDefault="00C40A42" w:rsidP="00864AD0">
            <w:pPr>
              <w:spacing w:after="0" w:line="240" w:lineRule="auto"/>
              <w:ind w:left="-142" w:firstLine="142"/>
              <w:rPr>
                <w:color w:val="000000"/>
              </w:rPr>
            </w:pPr>
          </w:p>
        </w:tc>
        <w:tc>
          <w:tcPr>
            <w:tcW w:w="1016" w:type="dxa"/>
            <w:gridSpan w:val="2"/>
            <w:noWrap/>
            <w:vAlign w:val="bottom"/>
          </w:tcPr>
          <w:p w:rsidR="00C40A42" w:rsidRDefault="00C40A42" w:rsidP="00864AD0">
            <w:pPr>
              <w:spacing w:after="0" w:line="240" w:lineRule="auto"/>
              <w:ind w:left="-142" w:firstLine="142"/>
              <w:rPr>
                <w:color w:val="000000"/>
              </w:rPr>
            </w:pPr>
          </w:p>
        </w:tc>
        <w:tc>
          <w:tcPr>
            <w:tcW w:w="1082" w:type="dxa"/>
            <w:gridSpan w:val="2"/>
          </w:tcPr>
          <w:p w:rsidR="00C40A42" w:rsidRDefault="00C40A42" w:rsidP="00864AD0">
            <w:pPr>
              <w:spacing w:after="0" w:line="240" w:lineRule="auto"/>
              <w:ind w:left="-142" w:firstLine="142"/>
              <w:rPr>
                <w:color w:val="000000"/>
              </w:rPr>
            </w:pPr>
          </w:p>
        </w:tc>
        <w:tc>
          <w:tcPr>
            <w:tcW w:w="1086" w:type="dxa"/>
            <w:gridSpan w:val="2"/>
            <w:noWrap/>
            <w:vAlign w:val="bottom"/>
          </w:tcPr>
          <w:p w:rsidR="00C40A42" w:rsidRDefault="00C40A42" w:rsidP="00864AD0">
            <w:pPr>
              <w:spacing w:after="0" w:line="240" w:lineRule="auto"/>
              <w:ind w:left="-142" w:firstLine="142"/>
              <w:rPr>
                <w:color w:val="000000"/>
              </w:rPr>
            </w:pPr>
          </w:p>
        </w:tc>
      </w:tr>
      <w:tr w:rsidR="00C40A42" w:rsidTr="00C40A42">
        <w:trPr>
          <w:trHeight w:val="300"/>
        </w:trPr>
        <w:tc>
          <w:tcPr>
            <w:tcW w:w="4219" w:type="dxa"/>
            <w:noWrap/>
            <w:vAlign w:val="bottom"/>
            <w:hideMark/>
          </w:tcPr>
          <w:p w:rsidR="00C40A42" w:rsidRDefault="00C40A42" w:rsidP="00864AD0">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4</w:t>
            </w:r>
            <w:r>
              <w:rPr>
                <w:rFonts w:ascii="Times New Roman" w:hAnsi="Times New Roman"/>
                <w:color w:val="000000"/>
                <w:sz w:val="20"/>
                <w:szCs w:val="20"/>
              </w:rPr>
              <w:t xml:space="preserve"> - к декабрю предыдущего года</w:t>
            </w:r>
          </w:p>
        </w:tc>
        <w:tc>
          <w:tcPr>
            <w:tcW w:w="2126" w:type="dxa"/>
            <w:gridSpan w:val="3"/>
            <w:vAlign w:val="bottom"/>
          </w:tcPr>
          <w:p w:rsidR="00C40A42" w:rsidRDefault="00C40A42" w:rsidP="00864AD0">
            <w:pPr>
              <w:spacing w:after="0" w:line="240" w:lineRule="auto"/>
              <w:ind w:left="-142" w:firstLine="142"/>
              <w:rPr>
                <w:color w:val="000000"/>
              </w:rPr>
            </w:pPr>
          </w:p>
        </w:tc>
        <w:tc>
          <w:tcPr>
            <w:tcW w:w="709" w:type="dxa"/>
            <w:noWrap/>
            <w:vAlign w:val="bottom"/>
          </w:tcPr>
          <w:p w:rsidR="00C40A42" w:rsidRDefault="00C40A42" w:rsidP="00864AD0">
            <w:pPr>
              <w:spacing w:after="0" w:line="240" w:lineRule="auto"/>
              <w:ind w:left="-142" w:firstLine="142"/>
              <w:rPr>
                <w:color w:val="000000"/>
              </w:rPr>
            </w:pPr>
          </w:p>
        </w:tc>
        <w:tc>
          <w:tcPr>
            <w:tcW w:w="969" w:type="dxa"/>
            <w:gridSpan w:val="2"/>
            <w:noWrap/>
            <w:vAlign w:val="bottom"/>
          </w:tcPr>
          <w:p w:rsidR="00C40A42" w:rsidRDefault="00C40A42" w:rsidP="00864AD0">
            <w:pPr>
              <w:spacing w:after="0" w:line="240" w:lineRule="auto"/>
              <w:ind w:left="-142" w:firstLine="142"/>
              <w:rPr>
                <w:color w:val="000000"/>
              </w:rPr>
            </w:pPr>
          </w:p>
        </w:tc>
        <w:tc>
          <w:tcPr>
            <w:tcW w:w="1016" w:type="dxa"/>
            <w:gridSpan w:val="2"/>
            <w:noWrap/>
            <w:vAlign w:val="bottom"/>
          </w:tcPr>
          <w:p w:rsidR="00C40A42" w:rsidRDefault="00C40A42" w:rsidP="00864AD0">
            <w:pPr>
              <w:spacing w:after="0" w:line="240" w:lineRule="auto"/>
              <w:ind w:left="-142" w:firstLine="142"/>
              <w:rPr>
                <w:color w:val="000000"/>
              </w:rPr>
            </w:pPr>
          </w:p>
        </w:tc>
        <w:tc>
          <w:tcPr>
            <w:tcW w:w="1082" w:type="dxa"/>
            <w:gridSpan w:val="2"/>
          </w:tcPr>
          <w:p w:rsidR="00C40A42" w:rsidRDefault="00C40A42" w:rsidP="00864AD0">
            <w:pPr>
              <w:spacing w:after="0" w:line="240" w:lineRule="auto"/>
              <w:ind w:left="-142" w:firstLine="142"/>
              <w:rPr>
                <w:color w:val="000000"/>
              </w:rPr>
            </w:pPr>
          </w:p>
        </w:tc>
        <w:tc>
          <w:tcPr>
            <w:tcW w:w="1086" w:type="dxa"/>
            <w:gridSpan w:val="2"/>
            <w:noWrap/>
            <w:vAlign w:val="bottom"/>
          </w:tcPr>
          <w:p w:rsidR="00C40A42" w:rsidRDefault="00C40A42" w:rsidP="00864AD0">
            <w:pPr>
              <w:spacing w:after="0" w:line="240" w:lineRule="auto"/>
              <w:ind w:left="-142" w:firstLine="142"/>
              <w:rPr>
                <w:color w:val="000000"/>
              </w:rPr>
            </w:pPr>
          </w:p>
        </w:tc>
      </w:tr>
    </w:tbl>
    <w:p w:rsidR="00C40A42" w:rsidRPr="001A1E70" w:rsidRDefault="00C40A42" w:rsidP="00C40A42"/>
    <w:p w:rsidR="006A29F1" w:rsidRDefault="006A29F1" w:rsidP="006A29F1"/>
    <w:p w:rsidR="00C40A42" w:rsidRPr="0080737A" w:rsidRDefault="00C40A42" w:rsidP="006A29F1"/>
    <w:p w:rsidR="00335844" w:rsidRPr="0080737A" w:rsidRDefault="00335844" w:rsidP="00335844">
      <w:pPr>
        <w:spacing w:after="0" w:line="240" w:lineRule="auto"/>
        <w:ind w:firstLine="709"/>
        <w:jc w:val="center"/>
        <w:rPr>
          <w:rFonts w:ascii="Times New Roman" w:hAnsi="Times New Roman"/>
          <w:sz w:val="24"/>
          <w:szCs w:val="24"/>
        </w:rPr>
        <w:sectPr w:rsidR="00335844" w:rsidRPr="0080737A" w:rsidSect="003F67B2">
          <w:pgSz w:w="11906" w:h="16838" w:code="9"/>
          <w:pgMar w:top="1134" w:right="851" w:bottom="1134" w:left="1701" w:header="709" w:footer="709" w:gutter="0"/>
          <w:cols w:space="708"/>
          <w:titlePg/>
          <w:docGrid w:linePitch="360"/>
        </w:sectPr>
      </w:pPr>
    </w:p>
    <w:p w:rsidR="005074C0" w:rsidRPr="0080737A" w:rsidRDefault="005074C0" w:rsidP="005074C0">
      <w:pPr>
        <w:keepNext/>
        <w:spacing w:after="0" w:line="240" w:lineRule="auto"/>
        <w:jc w:val="right"/>
        <w:rPr>
          <w:rFonts w:ascii="Times New Roman" w:hAnsi="Times New Roman"/>
          <w:b/>
          <w:bCs/>
          <w:sz w:val="24"/>
          <w:szCs w:val="24"/>
        </w:rPr>
      </w:pPr>
      <w:r w:rsidRPr="0080737A">
        <w:rPr>
          <w:rFonts w:ascii="Times New Roman" w:hAnsi="Times New Roman"/>
          <w:b/>
          <w:bCs/>
          <w:sz w:val="24"/>
          <w:szCs w:val="24"/>
        </w:rPr>
        <w:lastRenderedPageBreak/>
        <w:t>Приложение №2</w:t>
      </w:r>
    </w:p>
    <w:p w:rsidR="005074C0" w:rsidRPr="0080737A" w:rsidRDefault="005074C0" w:rsidP="005074C0">
      <w:pPr>
        <w:spacing w:after="0" w:line="240" w:lineRule="auto"/>
        <w:ind w:firstLine="709"/>
        <w:jc w:val="right"/>
        <w:rPr>
          <w:rFonts w:ascii="Times New Roman" w:eastAsia="Calibri" w:hAnsi="Times New Roman"/>
          <w:b/>
          <w:sz w:val="24"/>
          <w:szCs w:val="24"/>
        </w:rPr>
      </w:pPr>
    </w:p>
    <w:p w:rsidR="00C40A42" w:rsidRDefault="00C40A42" w:rsidP="00C40A42">
      <w:pPr>
        <w:spacing w:after="0" w:line="240" w:lineRule="auto"/>
        <w:jc w:val="center"/>
        <w:rPr>
          <w:rFonts w:ascii="Times New Roman" w:hAnsi="Times New Roman"/>
          <w:b/>
          <w:sz w:val="28"/>
          <w:szCs w:val="28"/>
        </w:rPr>
      </w:pPr>
      <w:r w:rsidRPr="004C49D8">
        <w:rPr>
          <w:rFonts w:ascii="Times New Roman" w:hAnsi="Times New Roman"/>
          <w:b/>
          <w:sz w:val="28"/>
          <w:szCs w:val="28"/>
        </w:rPr>
        <w:t>Динамика и структура промышленного производства и реализации продукции по отраслям промышленности</w:t>
      </w:r>
      <w:r w:rsidR="003910AF">
        <w:rPr>
          <w:rFonts w:ascii="Times New Roman" w:hAnsi="Times New Roman"/>
          <w:b/>
          <w:sz w:val="28"/>
          <w:szCs w:val="28"/>
        </w:rPr>
        <w:t xml:space="preserve"> за январь-июнь 2017 года</w:t>
      </w:r>
    </w:p>
    <w:p w:rsidR="00C40A42" w:rsidRPr="004C49D8" w:rsidRDefault="00C40A42" w:rsidP="00C40A42">
      <w:pPr>
        <w:spacing w:after="0" w:line="240" w:lineRule="auto"/>
        <w:jc w:val="center"/>
        <w:rPr>
          <w:rFonts w:ascii="Times New Roman" w:hAnsi="Times New Roman"/>
          <w:b/>
          <w:sz w:val="28"/>
          <w:szCs w:val="28"/>
        </w:rPr>
      </w:pPr>
    </w:p>
    <w:tbl>
      <w:tblPr>
        <w:tblW w:w="9622" w:type="dxa"/>
        <w:tblInd w:w="-72" w:type="dxa"/>
        <w:tblLayout w:type="fixed"/>
        <w:tblLook w:val="0000"/>
      </w:tblPr>
      <w:tblGrid>
        <w:gridCol w:w="3183"/>
        <w:gridCol w:w="933"/>
        <w:gridCol w:w="784"/>
        <w:gridCol w:w="1140"/>
        <w:gridCol w:w="862"/>
        <w:gridCol w:w="791"/>
        <w:gridCol w:w="934"/>
        <w:gridCol w:w="995"/>
      </w:tblGrid>
      <w:tr w:rsidR="00C40A42" w:rsidRPr="004C49D8" w:rsidTr="00864AD0">
        <w:trPr>
          <w:cantSplit/>
          <w:trHeight w:val="366"/>
        </w:trPr>
        <w:tc>
          <w:tcPr>
            <w:tcW w:w="3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0A42" w:rsidRPr="004C49D8" w:rsidRDefault="00C40A42" w:rsidP="00864AD0">
            <w:pPr>
              <w:spacing w:after="0" w:line="240" w:lineRule="auto"/>
              <w:ind w:left="-108" w:right="-108"/>
              <w:jc w:val="center"/>
              <w:rPr>
                <w:rFonts w:ascii="Times New Roman" w:hAnsi="Times New Roman"/>
                <w:sz w:val="24"/>
                <w:szCs w:val="24"/>
              </w:rPr>
            </w:pPr>
            <w:r w:rsidRPr="004C49D8">
              <w:rPr>
                <w:rFonts w:ascii="Times New Roman" w:hAnsi="Times New Roman"/>
                <w:sz w:val="24"/>
                <w:szCs w:val="24"/>
              </w:rPr>
              <w:t>Название отраслей промышленности</w:t>
            </w:r>
          </w:p>
        </w:tc>
        <w:tc>
          <w:tcPr>
            <w:tcW w:w="3719" w:type="dxa"/>
            <w:gridSpan w:val="4"/>
            <w:tcBorders>
              <w:top w:val="single" w:sz="4" w:space="0" w:color="auto"/>
              <w:left w:val="nil"/>
              <w:bottom w:val="single" w:sz="4" w:space="0" w:color="auto"/>
              <w:right w:val="single" w:sz="4" w:space="0" w:color="auto"/>
            </w:tcBorders>
            <w:shd w:val="clear" w:color="auto" w:fill="auto"/>
            <w:noWrap/>
            <w:vAlign w:val="center"/>
          </w:tcPr>
          <w:p w:rsidR="00C40A42" w:rsidRPr="004C49D8" w:rsidRDefault="00C40A42" w:rsidP="00864AD0">
            <w:pPr>
              <w:spacing w:after="0" w:line="240" w:lineRule="auto"/>
              <w:jc w:val="center"/>
              <w:rPr>
                <w:rFonts w:ascii="Times New Roman" w:hAnsi="Times New Roman"/>
                <w:sz w:val="24"/>
                <w:szCs w:val="24"/>
              </w:rPr>
            </w:pPr>
            <w:r w:rsidRPr="004C49D8">
              <w:rPr>
                <w:rFonts w:ascii="Times New Roman" w:hAnsi="Times New Roman"/>
                <w:sz w:val="24"/>
                <w:szCs w:val="24"/>
              </w:rPr>
              <w:t>Объем промышленного производства</w:t>
            </w:r>
          </w:p>
        </w:tc>
        <w:tc>
          <w:tcPr>
            <w:tcW w:w="7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40A42" w:rsidRPr="004C49D8" w:rsidRDefault="00C40A42" w:rsidP="00864AD0">
            <w:pPr>
              <w:spacing w:after="0" w:line="240" w:lineRule="auto"/>
              <w:jc w:val="center"/>
              <w:rPr>
                <w:rFonts w:ascii="Times New Roman" w:hAnsi="Times New Roman"/>
                <w:sz w:val="24"/>
                <w:szCs w:val="24"/>
              </w:rPr>
            </w:pPr>
            <w:r w:rsidRPr="004C49D8">
              <w:rPr>
                <w:rFonts w:ascii="Times New Roman" w:hAnsi="Times New Roman"/>
                <w:sz w:val="24"/>
                <w:szCs w:val="24"/>
              </w:rPr>
              <w:t>Удельный вес отрасли в общем объеме производства, %</w:t>
            </w:r>
          </w:p>
        </w:tc>
        <w:tc>
          <w:tcPr>
            <w:tcW w:w="1929" w:type="dxa"/>
            <w:gridSpan w:val="2"/>
            <w:tcBorders>
              <w:top w:val="single" w:sz="4" w:space="0" w:color="auto"/>
              <w:left w:val="nil"/>
              <w:bottom w:val="single" w:sz="4" w:space="0" w:color="auto"/>
              <w:right w:val="single" w:sz="4" w:space="0" w:color="auto"/>
            </w:tcBorders>
            <w:shd w:val="clear" w:color="auto" w:fill="auto"/>
          </w:tcPr>
          <w:p w:rsidR="00C40A42" w:rsidRPr="004C49D8" w:rsidRDefault="00C40A42" w:rsidP="00864AD0">
            <w:pPr>
              <w:spacing w:after="0" w:line="240" w:lineRule="auto"/>
              <w:ind w:left="-169"/>
              <w:jc w:val="center"/>
              <w:rPr>
                <w:rFonts w:ascii="Times New Roman" w:hAnsi="Times New Roman"/>
                <w:sz w:val="24"/>
                <w:szCs w:val="24"/>
              </w:rPr>
            </w:pPr>
            <w:r w:rsidRPr="004C49D8">
              <w:rPr>
                <w:rFonts w:ascii="Times New Roman" w:hAnsi="Times New Roman"/>
                <w:sz w:val="24"/>
                <w:szCs w:val="24"/>
              </w:rPr>
              <w:t>Объем реализованной продукции</w:t>
            </w:r>
          </w:p>
        </w:tc>
      </w:tr>
      <w:tr w:rsidR="00C40A42" w:rsidRPr="004C49D8" w:rsidTr="00864AD0">
        <w:trPr>
          <w:cantSplit/>
          <w:trHeight w:val="2587"/>
        </w:trPr>
        <w:tc>
          <w:tcPr>
            <w:tcW w:w="31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A42" w:rsidRPr="004C49D8" w:rsidRDefault="00C40A42" w:rsidP="00864AD0">
            <w:pPr>
              <w:spacing w:after="0" w:line="240" w:lineRule="auto"/>
              <w:ind w:left="-108" w:right="-108"/>
              <w:rPr>
                <w:rFonts w:ascii="Times New Roman" w:hAnsi="Times New Roman"/>
                <w:sz w:val="24"/>
                <w:szCs w:val="24"/>
              </w:rPr>
            </w:pP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C40A42" w:rsidRPr="004C49D8" w:rsidRDefault="00C40A42" w:rsidP="00864AD0">
            <w:pPr>
              <w:suppressAutoHyphens/>
              <w:spacing w:after="0" w:line="240" w:lineRule="auto"/>
              <w:jc w:val="center"/>
              <w:rPr>
                <w:rFonts w:ascii="Times New Roman" w:hAnsi="Times New Roman"/>
                <w:snapToGrid w:val="0"/>
                <w:sz w:val="24"/>
                <w:szCs w:val="24"/>
              </w:rPr>
            </w:pPr>
            <w:r>
              <w:rPr>
                <w:rFonts w:ascii="Times New Roman" w:hAnsi="Times New Roman"/>
                <w:snapToGrid w:val="0"/>
                <w:sz w:val="24"/>
                <w:szCs w:val="24"/>
                <w:lang w:val="en-US"/>
              </w:rPr>
              <w:t>I</w:t>
            </w:r>
            <w:r>
              <w:rPr>
                <w:rFonts w:ascii="Times New Roman" w:hAnsi="Times New Roman"/>
                <w:snapToGrid w:val="0"/>
                <w:sz w:val="24"/>
                <w:szCs w:val="24"/>
              </w:rPr>
              <w:t xml:space="preserve">полугодие </w:t>
            </w:r>
            <w:proofErr w:type="gramStart"/>
            <w:r w:rsidRPr="004C49D8">
              <w:rPr>
                <w:rFonts w:ascii="Times New Roman" w:hAnsi="Times New Roman"/>
                <w:snapToGrid w:val="0"/>
                <w:sz w:val="24"/>
                <w:szCs w:val="24"/>
              </w:rPr>
              <w:t>20</w:t>
            </w:r>
            <w:r>
              <w:rPr>
                <w:rFonts w:ascii="Times New Roman" w:hAnsi="Times New Roman"/>
                <w:snapToGrid w:val="0"/>
                <w:sz w:val="24"/>
                <w:szCs w:val="24"/>
              </w:rPr>
              <w:t>17</w:t>
            </w:r>
            <w:r w:rsidRPr="004C49D8">
              <w:rPr>
                <w:rFonts w:ascii="Times New Roman" w:hAnsi="Times New Roman"/>
                <w:snapToGrid w:val="0"/>
                <w:sz w:val="24"/>
                <w:szCs w:val="24"/>
              </w:rPr>
              <w:t>г.,</w:t>
            </w:r>
            <w:proofErr w:type="gramEnd"/>
          </w:p>
          <w:p w:rsidR="00C40A42" w:rsidRPr="004C49D8" w:rsidRDefault="00C40A42" w:rsidP="00864AD0">
            <w:pPr>
              <w:suppressAutoHyphens/>
              <w:spacing w:after="0" w:line="240" w:lineRule="auto"/>
              <w:jc w:val="center"/>
              <w:rPr>
                <w:rFonts w:ascii="Times New Roman" w:hAnsi="Times New Roman"/>
                <w:snapToGrid w:val="0"/>
                <w:sz w:val="24"/>
                <w:szCs w:val="24"/>
              </w:rPr>
            </w:pPr>
            <w:proofErr w:type="spellStart"/>
            <w:r w:rsidRPr="004C49D8">
              <w:rPr>
                <w:rFonts w:ascii="Times New Roman" w:hAnsi="Times New Roman"/>
                <w:snapToGrid w:val="0"/>
                <w:sz w:val="24"/>
                <w:szCs w:val="24"/>
              </w:rPr>
              <w:t>млн</w:t>
            </w:r>
            <w:proofErr w:type="spellEnd"/>
            <w:r w:rsidRPr="004C49D8">
              <w:rPr>
                <w:rFonts w:ascii="Times New Roman" w:hAnsi="Times New Roman"/>
                <w:snapToGrid w:val="0"/>
                <w:sz w:val="24"/>
                <w:szCs w:val="24"/>
              </w:rPr>
              <w:t xml:space="preserve"> дол</w:t>
            </w:r>
            <w:r>
              <w:rPr>
                <w:rFonts w:ascii="Times New Roman" w:hAnsi="Times New Roman"/>
                <w:snapToGrid w:val="0"/>
                <w:sz w:val="24"/>
                <w:szCs w:val="24"/>
              </w:rPr>
              <w:t>л</w:t>
            </w:r>
            <w:r w:rsidRPr="004C49D8">
              <w:rPr>
                <w:rFonts w:ascii="Times New Roman" w:hAnsi="Times New Roman"/>
                <w:snapToGrid w:val="0"/>
                <w:sz w:val="24"/>
                <w:szCs w:val="24"/>
              </w:rPr>
              <w:t>.</w:t>
            </w:r>
          </w:p>
        </w:tc>
        <w:tc>
          <w:tcPr>
            <w:tcW w:w="784" w:type="dxa"/>
            <w:tcBorders>
              <w:top w:val="single" w:sz="4" w:space="0" w:color="auto"/>
              <w:left w:val="nil"/>
              <w:bottom w:val="single" w:sz="4" w:space="0" w:color="auto"/>
              <w:right w:val="single" w:sz="4" w:space="0" w:color="auto"/>
            </w:tcBorders>
            <w:shd w:val="clear" w:color="auto" w:fill="auto"/>
            <w:textDirection w:val="btLr"/>
            <w:vAlign w:val="center"/>
          </w:tcPr>
          <w:p w:rsidR="00C40A42" w:rsidRPr="00FE5CAF" w:rsidRDefault="00C40A42" w:rsidP="00864AD0">
            <w:pPr>
              <w:pStyle w:val="afc"/>
              <w:ind w:left="0" w:right="0"/>
              <w:rPr>
                <w:b w:val="0"/>
                <w:snapToGrid w:val="0"/>
                <w:sz w:val="24"/>
                <w:szCs w:val="24"/>
              </w:rPr>
            </w:pPr>
            <w:r w:rsidRPr="00FE5CAF">
              <w:rPr>
                <w:b w:val="0"/>
                <w:sz w:val="24"/>
                <w:szCs w:val="24"/>
              </w:rPr>
              <w:t>Темп роста</w:t>
            </w:r>
          </w:p>
          <w:p w:rsidR="00C40A42" w:rsidRPr="00FE5CAF" w:rsidRDefault="00C40A42" w:rsidP="00864AD0">
            <w:pPr>
              <w:pStyle w:val="afc"/>
              <w:ind w:left="0" w:right="0"/>
              <w:rPr>
                <w:b w:val="0"/>
                <w:snapToGrid w:val="0"/>
                <w:sz w:val="24"/>
                <w:szCs w:val="24"/>
              </w:rPr>
            </w:pPr>
            <w:r w:rsidRPr="007F1991">
              <w:rPr>
                <w:b w:val="0"/>
                <w:snapToGrid w:val="0"/>
                <w:sz w:val="24"/>
                <w:szCs w:val="24"/>
                <w:lang w:val="en-US"/>
              </w:rPr>
              <w:t>I</w:t>
            </w:r>
            <w:r w:rsidRPr="007F1991">
              <w:rPr>
                <w:b w:val="0"/>
                <w:snapToGrid w:val="0"/>
                <w:sz w:val="24"/>
                <w:szCs w:val="24"/>
              </w:rPr>
              <w:t xml:space="preserve"> полугоди</w:t>
            </w:r>
            <w:r>
              <w:rPr>
                <w:b w:val="0"/>
                <w:snapToGrid w:val="0"/>
                <w:sz w:val="24"/>
                <w:szCs w:val="24"/>
              </w:rPr>
              <w:t>е</w:t>
            </w:r>
            <w:r w:rsidRPr="00FE5CAF">
              <w:rPr>
                <w:b w:val="0"/>
                <w:snapToGrid w:val="0"/>
                <w:sz w:val="24"/>
                <w:szCs w:val="24"/>
              </w:rPr>
              <w:t xml:space="preserve"> 201</w:t>
            </w:r>
            <w:r>
              <w:rPr>
                <w:b w:val="0"/>
                <w:snapToGrid w:val="0"/>
                <w:sz w:val="24"/>
                <w:szCs w:val="24"/>
              </w:rPr>
              <w:t>7</w:t>
            </w:r>
            <w:r w:rsidRPr="00FE5CAF">
              <w:rPr>
                <w:b w:val="0"/>
                <w:snapToGrid w:val="0"/>
                <w:sz w:val="24"/>
                <w:szCs w:val="24"/>
              </w:rPr>
              <w:t xml:space="preserve"> г.</w:t>
            </w:r>
          </w:p>
          <w:p w:rsidR="00C40A42" w:rsidRPr="004C49D8" w:rsidRDefault="00C40A42" w:rsidP="00864AD0">
            <w:pPr>
              <w:suppressAutoHyphens/>
              <w:spacing w:after="0" w:line="240" w:lineRule="auto"/>
              <w:jc w:val="center"/>
              <w:rPr>
                <w:rFonts w:ascii="Times New Roman" w:hAnsi="Times New Roman"/>
                <w:snapToGrid w:val="0"/>
                <w:sz w:val="24"/>
                <w:szCs w:val="24"/>
              </w:rPr>
            </w:pPr>
            <w:r w:rsidRPr="00FE5CAF">
              <w:rPr>
                <w:rFonts w:ascii="Times New Roman" w:hAnsi="Times New Roman"/>
                <w:snapToGrid w:val="0"/>
                <w:sz w:val="24"/>
                <w:szCs w:val="24"/>
              </w:rPr>
              <w:t xml:space="preserve">к </w:t>
            </w:r>
            <w:r w:rsidRPr="007F1991">
              <w:rPr>
                <w:rFonts w:ascii="Times New Roman" w:hAnsi="Times New Roman"/>
                <w:snapToGrid w:val="0"/>
                <w:sz w:val="24"/>
                <w:szCs w:val="24"/>
              </w:rPr>
              <w:t>I полугодию</w:t>
            </w:r>
            <w:r w:rsidRPr="00FE5CAF">
              <w:rPr>
                <w:rFonts w:ascii="Times New Roman" w:hAnsi="Times New Roman"/>
                <w:snapToGrid w:val="0"/>
                <w:sz w:val="24"/>
                <w:szCs w:val="24"/>
              </w:rPr>
              <w:t xml:space="preserve"> 201</w:t>
            </w:r>
            <w:r>
              <w:rPr>
                <w:rFonts w:ascii="Times New Roman" w:hAnsi="Times New Roman"/>
                <w:snapToGrid w:val="0"/>
                <w:sz w:val="24"/>
                <w:szCs w:val="24"/>
              </w:rPr>
              <w:t>6</w:t>
            </w:r>
            <w:r w:rsidRPr="00FE5CAF">
              <w:rPr>
                <w:rFonts w:ascii="Times New Roman" w:hAnsi="Times New Roman"/>
                <w:snapToGrid w:val="0"/>
                <w:sz w:val="24"/>
                <w:szCs w:val="24"/>
              </w:rPr>
              <w:t xml:space="preserve"> г.</w:t>
            </w:r>
            <w:r w:rsidRPr="00FE5CAF">
              <w:rPr>
                <w:rFonts w:ascii="Times New Roman" w:hAnsi="Times New Roman"/>
                <w:sz w:val="24"/>
                <w:szCs w:val="24"/>
              </w:rPr>
              <w:t>, %</w:t>
            </w:r>
          </w:p>
        </w:tc>
        <w:tc>
          <w:tcPr>
            <w:tcW w:w="1140" w:type="dxa"/>
            <w:tcBorders>
              <w:top w:val="single" w:sz="4" w:space="0" w:color="auto"/>
              <w:left w:val="nil"/>
              <w:bottom w:val="single" w:sz="4" w:space="0" w:color="auto"/>
              <w:right w:val="single" w:sz="4" w:space="0" w:color="auto"/>
            </w:tcBorders>
            <w:shd w:val="clear" w:color="auto" w:fill="auto"/>
            <w:textDirection w:val="btLr"/>
            <w:vAlign w:val="center"/>
          </w:tcPr>
          <w:p w:rsidR="00C40A42" w:rsidRDefault="00C40A42" w:rsidP="00864AD0">
            <w:pPr>
              <w:spacing w:after="0" w:line="240" w:lineRule="auto"/>
              <w:jc w:val="center"/>
              <w:rPr>
                <w:rFonts w:ascii="Times New Roman" w:hAnsi="Times New Roman"/>
                <w:snapToGrid w:val="0"/>
                <w:sz w:val="24"/>
                <w:szCs w:val="24"/>
              </w:rPr>
            </w:pPr>
            <w:r>
              <w:rPr>
                <w:rFonts w:ascii="Times New Roman" w:hAnsi="Times New Roman"/>
                <w:snapToGrid w:val="0"/>
                <w:sz w:val="24"/>
                <w:szCs w:val="24"/>
                <w:lang w:val="en-US"/>
              </w:rPr>
              <w:t>I</w:t>
            </w:r>
            <w:r>
              <w:rPr>
                <w:rFonts w:ascii="Times New Roman" w:hAnsi="Times New Roman"/>
                <w:snapToGrid w:val="0"/>
                <w:sz w:val="24"/>
                <w:szCs w:val="24"/>
              </w:rPr>
              <w:t xml:space="preserve">полугодие </w:t>
            </w:r>
            <w:r w:rsidRPr="004C49D8">
              <w:rPr>
                <w:rFonts w:ascii="Times New Roman" w:hAnsi="Times New Roman"/>
                <w:snapToGrid w:val="0"/>
                <w:sz w:val="24"/>
                <w:szCs w:val="24"/>
              </w:rPr>
              <w:t>20</w:t>
            </w:r>
            <w:r>
              <w:rPr>
                <w:rFonts w:ascii="Times New Roman" w:hAnsi="Times New Roman"/>
                <w:snapToGrid w:val="0"/>
                <w:sz w:val="24"/>
                <w:szCs w:val="24"/>
              </w:rPr>
              <w:t>17</w:t>
            </w:r>
            <w:r w:rsidRPr="004C49D8">
              <w:rPr>
                <w:rFonts w:ascii="Times New Roman" w:hAnsi="Times New Roman"/>
                <w:snapToGrid w:val="0"/>
                <w:sz w:val="24"/>
                <w:szCs w:val="24"/>
              </w:rPr>
              <w:t xml:space="preserve"> г.</w:t>
            </w:r>
          </w:p>
          <w:p w:rsidR="00C40A42" w:rsidRPr="004C49D8" w:rsidRDefault="00C40A42" w:rsidP="00864AD0">
            <w:pPr>
              <w:spacing w:after="0" w:line="240" w:lineRule="auto"/>
              <w:jc w:val="center"/>
              <w:rPr>
                <w:rFonts w:ascii="Times New Roman" w:hAnsi="Times New Roman"/>
                <w:sz w:val="24"/>
                <w:szCs w:val="24"/>
              </w:rPr>
            </w:pPr>
            <w:r w:rsidRPr="004C49D8">
              <w:rPr>
                <w:rFonts w:ascii="Times New Roman" w:hAnsi="Times New Roman"/>
                <w:sz w:val="24"/>
                <w:szCs w:val="24"/>
              </w:rPr>
              <w:t>в текущих ценах</w:t>
            </w:r>
            <w:r>
              <w:rPr>
                <w:rFonts w:ascii="Times New Roman" w:hAnsi="Times New Roman"/>
                <w:sz w:val="24"/>
                <w:szCs w:val="24"/>
              </w:rPr>
              <w:t>,</w:t>
            </w:r>
          </w:p>
          <w:p w:rsidR="00C40A42" w:rsidRPr="004C49D8" w:rsidRDefault="00C40A42" w:rsidP="00864AD0">
            <w:pPr>
              <w:spacing w:after="0" w:line="240" w:lineRule="auto"/>
              <w:jc w:val="center"/>
              <w:rPr>
                <w:rFonts w:ascii="Times New Roman" w:hAnsi="Times New Roman"/>
                <w:sz w:val="24"/>
                <w:szCs w:val="24"/>
              </w:rPr>
            </w:pPr>
            <w:proofErr w:type="spellStart"/>
            <w:r w:rsidRPr="004C49D8">
              <w:rPr>
                <w:rFonts w:ascii="Times New Roman" w:hAnsi="Times New Roman"/>
                <w:sz w:val="24"/>
                <w:szCs w:val="24"/>
              </w:rPr>
              <w:t>млн</w:t>
            </w:r>
            <w:proofErr w:type="spellEnd"/>
            <w:r w:rsidRPr="004C49D8">
              <w:rPr>
                <w:rFonts w:ascii="Times New Roman" w:hAnsi="Times New Roman"/>
                <w:sz w:val="24"/>
                <w:szCs w:val="24"/>
              </w:rPr>
              <w:t xml:space="preserve"> руб.</w:t>
            </w:r>
          </w:p>
        </w:tc>
        <w:tc>
          <w:tcPr>
            <w:tcW w:w="862" w:type="dxa"/>
            <w:tcBorders>
              <w:top w:val="single" w:sz="4" w:space="0" w:color="auto"/>
              <w:left w:val="nil"/>
              <w:bottom w:val="single" w:sz="4" w:space="0" w:color="auto"/>
              <w:right w:val="single" w:sz="4" w:space="0" w:color="auto"/>
            </w:tcBorders>
            <w:shd w:val="clear" w:color="auto" w:fill="auto"/>
            <w:textDirection w:val="btLr"/>
            <w:vAlign w:val="center"/>
          </w:tcPr>
          <w:p w:rsidR="00C40A42" w:rsidRPr="00FE5CAF" w:rsidRDefault="00C40A42" w:rsidP="00864AD0">
            <w:pPr>
              <w:pStyle w:val="afc"/>
              <w:ind w:left="0" w:right="0"/>
              <w:rPr>
                <w:b w:val="0"/>
                <w:snapToGrid w:val="0"/>
                <w:sz w:val="24"/>
                <w:szCs w:val="24"/>
              </w:rPr>
            </w:pPr>
            <w:r w:rsidRPr="00FE5CAF">
              <w:rPr>
                <w:b w:val="0"/>
                <w:sz w:val="24"/>
                <w:szCs w:val="24"/>
              </w:rPr>
              <w:t>Темп роста</w:t>
            </w:r>
          </w:p>
          <w:p w:rsidR="00C40A42" w:rsidRPr="00FE5CAF" w:rsidRDefault="00C40A42" w:rsidP="00864AD0">
            <w:pPr>
              <w:pStyle w:val="afc"/>
              <w:ind w:left="0" w:right="0"/>
              <w:rPr>
                <w:b w:val="0"/>
                <w:snapToGrid w:val="0"/>
                <w:sz w:val="24"/>
                <w:szCs w:val="24"/>
              </w:rPr>
            </w:pPr>
            <w:r w:rsidRPr="007F1991">
              <w:rPr>
                <w:b w:val="0"/>
                <w:snapToGrid w:val="0"/>
                <w:sz w:val="24"/>
                <w:szCs w:val="24"/>
                <w:lang w:val="en-US"/>
              </w:rPr>
              <w:t>I</w:t>
            </w:r>
            <w:r w:rsidRPr="007F1991">
              <w:rPr>
                <w:b w:val="0"/>
                <w:snapToGrid w:val="0"/>
                <w:sz w:val="24"/>
                <w:szCs w:val="24"/>
              </w:rPr>
              <w:t xml:space="preserve"> полугоди</w:t>
            </w:r>
            <w:r>
              <w:rPr>
                <w:b w:val="0"/>
                <w:snapToGrid w:val="0"/>
                <w:sz w:val="24"/>
                <w:szCs w:val="24"/>
              </w:rPr>
              <w:t>е</w:t>
            </w:r>
            <w:r w:rsidRPr="00FE5CAF">
              <w:rPr>
                <w:b w:val="0"/>
                <w:snapToGrid w:val="0"/>
                <w:sz w:val="24"/>
                <w:szCs w:val="24"/>
              </w:rPr>
              <w:t xml:space="preserve"> 201</w:t>
            </w:r>
            <w:r>
              <w:rPr>
                <w:b w:val="0"/>
                <w:snapToGrid w:val="0"/>
                <w:sz w:val="24"/>
                <w:szCs w:val="24"/>
              </w:rPr>
              <w:t>7</w:t>
            </w:r>
            <w:r w:rsidRPr="00FE5CAF">
              <w:rPr>
                <w:b w:val="0"/>
                <w:snapToGrid w:val="0"/>
                <w:sz w:val="24"/>
                <w:szCs w:val="24"/>
              </w:rPr>
              <w:t xml:space="preserve"> г.</w:t>
            </w:r>
          </w:p>
          <w:p w:rsidR="00C40A42" w:rsidRPr="004C49D8" w:rsidRDefault="00C40A42" w:rsidP="00864AD0">
            <w:pPr>
              <w:suppressAutoHyphens/>
              <w:spacing w:after="0" w:line="240" w:lineRule="auto"/>
              <w:jc w:val="center"/>
              <w:rPr>
                <w:rFonts w:ascii="Times New Roman" w:hAnsi="Times New Roman"/>
                <w:snapToGrid w:val="0"/>
                <w:sz w:val="24"/>
                <w:szCs w:val="24"/>
              </w:rPr>
            </w:pPr>
            <w:r w:rsidRPr="00FE5CAF">
              <w:rPr>
                <w:rFonts w:ascii="Times New Roman" w:hAnsi="Times New Roman"/>
                <w:snapToGrid w:val="0"/>
                <w:sz w:val="24"/>
                <w:szCs w:val="24"/>
              </w:rPr>
              <w:t xml:space="preserve">к </w:t>
            </w:r>
            <w:r w:rsidRPr="007F1991">
              <w:rPr>
                <w:rFonts w:ascii="Times New Roman" w:hAnsi="Times New Roman"/>
                <w:snapToGrid w:val="0"/>
                <w:sz w:val="24"/>
                <w:szCs w:val="24"/>
              </w:rPr>
              <w:t>I полугодию</w:t>
            </w:r>
            <w:r w:rsidRPr="00FE5CAF">
              <w:rPr>
                <w:rFonts w:ascii="Times New Roman" w:hAnsi="Times New Roman"/>
                <w:snapToGrid w:val="0"/>
                <w:sz w:val="24"/>
                <w:szCs w:val="24"/>
              </w:rPr>
              <w:t xml:space="preserve"> 201</w:t>
            </w:r>
            <w:r>
              <w:rPr>
                <w:rFonts w:ascii="Times New Roman" w:hAnsi="Times New Roman"/>
                <w:snapToGrid w:val="0"/>
                <w:sz w:val="24"/>
                <w:szCs w:val="24"/>
              </w:rPr>
              <w:t>6</w:t>
            </w:r>
            <w:r w:rsidRPr="00FE5CAF">
              <w:rPr>
                <w:rFonts w:ascii="Times New Roman" w:hAnsi="Times New Roman"/>
                <w:snapToGrid w:val="0"/>
                <w:sz w:val="24"/>
                <w:szCs w:val="24"/>
              </w:rPr>
              <w:t xml:space="preserve"> г.</w:t>
            </w:r>
            <w:r w:rsidRPr="00FE5CAF">
              <w:rPr>
                <w:rFonts w:ascii="Times New Roman" w:hAnsi="Times New Roman"/>
                <w:sz w:val="24"/>
                <w:szCs w:val="24"/>
              </w:rPr>
              <w:t>, %</w:t>
            </w:r>
          </w:p>
        </w:tc>
        <w:tc>
          <w:tcPr>
            <w:tcW w:w="7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A42" w:rsidRPr="004C49D8" w:rsidRDefault="00C40A42" w:rsidP="00864AD0">
            <w:pPr>
              <w:spacing w:after="0" w:line="240" w:lineRule="auto"/>
              <w:jc w:val="center"/>
              <w:rPr>
                <w:rFonts w:ascii="Times New Roman" w:hAnsi="Times New Roman"/>
                <w:sz w:val="24"/>
                <w:szCs w:val="24"/>
              </w:rPr>
            </w:pPr>
          </w:p>
        </w:tc>
        <w:tc>
          <w:tcPr>
            <w:tcW w:w="934" w:type="dxa"/>
            <w:tcBorders>
              <w:top w:val="nil"/>
              <w:left w:val="nil"/>
              <w:bottom w:val="single" w:sz="4" w:space="0" w:color="auto"/>
              <w:right w:val="single" w:sz="4" w:space="0" w:color="auto"/>
            </w:tcBorders>
            <w:shd w:val="clear" w:color="auto" w:fill="auto"/>
            <w:textDirection w:val="btLr"/>
            <w:vAlign w:val="center"/>
          </w:tcPr>
          <w:p w:rsidR="00C40A42" w:rsidRPr="003A38B4" w:rsidRDefault="00C40A42" w:rsidP="00864AD0">
            <w:pPr>
              <w:spacing w:after="0" w:line="240" w:lineRule="auto"/>
              <w:jc w:val="center"/>
              <w:rPr>
                <w:rFonts w:ascii="Times New Roman" w:hAnsi="Times New Roman"/>
                <w:snapToGrid w:val="0"/>
                <w:sz w:val="24"/>
                <w:szCs w:val="24"/>
              </w:rPr>
            </w:pPr>
            <w:r>
              <w:rPr>
                <w:rFonts w:ascii="Times New Roman" w:hAnsi="Times New Roman"/>
                <w:snapToGrid w:val="0"/>
                <w:sz w:val="24"/>
                <w:szCs w:val="24"/>
                <w:lang w:val="en-US"/>
              </w:rPr>
              <w:t>I</w:t>
            </w:r>
            <w:r>
              <w:rPr>
                <w:rFonts w:ascii="Times New Roman" w:hAnsi="Times New Roman"/>
                <w:snapToGrid w:val="0"/>
                <w:sz w:val="24"/>
                <w:szCs w:val="24"/>
              </w:rPr>
              <w:t xml:space="preserve">полугодие </w:t>
            </w:r>
            <w:r w:rsidRPr="004C49D8">
              <w:rPr>
                <w:rFonts w:ascii="Times New Roman" w:hAnsi="Times New Roman"/>
                <w:snapToGrid w:val="0"/>
                <w:sz w:val="24"/>
                <w:szCs w:val="24"/>
              </w:rPr>
              <w:t>20</w:t>
            </w:r>
            <w:r>
              <w:rPr>
                <w:rFonts w:ascii="Times New Roman" w:hAnsi="Times New Roman"/>
                <w:snapToGrid w:val="0"/>
                <w:sz w:val="24"/>
                <w:szCs w:val="24"/>
              </w:rPr>
              <w:t>17</w:t>
            </w:r>
            <w:r w:rsidRPr="004C49D8">
              <w:rPr>
                <w:rFonts w:ascii="Times New Roman" w:hAnsi="Times New Roman"/>
                <w:snapToGrid w:val="0"/>
                <w:sz w:val="24"/>
                <w:szCs w:val="24"/>
              </w:rPr>
              <w:t xml:space="preserve"> г.</w:t>
            </w:r>
            <w:r>
              <w:rPr>
                <w:rFonts w:ascii="Times New Roman" w:hAnsi="Times New Roman"/>
                <w:snapToGrid w:val="0"/>
                <w:sz w:val="24"/>
                <w:szCs w:val="24"/>
              </w:rPr>
              <w:t>,</w:t>
            </w:r>
          </w:p>
          <w:p w:rsidR="00C40A42" w:rsidRPr="004C49D8" w:rsidRDefault="00C40A42" w:rsidP="00864AD0">
            <w:pPr>
              <w:spacing w:after="0" w:line="240" w:lineRule="auto"/>
              <w:jc w:val="center"/>
              <w:rPr>
                <w:rFonts w:ascii="Times New Roman" w:hAnsi="Times New Roman"/>
                <w:sz w:val="24"/>
                <w:szCs w:val="24"/>
              </w:rPr>
            </w:pPr>
            <w:proofErr w:type="spellStart"/>
            <w:r w:rsidRPr="004C49D8">
              <w:rPr>
                <w:rFonts w:ascii="Times New Roman" w:hAnsi="Times New Roman"/>
                <w:sz w:val="24"/>
                <w:szCs w:val="24"/>
              </w:rPr>
              <w:t>млн</w:t>
            </w:r>
            <w:proofErr w:type="spellEnd"/>
            <w:r w:rsidRPr="004C49D8">
              <w:rPr>
                <w:rFonts w:ascii="Times New Roman" w:hAnsi="Times New Roman"/>
                <w:sz w:val="24"/>
                <w:szCs w:val="24"/>
              </w:rPr>
              <w:t xml:space="preserve"> руб.</w:t>
            </w:r>
          </w:p>
        </w:tc>
        <w:tc>
          <w:tcPr>
            <w:tcW w:w="995" w:type="dxa"/>
            <w:tcBorders>
              <w:top w:val="nil"/>
              <w:left w:val="nil"/>
              <w:bottom w:val="single" w:sz="4" w:space="0" w:color="auto"/>
              <w:right w:val="single" w:sz="4" w:space="0" w:color="auto"/>
            </w:tcBorders>
            <w:shd w:val="clear" w:color="auto" w:fill="auto"/>
            <w:textDirection w:val="btLr"/>
            <w:vAlign w:val="center"/>
          </w:tcPr>
          <w:p w:rsidR="00C40A42" w:rsidRPr="00FE5CAF" w:rsidRDefault="00C40A42" w:rsidP="00864AD0">
            <w:pPr>
              <w:pStyle w:val="afc"/>
              <w:ind w:left="0" w:right="0"/>
              <w:rPr>
                <w:b w:val="0"/>
                <w:snapToGrid w:val="0"/>
                <w:sz w:val="24"/>
                <w:szCs w:val="24"/>
              </w:rPr>
            </w:pPr>
            <w:r w:rsidRPr="00FE5CAF">
              <w:rPr>
                <w:b w:val="0"/>
                <w:sz w:val="24"/>
                <w:szCs w:val="24"/>
              </w:rPr>
              <w:t>Темп роста</w:t>
            </w:r>
          </w:p>
          <w:p w:rsidR="00C40A42" w:rsidRPr="00FE5CAF" w:rsidRDefault="00C40A42" w:rsidP="00864AD0">
            <w:pPr>
              <w:pStyle w:val="afc"/>
              <w:ind w:left="0" w:right="0"/>
              <w:rPr>
                <w:b w:val="0"/>
                <w:snapToGrid w:val="0"/>
                <w:sz w:val="24"/>
                <w:szCs w:val="24"/>
              </w:rPr>
            </w:pPr>
            <w:r w:rsidRPr="007F1991">
              <w:rPr>
                <w:b w:val="0"/>
                <w:snapToGrid w:val="0"/>
                <w:sz w:val="24"/>
                <w:szCs w:val="24"/>
                <w:lang w:val="en-US"/>
              </w:rPr>
              <w:t>I</w:t>
            </w:r>
            <w:r w:rsidRPr="007F1991">
              <w:rPr>
                <w:b w:val="0"/>
                <w:snapToGrid w:val="0"/>
                <w:sz w:val="24"/>
                <w:szCs w:val="24"/>
              </w:rPr>
              <w:t xml:space="preserve"> полугоди</w:t>
            </w:r>
            <w:r>
              <w:rPr>
                <w:b w:val="0"/>
                <w:snapToGrid w:val="0"/>
                <w:sz w:val="24"/>
                <w:szCs w:val="24"/>
              </w:rPr>
              <w:t>е</w:t>
            </w:r>
            <w:r w:rsidRPr="00FE5CAF">
              <w:rPr>
                <w:b w:val="0"/>
                <w:snapToGrid w:val="0"/>
                <w:sz w:val="24"/>
                <w:szCs w:val="24"/>
              </w:rPr>
              <w:t xml:space="preserve"> 201</w:t>
            </w:r>
            <w:r>
              <w:rPr>
                <w:b w:val="0"/>
                <w:snapToGrid w:val="0"/>
                <w:sz w:val="24"/>
                <w:szCs w:val="24"/>
              </w:rPr>
              <w:t>7</w:t>
            </w:r>
            <w:r w:rsidRPr="00FE5CAF">
              <w:rPr>
                <w:b w:val="0"/>
                <w:snapToGrid w:val="0"/>
                <w:sz w:val="24"/>
                <w:szCs w:val="24"/>
              </w:rPr>
              <w:t xml:space="preserve"> г.</w:t>
            </w:r>
          </w:p>
          <w:p w:rsidR="00C40A42" w:rsidRPr="004C49D8" w:rsidRDefault="00C40A42" w:rsidP="00864AD0">
            <w:pPr>
              <w:suppressAutoHyphens/>
              <w:spacing w:after="0" w:line="240" w:lineRule="auto"/>
              <w:jc w:val="center"/>
              <w:rPr>
                <w:rFonts w:ascii="Times New Roman" w:hAnsi="Times New Roman"/>
                <w:snapToGrid w:val="0"/>
                <w:sz w:val="24"/>
                <w:szCs w:val="24"/>
              </w:rPr>
            </w:pPr>
            <w:r w:rsidRPr="00FE5CAF">
              <w:rPr>
                <w:rFonts w:ascii="Times New Roman" w:hAnsi="Times New Roman"/>
                <w:snapToGrid w:val="0"/>
                <w:sz w:val="24"/>
                <w:szCs w:val="24"/>
              </w:rPr>
              <w:t xml:space="preserve">к </w:t>
            </w:r>
            <w:r w:rsidRPr="007F1991">
              <w:rPr>
                <w:rFonts w:ascii="Times New Roman" w:hAnsi="Times New Roman"/>
                <w:snapToGrid w:val="0"/>
                <w:sz w:val="24"/>
                <w:szCs w:val="24"/>
              </w:rPr>
              <w:t>I полугодию</w:t>
            </w:r>
            <w:r w:rsidRPr="00FE5CAF">
              <w:rPr>
                <w:rFonts w:ascii="Times New Roman" w:hAnsi="Times New Roman"/>
                <w:snapToGrid w:val="0"/>
                <w:sz w:val="24"/>
                <w:szCs w:val="24"/>
              </w:rPr>
              <w:t xml:space="preserve"> 201</w:t>
            </w:r>
            <w:r>
              <w:rPr>
                <w:rFonts w:ascii="Times New Roman" w:hAnsi="Times New Roman"/>
                <w:snapToGrid w:val="0"/>
                <w:sz w:val="24"/>
                <w:szCs w:val="24"/>
              </w:rPr>
              <w:t>6</w:t>
            </w:r>
            <w:r w:rsidRPr="00FE5CAF">
              <w:rPr>
                <w:rFonts w:ascii="Times New Roman" w:hAnsi="Times New Roman"/>
                <w:snapToGrid w:val="0"/>
                <w:sz w:val="24"/>
                <w:szCs w:val="24"/>
              </w:rPr>
              <w:t xml:space="preserve"> г.</w:t>
            </w:r>
            <w:r w:rsidRPr="00FE5CAF">
              <w:rPr>
                <w:rFonts w:ascii="Times New Roman" w:hAnsi="Times New Roman"/>
                <w:sz w:val="24"/>
                <w:szCs w:val="24"/>
              </w:rPr>
              <w:t>, %</w:t>
            </w:r>
          </w:p>
        </w:tc>
      </w:tr>
      <w:tr w:rsidR="00C40A42" w:rsidRPr="007074C7" w:rsidTr="00864AD0">
        <w:trPr>
          <w:trHeight w:val="332"/>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Электроэнергетика</w:t>
            </w:r>
          </w:p>
        </w:tc>
        <w:tc>
          <w:tcPr>
            <w:tcW w:w="933" w:type="dxa"/>
            <w:tcBorders>
              <w:top w:val="single" w:sz="4"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122,6</w:t>
            </w:r>
          </w:p>
        </w:tc>
        <w:tc>
          <w:tcPr>
            <w:tcW w:w="784" w:type="dxa"/>
            <w:tcBorders>
              <w:top w:val="single" w:sz="4"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68,6</w:t>
            </w:r>
          </w:p>
        </w:tc>
        <w:tc>
          <w:tcPr>
            <w:tcW w:w="1140" w:type="dxa"/>
            <w:tcBorders>
              <w:top w:val="single" w:sz="4"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1 395,4</w:t>
            </w:r>
          </w:p>
        </w:tc>
        <w:tc>
          <w:tcPr>
            <w:tcW w:w="862" w:type="dxa"/>
            <w:tcBorders>
              <w:top w:val="single" w:sz="4"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69,7</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37,</w:t>
            </w:r>
            <w:r>
              <w:rPr>
                <w:rFonts w:ascii="Times New Roman" w:hAnsi="Times New Roman"/>
                <w:color w:val="000000"/>
                <w:sz w:val="24"/>
                <w:szCs w:val="24"/>
              </w:rPr>
              <w:t>1</w:t>
            </w:r>
          </w:p>
        </w:tc>
        <w:tc>
          <w:tcPr>
            <w:tcW w:w="934" w:type="dxa"/>
            <w:tcBorders>
              <w:top w:val="nil"/>
              <w:left w:val="nil"/>
              <w:bottom w:val="single" w:sz="4" w:space="0" w:color="auto"/>
              <w:right w:val="single" w:sz="4" w:space="0" w:color="auto"/>
            </w:tcBorders>
            <w:shd w:val="clear" w:color="auto" w:fill="auto"/>
            <w:noWrap/>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1 359,0</w:t>
            </w:r>
          </w:p>
        </w:tc>
        <w:tc>
          <w:tcPr>
            <w:tcW w:w="995" w:type="dxa"/>
            <w:tcBorders>
              <w:top w:val="nil"/>
              <w:left w:val="nil"/>
              <w:bottom w:val="single" w:sz="4" w:space="0" w:color="auto"/>
              <w:right w:val="single" w:sz="4" w:space="0" w:color="auto"/>
            </w:tcBorders>
            <w:shd w:val="clear" w:color="auto" w:fill="auto"/>
            <w:noWrap/>
            <w:vAlign w:val="bottom"/>
          </w:tcPr>
          <w:p w:rsidR="00C40A42" w:rsidRPr="00DE5227" w:rsidRDefault="00C40A42" w:rsidP="00864AD0">
            <w:pPr>
              <w:spacing w:after="0" w:line="240" w:lineRule="auto"/>
              <w:ind w:left="-65"/>
              <w:jc w:val="center"/>
              <w:rPr>
                <w:rFonts w:ascii="Times New Roman" w:hAnsi="Times New Roman"/>
                <w:sz w:val="24"/>
                <w:szCs w:val="24"/>
              </w:rPr>
            </w:pPr>
            <w:r>
              <w:rPr>
                <w:rFonts w:ascii="Times New Roman" w:hAnsi="Times New Roman"/>
                <w:sz w:val="24"/>
                <w:szCs w:val="24"/>
              </w:rPr>
              <w:t>69,2</w:t>
            </w:r>
          </w:p>
        </w:tc>
      </w:tr>
      <w:tr w:rsidR="00C40A42" w:rsidRPr="004C49D8" w:rsidTr="00864AD0">
        <w:trPr>
          <w:trHeight w:val="302"/>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Черная металлургия</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63,4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135,8</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734,7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140,3</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19,5</w:t>
            </w:r>
          </w:p>
        </w:tc>
        <w:tc>
          <w:tcPr>
            <w:tcW w:w="934" w:type="dxa"/>
            <w:tcBorders>
              <w:top w:val="nil"/>
              <w:left w:val="nil"/>
              <w:bottom w:val="single" w:sz="4" w:space="0" w:color="auto"/>
              <w:right w:val="single" w:sz="4" w:space="0" w:color="auto"/>
            </w:tcBorders>
            <w:shd w:val="clear" w:color="auto" w:fill="auto"/>
            <w:noWrap/>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737,4</w:t>
            </w:r>
          </w:p>
        </w:tc>
        <w:tc>
          <w:tcPr>
            <w:tcW w:w="995" w:type="dxa"/>
            <w:tcBorders>
              <w:top w:val="nil"/>
              <w:left w:val="nil"/>
              <w:bottom w:val="single" w:sz="4" w:space="0" w:color="auto"/>
              <w:right w:val="single" w:sz="4" w:space="0" w:color="auto"/>
            </w:tcBorders>
            <w:shd w:val="clear" w:color="auto" w:fill="auto"/>
            <w:noWrap/>
            <w:vAlign w:val="bottom"/>
          </w:tcPr>
          <w:p w:rsidR="00C40A42" w:rsidRPr="00DE5227" w:rsidRDefault="00C40A42" w:rsidP="00864AD0">
            <w:pPr>
              <w:spacing w:after="0" w:line="240" w:lineRule="auto"/>
              <w:ind w:left="-95"/>
              <w:jc w:val="center"/>
              <w:rPr>
                <w:rFonts w:ascii="Times New Roman" w:hAnsi="Times New Roman"/>
                <w:sz w:val="24"/>
                <w:szCs w:val="24"/>
              </w:rPr>
            </w:pPr>
            <w:r>
              <w:rPr>
                <w:rFonts w:ascii="Times New Roman" w:hAnsi="Times New Roman"/>
                <w:sz w:val="24"/>
                <w:szCs w:val="24"/>
              </w:rPr>
              <w:t>140,0</w:t>
            </w:r>
          </w:p>
        </w:tc>
      </w:tr>
      <w:tr w:rsidR="00C40A42" w:rsidRPr="00DE750C" w:rsidTr="00864AD0">
        <w:trPr>
          <w:trHeight w:val="235"/>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Химическая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7,4</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106,6</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86,7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110,7</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2,3</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103,7</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116,1</w:t>
            </w:r>
          </w:p>
        </w:tc>
      </w:tr>
      <w:tr w:rsidR="00C40A42" w:rsidRPr="004C49D8" w:rsidTr="00864AD0">
        <w:trPr>
          <w:trHeight w:val="335"/>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Машиностроение</w:t>
            </w:r>
            <w:r>
              <w:rPr>
                <w:rFonts w:ascii="Times New Roman" w:hAnsi="Times New Roman"/>
                <w:sz w:val="24"/>
                <w:szCs w:val="24"/>
              </w:rPr>
              <w:t xml:space="preserve"> и </w:t>
            </w:r>
            <w:r w:rsidRPr="004C49D8">
              <w:rPr>
                <w:rFonts w:ascii="Times New Roman" w:hAnsi="Times New Roman"/>
                <w:sz w:val="24"/>
                <w:szCs w:val="24"/>
              </w:rPr>
              <w:t>металлообработка</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11,5</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156,8</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132,8</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161,7</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3,5</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128,0</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148,1</w:t>
            </w:r>
          </w:p>
        </w:tc>
      </w:tr>
      <w:tr w:rsidR="00C40A42" w:rsidRPr="004C49D8" w:rsidTr="00864AD0">
        <w:trPr>
          <w:trHeight w:val="414"/>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Электротехническая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5,9</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116,5</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68,7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121,2</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1,8</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69,8</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129,0</w:t>
            </w:r>
          </w:p>
        </w:tc>
      </w:tr>
      <w:tr w:rsidR="00C40A42" w:rsidRPr="004C49D8" w:rsidTr="00864AD0">
        <w:trPr>
          <w:trHeight w:val="492"/>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Pr>
                <w:rFonts w:ascii="Times New Roman" w:hAnsi="Times New Roman"/>
                <w:sz w:val="24"/>
                <w:szCs w:val="24"/>
              </w:rPr>
              <w:t>Лесная и д</w:t>
            </w:r>
            <w:r w:rsidRPr="004C49D8">
              <w:rPr>
                <w:rFonts w:ascii="Times New Roman" w:hAnsi="Times New Roman"/>
                <w:sz w:val="24"/>
                <w:szCs w:val="24"/>
              </w:rPr>
              <w:t>еревообрабатывающая</w:t>
            </w:r>
            <w:r>
              <w:rPr>
                <w:rFonts w:ascii="Times New Roman" w:hAnsi="Times New Roman"/>
                <w:sz w:val="24"/>
                <w:szCs w:val="24"/>
              </w:rPr>
              <w:t xml:space="preserve">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0,2</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102,8</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2,5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106,6</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0,1</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2,5</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117,1</w:t>
            </w:r>
          </w:p>
        </w:tc>
      </w:tr>
      <w:tr w:rsidR="00C40A42" w:rsidRPr="004C49D8" w:rsidTr="00864AD0">
        <w:trPr>
          <w:trHeight w:val="514"/>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Промышленность стройматериалов</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13,1</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94,8</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153,3</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98,6</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4,1</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165,1</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104,1</w:t>
            </w:r>
          </w:p>
        </w:tc>
      </w:tr>
      <w:tr w:rsidR="00C40A42" w:rsidRPr="004C49D8" w:rsidTr="00864AD0">
        <w:trPr>
          <w:trHeight w:val="233"/>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Легкая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50,3</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102,8</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582,9</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106,1</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15,5</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556,4</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118,4</w:t>
            </w:r>
          </w:p>
        </w:tc>
      </w:tr>
      <w:tr w:rsidR="00C40A42" w:rsidRPr="004C49D8" w:rsidTr="00864AD0">
        <w:trPr>
          <w:trHeight w:val="239"/>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Пищевая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46,8</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107,2</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546,6</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111,5</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14,5</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512,3</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106,1</w:t>
            </w:r>
          </w:p>
        </w:tc>
      </w:tr>
      <w:tr w:rsidR="00C40A42" w:rsidRPr="004C49D8" w:rsidTr="00864AD0">
        <w:trPr>
          <w:trHeight w:val="362"/>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Мукомольно-крупяная</w:t>
            </w:r>
            <w:r>
              <w:rPr>
                <w:rFonts w:ascii="Times New Roman" w:hAnsi="Times New Roman"/>
                <w:sz w:val="24"/>
                <w:szCs w:val="24"/>
              </w:rPr>
              <w:t xml:space="preserve"> и комбикормовая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4,7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108,9</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54,6</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112,4</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1,4</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54,4</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right="-33"/>
              <w:jc w:val="center"/>
              <w:rPr>
                <w:rFonts w:ascii="Times New Roman" w:hAnsi="Times New Roman"/>
                <w:sz w:val="24"/>
                <w:szCs w:val="24"/>
              </w:rPr>
            </w:pPr>
            <w:r>
              <w:rPr>
                <w:rFonts w:ascii="Times New Roman" w:hAnsi="Times New Roman"/>
                <w:sz w:val="24"/>
                <w:szCs w:val="24"/>
              </w:rPr>
              <w:t>109,9</w:t>
            </w:r>
          </w:p>
        </w:tc>
      </w:tr>
      <w:tr w:rsidR="00C40A42" w:rsidRPr="004C49D8" w:rsidTr="00864AD0">
        <w:trPr>
          <w:trHeight w:val="129"/>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Полиграфическая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0,7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77,3</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8,7</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80,1</w:t>
            </w:r>
          </w:p>
        </w:tc>
        <w:tc>
          <w:tcPr>
            <w:tcW w:w="791" w:type="dxa"/>
            <w:tcBorders>
              <w:top w:val="nil"/>
              <w:left w:val="nil"/>
              <w:bottom w:val="single" w:sz="4" w:space="0" w:color="auto"/>
              <w:right w:val="single" w:sz="4" w:space="0" w:color="auto"/>
            </w:tcBorders>
            <w:shd w:val="clear" w:color="auto" w:fill="auto"/>
            <w:vAlign w:val="bottom"/>
          </w:tcPr>
          <w:p w:rsidR="00C40A42" w:rsidRPr="005A6388" w:rsidRDefault="00C40A42" w:rsidP="00864A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0,2</w:t>
            </w:r>
          </w:p>
        </w:tc>
        <w:tc>
          <w:tcPr>
            <w:tcW w:w="934"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ind w:left="-108" w:right="-66"/>
              <w:jc w:val="center"/>
              <w:rPr>
                <w:rFonts w:ascii="Times New Roman" w:hAnsi="Times New Roman"/>
                <w:sz w:val="24"/>
                <w:szCs w:val="24"/>
              </w:rPr>
            </w:pPr>
            <w:r>
              <w:rPr>
                <w:rFonts w:ascii="Times New Roman" w:hAnsi="Times New Roman"/>
                <w:sz w:val="24"/>
                <w:szCs w:val="24"/>
              </w:rPr>
              <w:t>8,9</w:t>
            </w:r>
          </w:p>
        </w:tc>
        <w:tc>
          <w:tcPr>
            <w:tcW w:w="995" w:type="dxa"/>
            <w:tcBorders>
              <w:top w:val="nil"/>
              <w:left w:val="nil"/>
              <w:bottom w:val="single" w:sz="4" w:space="0" w:color="auto"/>
              <w:right w:val="single" w:sz="4" w:space="0" w:color="auto"/>
            </w:tcBorders>
            <w:shd w:val="clear" w:color="auto" w:fill="auto"/>
            <w:vAlign w:val="bottom"/>
          </w:tcPr>
          <w:p w:rsidR="00C40A42" w:rsidRPr="00DE5227" w:rsidRDefault="00C40A42" w:rsidP="00864AD0">
            <w:pPr>
              <w:spacing w:after="0" w:line="240" w:lineRule="auto"/>
              <w:jc w:val="center"/>
              <w:rPr>
                <w:rFonts w:ascii="Times New Roman" w:hAnsi="Times New Roman"/>
                <w:sz w:val="24"/>
                <w:szCs w:val="24"/>
              </w:rPr>
            </w:pPr>
            <w:r>
              <w:rPr>
                <w:rFonts w:ascii="Times New Roman" w:hAnsi="Times New Roman"/>
                <w:sz w:val="24"/>
                <w:szCs w:val="24"/>
              </w:rPr>
              <w:t>93,8</w:t>
            </w:r>
          </w:p>
        </w:tc>
      </w:tr>
      <w:tr w:rsidR="00C40A42" w:rsidRPr="00C47E4E" w:rsidTr="00864AD0">
        <w:trPr>
          <w:trHeight w:val="227"/>
        </w:trPr>
        <w:tc>
          <w:tcPr>
            <w:tcW w:w="3183" w:type="dxa"/>
            <w:tcBorders>
              <w:top w:val="nil"/>
              <w:left w:val="single" w:sz="4" w:space="0" w:color="auto"/>
              <w:bottom w:val="single" w:sz="4" w:space="0" w:color="auto"/>
              <w:right w:val="single" w:sz="4" w:space="0" w:color="auto"/>
            </w:tcBorders>
            <w:shd w:val="clear" w:color="auto" w:fill="auto"/>
            <w:vAlign w:val="bottom"/>
          </w:tcPr>
          <w:p w:rsidR="00C40A42" w:rsidRPr="004C49D8" w:rsidRDefault="00C40A42" w:rsidP="00864AD0">
            <w:pPr>
              <w:spacing w:after="0" w:line="240" w:lineRule="auto"/>
              <w:ind w:left="-108" w:right="-108"/>
              <w:rPr>
                <w:rFonts w:ascii="Times New Roman" w:hAnsi="Times New Roman"/>
                <w:sz w:val="24"/>
                <w:szCs w:val="24"/>
              </w:rPr>
            </w:pPr>
            <w:r w:rsidRPr="004C49D8">
              <w:rPr>
                <w:rFonts w:ascii="Times New Roman" w:hAnsi="Times New Roman"/>
                <w:sz w:val="24"/>
                <w:szCs w:val="24"/>
              </w:rPr>
              <w:t>ИТОГО по ПМР</w:t>
            </w:r>
          </w:p>
        </w:tc>
        <w:tc>
          <w:tcPr>
            <w:tcW w:w="933" w:type="dxa"/>
            <w:tcBorders>
              <w:top w:val="single" w:sz="6" w:space="0" w:color="auto"/>
              <w:left w:val="nil"/>
              <w:bottom w:val="single" w:sz="4" w:space="0" w:color="auto"/>
              <w:right w:val="single" w:sz="6" w:space="0" w:color="auto"/>
            </w:tcBorders>
            <w:shd w:val="clear" w:color="auto" w:fill="auto"/>
            <w:vAlign w:val="bottom"/>
          </w:tcPr>
          <w:p w:rsidR="00C40A42" w:rsidRPr="00DE5227" w:rsidRDefault="00C40A42" w:rsidP="00864AD0">
            <w:pPr>
              <w:spacing w:after="0" w:line="240" w:lineRule="auto"/>
              <w:ind w:left="-74" w:right="-94"/>
              <w:jc w:val="center"/>
              <w:rPr>
                <w:rFonts w:ascii="Times New Roman" w:hAnsi="Times New Roman"/>
                <w:sz w:val="24"/>
                <w:szCs w:val="24"/>
              </w:rPr>
            </w:pPr>
            <w:r>
              <w:rPr>
                <w:rFonts w:ascii="Times New Roman" w:hAnsi="Times New Roman"/>
                <w:sz w:val="24"/>
                <w:szCs w:val="24"/>
              </w:rPr>
              <w:t>326,6</w:t>
            </w:r>
          </w:p>
        </w:tc>
        <w:tc>
          <w:tcPr>
            <w:tcW w:w="784" w:type="dxa"/>
            <w:tcBorders>
              <w:top w:val="single" w:sz="6" w:space="0" w:color="auto"/>
              <w:left w:val="single" w:sz="6" w:space="0" w:color="auto"/>
              <w:bottom w:val="single" w:sz="4" w:space="0" w:color="auto"/>
              <w:right w:val="single" w:sz="6" w:space="0" w:color="auto"/>
            </w:tcBorders>
            <w:shd w:val="clear" w:color="auto" w:fill="auto"/>
            <w:vAlign w:val="bottom"/>
          </w:tcPr>
          <w:p w:rsidR="00C40A42" w:rsidRPr="00DE5227" w:rsidRDefault="00C40A42" w:rsidP="00864AD0">
            <w:pPr>
              <w:spacing w:after="0" w:line="240" w:lineRule="auto"/>
              <w:ind w:right="-108"/>
              <w:jc w:val="center"/>
              <w:rPr>
                <w:rFonts w:ascii="Times New Roman" w:hAnsi="Times New Roman"/>
                <w:sz w:val="24"/>
                <w:szCs w:val="24"/>
              </w:rPr>
            </w:pPr>
            <w:r>
              <w:rPr>
                <w:rFonts w:ascii="Times New Roman" w:hAnsi="Times New Roman"/>
                <w:sz w:val="24"/>
                <w:szCs w:val="24"/>
              </w:rPr>
              <w:t>91,6</w:t>
            </w:r>
          </w:p>
        </w:tc>
        <w:tc>
          <w:tcPr>
            <w:tcW w:w="1140" w:type="dxa"/>
            <w:tcBorders>
              <w:top w:val="single" w:sz="6" w:space="0" w:color="auto"/>
              <w:left w:val="single" w:sz="6" w:space="0" w:color="auto"/>
              <w:bottom w:val="single" w:sz="4" w:space="0" w:color="auto"/>
              <w:right w:val="single" w:sz="6" w:space="0" w:color="auto"/>
            </w:tcBorders>
            <w:shd w:val="clear" w:color="auto" w:fill="auto"/>
            <w:vAlign w:val="bottom"/>
          </w:tcPr>
          <w:p w:rsidR="00C40A42" w:rsidRPr="00C40A42" w:rsidRDefault="00C40A42" w:rsidP="00864AD0">
            <w:pPr>
              <w:spacing w:after="0" w:line="240" w:lineRule="auto"/>
              <w:jc w:val="center"/>
              <w:rPr>
                <w:rFonts w:ascii="Times New Roman" w:hAnsi="Times New Roman"/>
                <w:sz w:val="24"/>
                <w:szCs w:val="24"/>
              </w:rPr>
            </w:pPr>
            <w:r w:rsidRPr="00C40A42">
              <w:rPr>
                <w:rFonts w:ascii="Times New Roman" w:hAnsi="Times New Roman"/>
                <w:sz w:val="24"/>
                <w:szCs w:val="24"/>
              </w:rPr>
              <w:t>3 766,7</w:t>
            </w:r>
          </w:p>
        </w:tc>
        <w:tc>
          <w:tcPr>
            <w:tcW w:w="862" w:type="dxa"/>
            <w:tcBorders>
              <w:top w:val="single" w:sz="6" w:space="0" w:color="auto"/>
              <w:left w:val="single" w:sz="6" w:space="0" w:color="auto"/>
              <w:bottom w:val="single" w:sz="4" w:space="0" w:color="auto"/>
              <w:right w:val="single" w:sz="4" w:space="0" w:color="auto"/>
            </w:tcBorders>
            <w:shd w:val="clear" w:color="auto" w:fill="auto"/>
            <w:vAlign w:val="bottom"/>
          </w:tcPr>
          <w:p w:rsidR="00C40A42" w:rsidRPr="00C40A42" w:rsidRDefault="00C40A42" w:rsidP="00864AD0">
            <w:pPr>
              <w:spacing w:after="0" w:line="240" w:lineRule="auto"/>
              <w:jc w:val="center"/>
              <w:rPr>
                <w:rFonts w:ascii="Times New Roman" w:hAnsi="Times New Roman"/>
                <w:sz w:val="24"/>
                <w:szCs w:val="24"/>
              </w:rPr>
            </w:pPr>
            <w:r w:rsidRPr="00C40A42">
              <w:rPr>
                <w:rFonts w:ascii="Times New Roman" w:hAnsi="Times New Roman"/>
                <w:sz w:val="24"/>
                <w:szCs w:val="24"/>
              </w:rPr>
              <w:t>94,2</w:t>
            </w:r>
          </w:p>
        </w:tc>
        <w:tc>
          <w:tcPr>
            <w:tcW w:w="791" w:type="dxa"/>
            <w:tcBorders>
              <w:top w:val="nil"/>
              <w:left w:val="nil"/>
              <w:bottom w:val="single" w:sz="4" w:space="0" w:color="auto"/>
              <w:right w:val="single" w:sz="4" w:space="0" w:color="auto"/>
            </w:tcBorders>
            <w:shd w:val="clear" w:color="auto" w:fill="auto"/>
            <w:vAlign w:val="bottom"/>
          </w:tcPr>
          <w:p w:rsidR="00C40A42" w:rsidRPr="00C40A42" w:rsidRDefault="00C40A42" w:rsidP="00864AD0">
            <w:pPr>
              <w:spacing w:after="0" w:line="20" w:lineRule="atLeast"/>
              <w:jc w:val="center"/>
              <w:rPr>
                <w:rFonts w:ascii="Times New Roman" w:hAnsi="Times New Roman"/>
                <w:sz w:val="24"/>
                <w:szCs w:val="24"/>
              </w:rPr>
            </w:pPr>
            <w:r w:rsidRPr="00C40A42">
              <w:rPr>
                <w:rFonts w:ascii="Times New Roman" w:hAnsi="Times New Roman"/>
                <w:sz w:val="24"/>
                <w:szCs w:val="24"/>
              </w:rPr>
              <w:t>100,0</w:t>
            </w:r>
          </w:p>
        </w:tc>
        <w:tc>
          <w:tcPr>
            <w:tcW w:w="934" w:type="dxa"/>
            <w:tcBorders>
              <w:top w:val="nil"/>
              <w:left w:val="nil"/>
              <w:bottom w:val="single" w:sz="4" w:space="0" w:color="auto"/>
              <w:right w:val="single" w:sz="4" w:space="0" w:color="auto"/>
            </w:tcBorders>
            <w:shd w:val="clear" w:color="auto" w:fill="auto"/>
            <w:vAlign w:val="bottom"/>
          </w:tcPr>
          <w:p w:rsidR="00C40A42" w:rsidRPr="00C40A42" w:rsidRDefault="00C40A42" w:rsidP="00864AD0">
            <w:pPr>
              <w:spacing w:after="0" w:line="240" w:lineRule="auto"/>
              <w:ind w:left="-108" w:right="-66"/>
              <w:jc w:val="center"/>
              <w:rPr>
                <w:rFonts w:ascii="Times New Roman" w:hAnsi="Times New Roman"/>
                <w:sz w:val="24"/>
                <w:szCs w:val="24"/>
              </w:rPr>
            </w:pPr>
            <w:r w:rsidRPr="00C40A42">
              <w:rPr>
                <w:rFonts w:ascii="Times New Roman" w:hAnsi="Times New Roman"/>
                <w:sz w:val="24"/>
                <w:szCs w:val="24"/>
              </w:rPr>
              <w:t>3 697,4</w:t>
            </w:r>
          </w:p>
        </w:tc>
        <w:tc>
          <w:tcPr>
            <w:tcW w:w="995" w:type="dxa"/>
            <w:tcBorders>
              <w:top w:val="nil"/>
              <w:left w:val="nil"/>
              <w:bottom w:val="single" w:sz="4" w:space="0" w:color="auto"/>
              <w:right w:val="single" w:sz="4" w:space="0" w:color="auto"/>
            </w:tcBorders>
            <w:shd w:val="clear" w:color="auto" w:fill="auto"/>
            <w:vAlign w:val="bottom"/>
          </w:tcPr>
          <w:p w:rsidR="00C40A42" w:rsidRPr="00C40A42" w:rsidRDefault="00C40A42" w:rsidP="00864AD0">
            <w:pPr>
              <w:spacing w:after="0" w:line="240" w:lineRule="auto"/>
              <w:jc w:val="center"/>
              <w:rPr>
                <w:rFonts w:ascii="Times New Roman" w:hAnsi="Times New Roman"/>
                <w:sz w:val="24"/>
                <w:szCs w:val="24"/>
              </w:rPr>
            </w:pPr>
            <w:r w:rsidRPr="00C40A42">
              <w:rPr>
                <w:rFonts w:ascii="Times New Roman" w:hAnsi="Times New Roman"/>
                <w:sz w:val="24"/>
                <w:szCs w:val="24"/>
              </w:rPr>
              <w:t>95,0</w:t>
            </w:r>
          </w:p>
        </w:tc>
      </w:tr>
    </w:tbl>
    <w:p w:rsidR="005074C0" w:rsidRPr="0080737A" w:rsidRDefault="005074C0" w:rsidP="005074C0">
      <w:pPr>
        <w:spacing w:after="0" w:line="240" w:lineRule="auto"/>
        <w:ind w:firstLine="709"/>
        <w:jc w:val="right"/>
        <w:rPr>
          <w:rFonts w:ascii="Times New Roman" w:eastAsia="Calibri" w:hAnsi="Times New Roman"/>
          <w:b/>
          <w:sz w:val="28"/>
          <w:szCs w:val="28"/>
        </w:rPr>
      </w:pPr>
    </w:p>
    <w:p w:rsidR="005074C0" w:rsidRPr="0080737A" w:rsidRDefault="005074C0" w:rsidP="005074C0">
      <w:pPr>
        <w:rPr>
          <w:rFonts w:eastAsia="Calibri"/>
        </w:rPr>
      </w:pPr>
    </w:p>
    <w:p w:rsidR="00335844" w:rsidRPr="0080737A" w:rsidRDefault="00335844" w:rsidP="00335844">
      <w:pPr>
        <w:spacing w:after="0" w:line="240" w:lineRule="auto"/>
        <w:ind w:firstLine="709"/>
        <w:jc w:val="right"/>
        <w:rPr>
          <w:rFonts w:ascii="Times New Roman" w:hAnsi="Times New Roman"/>
          <w:b/>
          <w:sz w:val="28"/>
          <w:szCs w:val="28"/>
        </w:rPr>
      </w:pPr>
    </w:p>
    <w:p w:rsidR="00335844" w:rsidRPr="0080737A" w:rsidRDefault="00335844" w:rsidP="00335844"/>
    <w:p w:rsidR="00335844" w:rsidRPr="0080737A" w:rsidRDefault="00335844" w:rsidP="00335844">
      <w:pPr>
        <w:spacing w:after="0" w:line="240" w:lineRule="auto"/>
        <w:ind w:firstLine="709"/>
        <w:jc w:val="right"/>
        <w:rPr>
          <w:rFonts w:ascii="Times New Roman" w:hAnsi="Times New Roman"/>
          <w:b/>
          <w:sz w:val="28"/>
          <w:szCs w:val="28"/>
        </w:rPr>
      </w:pPr>
    </w:p>
    <w:p w:rsidR="00335844" w:rsidRPr="0080737A" w:rsidRDefault="00335844" w:rsidP="00335844"/>
    <w:p w:rsidR="00335844" w:rsidRPr="0080737A" w:rsidRDefault="00335844" w:rsidP="00335844"/>
    <w:p w:rsidR="00335844" w:rsidRPr="0080737A" w:rsidRDefault="00335844" w:rsidP="00335844"/>
    <w:p w:rsidR="00335844" w:rsidRPr="0080737A" w:rsidRDefault="00335844" w:rsidP="00335844">
      <w:pPr>
        <w:spacing w:after="0" w:line="240" w:lineRule="auto"/>
        <w:ind w:firstLine="709"/>
        <w:jc w:val="right"/>
        <w:rPr>
          <w:rFonts w:ascii="Times New Roman" w:hAnsi="Times New Roman"/>
          <w:b/>
          <w:sz w:val="24"/>
          <w:szCs w:val="24"/>
        </w:rPr>
      </w:pPr>
    </w:p>
    <w:p w:rsidR="00D212FF" w:rsidRPr="0080737A" w:rsidRDefault="00D212FF" w:rsidP="00D212FF">
      <w:pPr>
        <w:spacing w:after="0" w:line="240" w:lineRule="auto"/>
        <w:ind w:firstLine="709"/>
        <w:jc w:val="right"/>
        <w:rPr>
          <w:rFonts w:ascii="Times New Roman" w:hAnsi="Times New Roman"/>
          <w:b/>
          <w:sz w:val="24"/>
          <w:szCs w:val="24"/>
        </w:rPr>
      </w:pPr>
      <w:r w:rsidRPr="0080737A">
        <w:rPr>
          <w:rFonts w:ascii="Times New Roman" w:hAnsi="Times New Roman"/>
          <w:b/>
          <w:sz w:val="24"/>
          <w:szCs w:val="24"/>
        </w:rPr>
        <w:lastRenderedPageBreak/>
        <w:t>Приложение№3</w:t>
      </w:r>
    </w:p>
    <w:p w:rsidR="00D16741" w:rsidRPr="00E25EC3" w:rsidRDefault="00D16741" w:rsidP="00D16741">
      <w:pPr>
        <w:spacing w:after="0" w:line="240" w:lineRule="auto"/>
        <w:jc w:val="center"/>
        <w:rPr>
          <w:rFonts w:ascii="Times New Roman" w:hAnsi="Times New Roman"/>
          <w:b/>
          <w:sz w:val="24"/>
          <w:szCs w:val="24"/>
        </w:rPr>
      </w:pPr>
      <w:r w:rsidRPr="00E25EC3">
        <w:rPr>
          <w:rFonts w:ascii="Times New Roman" w:hAnsi="Times New Roman"/>
          <w:b/>
          <w:sz w:val="24"/>
          <w:szCs w:val="24"/>
        </w:rPr>
        <w:t>Основные показатели развития малого предпринимательства</w:t>
      </w:r>
    </w:p>
    <w:p w:rsidR="00D16741" w:rsidRPr="00E25EC3" w:rsidRDefault="00D16741" w:rsidP="00D16741">
      <w:pPr>
        <w:spacing w:after="0" w:line="240" w:lineRule="auto"/>
        <w:jc w:val="center"/>
        <w:rPr>
          <w:rFonts w:ascii="Times New Roman" w:hAnsi="Times New Roman"/>
          <w:b/>
          <w:sz w:val="24"/>
          <w:szCs w:val="24"/>
        </w:rPr>
      </w:pPr>
      <w:r w:rsidRPr="00E25EC3">
        <w:rPr>
          <w:rFonts w:ascii="Times New Roman" w:hAnsi="Times New Roman"/>
          <w:b/>
          <w:sz w:val="24"/>
          <w:szCs w:val="24"/>
        </w:rPr>
        <w:t xml:space="preserve">за </w:t>
      </w:r>
      <w:r w:rsidR="003910AF">
        <w:rPr>
          <w:rFonts w:ascii="Times New Roman" w:hAnsi="Times New Roman"/>
          <w:b/>
          <w:sz w:val="24"/>
          <w:szCs w:val="24"/>
        </w:rPr>
        <w:t>январь-июнь</w:t>
      </w:r>
      <w:r>
        <w:rPr>
          <w:rFonts w:ascii="Times New Roman" w:hAnsi="Times New Roman"/>
          <w:b/>
          <w:sz w:val="24"/>
          <w:szCs w:val="24"/>
        </w:rPr>
        <w:t xml:space="preserve"> 2017 года</w:t>
      </w:r>
    </w:p>
    <w:p w:rsidR="00D16741" w:rsidRPr="00E25EC3" w:rsidRDefault="00D16741" w:rsidP="00D16741">
      <w:pPr>
        <w:spacing w:after="0" w:line="240" w:lineRule="auto"/>
        <w:jc w:val="center"/>
        <w:rPr>
          <w:rFonts w:ascii="Times New Roman" w:hAnsi="Times New Roman"/>
          <w:b/>
          <w:sz w:val="20"/>
          <w:szCs w:val="20"/>
        </w:rPr>
      </w:pPr>
    </w:p>
    <w:tbl>
      <w:tblPr>
        <w:tblW w:w="9924" w:type="dxa"/>
        <w:tblInd w:w="-318" w:type="dxa"/>
        <w:tblLayout w:type="fixed"/>
        <w:tblLook w:val="0000"/>
      </w:tblPr>
      <w:tblGrid>
        <w:gridCol w:w="4821"/>
        <w:gridCol w:w="1275"/>
        <w:gridCol w:w="1276"/>
        <w:gridCol w:w="1276"/>
        <w:gridCol w:w="1276"/>
      </w:tblGrid>
      <w:tr w:rsidR="00D16741" w:rsidRPr="006C2487" w:rsidTr="00D16741">
        <w:trPr>
          <w:trHeight w:val="257"/>
        </w:trPr>
        <w:tc>
          <w:tcPr>
            <w:tcW w:w="482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b/>
                <w:bCs/>
                <w:color w:val="000000"/>
                <w:sz w:val="24"/>
                <w:szCs w:val="24"/>
              </w:rPr>
            </w:pPr>
            <w:r w:rsidRPr="006C2487">
              <w:rPr>
                <w:rFonts w:ascii="Times New Roman" w:hAnsi="Times New Roman"/>
                <w:b/>
                <w:bCs/>
                <w:color w:val="000000"/>
                <w:sz w:val="24"/>
                <w:szCs w:val="24"/>
              </w:rPr>
              <w:t>Показатели</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16741" w:rsidRPr="006C2487" w:rsidRDefault="00D16741" w:rsidP="00D16741">
            <w:pPr>
              <w:spacing w:after="0" w:line="240" w:lineRule="auto"/>
              <w:ind w:left="-108" w:right="-84"/>
              <w:jc w:val="center"/>
              <w:rPr>
                <w:rFonts w:ascii="Times New Roman" w:hAnsi="Times New Roman"/>
                <w:b/>
                <w:bCs/>
                <w:color w:val="000000"/>
                <w:sz w:val="24"/>
                <w:szCs w:val="24"/>
              </w:rPr>
            </w:pPr>
            <w:r w:rsidRPr="006C2487">
              <w:rPr>
                <w:rFonts w:ascii="Times New Roman" w:hAnsi="Times New Roman"/>
                <w:b/>
                <w:bCs/>
                <w:color w:val="000000"/>
                <w:sz w:val="24"/>
                <w:szCs w:val="24"/>
              </w:rPr>
              <w:t>Ед. измерения</w:t>
            </w:r>
          </w:p>
        </w:tc>
        <w:tc>
          <w:tcPr>
            <w:tcW w:w="2552" w:type="dxa"/>
            <w:gridSpan w:val="2"/>
            <w:tcBorders>
              <w:top w:val="single" w:sz="8" w:space="0" w:color="auto"/>
              <w:left w:val="nil"/>
              <w:bottom w:val="single" w:sz="4" w:space="0" w:color="auto"/>
              <w:right w:val="single" w:sz="8" w:space="0" w:color="000000"/>
            </w:tcBorders>
            <w:shd w:val="clear" w:color="auto" w:fill="auto"/>
            <w:vAlign w:val="center"/>
          </w:tcPr>
          <w:p w:rsidR="00D16741" w:rsidRPr="00B115C7" w:rsidRDefault="00D16741" w:rsidP="00D16741">
            <w:pPr>
              <w:spacing w:after="0" w:line="240" w:lineRule="auto"/>
              <w:jc w:val="center"/>
              <w:rPr>
                <w:rFonts w:ascii="Times New Roman" w:hAnsi="Times New Roman"/>
                <w:b/>
                <w:bCs/>
                <w:color w:val="000000"/>
                <w:sz w:val="24"/>
                <w:szCs w:val="24"/>
              </w:rPr>
            </w:pPr>
            <w:r w:rsidRPr="00B115C7">
              <w:rPr>
                <w:rFonts w:ascii="Times New Roman" w:hAnsi="Times New Roman"/>
                <w:b/>
                <w:bCs/>
                <w:color w:val="000000"/>
                <w:sz w:val="24"/>
                <w:szCs w:val="24"/>
              </w:rPr>
              <w:t>Факт</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16741" w:rsidRPr="00B115C7" w:rsidRDefault="00D16741" w:rsidP="00D16741">
            <w:pPr>
              <w:spacing w:after="0" w:line="240" w:lineRule="auto"/>
              <w:ind w:left="-108" w:right="-108"/>
              <w:jc w:val="center"/>
              <w:rPr>
                <w:rFonts w:ascii="Times New Roman" w:hAnsi="Times New Roman"/>
                <w:b/>
                <w:bCs/>
                <w:color w:val="000000"/>
                <w:sz w:val="24"/>
                <w:szCs w:val="24"/>
              </w:rPr>
            </w:pPr>
            <w:r w:rsidRPr="00B115C7">
              <w:rPr>
                <w:rFonts w:ascii="Times New Roman" w:hAnsi="Times New Roman"/>
                <w:b/>
                <w:bCs/>
                <w:color w:val="000000"/>
                <w:sz w:val="24"/>
                <w:szCs w:val="24"/>
              </w:rPr>
              <w:t>Темп роста  2016 г. к       2015 г., %</w:t>
            </w:r>
          </w:p>
        </w:tc>
      </w:tr>
      <w:tr w:rsidR="00D16741" w:rsidRPr="006C2487" w:rsidTr="00D16741">
        <w:trPr>
          <w:trHeight w:val="529"/>
        </w:trPr>
        <w:tc>
          <w:tcPr>
            <w:tcW w:w="4821" w:type="dxa"/>
            <w:vMerge/>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both"/>
              <w:rPr>
                <w:rFonts w:ascii="Times New Roman" w:hAnsi="Times New Roman"/>
                <w:b/>
                <w:bCs/>
                <w:color w:val="000000"/>
                <w:sz w:val="24"/>
                <w:szCs w:val="24"/>
              </w:rPr>
            </w:pPr>
          </w:p>
        </w:tc>
        <w:tc>
          <w:tcPr>
            <w:tcW w:w="12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b/>
                <w:bCs/>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tcPr>
          <w:p w:rsidR="00D16741" w:rsidRPr="00B115C7" w:rsidRDefault="00D16741" w:rsidP="00D16741">
            <w:pPr>
              <w:spacing w:after="0" w:line="240" w:lineRule="auto"/>
              <w:ind w:left="-62" w:right="-103"/>
              <w:jc w:val="center"/>
              <w:rPr>
                <w:rFonts w:ascii="Times New Roman" w:hAnsi="Times New Roman"/>
                <w:b/>
                <w:bCs/>
                <w:color w:val="000000"/>
                <w:sz w:val="24"/>
                <w:szCs w:val="24"/>
              </w:rPr>
            </w:pPr>
            <w:r w:rsidRPr="00B115C7">
              <w:rPr>
                <w:rFonts w:ascii="Times New Roman" w:hAnsi="Times New Roman"/>
                <w:b/>
                <w:bCs/>
                <w:color w:val="000000"/>
                <w:sz w:val="24"/>
                <w:szCs w:val="24"/>
                <w:lang w:val="en-US"/>
              </w:rPr>
              <w:t>I</w:t>
            </w:r>
            <w:r w:rsidRPr="00B115C7">
              <w:rPr>
                <w:rFonts w:ascii="Times New Roman" w:hAnsi="Times New Roman"/>
                <w:b/>
                <w:bCs/>
                <w:color w:val="000000"/>
                <w:sz w:val="24"/>
                <w:szCs w:val="24"/>
              </w:rPr>
              <w:t xml:space="preserve"> полугодие 201</w:t>
            </w:r>
            <w:r>
              <w:rPr>
                <w:rFonts w:ascii="Times New Roman" w:hAnsi="Times New Roman"/>
                <w:b/>
                <w:bCs/>
                <w:color w:val="000000"/>
                <w:sz w:val="24"/>
                <w:szCs w:val="24"/>
              </w:rPr>
              <w:t>6</w:t>
            </w:r>
            <w:r w:rsidRPr="00B115C7">
              <w:rPr>
                <w:rFonts w:ascii="Times New Roman" w:hAnsi="Times New Roman"/>
                <w:b/>
                <w:bCs/>
                <w:color w:val="000000"/>
                <w:sz w:val="24"/>
                <w:szCs w:val="24"/>
              </w:rPr>
              <w:t xml:space="preserve"> год</w:t>
            </w:r>
          </w:p>
        </w:tc>
        <w:tc>
          <w:tcPr>
            <w:tcW w:w="1276" w:type="dxa"/>
            <w:tcBorders>
              <w:top w:val="nil"/>
              <w:left w:val="nil"/>
              <w:bottom w:val="single" w:sz="8" w:space="0" w:color="auto"/>
              <w:right w:val="single" w:sz="8" w:space="0" w:color="auto"/>
            </w:tcBorders>
            <w:shd w:val="clear" w:color="auto" w:fill="auto"/>
            <w:vAlign w:val="center"/>
          </w:tcPr>
          <w:p w:rsidR="00D16741" w:rsidRPr="00B115C7" w:rsidRDefault="00D16741" w:rsidP="00D16741">
            <w:pPr>
              <w:spacing w:after="0" w:line="240" w:lineRule="auto"/>
              <w:ind w:left="-62" w:right="-103"/>
              <w:jc w:val="center"/>
              <w:rPr>
                <w:rFonts w:ascii="Times New Roman" w:hAnsi="Times New Roman"/>
                <w:b/>
                <w:bCs/>
                <w:color w:val="000000"/>
                <w:sz w:val="24"/>
                <w:szCs w:val="24"/>
              </w:rPr>
            </w:pPr>
            <w:r w:rsidRPr="00B115C7">
              <w:rPr>
                <w:rFonts w:ascii="Times New Roman" w:hAnsi="Times New Roman"/>
                <w:b/>
                <w:bCs/>
                <w:color w:val="000000"/>
                <w:sz w:val="24"/>
                <w:szCs w:val="24"/>
                <w:lang w:val="en-US"/>
              </w:rPr>
              <w:t>I</w:t>
            </w:r>
            <w:r w:rsidRPr="00B115C7">
              <w:rPr>
                <w:rFonts w:ascii="Times New Roman" w:hAnsi="Times New Roman"/>
                <w:b/>
                <w:bCs/>
                <w:color w:val="000000"/>
                <w:sz w:val="24"/>
                <w:szCs w:val="24"/>
              </w:rPr>
              <w:t xml:space="preserve"> полугодие 201</w:t>
            </w:r>
            <w:r>
              <w:rPr>
                <w:rFonts w:ascii="Times New Roman" w:hAnsi="Times New Roman"/>
                <w:b/>
                <w:bCs/>
                <w:color w:val="000000"/>
                <w:sz w:val="24"/>
                <w:szCs w:val="24"/>
              </w:rPr>
              <w:t>7</w:t>
            </w:r>
            <w:r w:rsidRPr="00B115C7">
              <w:rPr>
                <w:rFonts w:ascii="Times New Roman" w:hAnsi="Times New Roman"/>
                <w:b/>
                <w:bCs/>
                <w:color w:val="000000"/>
                <w:sz w:val="24"/>
                <w:szCs w:val="24"/>
              </w:rPr>
              <w:t xml:space="preserve"> год</w:t>
            </w:r>
          </w:p>
        </w:tc>
        <w:tc>
          <w:tcPr>
            <w:tcW w:w="1276" w:type="dxa"/>
            <w:vMerge/>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b/>
                <w:bCs/>
                <w:color w:val="000000"/>
                <w:sz w:val="24"/>
                <w:szCs w:val="24"/>
              </w:rPr>
            </w:pPr>
          </w:p>
        </w:tc>
      </w:tr>
      <w:tr w:rsidR="00D16741" w:rsidRPr="006C2487" w:rsidTr="00D16741">
        <w:trPr>
          <w:trHeight w:val="30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Количество отчитавшихся предприятий</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единиц</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3 841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3 771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color w:val="000000"/>
                <w:sz w:val="24"/>
                <w:szCs w:val="24"/>
              </w:rPr>
            </w:pPr>
            <w:r>
              <w:rPr>
                <w:rFonts w:ascii="Times New Roman" w:hAnsi="Times New Roman"/>
                <w:color w:val="000000"/>
                <w:sz w:val="24"/>
                <w:szCs w:val="24"/>
              </w:rPr>
              <w:t>98,2</w:t>
            </w:r>
          </w:p>
        </w:tc>
      </w:tr>
      <w:tr w:rsidR="00D16741" w:rsidRPr="006C2487" w:rsidTr="00D16741">
        <w:trPr>
          <w:trHeight w:val="262"/>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xml:space="preserve">Среднесписочная численность работников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чел.</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13 788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13 565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color w:val="000000"/>
                <w:sz w:val="24"/>
                <w:szCs w:val="24"/>
              </w:rPr>
            </w:pPr>
            <w:r>
              <w:rPr>
                <w:rFonts w:ascii="Times New Roman" w:hAnsi="Times New Roman"/>
                <w:color w:val="000000"/>
                <w:sz w:val="24"/>
                <w:szCs w:val="24"/>
              </w:rPr>
              <w:t>98,4</w:t>
            </w:r>
          </w:p>
        </w:tc>
      </w:tr>
      <w:tr w:rsidR="00D16741" w:rsidRPr="006C2487" w:rsidTr="00D16741">
        <w:trPr>
          <w:trHeight w:val="272"/>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Фонд начисленной заработной платы</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166 275,6</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168 457,1</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101,3</w:t>
            </w:r>
          </w:p>
        </w:tc>
      </w:tr>
      <w:tr w:rsidR="00D16741" w:rsidRPr="006C2487" w:rsidTr="00D16741">
        <w:trPr>
          <w:trHeight w:val="426"/>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Среднемесячная номинальная начисленная заработная плата одного работника</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3 125,4</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3 166,7</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101,3</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Доход от продаж (выручка)</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left="-94" w:right="-138"/>
              <w:jc w:val="center"/>
              <w:rPr>
                <w:rFonts w:ascii="Times New Roman" w:hAnsi="Times New Roman"/>
                <w:sz w:val="24"/>
                <w:szCs w:val="24"/>
              </w:rPr>
            </w:pPr>
            <w:r>
              <w:rPr>
                <w:rFonts w:ascii="Times New Roman" w:hAnsi="Times New Roman"/>
                <w:sz w:val="24"/>
                <w:szCs w:val="24"/>
              </w:rPr>
              <w:t>1 434 470,4</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left="-78" w:right="-153"/>
              <w:jc w:val="center"/>
              <w:rPr>
                <w:rFonts w:ascii="Times New Roman" w:hAnsi="Times New Roman"/>
                <w:sz w:val="24"/>
                <w:szCs w:val="24"/>
              </w:rPr>
            </w:pPr>
            <w:r>
              <w:rPr>
                <w:rFonts w:ascii="Times New Roman" w:hAnsi="Times New Roman"/>
                <w:sz w:val="24"/>
                <w:szCs w:val="24"/>
              </w:rPr>
              <w:t>1 587 920,2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110,7</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из него по основным видам деятельности:</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808080"/>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808080"/>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color w:val="808080"/>
                <w:sz w:val="24"/>
                <w:szCs w:val="24"/>
              </w:rPr>
            </w:pP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промышленность</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145 216,2</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154 917,0</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106,7</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сельское хозяйство</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132 177,3</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 xml:space="preserve">225 960,1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в 1,7 р.</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транспорт</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23 803,8</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23 389,5</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98,3</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строительство</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70 670,5</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58 471,2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82,7</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торговля и общепит</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jc w:val="right"/>
              <w:rPr>
                <w:rFonts w:ascii="Times New Roman" w:hAnsi="Times New Roman"/>
                <w:color w:val="000000"/>
                <w:sz w:val="24"/>
                <w:szCs w:val="24"/>
              </w:rPr>
            </w:pPr>
            <w:r>
              <w:rPr>
                <w:rFonts w:ascii="Times New Roman" w:hAnsi="Times New Roman"/>
                <w:color w:val="000000"/>
                <w:sz w:val="24"/>
                <w:szCs w:val="24"/>
              </w:rPr>
              <w:t>925 720,0</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972 779,0</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105,1</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общая коммерческая деятельность</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15 008,4</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10 566,9</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70,4</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отдых и туризм</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13 351,5</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25 626,0</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в 1,9 р.</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Объем розничного товарооборота</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left="-141"/>
              <w:jc w:val="center"/>
              <w:rPr>
                <w:rFonts w:ascii="Times New Roman" w:hAnsi="Times New Roman"/>
                <w:sz w:val="24"/>
                <w:szCs w:val="24"/>
              </w:rPr>
            </w:pPr>
            <w:r>
              <w:rPr>
                <w:rFonts w:ascii="Times New Roman" w:hAnsi="Times New Roman"/>
                <w:sz w:val="24"/>
                <w:szCs w:val="24"/>
              </w:rPr>
              <w:t>369 635,1</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left="-135"/>
              <w:jc w:val="center"/>
              <w:rPr>
                <w:rFonts w:ascii="Times New Roman" w:hAnsi="Times New Roman"/>
                <w:sz w:val="24"/>
                <w:szCs w:val="24"/>
              </w:rPr>
            </w:pPr>
            <w:r>
              <w:rPr>
                <w:rFonts w:ascii="Times New Roman" w:hAnsi="Times New Roman"/>
                <w:sz w:val="24"/>
                <w:szCs w:val="24"/>
              </w:rPr>
              <w:t>358 505,0</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97,0</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Объем платных услуг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71 790,9</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82 045,8</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114,3</w:t>
            </w:r>
          </w:p>
        </w:tc>
      </w:tr>
      <w:tr w:rsidR="00D16741" w:rsidRPr="006C2487" w:rsidTr="00D16741">
        <w:trPr>
          <w:trHeight w:val="283"/>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Инвестиции в основной капитал</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42 305,1</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55 202,8</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130,5</w:t>
            </w:r>
          </w:p>
        </w:tc>
      </w:tr>
      <w:tr w:rsidR="00D16741" w:rsidRPr="006C2487" w:rsidTr="00D16741">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Платежи в бюджет и внебюджетные фонды (фактически внесено), в том числе:</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130 024,4</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123 050,9</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94,6</w:t>
            </w:r>
          </w:p>
        </w:tc>
      </w:tr>
      <w:tr w:rsidR="00D16741" w:rsidRPr="006C2487" w:rsidTr="00D16741">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налог на доходы организаций</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47 576,6</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46 970,0</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98,7</w:t>
            </w:r>
          </w:p>
        </w:tc>
      </w:tr>
      <w:tr w:rsidR="00D16741" w:rsidRPr="006C2487" w:rsidTr="00D16741">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единый социальный налог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37 307,2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35 655,9</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95,6</w:t>
            </w:r>
          </w:p>
        </w:tc>
      </w:tr>
      <w:tr w:rsidR="00D16741" w:rsidRPr="006C2487" w:rsidTr="00D16741">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подоходный налог с физических лиц</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10 920,7</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11 521,7</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105,5</w:t>
            </w:r>
          </w:p>
        </w:tc>
      </w:tr>
      <w:tr w:rsidR="00D16741" w:rsidRPr="006C2487" w:rsidTr="00D16741">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земельный налог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5 506,2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5 015,5</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91,1</w:t>
            </w:r>
          </w:p>
        </w:tc>
      </w:tr>
      <w:tr w:rsidR="00D16741" w:rsidRPr="00E25EC3" w:rsidTr="00D16741">
        <w:trPr>
          <w:trHeight w:val="157"/>
        </w:trPr>
        <w:tc>
          <w:tcPr>
            <w:tcW w:w="4821" w:type="dxa"/>
            <w:tcBorders>
              <w:top w:val="single" w:sz="8" w:space="0" w:color="auto"/>
              <w:left w:val="single" w:sz="8" w:space="0" w:color="auto"/>
              <w:bottom w:val="single" w:sz="8" w:space="0" w:color="auto"/>
              <w:right w:val="single" w:sz="8" w:space="0" w:color="auto"/>
            </w:tcBorders>
            <w:shd w:val="clear" w:color="auto" w:fill="auto"/>
          </w:tcPr>
          <w:p w:rsidR="00D16741" w:rsidRPr="006C2487" w:rsidRDefault="00D16741" w:rsidP="00D16741">
            <w:pPr>
              <w:spacing w:after="0" w:line="240" w:lineRule="auto"/>
              <w:ind w:right="-108"/>
              <w:rPr>
                <w:rFonts w:ascii="Times New Roman" w:hAnsi="Times New Roman"/>
                <w:color w:val="000000"/>
                <w:sz w:val="24"/>
                <w:szCs w:val="24"/>
              </w:rPr>
            </w:pPr>
            <w:r w:rsidRPr="006C2487">
              <w:rPr>
                <w:rFonts w:ascii="Times New Roman" w:hAnsi="Times New Roman"/>
                <w:color w:val="000000"/>
                <w:sz w:val="24"/>
                <w:szCs w:val="24"/>
              </w:rPr>
              <w:t>- акцизы</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color w:val="000000"/>
                <w:sz w:val="24"/>
                <w:szCs w:val="24"/>
              </w:rPr>
            </w:pPr>
            <w:r w:rsidRPr="006C2487">
              <w:rPr>
                <w:rFonts w:ascii="Times New Roman" w:hAnsi="Times New Roman"/>
                <w:color w:val="000000"/>
                <w:sz w:val="24"/>
                <w:szCs w:val="24"/>
              </w:rPr>
              <w:t>тыс. руб.</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2 342,1</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6C2487" w:rsidRDefault="00D16741" w:rsidP="00D16741">
            <w:pPr>
              <w:spacing w:after="0" w:line="240" w:lineRule="auto"/>
              <w:jc w:val="center"/>
              <w:rPr>
                <w:rFonts w:ascii="Times New Roman" w:hAnsi="Times New Roman"/>
                <w:sz w:val="24"/>
                <w:szCs w:val="24"/>
              </w:rPr>
            </w:pPr>
            <w:r>
              <w:rPr>
                <w:rFonts w:ascii="Times New Roman" w:hAnsi="Times New Roman"/>
                <w:sz w:val="24"/>
                <w:szCs w:val="24"/>
              </w:rPr>
              <w:t>1 962,9</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16741" w:rsidRPr="00143F68" w:rsidRDefault="00D16741" w:rsidP="00D16741">
            <w:pPr>
              <w:spacing w:after="0" w:line="240" w:lineRule="auto"/>
              <w:ind w:right="-108"/>
              <w:jc w:val="center"/>
              <w:rPr>
                <w:rFonts w:ascii="Times New Roman" w:hAnsi="Times New Roman"/>
                <w:sz w:val="24"/>
                <w:szCs w:val="24"/>
              </w:rPr>
            </w:pPr>
            <w:r>
              <w:rPr>
                <w:rFonts w:ascii="Times New Roman" w:hAnsi="Times New Roman"/>
                <w:sz w:val="24"/>
                <w:szCs w:val="24"/>
              </w:rPr>
              <w:t>83,8</w:t>
            </w:r>
          </w:p>
        </w:tc>
      </w:tr>
    </w:tbl>
    <w:p w:rsidR="00D212FF" w:rsidRPr="0080737A" w:rsidRDefault="00D212FF" w:rsidP="00D212FF">
      <w:pPr>
        <w:spacing w:after="0" w:line="240" w:lineRule="auto"/>
        <w:jc w:val="center"/>
        <w:rPr>
          <w:rFonts w:ascii="Times New Roman" w:hAnsi="Times New Roman"/>
          <w:b/>
          <w:sz w:val="24"/>
          <w:szCs w:val="24"/>
        </w:rPr>
      </w:pPr>
    </w:p>
    <w:sectPr w:rsidR="00D212FF" w:rsidRPr="0080737A" w:rsidSect="00E57013">
      <w:pgSz w:w="11906" w:h="16838"/>
      <w:pgMar w:top="1134" w:right="720"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D3B" w:rsidRDefault="00875D3B" w:rsidP="0009759B">
      <w:pPr>
        <w:spacing w:after="0" w:line="240" w:lineRule="auto"/>
      </w:pPr>
      <w:r>
        <w:separator/>
      </w:r>
    </w:p>
  </w:endnote>
  <w:endnote w:type="continuationSeparator" w:id="1">
    <w:p w:rsidR="00875D3B" w:rsidRDefault="00875D3B" w:rsidP="00097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D3B" w:rsidRDefault="00126DD0" w:rsidP="003F67B2">
    <w:pPr>
      <w:pStyle w:val="af2"/>
      <w:framePr w:wrap="around" w:vAnchor="text" w:hAnchor="margin" w:xAlign="right" w:y="1"/>
      <w:rPr>
        <w:rStyle w:val="af7"/>
      </w:rPr>
    </w:pPr>
    <w:r>
      <w:rPr>
        <w:rStyle w:val="af7"/>
      </w:rPr>
      <w:fldChar w:fldCharType="begin"/>
    </w:r>
    <w:r w:rsidR="00875D3B">
      <w:rPr>
        <w:rStyle w:val="af7"/>
      </w:rPr>
      <w:instrText xml:space="preserve">PAGE  </w:instrText>
    </w:r>
    <w:r>
      <w:rPr>
        <w:rStyle w:val="af7"/>
      </w:rPr>
      <w:fldChar w:fldCharType="end"/>
    </w:r>
  </w:p>
  <w:p w:rsidR="00875D3B" w:rsidRDefault="00875D3B" w:rsidP="003F67B2">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D3B" w:rsidRDefault="00126DD0" w:rsidP="003F67B2">
    <w:pPr>
      <w:pStyle w:val="af2"/>
      <w:framePr w:wrap="around" w:vAnchor="text" w:hAnchor="margin" w:xAlign="right" w:y="1"/>
      <w:rPr>
        <w:rStyle w:val="af7"/>
      </w:rPr>
    </w:pPr>
    <w:r>
      <w:rPr>
        <w:rStyle w:val="af7"/>
      </w:rPr>
      <w:fldChar w:fldCharType="begin"/>
    </w:r>
    <w:r w:rsidR="00875D3B">
      <w:rPr>
        <w:rStyle w:val="af7"/>
      </w:rPr>
      <w:instrText xml:space="preserve">PAGE  </w:instrText>
    </w:r>
    <w:r>
      <w:rPr>
        <w:rStyle w:val="af7"/>
      </w:rPr>
      <w:fldChar w:fldCharType="separate"/>
    </w:r>
    <w:r w:rsidR="00713422">
      <w:rPr>
        <w:rStyle w:val="af7"/>
        <w:noProof/>
      </w:rPr>
      <w:t>64</w:t>
    </w:r>
    <w:r>
      <w:rPr>
        <w:rStyle w:val="af7"/>
      </w:rPr>
      <w:fldChar w:fldCharType="end"/>
    </w:r>
  </w:p>
  <w:p w:rsidR="00875D3B" w:rsidRDefault="00875D3B" w:rsidP="003F67B2">
    <w:pPr>
      <w:pStyle w:val="af2"/>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D3B" w:rsidRDefault="00875D3B" w:rsidP="0009759B">
      <w:pPr>
        <w:spacing w:after="0" w:line="240" w:lineRule="auto"/>
      </w:pPr>
      <w:r>
        <w:separator/>
      </w:r>
    </w:p>
  </w:footnote>
  <w:footnote w:type="continuationSeparator" w:id="1">
    <w:p w:rsidR="00875D3B" w:rsidRDefault="00875D3B" w:rsidP="0009759B">
      <w:pPr>
        <w:spacing w:after="0" w:line="240" w:lineRule="auto"/>
      </w:pPr>
      <w:r>
        <w:continuationSeparator/>
      </w:r>
    </w:p>
  </w:footnote>
  <w:footnote w:id="2">
    <w:p w:rsidR="00875D3B" w:rsidRPr="00593FEB" w:rsidRDefault="00875D3B" w:rsidP="00593FEB">
      <w:pPr>
        <w:spacing w:after="0" w:line="240" w:lineRule="auto"/>
        <w:jc w:val="both"/>
        <w:rPr>
          <w:rFonts w:ascii="Times New Roman" w:hAnsi="Times New Roman"/>
          <w:sz w:val="26"/>
          <w:szCs w:val="26"/>
        </w:rPr>
      </w:pPr>
      <w:r>
        <w:rPr>
          <w:rStyle w:val="aff"/>
        </w:rPr>
        <w:footnoteRef/>
      </w:r>
      <w:proofErr w:type="gramStart"/>
      <w:r w:rsidRPr="00015EB7">
        <w:rPr>
          <w:rFonts w:ascii="Times New Roman" w:hAnsi="Times New Roman"/>
          <w:sz w:val="18"/>
          <w:szCs w:val="18"/>
        </w:rPr>
        <w:t>к социальной категории населения относятся лица, оформившие в соответствии с законодательством Приднестровской Молдавской Республики право на льготы по оплате за услуги теплоснабжения, а также граждане Приднестровской Молдавской Республики пенсионного возраста (мужчины, достигшие возраста 60 лет, женщины – 55 лет), получающие пенсию в соответствии с законодательством Приднестровской Молдавской Республики, и лица, получающие в соответствии с законодательством Приднестровской Молдавской Республики пенсию по инвалидности</w:t>
      </w:r>
      <w:proofErr w:type="gramEnd"/>
      <w:r w:rsidRPr="00015EB7">
        <w:rPr>
          <w:rFonts w:ascii="Times New Roman" w:hAnsi="Times New Roman"/>
          <w:sz w:val="18"/>
          <w:szCs w:val="18"/>
        </w:rPr>
        <w:t xml:space="preserve">, </w:t>
      </w:r>
      <w:proofErr w:type="gramStart"/>
      <w:r w:rsidRPr="00015EB7">
        <w:rPr>
          <w:rFonts w:ascii="Times New Roman" w:hAnsi="Times New Roman"/>
          <w:sz w:val="18"/>
          <w:szCs w:val="18"/>
        </w:rPr>
        <w:t>включая имеющих постоянную прописку (регистрацию) на территории Российской Федерации или Украины; лица, имеющие официальный статус безработного; лица, получающие ежемесячное пособие по уходу за ребенком до достижения им возраста полутора лет; граждане, работающие в бюджетной сфере Приднестровской Молдавской Республики; дети до 18 лет; лица, которые являются единственным родителем до достижения ребенком 18 лет;</w:t>
      </w:r>
      <w:proofErr w:type="gramEnd"/>
      <w:r w:rsidRPr="00015EB7">
        <w:rPr>
          <w:rFonts w:ascii="Times New Roman" w:hAnsi="Times New Roman"/>
          <w:sz w:val="18"/>
          <w:szCs w:val="18"/>
        </w:rPr>
        <w:t xml:space="preserve"> студенты граждане Приднестровской Молдавской Республики, обучающиеся на дневном отделении организаций профессионального образования, имеющих лицензию и (или) аккредитацию Приднестровской Молдавской Республики.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E61"/>
    <w:multiLevelType w:val="hybridMultilevel"/>
    <w:tmpl w:val="B2F02A5C"/>
    <w:lvl w:ilvl="0" w:tplc="335825B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2B1BF3"/>
    <w:multiLevelType w:val="hybridMultilevel"/>
    <w:tmpl w:val="F3744C5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66F4F"/>
    <w:multiLevelType w:val="hybridMultilevel"/>
    <w:tmpl w:val="CE308408"/>
    <w:lvl w:ilvl="0" w:tplc="0994AFCC">
      <w:start w:val="1"/>
      <w:numFmt w:val="bullet"/>
      <w:lvlText w:val=""/>
      <w:lvlJc w:val="left"/>
      <w:pPr>
        <w:ind w:left="2422"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E2A23E0"/>
    <w:multiLevelType w:val="hybridMultilevel"/>
    <w:tmpl w:val="50D43840"/>
    <w:lvl w:ilvl="0" w:tplc="430C75D6">
      <w:start w:val="1"/>
      <w:numFmt w:val="decimal"/>
      <w:lvlText w:val="%1)"/>
      <w:lvlJc w:val="left"/>
      <w:pPr>
        <w:ind w:left="1350" w:hanging="360"/>
      </w:pPr>
      <w:rPr>
        <w:rFonts w:hint="default"/>
        <w:b w:val="0"/>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
    <w:nsid w:val="1CEB1EE1"/>
    <w:multiLevelType w:val="hybridMultilevel"/>
    <w:tmpl w:val="A5A2C5EC"/>
    <w:lvl w:ilvl="0" w:tplc="0994A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04753F"/>
    <w:multiLevelType w:val="hybridMultilevel"/>
    <w:tmpl w:val="9FAAD1C4"/>
    <w:lvl w:ilvl="0" w:tplc="0C1CCE76">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
    <w:nsid w:val="24FB6EEF"/>
    <w:multiLevelType w:val="hybridMultilevel"/>
    <w:tmpl w:val="A3C8D568"/>
    <w:lvl w:ilvl="0" w:tplc="9B0236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DE02E56"/>
    <w:multiLevelType w:val="hybridMultilevel"/>
    <w:tmpl w:val="734817E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4C63B03"/>
    <w:multiLevelType w:val="hybridMultilevel"/>
    <w:tmpl w:val="663EDC82"/>
    <w:lvl w:ilvl="0" w:tplc="7BA49E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FC037DF"/>
    <w:multiLevelType w:val="hybridMultilevel"/>
    <w:tmpl w:val="80A0131C"/>
    <w:lvl w:ilvl="0" w:tplc="809EB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DC35656"/>
    <w:multiLevelType w:val="hybridMultilevel"/>
    <w:tmpl w:val="C7CEB3D4"/>
    <w:lvl w:ilvl="0" w:tplc="6010C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5772350"/>
    <w:multiLevelType w:val="hybridMultilevel"/>
    <w:tmpl w:val="B93479BC"/>
    <w:lvl w:ilvl="0" w:tplc="0994AFCC">
      <w:start w:val="1"/>
      <w:numFmt w:val="bullet"/>
      <w:lvlText w:val=""/>
      <w:lvlJc w:val="left"/>
      <w:pPr>
        <w:ind w:left="1211" w:hanging="360"/>
      </w:pPr>
      <w:rPr>
        <w:rFonts w:ascii="Symbol" w:hAnsi="Symbol"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3"/>
  </w:num>
  <w:num w:numId="2">
    <w:abstractNumId w:val="6"/>
  </w:num>
  <w:num w:numId="3">
    <w:abstractNumId w:val="0"/>
  </w:num>
  <w:num w:numId="4">
    <w:abstractNumId w:val="11"/>
  </w:num>
  <w:num w:numId="5">
    <w:abstractNumId w:val="7"/>
  </w:num>
  <w:num w:numId="6">
    <w:abstractNumId w:val="10"/>
  </w:num>
  <w:num w:numId="7">
    <w:abstractNumId w:val="3"/>
  </w:num>
  <w:num w:numId="8">
    <w:abstractNumId w:val="1"/>
  </w:num>
  <w:num w:numId="9">
    <w:abstractNumId w:val="4"/>
  </w:num>
  <w:num w:numId="10">
    <w:abstractNumId w:val="5"/>
  </w:num>
  <w:num w:numId="11">
    <w:abstractNumId w:val="8"/>
  </w:num>
  <w:num w:numId="12">
    <w:abstractNumId w:val="12"/>
  </w:num>
  <w:num w:numId="13">
    <w:abstractNumId w:val="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335844"/>
    <w:rsid w:val="00003EF6"/>
    <w:rsid w:val="00005D3C"/>
    <w:rsid w:val="00030BFD"/>
    <w:rsid w:val="00034BEF"/>
    <w:rsid w:val="000436F6"/>
    <w:rsid w:val="00047DAA"/>
    <w:rsid w:val="00057CA6"/>
    <w:rsid w:val="00067B57"/>
    <w:rsid w:val="00071E07"/>
    <w:rsid w:val="0007541F"/>
    <w:rsid w:val="000806BE"/>
    <w:rsid w:val="00085DBD"/>
    <w:rsid w:val="00090A9B"/>
    <w:rsid w:val="00091304"/>
    <w:rsid w:val="0009396E"/>
    <w:rsid w:val="000943F5"/>
    <w:rsid w:val="0009759B"/>
    <w:rsid w:val="000A1502"/>
    <w:rsid w:val="000A3FF8"/>
    <w:rsid w:val="000D4F46"/>
    <w:rsid w:val="000D5F36"/>
    <w:rsid w:val="000D61DA"/>
    <w:rsid w:val="000F48CB"/>
    <w:rsid w:val="000F5DEE"/>
    <w:rsid w:val="000F6312"/>
    <w:rsid w:val="0010352C"/>
    <w:rsid w:val="0012122B"/>
    <w:rsid w:val="00126DD0"/>
    <w:rsid w:val="00132C09"/>
    <w:rsid w:val="001354B7"/>
    <w:rsid w:val="00143836"/>
    <w:rsid w:val="00146BB8"/>
    <w:rsid w:val="00174F6B"/>
    <w:rsid w:val="00196C8F"/>
    <w:rsid w:val="001B363E"/>
    <w:rsid w:val="001F3D44"/>
    <w:rsid w:val="002153BA"/>
    <w:rsid w:val="002220CA"/>
    <w:rsid w:val="002230CC"/>
    <w:rsid w:val="002361A2"/>
    <w:rsid w:val="0025232B"/>
    <w:rsid w:val="002524A9"/>
    <w:rsid w:val="002610C6"/>
    <w:rsid w:val="00261469"/>
    <w:rsid w:val="002619F6"/>
    <w:rsid w:val="00265613"/>
    <w:rsid w:val="00281CC6"/>
    <w:rsid w:val="00282C86"/>
    <w:rsid w:val="00285C9F"/>
    <w:rsid w:val="002A1E26"/>
    <w:rsid w:val="002B1C01"/>
    <w:rsid w:val="002B7296"/>
    <w:rsid w:val="002D2B89"/>
    <w:rsid w:val="002F572E"/>
    <w:rsid w:val="003028B7"/>
    <w:rsid w:val="0032086A"/>
    <w:rsid w:val="00335844"/>
    <w:rsid w:val="00340923"/>
    <w:rsid w:val="0035600F"/>
    <w:rsid w:val="003613E3"/>
    <w:rsid w:val="00364F8A"/>
    <w:rsid w:val="003733BF"/>
    <w:rsid w:val="00374268"/>
    <w:rsid w:val="00374673"/>
    <w:rsid w:val="00387D3D"/>
    <w:rsid w:val="003910AF"/>
    <w:rsid w:val="003A6DA1"/>
    <w:rsid w:val="003D29EE"/>
    <w:rsid w:val="003D7204"/>
    <w:rsid w:val="003F227B"/>
    <w:rsid w:val="003F5257"/>
    <w:rsid w:val="003F67B2"/>
    <w:rsid w:val="00400095"/>
    <w:rsid w:val="00406BFA"/>
    <w:rsid w:val="004124AD"/>
    <w:rsid w:val="00414A33"/>
    <w:rsid w:val="00415F99"/>
    <w:rsid w:val="0041685A"/>
    <w:rsid w:val="00437C5E"/>
    <w:rsid w:val="0044462C"/>
    <w:rsid w:val="00445605"/>
    <w:rsid w:val="00460A09"/>
    <w:rsid w:val="004642A8"/>
    <w:rsid w:val="00475A52"/>
    <w:rsid w:val="004839A0"/>
    <w:rsid w:val="004905EE"/>
    <w:rsid w:val="0049074B"/>
    <w:rsid w:val="00494A9C"/>
    <w:rsid w:val="0049581A"/>
    <w:rsid w:val="00495861"/>
    <w:rsid w:val="004A339A"/>
    <w:rsid w:val="004A34E5"/>
    <w:rsid w:val="004B6788"/>
    <w:rsid w:val="004B6D4D"/>
    <w:rsid w:val="004C5F3F"/>
    <w:rsid w:val="004D0A90"/>
    <w:rsid w:val="004D494D"/>
    <w:rsid w:val="005018DA"/>
    <w:rsid w:val="00504B0B"/>
    <w:rsid w:val="005074C0"/>
    <w:rsid w:val="00513069"/>
    <w:rsid w:val="005212CB"/>
    <w:rsid w:val="00546808"/>
    <w:rsid w:val="00557D3D"/>
    <w:rsid w:val="00572688"/>
    <w:rsid w:val="00573765"/>
    <w:rsid w:val="00590F6F"/>
    <w:rsid w:val="00592679"/>
    <w:rsid w:val="00593FEB"/>
    <w:rsid w:val="005A6FFC"/>
    <w:rsid w:val="005B1766"/>
    <w:rsid w:val="005B2F7C"/>
    <w:rsid w:val="005B5A6A"/>
    <w:rsid w:val="005B7810"/>
    <w:rsid w:val="005C0F1D"/>
    <w:rsid w:val="005C20B9"/>
    <w:rsid w:val="005C2655"/>
    <w:rsid w:val="005D227B"/>
    <w:rsid w:val="005F1F0E"/>
    <w:rsid w:val="005F519F"/>
    <w:rsid w:val="005F7704"/>
    <w:rsid w:val="0063092C"/>
    <w:rsid w:val="00634772"/>
    <w:rsid w:val="006356FA"/>
    <w:rsid w:val="00641EB5"/>
    <w:rsid w:val="00652529"/>
    <w:rsid w:val="006645AD"/>
    <w:rsid w:val="00667003"/>
    <w:rsid w:val="006808A1"/>
    <w:rsid w:val="00682EED"/>
    <w:rsid w:val="00690DBF"/>
    <w:rsid w:val="006A29F1"/>
    <w:rsid w:val="006A3EF7"/>
    <w:rsid w:val="006B78FA"/>
    <w:rsid w:val="006C3634"/>
    <w:rsid w:val="006C5665"/>
    <w:rsid w:val="006D01C7"/>
    <w:rsid w:val="006D1DEF"/>
    <w:rsid w:val="006D561B"/>
    <w:rsid w:val="006D627A"/>
    <w:rsid w:val="006D713A"/>
    <w:rsid w:val="006E2BBC"/>
    <w:rsid w:val="006F4E1E"/>
    <w:rsid w:val="006F6442"/>
    <w:rsid w:val="00702326"/>
    <w:rsid w:val="00703FA6"/>
    <w:rsid w:val="0070610E"/>
    <w:rsid w:val="00713422"/>
    <w:rsid w:val="00716471"/>
    <w:rsid w:val="00722024"/>
    <w:rsid w:val="0072732C"/>
    <w:rsid w:val="007316BD"/>
    <w:rsid w:val="0073305E"/>
    <w:rsid w:val="00747D66"/>
    <w:rsid w:val="007626AB"/>
    <w:rsid w:val="007745D9"/>
    <w:rsid w:val="00787577"/>
    <w:rsid w:val="00793E36"/>
    <w:rsid w:val="007A2EE2"/>
    <w:rsid w:val="007A78C2"/>
    <w:rsid w:val="007B14B0"/>
    <w:rsid w:val="007D50AD"/>
    <w:rsid w:val="007E3799"/>
    <w:rsid w:val="007F5E2C"/>
    <w:rsid w:val="008022A1"/>
    <w:rsid w:val="00804C13"/>
    <w:rsid w:val="00805A58"/>
    <w:rsid w:val="0080737A"/>
    <w:rsid w:val="00825344"/>
    <w:rsid w:val="00825523"/>
    <w:rsid w:val="00830EBC"/>
    <w:rsid w:val="00832D29"/>
    <w:rsid w:val="00834CD9"/>
    <w:rsid w:val="008423D7"/>
    <w:rsid w:val="00851087"/>
    <w:rsid w:val="00860F21"/>
    <w:rsid w:val="008623ED"/>
    <w:rsid w:val="00862B36"/>
    <w:rsid w:val="00863F3C"/>
    <w:rsid w:val="00864AD0"/>
    <w:rsid w:val="00872ACE"/>
    <w:rsid w:val="00875D3B"/>
    <w:rsid w:val="00885F05"/>
    <w:rsid w:val="008B4A6C"/>
    <w:rsid w:val="008B5D6A"/>
    <w:rsid w:val="008B5F4B"/>
    <w:rsid w:val="008B783B"/>
    <w:rsid w:val="008C68B8"/>
    <w:rsid w:val="008C68CD"/>
    <w:rsid w:val="008C7AFF"/>
    <w:rsid w:val="008D41F7"/>
    <w:rsid w:val="008D7EE7"/>
    <w:rsid w:val="008E524B"/>
    <w:rsid w:val="008F70F5"/>
    <w:rsid w:val="00901829"/>
    <w:rsid w:val="00905FE6"/>
    <w:rsid w:val="00932EF0"/>
    <w:rsid w:val="00937826"/>
    <w:rsid w:val="00940B2E"/>
    <w:rsid w:val="00950524"/>
    <w:rsid w:val="009717AC"/>
    <w:rsid w:val="0097216C"/>
    <w:rsid w:val="009832EC"/>
    <w:rsid w:val="009843C8"/>
    <w:rsid w:val="0098695D"/>
    <w:rsid w:val="0099377B"/>
    <w:rsid w:val="009A2013"/>
    <w:rsid w:val="009A4AB2"/>
    <w:rsid w:val="009A50F2"/>
    <w:rsid w:val="009B748A"/>
    <w:rsid w:val="009C762B"/>
    <w:rsid w:val="009E1383"/>
    <w:rsid w:val="009E24F5"/>
    <w:rsid w:val="009E463D"/>
    <w:rsid w:val="00A06803"/>
    <w:rsid w:val="00A218CA"/>
    <w:rsid w:val="00A22BDD"/>
    <w:rsid w:val="00A23F62"/>
    <w:rsid w:val="00A278C2"/>
    <w:rsid w:val="00A471FD"/>
    <w:rsid w:val="00A57742"/>
    <w:rsid w:val="00A61992"/>
    <w:rsid w:val="00A6315E"/>
    <w:rsid w:val="00A75860"/>
    <w:rsid w:val="00A82107"/>
    <w:rsid w:val="00A85EB3"/>
    <w:rsid w:val="00A923D4"/>
    <w:rsid w:val="00A9779C"/>
    <w:rsid w:val="00AC7A0B"/>
    <w:rsid w:val="00AD364E"/>
    <w:rsid w:val="00AD50BA"/>
    <w:rsid w:val="00AF2A6E"/>
    <w:rsid w:val="00AF42F2"/>
    <w:rsid w:val="00B0566B"/>
    <w:rsid w:val="00B202D2"/>
    <w:rsid w:val="00B2311D"/>
    <w:rsid w:val="00B24C6D"/>
    <w:rsid w:val="00B3408A"/>
    <w:rsid w:val="00B34F82"/>
    <w:rsid w:val="00B5001E"/>
    <w:rsid w:val="00B531A1"/>
    <w:rsid w:val="00B54282"/>
    <w:rsid w:val="00B638E6"/>
    <w:rsid w:val="00B666AE"/>
    <w:rsid w:val="00B82901"/>
    <w:rsid w:val="00B830EB"/>
    <w:rsid w:val="00B9157B"/>
    <w:rsid w:val="00B953F1"/>
    <w:rsid w:val="00B96ECC"/>
    <w:rsid w:val="00BA4E82"/>
    <w:rsid w:val="00BB3679"/>
    <w:rsid w:val="00BB4B8A"/>
    <w:rsid w:val="00BB569E"/>
    <w:rsid w:val="00BC044C"/>
    <w:rsid w:val="00BC7E62"/>
    <w:rsid w:val="00BE10AA"/>
    <w:rsid w:val="00BE10EB"/>
    <w:rsid w:val="00BE3886"/>
    <w:rsid w:val="00C06CDF"/>
    <w:rsid w:val="00C27E68"/>
    <w:rsid w:val="00C34F7A"/>
    <w:rsid w:val="00C40A42"/>
    <w:rsid w:val="00C412CD"/>
    <w:rsid w:val="00C61F2E"/>
    <w:rsid w:val="00C64367"/>
    <w:rsid w:val="00C70D03"/>
    <w:rsid w:val="00C8410D"/>
    <w:rsid w:val="00C84F2A"/>
    <w:rsid w:val="00C85BAC"/>
    <w:rsid w:val="00C92DA9"/>
    <w:rsid w:val="00C94C0B"/>
    <w:rsid w:val="00CA1A34"/>
    <w:rsid w:val="00CB3639"/>
    <w:rsid w:val="00CB4025"/>
    <w:rsid w:val="00CC2D9B"/>
    <w:rsid w:val="00CD1894"/>
    <w:rsid w:val="00CD1B97"/>
    <w:rsid w:val="00CE11FA"/>
    <w:rsid w:val="00CE1DEA"/>
    <w:rsid w:val="00CE326F"/>
    <w:rsid w:val="00CF6691"/>
    <w:rsid w:val="00D16741"/>
    <w:rsid w:val="00D212FF"/>
    <w:rsid w:val="00D25279"/>
    <w:rsid w:val="00D316FB"/>
    <w:rsid w:val="00D32012"/>
    <w:rsid w:val="00D3205E"/>
    <w:rsid w:val="00D34FAD"/>
    <w:rsid w:val="00D54854"/>
    <w:rsid w:val="00D57ABD"/>
    <w:rsid w:val="00D63A11"/>
    <w:rsid w:val="00D63C57"/>
    <w:rsid w:val="00D73ED0"/>
    <w:rsid w:val="00D75287"/>
    <w:rsid w:val="00D80FCA"/>
    <w:rsid w:val="00DA3514"/>
    <w:rsid w:val="00DA5448"/>
    <w:rsid w:val="00DB2613"/>
    <w:rsid w:val="00DC6DB7"/>
    <w:rsid w:val="00DC788F"/>
    <w:rsid w:val="00DD0B3F"/>
    <w:rsid w:val="00DE06AD"/>
    <w:rsid w:val="00DE0C53"/>
    <w:rsid w:val="00E20379"/>
    <w:rsid w:val="00E22893"/>
    <w:rsid w:val="00E24F70"/>
    <w:rsid w:val="00E25E74"/>
    <w:rsid w:val="00E26FAD"/>
    <w:rsid w:val="00E27A44"/>
    <w:rsid w:val="00E32AAA"/>
    <w:rsid w:val="00E57013"/>
    <w:rsid w:val="00E66F58"/>
    <w:rsid w:val="00E7353B"/>
    <w:rsid w:val="00E81427"/>
    <w:rsid w:val="00E96746"/>
    <w:rsid w:val="00E96CDC"/>
    <w:rsid w:val="00EA4BE3"/>
    <w:rsid w:val="00EF1960"/>
    <w:rsid w:val="00EF7D3C"/>
    <w:rsid w:val="00F0250D"/>
    <w:rsid w:val="00F05AE5"/>
    <w:rsid w:val="00F167DC"/>
    <w:rsid w:val="00F1795B"/>
    <w:rsid w:val="00F34FEB"/>
    <w:rsid w:val="00F425EE"/>
    <w:rsid w:val="00F45CC9"/>
    <w:rsid w:val="00F52DF4"/>
    <w:rsid w:val="00F600B6"/>
    <w:rsid w:val="00F83CB3"/>
    <w:rsid w:val="00F9060E"/>
    <w:rsid w:val="00FA59F9"/>
    <w:rsid w:val="00FB5017"/>
    <w:rsid w:val="00FC3D67"/>
    <w:rsid w:val="00FD446C"/>
    <w:rsid w:val="00FE5049"/>
    <w:rsid w:val="00FF33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844"/>
    <w:rPr>
      <w:rFonts w:ascii="Calibri" w:eastAsia="Times New Roman" w:hAnsi="Calibri" w:cs="Times New Roman"/>
      <w:lang w:eastAsia="ru-RU"/>
    </w:rPr>
  </w:style>
  <w:style w:type="paragraph" w:styleId="1">
    <w:name w:val="heading 1"/>
    <w:basedOn w:val="a"/>
    <w:next w:val="a"/>
    <w:link w:val="10"/>
    <w:uiPriority w:val="99"/>
    <w:qFormat/>
    <w:rsid w:val="00335844"/>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33584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335844"/>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5844"/>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335844"/>
    <w:rPr>
      <w:rFonts w:ascii="Cambria" w:eastAsia="Times New Roman" w:hAnsi="Cambria" w:cs="Times New Roman"/>
      <w:b/>
      <w:bCs/>
      <w:color w:val="4F81BD"/>
    </w:rPr>
  </w:style>
  <w:style w:type="character" w:customStyle="1" w:styleId="40">
    <w:name w:val="Заголовок 4 Знак"/>
    <w:basedOn w:val="a0"/>
    <w:link w:val="4"/>
    <w:uiPriority w:val="99"/>
    <w:rsid w:val="00335844"/>
    <w:rPr>
      <w:rFonts w:ascii="Times New Roman" w:eastAsia="Times New Roman" w:hAnsi="Times New Roman" w:cs="Times New Roman"/>
      <w:b/>
      <w:bCs/>
      <w:sz w:val="28"/>
      <w:szCs w:val="28"/>
    </w:rPr>
  </w:style>
  <w:style w:type="character" w:styleId="a3">
    <w:name w:val="Hyperlink"/>
    <w:uiPriority w:val="99"/>
    <w:rsid w:val="00335844"/>
    <w:rPr>
      <w:rFonts w:cs="Times New Roman"/>
      <w:color w:val="0000FF"/>
      <w:u w:val="single"/>
    </w:rPr>
  </w:style>
  <w:style w:type="paragraph" w:styleId="a4">
    <w:name w:val="No Spacing"/>
    <w:link w:val="a5"/>
    <w:uiPriority w:val="99"/>
    <w:qFormat/>
    <w:rsid w:val="00335844"/>
    <w:pPr>
      <w:spacing w:after="0" w:line="240" w:lineRule="auto"/>
      <w:ind w:firstLine="709"/>
      <w:jc w:val="both"/>
    </w:pPr>
    <w:rPr>
      <w:rFonts w:ascii="Times New Roman" w:eastAsia="Times New Roman" w:hAnsi="Times New Roman" w:cs="Times New Roman"/>
      <w:sz w:val="24"/>
      <w:lang w:eastAsia="ru-RU"/>
    </w:rPr>
  </w:style>
  <w:style w:type="character" w:customStyle="1" w:styleId="a5">
    <w:name w:val="Без интервала Знак"/>
    <w:link w:val="a4"/>
    <w:uiPriority w:val="99"/>
    <w:locked/>
    <w:rsid w:val="00335844"/>
    <w:rPr>
      <w:rFonts w:ascii="Times New Roman" w:eastAsia="Times New Roman" w:hAnsi="Times New Roman" w:cs="Times New Roman"/>
      <w:sz w:val="24"/>
      <w:lang w:eastAsia="ru-RU"/>
    </w:rPr>
  </w:style>
  <w:style w:type="paragraph" w:styleId="a6">
    <w:name w:val="List Paragraph"/>
    <w:basedOn w:val="a"/>
    <w:uiPriority w:val="34"/>
    <w:qFormat/>
    <w:rsid w:val="00335844"/>
    <w:pPr>
      <w:ind w:left="720"/>
      <w:contextualSpacing/>
    </w:pPr>
  </w:style>
  <w:style w:type="paragraph" w:styleId="a7">
    <w:name w:val="Balloon Text"/>
    <w:basedOn w:val="a"/>
    <w:link w:val="a8"/>
    <w:uiPriority w:val="99"/>
    <w:semiHidden/>
    <w:rsid w:val="00335844"/>
    <w:pPr>
      <w:spacing w:after="0" w:line="240" w:lineRule="auto"/>
    </w:pPr>
    <w:rPr>
      <w:rFonts w:ascii="Tahoma" w:hAnsi="Tahoma"/>
      <w:sz w:val="16"/>
      <w:szCs w:val="16"/>
    </w:rPr>
  </w:style>
  <w:style w:type="character" w:customStyle="1" w:styleId="a8">
    <w:name w:val="Текст выноски Знак"/>
    <w:basedOn w:val="a0"/>
    <w:link w:val="a7"/>
    <w:uiPriority w:val="99"/>
    <w:semiHidden/>
    <w:rsid w:val="00335844"/>
    <w:rPr>
      <w:rFonts w:ascii="Tahoma" w:eastAsia="Times New Roman" w:hAnsi="Tahoma" w:cs="Times New Roman"/>
      <w:sz w:val="16"/>
      <w:szCs w:val="16"/>
    </w:rPr>
  </w:style>
  <w:style w:type="paragraph" w:customStyle="1" w:styleId="2">
    <w:name w:val="сновной текст с отступом 2"/>
    <w:basedOn w:val="a"/>
    <w:rsid w:val="00335844"/>
    <w:pPr>
      <w:widowControl w:val="0"/>
      <w:spacing w:after="0" w:line="240" w:lineRule="auto"/>
      <w:ind w:firstLine="720"/>
      <w:jc w:val="both"/>
    </w:pPr>
    <w:rPr>
      <w:rFonts w:ascii="Times New Roman" w:hAnsi="Times New Roman"/>
      <w:sz w:val="26"/>
      <w:szCs w:val="20"/>
    </w:rPr>
  </w:style>
  <w:style w:type="paragraph" w:styleId="20">
    <w:name w:val="Body Text Indent 2"/>
    <w:basedOn w:val="a"/>
    <w:link w:val="21"/>
    <w:uiPriority w:val="99"/>
    <w:semiHidden/>
    <w:rsid w:val="00335844"/>
    <w:pPr>
      <w:spacing w:after="120" w:line="480" w:lineRule="auto"/>
      <w:ind w:left="283"/>
    </w:pPr>
  </w:style>
  <w:style w:type="character" w:customStyle="1" w:styleId="21">
    <w:name w:val="Основной текст с отступом 2 Знак"/>
    <w:basedOn w:val="a0"/>
    <w:link w:val="20"/>
    <w:uiPriority w:val="99"/>
    <w:semiHidden/>
    <w:rsid w:val="00335844"/>
    <w:rPr>
      <w:rFonts w:ascii="Calibri" w:eastAsia="Times New Roman" w:hAnsi="Calibri" w:cs="Times New Roman"/>
    </w:rPr>
  </w:style>
  <w:style w:type="paragraph" w:styleId="31">
    <w:name w:val="Body Text Indent 3"/>
    <w:basedOn w:val="a"/>
    <w:link w:val="32"/>
    <w:uiPriority w:val="99"/>
    <w:semiHidden/>
    <w:rsid w:val="00335844"/>
    <w:pPr>
      <w:spacing w:after="120"/>
      <w:ind w:left="283"/>
    </w:pPr>
    <w:rPr>
      <w:sz w:val="16"/>
      <w:szCs w:val="16"/>
    </w:rPr>
  </w:style>
  <w:style w:type="character" w:customStyle="1" w:styleId="32">
    <w:name w:val="Основной текст с отступом 3 Знак"/>
    <w:basedOn w:val="a0"/>
    <w:link w:val="31"/>
    <w:uiPriority w:val="99"/>
    <w:semiHidden/>
    <w:rsid w:val="00335844"/>
    <w:rPr>
      <w:rFonts w:ascii="Calibri" w:eastAsia="Times New Roman" w:hAnsi="Calibri" w:cs="Times New Roman"/>
      <w:sz w:val="16"/>
      <w:szCs w:val="16"/>
    </w:rPr>
  </w:style>
  <w:style w:type="character" w:customStyle="1" w:styleId="FontStyle186">
    <w:name w:val="Font Style186"/>
    <w:uiPriority w:val="99"/>
    <w:rsid w:val="00335844"/>
    <w:rPr>
      <w:rFonts w:ascii="Sylfaen" w:hAnsi="Sylfaen" w:cs="Sylfaen"/>
      <w:i/>
      <w:iCs/>
      <w:spacing w:val="-10"/>
      <w:sz w:val="22"/>
      <w:szCs w:val="22"/>
    </w:rPr>
  </w:style>
  <w:style w:type="character" w:customStyle="1" w:styleId="FontStyle183">
    <w:name w:val="Font Style183"/>
    <w:rsid w:val="00335844"/>
    <w:rPr>
      <w:rFonts w:ascii="Sylfaen" w:hAnsi="Sylfaen" w:cs="Sylfaen"/>
      <w:sz w:val="20"/>
      <w:szCs w:val="20"/>
    </w:rPr>
  </w:style>
  <w:style w:type="paragraph" w:customStyle="1" w:styleId="Style26">
    <w:name w:val="Style26"/>
    <w:basedOn w:val="a"/>
    <w:rsid w:val="00335844"/>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rsid w:val="00335844"/>
    <w:pPr>
      <w:spacing w:after="0" w:line="240" w:lineRule="auto"/>
    </w:pPr>
    <w:rPr>
      <w:rFonts w:ascii="Calibri" w:eastAsia="Times New Roman" w:hAnsi="Calibri" w:cs="Times New Roman"/>
      <w:lang w:eastAsia="ru-RU"/>
    </w:rPr>
  </w:style>
  <w:style w:type="paragraph" w:styleId="22">
    <w:name w:val="Body Text 2"/>
    <w:basedOn w:val="a"/>
    <w:link w:val="23"/>
    <w:rsid w:val="00335844"/>
    <w:pPr>
      <w:spacing w:after="120" w:line="480" w:lineRule="auto"/>
    </w:pPr>
  </w:style>
  <w:style w:type="character" w:customStyle="1" w:styleId="23">
    <w:name w:val="Основной текст 2 Знак"/>
    <w:basedOn w:val="a0"/>
    <w:link w:val="22"/>
    <w:rsid w:val="00335844"/>
    <w:rPr>
      <w:rFonts w:ascii="Calibri" w:eastAsia="Times New Roman" w:hAnsi="Calibri" w:cs="Times New Roman"/>
    </w:rPr>
  </w:style>
  <w:style w:type="paragraph" w:styleId="a9">
    <w:name w:val="caption"/>
    <w:basedOn w:val="a"/>
    <w:next w:val="a"/>
    <w:uiPriority w:val="35"/>
    <w:qFormat/>
    <w:rsid w:val="00335844"/>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Знак,Текст Знак Знак"/>
    <w:basedOn w:val="a"/>
    <w:link w:val="33"/>
    <w:rsid w:val="00335844"/>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link w:val="aa"/>
    <w:locked/>
    <w:rsid w:val="00335844"/>
    <w:rPr>
      <w:rFonts w:ascii="Courier New" w:eastAsia="Times New Roman" w:hAnsi="Courier New" w:cs="Times New Roman"/>
      <w:sz w:val="20"/>
      <w:szCs w:val="20"/>
    </w:rPr>
  </w:style>
  <w:style w:type="character" w:customStyle="1" w:styleId="ab">
    <w:name w:val="Текст Знак"/>
    <w:basedOn w:val="a0"/>
    <w:rsid w:val="00335844"/>
    <w:rPr>
      <w:rFonts w:ascii="Consolas" w:eastAsia="Times New Roman" w:hAnsi="Consolas" w:cs="Times New Roman"/>
      <w:sz w:val="21"/>
      <w:szCs w:val="21"/>
      <w:lang w:eastAsia="ru-RU"/>
    </w:rPr>
  </w:style>
  <w:style w:type="character" w:customStyle="1" w:styleId="ac">
    <w:name w:val="Основной текст Знак"/>
    <w:aliases w:val="Знак3 Знак"/>
    <w:link w:val="ad"/>
    <w:locked/>
    <w:rsid w:val="00335844"/>
    <w:rPr>
      <w:rFonts w:cs="Times New Roman"/>
    </w:rPr>
  </w:style>
  <w:style w:type="paragraph" w:styleId="ad">
    <w:name w:val="Body Text"/>
    <w:aliases w:val="Знак3"/>
    <w:basedOn w:val="a"/>
    <w:link w:val="ac"/>
    <w:rsid w:val="00335844"/>
    <w:pPr>
      <w:spacing w:after="120" w:line="240" w:lineRule="auto"/>
    </w:pPr>
    <w:rPr>
      <w:rFonts w:asciiTheme="minorHAnsi" w:eastAsiaTheme="minorHAnsi" w:hAnsiTheme="minorHAnsi"/>
      <w:lang w:eastAsia="en-US"/>
    </w:rPr>
  </w:style>
  <w:style w:type="character" w:customStyle="1" w:styleId="12">
    <w:name w:val="Основной текст Знак1"/>
    <w:basedOn w:val="a0"/>
    <w:uiPriority w:val="99"/>
    <w:semiHidden/>
    <w:rsid w:val="00335844"/>
    <w:rPr>
      <w:rFonts w:ascii="Calibri" w:eastAsia="Times New Roman" w:hAnsi="Calibri" w:cs="Times New Roman"/>
      <w:lang w:eastAsia="ru-RU"/>
    </w:rPr>
  </w:style>
  <w:style w:type="character" w:customStyle="1" w:styleId="BodyTextChar1">
    <w:name w:val="Body Text Char1"/>
    <w:aliases w:val="Знак3 Char1"/>
    <w:uiPriority w:val="99"/>
    <w:semiHidden/>
    <w:rsid w:val="00335844"/>
    <w:rPr>
      <w:rFonts w:ascii="Calibri" w:hAnsi="Calibri"/>
    </w:rPr>
  </w:style>
  <w:style w:type="paragraph" w:customStyle="1" w:styleId="13">
    <w:name w:val="Обычный (веб)1"/>
    <w:basedOn w:val="a"/>
    <w:rsid w:val="00335844"/>
    <w:pPr>
      <w:spacing w:after="0" w:line="240" w:lineRule="auto"/>
    </w:pPr>
    <w:rPr>
      <w:rFonts w:ascii="Arial" w:hAnsi="Arial" w:cs="Arial"/>
      <w:sz w:val="24"/>
      <w:szCs w:val="24"/>
    </w:rPr>
  </w:style>
  <w:style w:type="paragraph" w:customStyle="1" w:styleId="ae">
    <w:name w:val="Нормальный"/>
    <w:basedOn w:val="a"/>
    <w:rsid w:val="00335844"/>
    <w:pPr>
      <w:spacing w:after="0" w:line="240" w:lineRule="auto"/>
      <w:jc w:val="both"/>
    </w:pPr>
    <w:rPr>
      <w:rFonts w:ascii="Times New Roman" w:hAnsi="Times New Roman"/>
      <w:sz w:val="28"/>
      <w:szCs w:val="20"/>
    </w:rPr>
  </w:style>
  <w:style w:type="character" w:customStyle="1" w:styleId="af">
    <w:name w:val="Основной текст_"/>
    <w:rsid w:val="00335844"/>
    <w:rPr>
      <w:rFonts w:ascii="Times New Roman" w:hAnsi="Times New Roman" w:cs="Times New Roman"/>
      <w:sz w:val="27"/>
      <w:szCs w:val="27"/>
      <w:u w:val="none"/>
    </w:rPr>
  </w:style>
  <w:style w:type="paragraph" w:styleId="af0">
    <w:name w:val="Normal (Web)"/>
    <w:aliases w:val="Обычный (веб) Знак1,Обычный (веб) Знак Знак,Знак Знак3,Знак4,Знак4 Знак Знак,Знак4 Знак,Обычный (Web)1,Обычный (веб) Знак Знак1,Знак Знак1 Знак,Обычный (веб) Знак Знак Знак,Знак Знак1 Знак Знак"/>
    <w:basedOn w:val="a"/>
    <w:link w:val="af1"/>
    <w:uiPriority w:val="99"/>
    <w:rsid w:val="00335844"/>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Обычный (веб) Знак1 Знак1,Обычный (веб) Знак Знак Знак2,Знак Знак3 Знак1,Знак4 Знак2,Знак4 Знак Знак Знак1,Знак4 Знак Знак2,Обычный (Web)1 Знак1,Обычный (веб) Знак Знак1 Знак1,Знак Знак1 Знак Знак1,Обычный (веб) Знак Знак Знак Знак"/>
    <w:link w:val="af0"/>
    <w:rsid w:val="00335844"/>
    <w:rPr>
      <w:rFonts w:ascii="Times New Roman" w:eastAsia="Times New Roman" w:hAnsi="Times New Roman" w:cs="Times New Roman"/>
      <w:sz w:val="24"/>
      <w:szCs w:val="24"/>
    </w:rPr>
  </w:style>
  <w:style w:type="paragraph" w:styleId="af2">
    <w:name w:val="footer"/>
    <w:basedOn w:val="a"/>
    <w:link w:val="af3"/>
    <w:rsid w:val="00335844"/>
    <w:pPr>
      <w:tabs>
        <w:tab w:val="center" w:pos="4153"/>
        <w:tab w:val="right" w:pos="8306"/>
      </w:tabs>
      <w:spacing w:after="0" w:line="240" w:lineRule="auto"/>
    </w:pPr>
    <w:rPr>
      <w:rFonts w:ascii="Times New Roman" w:hAnsi="Times New Roman"/>
      <w:sz w:val="20"/>
      <w:szCs w:val="20"/>
    </w:rPr>
  </w:style>
  <w:style w:type="character" w:customStyle="1" w:styleId="af3">
    <w:name w:val="Нижний колонтитул Знак"/>
    <w:basedOn w:val="a0"/>
    <w:link w:val="af2"/>
    <w:rsid w:val="00335844"/>
    <w:rPr>
      <w:rFonts w:ascii="Times New Roman" w:eastAsia="Times New Roman" w:hAnsi="Times New Roman" w:cs="Times New Roman"/>
      <w:sz w:val="20"/>
      <w:szCs w:val="20"/>
    </w:rPr>
  </w:style>
  <w:style w:type="table" w:styleId="af4">
    <w:name w:val="Table Grid"/>
    <w:basedOn w:val="a1"/>
    <w:uiPriority w:val="59"/>
    <w:rsid w:val="0033584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Без интервала2"/>
    <w:rsid w:val="00335844"/>
    <w:pPr>
      <w:spacing w:after="0" w:line="240" w:lineRule="auto"/>
      <w:ind w:firstLine="709"/>
      <w:jc w:val="both"/>
    </w:pPr>
    <w:rPr>
      <w:rFonts w:ascii="Times New Roman" w:eastAsia="Times New Roman" w:hAnsi="Times New Roman" w:cs="Times New Roman"/>
      <w:sz w:val="24"/>
      <w:szCs w:val="24"/>
      <w:lang w:eastAsia="ru-RU"/>
    </w:rPr>
  </w:style>
  <w:style w:type="paragraph" w:styleId="af5">
    <w:name w:val="header"/>
    <w:basedOn w:val="a"/>
    <w:link w:val="af6"/>
    <w:uiPriority w:val="99"/>
    <w:semiHidden/>
    <w:rsid w:val="00335844"/>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335844"/>
    <w:rPr>
      <w:rFonts w:ascii="Calibri" w:eastAsia="Times New Roman" w:hAnsi="Calibri" w:cs="Times New Roman"/>
    </w:rPr>
  </w:style>
  <w:style w:type="character" w:styleId="af7">
    <w:name w:val="page number"/>
    <w:uiPriority w:val="99"/>
    <w:rsid w:val="00335844"/>
    <w:rPr>
      <w:rFonts w:cs="Times New Roman"/>
    </w:rPr>
  </w:style>
  <w:style w:type="paragraph" w:styleId="af8">
    <w:name w:val="Body Text Indent"/>
    <w:basedOn w:val="a"/>
    <w:link w:val="af9"/>
    <w:uiPriority w:val="99"/>
    <w:unhideWhenUsed/>
    <w:rsid w:val="00335844"/>
    <w:pPr>
      <w:spacing w:after="120"/>
      <w:ind w:left="283"/>
    </w:pPr>
    <w:rPr>
      <w:rFonts w:eastAsia="Calibri"/>
    </w:rPr>
  </w:style>
  <w:style w:type="character" w:customStyle="1" w:styleId="af9">
    <w:name w:val="Основной текст с отступом Знак"/>
    <w:basedOn w:val="a0"/>
    <w:link w:val="af8"/>
    <w:uiPriority w:val="99"/>
    <w:rsid w:val="00335844"/>
    <w:rPr>
      <w:rFonts w:ascii="Calibri" w:eastAsia="Calibri" w:hAnsi="Calibri" w:cs="Times New Roman"/>
    </w:rPr>
  </w:style>
  <w:style w:type="character" w:customStyle="1" w:styleId="34">
    <w:name w:val="Основной текст (3)_"/>
    <w:link w:val="35"/>
    <w:rsid w:val="00335844"/>
    <w:rPr>
      <w:b/>
      <w:bCs/>
      <w:sz w:val="27"/>
      <w:szCs w:val="27"/>
      <w:shd w:val="clear" w:color="auto" w:fill="FFFFFF"/>
    </w:rPr>
  </w:style>
  <w:style w:type="paragraph" w:customStyle="1" w:styleId="35">
    <w:name w:val="Основной текст (3)"/>
    <w:basedOn w:val="a"/>
    <w:link w:val="34"/>
    <w:rsid w:val="00335844"/>
    <w:pPr>
      <w:widowControl w:val="0"/>
      <w:shd w:val="clear" w:color="auto" w:fill="FFFFFF"/>
      <w:spacing w:after="0" w:line="322" w:lineRule="exact"/>
      <w:ind w:firstLine="580"/>
      <w:jc w:val="both"/>
    </w:pPr>
    <w:rPr>
      <w:rFonts w:asciiTheme="minorHAnsi" w:eastAsiaTheme="minorHAnsi" w:hAnsiTheme="minorHAnsi" w:cstheme="minorBidi"/>
      <w:b/>
      <w:bCs/>
      <w:sz w:val="27"/>
      <w:szCs w:val="27"/>
      <w:lang w:eastAsia="en-US"/>
    </w:rPr>
  </w:style>
  <w:style w:type="character" w:customStyle="1" w:styleId="afa">
    <w:name w:val="Подпись к таблице_"/>
    <w:link w:val="afb"/>
    <w:rsid w:val="00335844"/>
    <w:rPr>
      <w:b/>
      <w:bCs/>
      <w:sz w:val="27"/>
      <w:szCs w:val="27"/>
      <w:shd w:val="clear" w:color="auto" w:fill="FFFFFF"/>
    </w:rPr>
  </w:style>
  <w:style w:type="paragraph" w:customStyle="1" w:styleId="afb">
    <w:name w:val="Подпись к таблице"/>
    <w:basedOn w:val="a"/>
    <w:link w:val="afa"/>
    <w:rsid w:val="00335844"/>
    <w:pPr>
      <w:widowControl w:val="0"/>
      <w:shd w:val="clear" w:color="auto" w:fill="FFFFFF"/>
      <w:spacing w:after="0" w:line="240" w:lineRule="atLeast"/>
    </w:pPr>
    <w:rPr>
      <w:rFonts w:asciiTheme="minorHAnsi" w:eastAsiaTheme="minorHAnsi" w:hAnsiTheme="minorHAnsi" w:cstheme="minorBidi"/>
      <w:b/>
      <w:bCs/>
      <w:sz w:val="27"/>
      <w:szCs w:val="27"/>
      <w:lang w:eastAsia="en-US"/>
    </w:rPr>
  </w:style>
  <w:style w:type="paragraph" w:styleId="afc">
    <w:name w:val="Block Text"/>
    <w:basedOn w:val="a"/>
    <w:rsid w:val="00335844"/>
    <w:pPr>
      <w:widowControl w:val="0"/>
      <w:suppressAutoHyphens/>
      <w:snapToGrid w:val="0"/>
      <w:spacing w:after="0" w:line="240" w:lineRule="auto"/>
      <w:ind w:left="-32" w:right="-92"/>
      <w:jc w:val="center"/>
    </w:pPr>
    <w:rPr>
      <w:rFonts w:ascii="Times New Roman" w:hAnsi="Times New Roman"/>
      <w:b/>
      <w:sz w:val="20"/>
      <w:szCs w:val="20"/>
    </w:rPr>
  </w:style>
  <w:style w:type="table" w:customStyle="1" w:styleId="14">
    <w:name w:val="Сетка таблицы1"/>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Обычный (веб) Знак2"/>
    <w:aliases w:val="Обычный (веб)1 Знак,Обычный (веб) Знак Знак2,Обычный (веб) Знак1 Знак,Обычный (веб) Знак Знак Знак1,Знак Знак3 Знак,Знак4 Знак1,Знак4 Знак Знак Знак,Знак4 Знак Знак1,Обычный (Web)1 Знак,Обычный (веб) Знак Знак1 Знак"/>
    <w:locked/>
    <w:rsid w:val="003F67B2"/>
    <w:rPr>
      <w:rFonts w:ascii="Times New Roman" w:eastAsia="Times New Roman" w:hAnsi="Times New Roman" w:cs="Times New Roman"/>
      <w:sz w:val="24"/>
      <w:szCs w:val="24"/>
    </w:rPr>
  </w:style>
  <w:style w:type="paragraph" w:customStyle="1" w:styleId="37">
    <w:name w:val="Без интервала3"/>
    <w:rsid w:val="00F83CB3"/>
    <w:pPr>
      <w:spacing w:after="0" w:line="240" w:lineRule="auto"/>
    </w:pPr>
    <w:rPr>
      <w:rFonts w:ascii="Calibri" w:eastAsia="Times New Roman" w:hAnsi="Calibri" w:cs="Times New Roman"/>
      <w:lang w:eastAsia="ru-RU"/>
    </w:rPr>
  </w:style>
  <w:style w:type="character" w:customStyle="1" w:styleId="FontStyle32">
    <w:name w:val="Font Style32"/>
    <w:basedOn w:val="a0"/>
    <w:rsid w:val="00A82107"/>
    <w:rPr>
      <w:rFonts w:ascii="Times New Roman" w:hAnsi="Times New Roman" w:cs="Times New Roman"/>
      <w:sz w:val="22"/>
      <w:szCs w:val="22"/>
    </w:rPr>
  </w:style>
  <w:style w:type="paragraph" w:styleId="afd">
    <w:name w:val="footnote text"/>
    <w:basedOn w:val="a"/>
    <w:link w:val="afe"/>
    <w:uiPriority w:val="99"/>
    <w:semiHidden/>
    <w:unhideWhenUsed/>
    <w:rsid w:val="002610C6"/>
    <w:pPr>
      <w:spacing w:after="0" w:line="240" w:lineRule="auto"/>
    </w:pPr>
    <w:rPr>
      <w:sz w:val="20"/>
      <w:szCs w:val="20"/>
    </w:rPr>
  </w:style>
  <w:style w:type="character" w:customStyle="1" w:styleId="afe">
    <w:name w:val="Текст сноски Знак"/>
    <w:basedOn w:val="a0"/>
    <w:link w:val="afd"/>
    <w:uiPriority w:val="99"/>
    <w:semiHidden/>
    <w:rsid w:val="002610C6"/>
    <w:rPr>
      <w:rFonts w:ascii="Calibri" w:eastAsia="Times New Roman" w:hAnsi="Calibri" w:cs="Times New Roman"/>
      <w:sz w:val="20"/>
      <w:szCs w:val="20"/>
      <w:lang w:eastAsia="ru-RU"/>
    </w:rPr>
  </w:style>
  <w:style w:type="character" w:styleId="aff">
    <w:name w:val="footnote reference"/>
    <w:basedOn w:val="a0"/>
    <w:uiPriority w:val="99"/>
    <w:semiHidden/>
    <w:unhideWhenUsed/>
    <w:rsid w:val="002610C6"/>
    <w:rPr>
      <w:vertAlign w:val="superscript"/>
    </w:rPr>
  </w:style>
  <w:style w:type="paragraph" w:customStyle="1" w:styleId="ConsPlusNormal">
    <w:name w:val="ConsPlusNormal"/>
    <w:rsid w:val="003F52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yntaxerr">
    <w:name w:val="syntax_err"/>
    <w:basedOn w:val="a0"/>
    <w:rsid w:val="003F5257"/>
  </w:style>
  <w:style w:type="character" w:customStyle="1" w:styleId="apple-converted-space">
    <w:name w:val="apple-converted-space"/>
    <w:basedOn w:val="a0"/>
    <w:rsid w:val="003F5257"/>
  </w:style>
  <w:style w:type="paragraph" w:customStyle="1" w:styleId="aff0">
    <w:name w:val="Татьяна"/>
    <w:basedOn w:val="ad"/>
    <w:rsid w:val="00CE326F"/>
    <w:pPr>
      <w:spacing w:after="0"/>
      <w:ind w:firstLine="720"/>
      <w:jc w:val="both"/>
    </w:pPr>
    <w:rPr>
      <w:rFonts w:ascii="Times New Roman" w:eastAsia="Times New Roman" w:hAnsi="Times New Roman"/>
      <w:sz w:val="28"/>
      <w:szCs w:val="20"/>
      <w:lang w:eastAsia="ru-RU"/>
    </w:rPr>
  </w:style>
  <w:style w:type="paragraph" w:customStyle="1" w:styleId="justifyfull">
    <w:name w:val="justifyfull"/>
    <w:basedOn w:val="a"/>
    <w:rsid w:val="00CE326F"/>
    <w:pPr>
      <w:spacing w:before="100" w:beforeAutospacing="1" w:after="100" w:afterAutospacing="1" w:line="240" w:lineRule="auto"/>
    </w:pPr>
    <w:rPr>
      <w:rFonts w:ascii="Times New Roman" w:hAnsi="Times New Roman"/>
      <w:sz w:val="24"/>
      <w:szCs w:val="24"/>
    </w:rPr>
  </w:style>
  <w:style w:type="paragraph" w:styleId="aff1">
    <w:name w:val="endnote text"/>
    <w:basedOn w:val="a"/>
    <w:link w:val="aff2"/>
    <w:uiPriority w:val="99"/>
    <w:semiHidden/>
    <w:unhideWhenUsed/>
    <w:rsid w:val="00BB4B8A"/>
    <w:pPr>
      <w:spacing w:after="0" w:line="240" w:lineRule="auto"/>
    </w:pPr>
    <w:rPr>
      <w:sz w:val="20"/>
      <w:szCs w:val="20"/>
    </w:rPr>
  </w:style>
  <w:style w:type="character" w:customStyle="1" w:styleId="aff2">
    <w:name w:val="Текст концевой сноски Знак"/>
    <w:basedOn w:val="a0"/>
    <w:link w:val="aff1"/>
    <w:uiPriority w:val="99"/>
    <w:semiHidden/>
    <w:rsid w:val="00BB4B8A"/>
    <w:rPr>
      <w:rFonts w:ascii="Calibri" w:eastAsia="Times New Roman" w:hAnsi="Calibri" w:cs="Times New Roman"/>
      <w:sz w:val="20"/>
      <w:szCs w:val="20"/>
      <w:lang w:eastAsia="ru-RU"/>
    </w:rPr>
  </w:style>
  <w:style w:type="character" w:styleId="aff3">
    <w:name w:val="endnote reference"/>
    <w:basedOn w:val="a0"/>
    <w:uiPriority w:val="99"/>
    <w:semiHidden/>
    <w:unhideWhenUsed/>
    <w:rsid w:val="00BB4B8A"/>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8" Type="http://schemas.openxmlformats.org/officeDocument/2006/relationships/footer" Target="footer1.xml"/><Relationship Id="rId51" Type="http://schemas.openxmlformats.org/officeDocument/2006/relationships/chart" Target="charts/chart4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themeOverride" Target="../theme/themeOverride18.xml"/><Relationship Id="rId5" Type="http://schemas.openxmlformats.org/officeDocument/2006/relationships/package" Target="../embeddings/_____Microsoft_Office_Excel24.xlsx"/><Relationship Id="rId4" Type="http://schemas.openxmlformats.org/officeDocument/2006/relationships/image" Target="../media/image7.jpeg"/></Relationships>
</file>

<file path=word/charts/_rels/chart2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themeOverride" Target="../theme/themeOverride19.xml"/><Relationship Id="rId5" Type="http://schemas.openxmlformats.org/officeDocument/2006/relationships/package" Target="../embeddings/_____Microsoft_Office_Excel25.xlsx"/><Relationship Id="rId4" Type="http://schemas.openxmlformats.org/officeDocument/2006/relationships/image" Target="../media/image7.jpeg"/></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Office_Excel26.xlsx"/><Relationship Id="rId2" Type="http://schemas.openxmlformats.org/officeDocument/2006/relationships/image" Target="../media/image1.jpeg"/><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Office_Excel27.xlsx"/><Relationship Id="rId2" Type="http://schemas.openxmlformats.org/officeDocument/2006/relationships/image" Target="../media/image1.jpeg"/><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Office_Excel34.xlsx"/><Relationship Id="rId2" Type="http://schemas.openxmlformats.org/officeDocument/2006/relationships/image" Target="../media/image9.jpeg"/><Relationship Id="rId1" Type="http://schemas.openxmlformats.org/officeDocument/2006/relationships/image" Target="../media/image8.jpeg"/></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image" Target="../media/image2.jpeg"/></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jpeg"/><Relationship Id="rId1" Type="http://schemas.openxmlformats.org/officeDocument/2006/relationships/themeOverride" Target="../theme/themeOverride41.xml"/><Relationship Id="rId5" Type="http://schemas.openxmlformats.org/officeDocument/2006/relationships/package" Target="../embeddings/_____Microsoft_Office_Excel54.xlsx"/><Relationship Id="rId4" Type="http://schemas.openxmlformats.org/officeDocument/2006/relationships/image" Target="../media/image11.jpeg"/></Relationships>
</file>

<file path=word/charts/_rels/chart5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jpeg"/><Relationship Id="rId1" Type="http://schemas.openxmlformats.org/officeDocument/2006/relationships/themeOverride" Target="../theme/themeOverride42.xml"/><Relationship Id="rId5" Type="http://schemas.openxmlformats.org/officeDocument/2006/relationships/package" Target="../embeddings/_____Microsoft_Office_Excel55.xlsx"/><Relationship Id="rId4" Type="http://schemas.openxmlformats.org/officeDocument/2006/relationships/image" Target="../media/image11.jpeg"/></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package" Target="../embeddings/_____Microsoft_Office_Excel57.xlsx"/><Relationship Id="rId2" Type="http://schemas.openxmlformats.org/officeDocument/2006/relationships/image" Target="../media/image12.jpeg"/><Relationship Id="rId1" Type="http://schemas.openxmlformats.org/officeDocument/2006/relationships/themeOverride" Target="../theme/themeOverride44.xml"/><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9.jpeg"/></Relationships>
</file>

<file path=word/charts/_rels/chart58.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package" Target="../embeddings/_____Microsoft_Office_Excel58.xlsx"/><Relationship Id="rId2" Type="http://schemas.openxmlformats.org/officeDocument/2006/relationships/image" Target="../media/image12.jpeg"/><Relationship Id="rId1" Type="http://schemas.openxmlformats.org/officeDocument/2006/relationships/themeOverride" Target="../theme/themeOverride45.xml"/><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9.jpeg"/></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6.xml"/></Relationships>
</file>

<file path=word/charts/_rels/chart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6.xml"/><Relationship Id="rId5" Type="http://schemas.openxmlformats.org/officeDocument/2006/relationships/package" Target="../embeddings/_____Microsoft_Office_Excel6.xlsx"/><Relationship Id="rId4" Type="http://schemas.openxmlformats.org/officeDocument/2006/relationships/image" Target="../media/image3.jpeg"/></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7.xml"/><Relationship Id="rId5" Type="http://schemas.openxmlformats.org/officeDocument/2006/relationships/package" Target="../embeddings/_____Microsoft_Office_Excel7.xlsx"/><Relationship Id="rId4" Type="http://schemas.openxmlformats.org/officeDocument/2006/relationships/image" Target="../media/image3.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95615451914713"/>
          <c:y val="4.0780141843972113E-2"/>
          <c:w val="0.62630274581061784"/>
          <c:h val="0.49271517784416657"/>
        </c:manualLayout>
      </c:layout>
      <c:barChart>
        <c:barDir val="col"/>
        <c:grouping val="clustered"/>
        <c:ser>
          <c:idx val="0"/>
          <c:order val="0"/>
          <c:tx>
            <c:strRef>
              <c:f>Лист1!$B$1</c:f>
              <c:strCache>
                <c:ptCount val="1"/>
                <c:pt idx="0">
                  <c:v>Валовой внутренний продукт (в текущих ценах), млн долл. США</c:v>
                </c:pt>
              </c:strCache>
            </c:strRef>
          </c:tx>
          <c:dLbls>
            <c:dLbl>
              <c:idx val="0"/>
              <c:layout>
                <c:manualLayout>
                  <c:x val="-7.2233999596204492E-3"/>
                  <c:y val="4.0878510875795833E-3"/>
                </c:manualLayout>
              </c:layout>
              <c:tx>
                <c:rich>
                  <a:bodyPr/>
                  <a:lstStyle/>
                  <a:p>
                    <a:r>
                      <a:rPr lang="en-US" sz="800" b="1">
                        <a:latin typeface="Times New Roman" pitchFamily="18" charset="0"/>
                        <a:cs typeface="Times New Roman" pitchFamily="18" charset="0"/>
                      </a:rPr>
                      <a:t>+17,6%*</a:t>
                    </a:r>
                  </a:p>
                </c:rich>
              </c:tx>
              <c:showVal val="1"/>
              <c:extLst>
                <c:ext xmlns:c15="http://schemas.microsoft.com/office/drawing/2012/chart" uri="{CE6537A1-D6FC-4f65-9D91-7224C49458BB}">
                  <c15:layout/>
                </c:ext>
              </c:extLst>
            </c:dLbl>
            <c:dLbl>
              <c:idx val="1"/>
              <c:layout>
                <c:manualLayout>
                  <c:x val="1.2884783632815217E-2"/>
                  <c:y val="7.8611733166381814E-2"/>
                </c:manualLayout>
              </c:layout>
              <c:tx>
                <c:rich>
                  <a:bodyPr/>
                  <a:lstStyle/>
                  <a:p>
                    <a:r>
                      <a:rPr lang="en-US" sz="800" b="1">
                        <a:latin typeface="Times New Roman" pitchFamily="18" charset="0"/>
                        <a:cs typeface="Times New Roman" pitchFamily="18" charset="0"/>
                      </a:rPr>
                      <a:t>-11,6%*</a:t>
                    </a:r>
                  </a:p>
                  <a:p>
                    <a:endParaRPr lang="en-US" sz="800"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 - июнь 2017 года</c:v>
                </c:pt>
              </c:strCache>
            </c:strRef>
          </c:cat>
          <c:val>
            <c:numRef>
              <c:f>Лист1!$B$2:$B$3</c:f>
              <c:numCache>
                <c:formatCode>#,##0.0</c:formatCode>
                <c:ptCount val="2"/>
                <c:pt idx="0">
                  <c:v>365.7</c:v>
                </c:pt>
                <c:pt idx="1">
                  <c:v>337.8</c:v>
                </c:pt>
              </c:numCache>
            </c:numRef>
          </c:val>
        </c:ser>
        <c:dLbls>
          <c:showVal val="1"/>
        </c:dLbls>
        <c:axId val="95414528"/>
        <c:axId val="95887360"/>
      </c:barChart>
      <c:catAx>
        <c:axId val="95414528"/>
        <c:scaling>
          <c:orientation val="minMax"/>
        </c:scaling>
        <c:delete val="1"/>
        <c:axPos val="b"/>
        <c:numFmt formatCode="General" sourceLinked="0"/>
        <c:tickLblPos val="nextTo"/>
        <c:crossAx val="95887360"/>
        <c:crosses val="autoZero"/>
        <c:auto val="1"/>
        <c:lblAlgn val="ctr"/>
        <c:lblOffset val="100"/>
      </c:catAx>
      <c:valAx>
        <c:axId val="95887360"/>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 реальный ВВП (прирост, падение +,-)</a:t>
                </a:r>
              </a:p>
            </c:rich>
          </c:tx>
          <c:layout>
            <c:manualLayout>
              <c:xMode val="edge"/>
              <c:yMode val="edge"/>
              <c:x val="4.4094824685375913E-2"/>
              <c:y val="0.11710852657179335"/>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95414528"/>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15" b="1" i="0" u="none" strike="noStrike" baseline="0">
                <a:solidFill>
                  <a:srgbClr val="000000"/>
                </a:solidFill>
                <a:latin typeface="Times New Roman"/>
                <a:ea typeface="Times New Roman"/>
                <a:cs typeface="Times New Roman"/>
              </a:defRPr>
            </a:pPr>
            <a:r>
              <a:rPr lang="ru-RU" sz="1029"/>
              <a:t>Обьем производства по отрасли легкая промышленность,</a:t>
            </a:r>
            <a:r>
              <a:rPr lang="ru-RU" sz="1029" baseline="0"/>
              <a:t> </a:t>
            </a:r>
            <a:r>
              <a:rPr lang="ru-RU" sz="1029"/>
              <a:t>млн руб.</a:t>
            </a:r>
          </a:p>
        </c:rich>
      </c:tx>
      <c:layout>
        <c:manualLayout>
          <c:xMode val="edge"/>
          <c:yMode val="edge"/>
          <c:x val="0.15336469522779494"/>
          <c:y val="2.2900708839966432E-2"/>
        </c:manualLayout>
      </c:layout>
      <c:spPr>
        <a:noFill/>
        <a:ln w="24887">
          <a:noFill/>
        </a:ln>
      </c:spPr>
    </c:title>
    <c:plotArea>
      <c:layout>
        <c:manualLayout>
          <c:layoutTarget val="inner"/>
          <c:xMode val="edge"/>
          <c:yMode val="edge"/>
          <c:x val="0.32546692064109434"/>
          <c:y val="0.18842026564861211"/>
          <c:w val="0.57282457566460065"/>
          <c:h val="0.59807460431082482"/>
        </c:manualLayout>
      </c:layout>
      <c:barChart>
        <c:barDir val="bar"/>
        <c:grouping val="clustered"/>
        <c:ser>
          <c:idx val="0"/>
          <c:order val="0"/>
          <c:tx>
            <c:strRef>
              <c:f>Лист1!$B$1</c:f>
              <c:strCache>
                <c:ptCount val="1"/>
                <c:pt idx="0">
                  <c:v>2016 год</c:v>
                </c:pt>
              </c:strCache>
            </c:strRef>
          </c:tx>
          <c:spPr>
            <a:gradFill>
              <a:gsLst>
                <a:gs pos="0">
                  <a:srgbClr val="8488C4"/>
                </a:gs>
                <a:gs pos="53000">
                  <a:srgbClr val="D4DEFF"/>
                </a:gs>
                <a:gs pos="83000">
                  <a:srgbClr val="D4DEFF"/>
                </a:gs>
                <a:gs pos="100000">
                  <a:srgbClr val="96AB94"/>
                </a:gs>
              </a:gsLst>
              <a:lin ang="5400000" scaled="0"/>
            </a:gradFill>
            <a:ln w="18828">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dLbls>
            <c:dLbl>
              <c:idx val="0"/>
              <c:layout>
                <c:manualLayout>
                  <c:x val="-8.2564915234654267E-3"/>
                  <c:y val="1.6567565417959441E-2"/>
                </c:manualLayout>
              </c:layout>
              <c:tx>
                <c:rich>
                  <a:bodyPr/>
                  <a:lstStyle/>
                  <a:p>
                    <a:r>
                      <a:rPr lang="en-US" sz="800"/>
                      <a:t>117,5%*</a:t>
                    </a:r>
                  </a:p>
                </c:rich>
              </c:tx>
              <c:dLblPos val="outEnd"/>
              <c:extLst>
                <c:ext xmlns:c15="http://schemas.microsoft.com/office/drawing/2012/chart" uri="{CE6537A1-D6FC-4f65-9D91-7224C49458BB}">
                  <c15:layout/>
                </c:ext>
              </c:extLst>
            </c:dLbl>
            <c:dLbl>
              <c:idx val="1"/>
              <c:layout>
                <c:manualLayout>
                  <c:x val="-2.3575826606579892E-3"/>
                  <c:y val="1.5416527479519607E-2"/>
                </c:manualLayout>
              </c:layout>
              <c:tx>
                <c:rich>
                  <a:bodyPr/>
                  <a:lstStyle/>
                  <a:p>
                    <a:r>
                      <a:rPr lang="en-US" sz="800"/>
                      <a:t>124,2%*</a:t>
                    </a:r>
                  </a:p>
                </c:rich>
              </c:tx>
              <c:dLblPos val="outEnd"/>
              <c:extLst>
                <c:ext xmlns:c15="http://schemas.microsoft.com/office/drawing/2012/chart" uri="{CE6537A1-D6FC-4f65-9D91-7224C49458BB}">
                  <c15:layout/>
                </c:ext>
              </c:extLst>
            </c:dLbl>
            <c:dLbl>
              <c:idx val="2"/>
              <c:layout>
                <c:manualLayout>
                  <c:x val="-6.4136825227152023E-3"/>
                  <c:y val="0"/>
                </c:manualLayout>
              </c:layout>
              <c:tx>
                <c:rich>
                  <a:bodyPr/>
                  <a:lstStyle/>
                  <a:p>
                    <a:r>
                      <a:rPr lang="ru-RU" sz="800"/>
                      <a:t>100,3%*</a:t>
                    </a:r>
                    <a:endParaRPr lang="en-US" sz="800"/>
                  </a:p>
                </c:rich>
              </c:tx>
              <c:dLblPos val="outEnd"/>
              <c:extLst>
                <c:ext xmlns:c15="http://schemas.microsoft.com/office/drawing/2012/chart" uri="{CE6537A1-D6FC-4f65-9D91-7224C49458BB}"/>
              </c:extLst>
            </c:dLbl>
            <c:spPr>
              <a:noFill/>
              <a:ln w="24887">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Лист1!$A$2:$A$3</c:f>
              <c:strCache>
                <c:ptCount val="2"/>
                <c:pt idx="0">
                  <c:v>обьем производства подотрасли</c:v>
                </c:pt>
                <c:pt idx="1">
                  <c:v>объем производства ЗАО "Тиротекс"</c:v>
                </c:pt>
              </c:strCache>
            </c:strRef>
          </c:cat>
          <c:val>
            <c:numRef>
              <c:f>Лист1!$B$2:$B$3</c:f>
              <c:numCache>
                <c:formatCode>0.0</c:formatCode>
                <c:ptCount val="2"/>
                <c:pt idx="0" formatCode="General">
                  <c:v>549.29999999999995</c:v>
                </c:pt>
                <c:pt idx="1">
                  <c:v>417</c:v>
                </c:pt>
              </c:numCache>
            </c:numRef>
          </c:val>
        </c:ser>
        <c:ser>
          <c:idx val="1"/>
          <c:order val="1"/>
          <c:tx>
            <c:strRef>
              <c:f>Лист1!$C$1</c:f>
              <c:strCache>
                <c:ptCount val="1"/>
                <c:pt idx="0">
                  <c:v>2017 год</c:v>
                </c:pt>
              </c:strCache>
            </c:strRef>
          </c:tx>
          <c:spPr>
            <a:gradFill>
              <a:gsLst>
                <a:gs pos="0">
                  <a:srgbClr val="FFEFD1"/>
                </a:gs>
                <a:gs pos="64999">
                  <a:srgbClr val="F0EBD5"/>
                </a:gs>
                <a:gs pos="100000">
                  <a:srgbClr val="D1C39F"/>
                </a:gs>
              </a:gsLst>
              <a:lin ang="5400000" scaled="0"/>
            </a:gradFill>
            <a:ln w="18828">
              <a:noFill/>
            </a:ln>
          </c:spPr>
          <c:dLbls>
            <c:dLbl>
              <c:idx val="0"/>
              <c:layout>
                <c:manualLayout>
                  <c:x val="9.9626933425774767E-3"/>
                  <c:y val="4.8326977995675488E-3"/>
                </c:manualLayout>
              </c:layout>
              <c:tx>
                <c:rich>
                  <a:bodyPr/>
                  <a:lstStyle/>
                  <a:p>
                    <a:pPr>
                      <a:defRPr sz="800" b="0" i="0" u="none" strike="noStrike" baseline="0">
                        <a:solidFill>
                          <a:srgbClr val="000000"/>
                        </a:solidFill>
                        <a:latin typeface="Times New Roman"/>
                        <a:ea typeface="Times New Roman"/>
                        <a:cs typeface="Times New Roman"/>
                      </a:defRPr>
                    </a:pPr>
                    <a:r>
                      <a:rPr lang="en-US" sz="800"/>
                      <a:t>106,1% *</a:t>
                    </a:r>
                  </a:p>
                </c:rich>
              </c:tx>
              <c:spPr>
                <a:noFill/>
                <a:ln w="24887">
                  <a:noFill/>
                </a:ln>
              </c:spPr>
              <c:dLblPos val="outEnd"/>
              <c:extLst>
                <c:ext xmlns:c15="http://schemas.microsoft.com/office/drawing/2012/chart" uri="{CE6537A1-D6FC-4f65-9D91-7224C49458BB}">
                  <c15:layout/>
                </c:ext>
              </c:extLst>
            </c:dLbl>
            <c:dLbl>
              <c:idx val="1"/>
              <c:layout>
                <c:manualLayout>
                  <c:x val="-1.8739167038082604E-3"/>
                  <c:y val="2.8716221793030567E-3"/>
                </c:manualLayout>
              </c:layout>
              <c:tx>
                <c:rich>
                  <a:bodyPr/>
                  <a:lstStyle/>
                  <a:p>
                    <a:pPr>
                      <a:defRPr sz="800" b="0" i="0" u="none" strike="noStrike" baseline="0">
                        <a:solidFill>
                          <a:srgbClr val="000000"/>
                        </a:solidFill>
                        <a:latin typeface="Times New Roman"/>
                        <a:ea typeface="Times New Roman"/>
                        <a:cs typeface="Times New Roman"/>
                      </a:defRPr>
                    </a:pPr>
                    <a:r>
                      <a:rPr lang="en-US" sz="800"/>
                      <a:t>98,1% *</a:t>
                    </a:r>
                  </a:p>
                </c:rich>
              </c:tx>
              <c:spPr>
                <a:noFill/>
                <a:ln w="24887">
                  <a:noFill/>
                </a:ln>
              </c:spPr>
              <c:dLblPos val="outEnd"/>
              <c:extLst>
                <c:ext xmlns:c15="http://schemas.microsoft.com/office/drawing/2012/chart" uri="{CE6537A1-D6FC-4f65-9D91-7224C49458BB}">
                  <c15:layout/>
                </c:ext>
              </c:extLst>
            </c:dLbl>
            <c:dLbl>
              <c:idx val="2"/>
              <c:layout>
                <c:manualLayout>
                  <c:x val="-1.6055863387446961E-4"/>
                  <c:y val="-6.3642532488316734E-3"/>
                </c:manualLayout>
              </c:layout>
              <c:tx>
                <c:rich>
                  <a:bodyPr/>
                  <a:lstStyle/>
                  <a:p>
                    <a:r>
                      <a:rPr lang="ru-RU" sz="882"/>
                      <a:t>89,3%*</a:t>
                    </a:r>
                    <a:endParaRPr lang="en-US" sz="900"/>
                  </a:p>
                </c:rich>
              </c:tx>
              <c:dLblPos val="outEnd"/>
              <c:extLst>
                <c:ext xmlns:c15="http://schemas.microsoft.com/office/drawing/2012/chart" uri="{CE6537A1-D6FC-4f65-9D91-7224C49458BB}"/>
              </c:extLst>
            </c:dLbl>
            <c:spPr>
              <a:noFill/>
              <a:ln w="24887">
                <a:noFill/>
              </a:ln>
            </c:spPr>
            <c:txPr>
              <a:bodyPr/>
              <a:lstStyle/>
              <a:p>
                <a:pPr>
                  <a:defRPr sz="882"/>
                </a:pPr>
                <a:endParaRPr lang="ru-RU"/>
              </a:p>
            </c:txPr>
            <c:showVal val="1"/>
            <c:extLst>
              <c:ext xmlns:c15="http://schemas.microsoft.com/office/drawing/2012/chart" uri="{CE6537A1-D6FC-4f65-9D91-7224C49458BB}">
                <c15:showLeaderLines val="0"/>
              </c:ext>
            </c:extLst>
          </c:dLbls>
          <c:cat>
            <c:strRef>
              <c:f>Лист1!$A$2:$A$3</c:f>
              <c:strCache>
                <c:ptCount val="2"/>
                <c:pt idx="0">
                  <c:v>обьем производства подотрасли</c:v>
                </c:pt>
                <c:pt idx="1">
                  <c:v>объем производства ЗАО "Тиротекс"</c:v>
                </c:pt>
              </c:strCache>
            </c:strRef>
          </c:cat>
          <c:val>
            <c:numRef>
              <c:f>Лист1!$C$2:$C$3</c:f>
              <c:numCache>
                <c:formatCode>General</c:formatCode>
                <c:ptCount val="2"/>
                <c:pt idx="0">
                  <c:v>582.9</c:v>
                </c:pt>
                <c:pt idx="1">
                  <c:v>409.1</c:v>
                </c:pt>
              </c:numCache>
            </c:numRef>
          </c:val>
        </c:ser>
        <c:dLbls>
          <c:showVal val="1"/>
        </c:dLbls>
        <c:axId val="97580928"/>
        <c:axId val="97582464"/>
      </c:barChart>
      <c:catAx>
        <c:axId val="97580928"/>
        <c:scaling>
          <c:orientation val="minMax"/>
        </c:scaling>
        <c:axPos val="l"/>
        <c:numFmt formatCode="General" sourceLinked="1"/>
        <c:tickLblPos val="nextTo"/>
        <c:txPr>
          <a:bodyPr/>
          <a:lstStyle/>
          <a:p>
            <a:pPr>
              <a:defRPr sz="900" kern="0" baseline="0"/>
            </a:pPr>
            <a:endParaRPr lang="ru-RU"/>
          </a:p>
        </c:txPr>
        <c:crossAx val="97582464"/>
        <c:crosses val="autoZero"/>
        <c:auto val="1"/>
        <c:lblAlgn val="ctr"/>
        <c:lblOffset val="100"/>
      </c:catAx>
      <c:valAx>
        <c:axId val="97582464"/>
        <c:scaling>
          <c:orientation val="minMax"/>
        </c:scaling>
        <c:axPos val="b"/>
        <c:majorGridlines/>
        <c:title>
          <c:tx>
            <c:rich>
              <a:bodyPr/>
              <a:lstStyle/>
              <a:p>
                <a:pPr>
                  <a:defRPr sz="735"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0"/>
              <c:y val="0.78966763985962429"/>
            </c:manualLayout>
          </c:layout>
          <c:spPr>
            <a:noFill/>
            <a:ln w="24887">
              <a:noFill/>
            </a:ln>
          </c:spPr>
        </c:title>
        <c:numFmt formatCode="General" sourceLinked="1"/>
        <c:tickLblPos val="nextTo"/>
        <c:txPr>
          <a:bodyPr/>
          <a:lstStyle/>
          <a:p>
            <a:pPr>
              <a:defRPr sz="882"/>
            </a:pPr>
            <a:endParaRPr lang="ru-RU"/>
          </a:p>
        </c:txPr>
        <c:crossAx val="97580928"/>
        <c:crosses val="autoZero"/>
        <c:crossBetween val="between"/>
      </c:valAx>
    </c:plotArea>
    <c:legend>
      <c:legendPos val="r"/>
      <c:layout>
        <c:manualLayout>
          <c:xMode val="edge"/>
          <c:yMode val="edge"/>
          <c:x val="0.89827861772870365"/>
          <c:y val="0.22900780259610751"/>
          <c:w val="9.8591565830632777E-2"/>
          <c:h val="0.33587801524810668"/>
        </c:manualLayout>
      </c:layout>
      <c:txPr>
        <a:bodyPr/>
        <a:lstStyle/>
        <a:p>
          <a:pPr>
            <a:defRPr sz="882"/>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050"/>
            </a:pPr>
            <a:r>
              <a:rPr lang="ru-RU" sz="1050"/>
              <a:t>Валовая продукция сельского хозяйства в хозяйствах всех категорий </a:t>
            </a:r>
          </a:p>
          <a:p>
            <a:pPr>
              <a:defRPr sz="1050"/>
            </a:pPr>
            <a:r>
              <a:rPr lang="ru-RU" sz="1050"/>
              <a:t>за 2016-2017 годы, млн руб.</a:t>
            </a:r>
          </a:p>
        </c:rich>
      </c:tx>
      <c:layout>
        <c:manualLayout>
          <c:xMode val="edge"/>
          <c:yMode val="edge"/>
          <c:x val="0.20702845109313031"/>
          <c:y val="2.224776447776263E-3"/>
        </c:manualLayout>
      </c:layout>
    </c:title>
    <c:plotArea>
      <c:layout>
        <c:manualLayout>
          <c:layoutTarget val="inner"/>
          <c:xMode val="edge"/>
          <c:yMode val="edge"/>
          <c:x val="0.34600790834558331"/>
          <c:y val="0.16245744281964777"/>
          <c:w val="0.62031207466080163"/>
          <c:h val="0.41611511061117329"/>
        </c:manualLayout>
      </c:layout>
      <c:barChart>
        <c:barDir val="col"/>
        <c:grouping val="clustered"/>
        <c:ser>
          <c:idx val="0"/>
          <c:order val="0"/>
          <c:tx>
            <c:strRef>
              <c:f>Лист1!$B$1</c:f>
              <c:strCache>
                <c:ptCount val="1"/>
                <c:pt idx="0">
                  <c:v>Валовая продукция сельского хозяйства</c:v>
                </c:pt>
              </c:strCache>
            </c:strRef>
          </c:tx>
          <c:spPr>
            <a:solidFill>
              <a:schemeClr val="accent3">
                <a:lumMod val="40000"/>
                <a:lumOff val="60000"/>
              </a:schemeClr>
            </a:solidFill>
          </c:spPr>
          <c:dLbls>
            <c:dLbl>
              <c:idx val="0"/>
              <c:layout>
                <c:manualLayout>
                  <c:x val="1.8492042135149153E-3"/>
                  <c:y val="1.3101815041849504E-2"/>
                </c:manualLayout>
              </c:layout>
              <c:tx>
                <c:rich>
                  <a:bodyPr/>
                  <a:lstStyle/>
                  <a:p>
                    <a:r>
                      <a:rPr lang="en-US" sz="900" b="1">
                        <a:latin typeface="Times New Roman" pitchFamily="18" charset="0"/>
                        <a:cs typeface="Times New Roman" pitchFamily="18" charset="0"/>
                      </a:rPr>
                      <a:t>92,3*</a:t>
                    </a:r>
                  </a:p>
                </c:rich>
              </c:tx>
              <c:dLblPos val="outEnd"/>
              <c:extLst>
                <c:ext xmlns:c15="http://schemas.microsoft.com/office/drawing/2012/chart" uri="{CE6537A1-D6FC-4f65-9D91-7224C49458BB}">
                  <c15:layout/>
                </c:ext>
              </c:extLst>
            </c:dLbl>
            <c:dLbl>
              <c:idx val="1"/>
              <c:layout>
                <c:manualLayout>
                  <c:x val="1.0581157798561504E-2"/>
                  <c:y val="1.4877503519607541E-2"/>
                </c:manualLayout>
              </c:layout>
              <c:tx>
                <c:rich>
                  <a:bodyPr/>
                  <a:lstStyle/>
                  <a:p>
                    <a:r>
                      <a:rPr lang="en-US" sz="900" b="1">
                        <a:latin typeface="Times New Roman" pitchFamily="18" charset="0"/>
                        <a:cs typeface="Times New Roman" pitchFamily="18" charset="0"/>
                      </a:rPr>
                      <a:t>107,4*</a:t>
                    </a:r>
                  </a:p>
                </c:rich>
              </c:tx>
              <c:dLblPos val="outEnd"/>
              <c:extLst>
                <c:ext xmlns:c15="http://schemas.microsoft.com/office/drawing/2012/chart" uri="{CE6537A1-D6FC-4f65-9D91-7224C49458BB}">
                  <c15:layout/>
                </c:ext>
              </c:extLst>
            </c:dLbl>
            <c:dLbl>
              <c:idx val="2"/>
              <c:layout>
                <c:manualLayout>
                  <c:x val="8.4875562720165774E-17"/>
                  <c:y val="1.1904761904762974E-2"/>
                </c:manualLayout>
              </c:layout>
              <c:tx>
                <c:rich>
                  <a:bodyPr/>
                  <a:lstStyle/>
                  <a:p>
                    <a:r>
                      <a:rPr lang="ru-RU" sz="900" b="1">
                        <a:latin typeface="Times New Roman" pitchFamily="18" charset="0"/>
                        <a:cs typeface="Times New Roman" pitchFamily="18" charset="0"/>
                      </a:rPr>
                      <a:t>35,6*</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extLst>
            </c:dLbl>
            <c:spPr>
              <a:noFill/>
              <a:ln>
                <a:noFill/>
              </a:ln>
              <a:effectLst/>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Лист1!$A$2:$A$4</c:f>
              <c:strCache>
                <c:ptCount val="2"/>
                <c:pt idx="0">
                  <c:v>январь-июнь 2016 года</c:v>
                </c:pt>
                <c:pt idx="1">
                  <c:v>январь-июнь 2017 года</c:v>
                </c:pt>
              </c:strCache>
            </c:strRef>
          </c:cat>
          <c:val>
            <c:numRef>
              <c:f>Лист1!$B$2:$B$4</c:f>
              <c:numCache>
                <c:formatCode>#,##0.0</c:formatCode>
                <c:ptCount val="2"/>
                <c:pt idx="0">
                  <c:v>316.39999999999969</c:v>
                </c:pt>
                <c:pt idx="1">
                  <c:v>297.89999999999969</c:v>
                </c:pt>
              </c:numCache>
            </c:numRef>
          </c:val>
        </c:ser>
        <c:ser>
          <c:idx val="1"/>
          <c:order val="1"/>
          <c:tx>
            <c:strRef>
              <c:f>Лист1!$C$1</c:f>
              <c:strCache>
                <c:ptCount val="1"/>
                <c:pt idx="0">
                  <c:v>продукция растениеводства</c:v>
                </c:pt>
              </c:strCache>
            </c:strRef>
          </c:tx>
          <c:spPr>
            <a:solidFill>
              <a:schemeClr val="accent6">
                <a:lumMod val="75000"/>
              </a:schemeClr>
            </a:solidFill>
          </c:spPr>
          <c:dLbls>
            <c:dLbl>
              <c:idx val="0"/>
              <c:layout>
                <c:manualLayout>
                  <c:x val="-2.0226217651132402E-3"/>
                  <c:y val="1.8732253062961723E-2"/>
                </c:manualLayout>
              </c:layout>
              <c:tx>
                <c:rich>
                  <a:bodyPr/>
                  <a:lstStyle/>
                  <a:p>
                    <a:r>
                      <a:rPr lang="en-US" sz="900" b="1">
                        <a:latin typeface="Times New Roman" pitchFamily="18" charset="0"/>
                        <a:cs typeface="Times New Roman" pitchFamily="18" charset="0"/>
                      </a:rPr>
                      <a:t>109,9*</a:t>
                    </a:r>
                  </a:p>
                </c:rich>
              </c:tx>
              <c:dLblPos val="outEnd"/>
              <c:extLst>
                <c:ext xmlns:c15="http://schemas.microsoft.com/office/drawing/2012/chart" uri="{CE6537A1-D6FC-4f65-9D91-7224C49458BB}">
                  <c15:layout/>
                </c:ext>
              </c:extLst>
            </c:dLbl>
            <c:dLbl>
              <c:idx val="1"/>
              <c:layout>
                <c:manualLayout>
                  <c:x val="8.5519134097807523E-3"/>
                  <c:y val="1.8114834702266321E-2"/>
                </c:manualLayout>
              </c:layout>
              <c:tx>
                <c:rich>
                  <a:bodyPr/>
                  <a:lstStyle/>
                  <a:p>
                    <a:r>
                      <a:rPr lang="en-US" sz="900" b="1">
                        <a:latin typeface="Times New Roman" pitchFamily="18" charset="0"/>
                        <a:cs typeface="Times New Roman" pitchFamily="18" charset="0"/>
                      </a:rPr>
                      <a:t>94,7*</a:t>
                    </a:r>
                  </a:p>
                </c:rich>
              </c:tx>
              <c:dLblPos val="outEnd"/>
              <c:extLst>
                <c:ext xmlns:c15="http://schemas.microsoft.com/office/drawing/2012/chart" uri="{CE6537A1-D6FC-4f65-9D91-7224C49458BB}">
                  <c15:layout/>
                </c:ext>
              </c:extLst>
            </c:dLbl>
            <c:dLbl>
              <c:idx val="2"/>
              <c:layout>
                <c:manualLayout>
                  <c:x val="2.3148148148148147E-3"/>
                  <c:y val="1.1904761904762974E-2"/>
                </c:manualLayout>
              </c:layout>
              <c:tx>
                <c:rich>
                  <a:bodyPr/>
                  <a:lstStyle/>
                  <a:p>
                    <a:r>
                      <a:rPr lang="ru-RU" sz="900" b="1">
                        <a:latin typeface="Times New Roman" pitchFamily="18" charset="0"/>
                        <a:cs typeface="Times New Roman" pitchFamily="18" charset="0"/>
                      </a:rPr>
                      <a:t>29,7*</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extLst>
            </c:dLbl>
            <c:spPr>
              <a:noFill/>
              <a:ln>
                <a:noFill/>
              </a:ln>
              <a:effectLst/>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Лист1!$A$2:$A$4</c:f>
              <c:strCache>
                <c:ptCount val="2"/>
                <c:pt idx="0">
                  <c:v>январь-июнь 2016 года</c:v>
                </c:pt>
                <c:pt idx="1">
                  <c:v>январь-июнь 2017 года</c:v>
                </c:pt>
              </c:strCache>
            </c:strRef>
          </c:cat>
          <c:val>
            <c:numRef>
              <c:f>Лист1!$C$2:$C$4</c:f>
              <c:numCache>
                <c:formatCode>#,##0.0</c:formatCode>
                <c:ptCount val="2"/>
                <c:pt idx="0">
                  <c:v>117.6</c:v>
                </c:pt>
                <c:pt idx="1">
                  <c:v>91.5</c:v>
                </c:pt>
              </c:numCache>
            </c:numRef>
          </c:val>
        </c:ser>
        <c:ser>
          <c:idx val="2"/>
          <c:order val="2"/>
          <c:tx>
            <c:strRef>
              <c:f>Лист1!$D$1</c:f>
              <c:strCache>
                <c:ptCount val="1"/>
                <c:pt idx="0">
                  <c:v>продукция животноводства</c:v>
                </c:pt>
              </c:strCache>
            </c:strRef>
          </c:tx>
          <c:dLbls>
            <c:dLbl>
              <c:idx val="0"/>
              <c:layout>
                <c:manualLayout>
                  <c:x val="4.3537066010071734E-3"/>
                  <c:y val="1.7806017491056932E-2"/>
                </c:manualLayout>
              </c:layout>
              <c:tx>
                <c:rich>
                  <a:bodyPr/>
                  <a:lstStyle/>
                  <a:p>
                    <a:r>
                      <a:rPr lang="en-US" sz="900"/>
                      <a:t>84,3*</a:t>
                    </a:r>
                  </a:p>
                </c:rich>
              </c:tx>
              <c:dLblPos val="outEnd"/>
              <c:extLst>
                <c:ext xmlns:c15="http://schemas.microsoft.com/office/drawing/2012/chart" uri="{CE6537A1-D6FC-4f65-9D91-7224C49458BB}">
                  <c15:layout/>
                </c:ext>
              </c:extLst>
            </c:dLbl>
            <c:dLbl>
              <c:idx val="1"/>
              <c:layout>
                <c:manualLayout>
                  <c:x val="1.0869632169512203E-2"/>
                  <c:y val="4.4923629829294034E-3"/>
                </c:manualLayout>
              </c:layout>
              <c:tx>
                <c:rich>
                  <a:bodyPr/>
                  <a:lstStyle/>
                  <a:p>
                    <a:r>
                      <a:rPr lang="en-US" sz="900"/>
                      <a:t>114,3*</a:t>
                    </a:r>
                  </a:p>
                </c:rich>
              </c:tx>
              <c:dLblPos val="outEnd"/>
              <c:extLst>
                <c:ext xmlns:c15="http://schemas.microsoft.com/office/drawing/2012/chart" uri="{CE6537A1-D6FC-4f65-9D91-7224C49458BB}">
                  <c15:layout/>
                </c:ext>
              </c:extLst>
            </c:dLbl>
            <c:spPr>
              <a:noFill/>
              <a:ln>
                <a:noFill/>
              </a:ln>
              <a:effectLst/>
            </c:spPr>
            <c:txPr>
              <a:bodyPr/>
              <a:lstStyle/>
              <a:p>
                <a:pPr>
                  <a:defRPr sz="900"/>
                </a:pPr>
                <a:endParaRPr lang="ru-RU"/>
              </a:p>
            </c:txPr>
            <c:showVal val="1"/>
            <c:extLst>
              <c:ext xmlns:c15="http://schemas.microsoft.com/office/drawing/2012/chart" uri="{CE6537A1-D6FC-4f65-9D91-7224C49458BB}">
                <c15:showLeaderLines val="0"/>
              </c:ext>
            </c:extLst>
          </c:dLbls>
          <c:cat>
            <c:strRef>
              <c:f>Лист1!$A$2:$A$4</c:f>
              <c:strCache>
                <c:ptCount val="2"/>
                <c:pt idx="0">
                  <c:v>январь-июнь 2016 года</c:v>
                </c:pt>
                <c:pt idx="1">
                  <c:v>январь-июнь 2017 года</c:v>
                </c:pt>
              </c:strCache>
            </c:strRef>
          </c:cat>
          <c:val>
            <c:numRef>
              <c:f>Лист1!$D$2:$D$4</c:f>
              <c:numCache>
                <c:formatCode>General</c:formatCode>
                <c:ptCount val="2"/>
                <c:pt idx="0">
                  <c:v>198.8</c:v>
                </c:pt>
                <c:pt idx="1">
                  <c:v>206.4</c:v>
                </c:pt>
              </c:numCache>
            </c:numRef>
          </c:val>
        </c:ser>
        <c:dLbls>
          <c:showVal val="1"/>
        </c:dLbls>
        <c:axId val="98019584"/>
        <c:axId val="98025472"/>
      </c:barChart>
      <c:catAx>
        <c:axId val="98019584"/>
        <c:scaling>
          <c:orientation val="minMax"/>
        </c:scaling>
        <c:axPos val="b"/>
        <c:numFmt formatCode="General" sourceLinked="1"/>
        <c:tickLblPos val="nextTo"/>
        <c:crossAx val="98025472"/>
        <c:crosses val="autoZero"/>
        <c:auto val="1"/>
        <c:lblAlgn val="ctr"/>
        <c:lblOffset val="100"/>
      </c:catAx>
      <c:valAx>
        <c:axId val="98025472"/>
        <c:scaling>
          <c:orientation val="minMax"/>
        </c:scaling>
        <c:axPos val="l"/>
        <c:numFmt formatCode="#,##0.0" sourceLinked="1"/>
        <c:tickLblPos val="nextTo"/>
        <c:txPr>
          <a:bodyPr/>
          <a:lstStyle/>
          <a:p>
            <a:pPr>
              <a:defRPr sz="950"/>
            </a:pPr>
            <a:endParaRPr lang="ru-RU"/>
          </a:p>
        </c:txPr>
        <c:crossAx val="98019584"/>
        <c:crosses val="autoZero"/>
        <c:crossBetween val="between"/>
      </c:valAx>
      <c:dTable>
        <c:showHorzBorder val="1"/>
        <c:showVertBorder val="1"/>
        <c:showOutline val="1"/>
        <c:showKeys val="1"/>
        <c:txPr>
          <a:bodyPr/>
          <a:lstStyle/>
          <a:p>
            <a:pPr algn="ctr" defTabSz="360000" rtl="0">
              <a:defRPr sz="1000"/>
            </a:pPr>
            <a:endParaRPr lang="ru-RU"/>
          </a:p>
        </c:txPr>
      </c:dTable>
      <c:spPr>
        <a:noFill/>
        <a:ln w="25400">
          <a:noFill/>
        </a:ln>
      </c:spPr>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1000">
                <a:latin typeface="Times New Roman" pitchFamily="18" charset="0"/>
                <a:cs typeface="Times New Roman" pitchFamily="18" charset="0"/>
              </a:rPr>
              <a:t>                 на 1 июля 2016 г.</a:t>
            </a:r>
          </a:p>
        </c:rich>
      </c:tx>
      <c:layout>
        <c:manualLayout>
          <c:xMode val="edge"/>
          <c:yMode val="edge"/>
          <c:x val="0.23548324841747831"/>
          <c:y val="2.4636125029825956E-2"/>
        </c:manualLayout>
      </c:layout>
    </c:title>
    <c:plotArea>
      <c:layout>
        <c:manualLayout>
          <c:layoutTarget val="inner"/>
          <c:xMode val="edge"/>
          <c:yMode val="edge"/>
          <c:x val="0.21149204353382658"/>
          <c:y val="0.13672138794321798"/>
          <c:w val="0.7413866787593959"/>
          <c:h val="0.38536112515097842"/>
        </c:manualLayout>
      </c:layout>
      <c:barChart>
        <c:barDir val="col"/>
        <c:grouping val="percentStacked"/>
        <c:ser>
          <c:idx val="0"/>
          <c:order val="0"/>
          <c:tx>
            <c:strRef>
              <c:f>Лист1!$B$1</c:f>
              <c:strCache>
                <c:ptCount val="1"/>
                <c:pt idx="0">
                  <c:v>Сельскохозяйственные организации</c:v>
                </c:pt>
              </c:strCache>
            </c:strRef>
          </c:tx>
          <c:spPr>
            <a:solidFill>
              <a:srgbClr val="92D050"/>
            </a:solidFill>
          </c:spPr>
          <c:dLbls>
            <c:dLbl>
              <c:idx val="0"/>
              <c:layout>
                <c:manualLayout>
                  <c:x val="-4.4563279857397888E-3"/>
                  <c:y val="-1.3999381542824391E-2"/>
                </c:manualLayout>
              </c:layout>
              <c:tx>
                <c:rich>
                  <a:bodyPr/>
                  <a:lstStyle/>
                  <a:p>
                    <a:r>
                      <a:rPr lang="en-US" sz="800"/>
                      <a:t>38,7</a:t>
                    </a:r>
                  </a:p>
                </c:rich>
              </c:tx>
              <c:showVal val="1"/>
              <c:extLst>
                <c:ext xmlns:c15="http://schemas.microsoft.com/office/drawing/2012/chart" uri="{CE6537A1-D6FC-4f65-9D91-7224C49458BB}">
                  <c15:layout/>
                </c:ext>
              </c:extLst>
            </c:dLbl>
            <c:dLbl>
              <c:idx val="1"/>
              <c:layout>
                <c:manualLayout>
                  <c:x val="0"/>
                  <c:y val="8.8415652588881427E-3"/>
                </c:manualLayout>
              </c:layout>
              <c:tx>
                <c:rich>
                  <a:bodyPr/>
                  <a:lstStyle/>
                  <a:p>
                    <a:r>
                      <a:rPr lang="en-US" sz="800"/>
                      <a:t>55,8</a:t>
                    </a:r>
                  </a:p>
                </c:rich>
              </c:tx>
              <c:showVal val="1"/>
              <c:extLst>
                <c:ext xmlns:c15="http://schemas.microsoft.com/office/drawing/2012/chart" uri="{CE6537A1-D6FC-4f65-9D91-7224C49458BB}">
                  <c15:layout/>
                </c:ext>
              </c:extLst>
            </c:dLbl>
            <c:dLbl>
              <c:idx val="2"/>
              <c:layout>
                <c:manualLayout>
                  <c:x val="-3.5089196738108486E-7"/>
                  <c:y val="-3.688116571635473E-4"/>
                </c:manualLayout>
              </c:layout>
              <c:tx>
                <c:rich>
                  <a:bodyPr/>
                  <a:lstStyle/>
                  <a:p>
                    <a:r>
                      <a:rPr lang="en-US" sz="800"/>
                      <a:t>29,9</a:t>
                    </a:r>
                  </a:p>
                </c:rich>
              </c:tx>
              <c:showVal val="1"/>
              <c:extLst>
                <c:ext xmlns:c15="http://schemas.microsoft.com/office/drawing/2012/chart" uri="{CE6537A1-D6FC-4f65-9D91-7224C49458BB}">
                  <c15:layout/>
                </c:ext>
              </c:extLst>
            </c:dLbl>
            <c:dLbl>
              <c:idx val="3"/>
              <c:layout>
                <c:manualLayout>
                  <c:x val="0"/>
                  <c:y val="0"/>
                </c:manualLayout>
              </c:layout>
              <c:tx>
                <c:rich>
                  <a:bodyPr/>
                  <a:lstStyle/>
                  <a:p>
                    <a:r>
                      <a:rPr lang="en-US" sz="800"/>
                      <a:t>69,4</a:t>
                    </a:r>
                  </a:p>
                </c:rich>
              </c:tx>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Лист1!$B$2:$B$5</c:f>
              <c:numCache>
                <c:formatCode>General</c:formatCode>
                <c:ptCount val="4"/>
                <c:pt idx="0" formatCode="0.0">
                  <c:v>38.700000000000003</c:v>
                </c:pt>
                <c:pt idx="1">
                  <c:v>55.8</c:v>
                </c:pt>
                <c:pt idx="2" formatCode="0.0">
                  <c:v>29.9</c:v>
                </c:pt>
                <c:pt idx="3">
                  <c:v>69.400000000000006</c:v>
                </c:pt>
              </c:numCache>
            </c:numRef>
          </c:val>
        </c:ser>
        <c:ser>
          <c:idx val="1"/>
          <c:order val="1"/>
          <c:tx>
            <c:strRef>
              <c:f>Лист1!$C$1</c:f>
              <c:strCache>
                <c:ptCount val="1"/>
                <c:pt idx="0">
                  <c:v>Хозяйства населения</c:v>
                </c:pt>
              </c:strCache>
            </c:strRef>
          </c:tx>
          <c:spPr>
            <a:solidFill>
              <a:srgbClr val="C0504D">
                <a:lumMod val="60000"/>
                <a:lumOff val="40000"/>
              </a:srgbClr>
            </a:solidFill>
          </c:spPr>
          <c:dLbls>
            <c:dLbl>
              <c:idx val="0"/>
              <c:layout>
                <c:manualLayout>
                  <c:x val="0"/>
                  <c:y val="8.8416749630434166E-3"/>
                </c:manualLayout>
              </c:layout>
              <c:tx>
                <c:rich>
                  <a:bodyPr/>
                  <a:lstStyle/>
                  <a:p>
                    <a:r>
                      <a:rPr lang="en-US" sz="800"/>
                      <a:t>61,3</a:t>
                    </a:r>
                  </a:p>
                </c:rich>
              </c:tx>
              <c:showVal val="1"/>
              <c:extLst>
                <c:ext xmlns:c15="http://schemas.microsoft.com/office/drawing/2012/chart" uri="{CE6537A1-D6FC-4f65-9D91-7224C49458BB}">
                  <c15:layout/>
                </c:ext>
              </c:extLst>
            </c:dLbl>
            <c:dLbl>
              <c:idx val="1"/>
              <c:layout>
                <c:manualLayout>
                  <c:x val="-4.4563279857397888E-3"/>
                  <c:y val="4.4209814682255625E-3"/>
                </c:manualLayout>
              </c:layout>
              <c:tx>
                <c:rich>
                  <a:bodyPr/>
                  <a:lstStyle/>
                  <a:p>
                    <a:r>
                      <a:rPr lang="en-US" sz="800"/>
                      <a:t>44,2</a:t>
                    </a:r>
                  </a:p>
                </c:rich>
              </c:tx>
              <c:showVal val="1"/>
              <c:extLst>
                <c:ext xmlns:c15="http://schemas.microsoft.com/office/drawing/2012/chart" uri="{CE6537A1-D6FC-4f65-9D91-7224C49458BB}">
                  <c15:layout/>
                </c:ext>
              </c:extLst>
            </c:dLbl>
            <c:dLbl>
              <c:idx val="2"/>
              <c:layout>
                <c:manualLayout>
                  <c:x val="-3.5089196738108486E-7"/>
                  <c:y val="-8.8415652588881427E-3"/>
                </c:manualLayout>
              </c:layout>
              <c:tx>
                <c:rich>
                  <a:bodyPr/>
                  <a:lstStyle/>
                  <a:p>
                    <a:r>
                      <a:rPr lang="en-US" sz="800"/>
                      <a:t>70,1</a:t>
                    </a:r>
                  </a:p>
                </c:rich>
              </c:tx>
              <c:showVal val="1"/>
              <c:extLst>
                <c:ext xmlns:c15="http://schemas.microsoft.com/office/drawing/2012/chart" uri="{CE6537A1-D6FC-4f65-9D91-7224C49458BB}">
                  <c15:layout/>
                </c:ext>
              </c:extLst>
            </c:dLbl>
            <c:dLbl>
              <c:idx val="3"/>
              <c:layout>
                <c:manualLayout>
                  <c:x val="3.7134604497967194E-3"/>
                  <c:y val="1.3630184612564053E-2"/>
                </c:manualLayout>
              </c:layout>
              <c:tx>
                <c:rich>
                  <a:bodyPr/>
                  <a:lstStyle/>
                  <a:p>
                    <a:r>
                      <a:rPr lang="en-US" sz="800"/>
                      <a:t>30,6</a:t>
                    </a:r>
                  </a:p>
                </c:rich>
              </c:tx>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Лист1!$C$2:$C$5</c:f>
              <c:numCache>
                <c:formatCode>0.0</c:formatCode>
                <c:ptCount val="4"/>
                <c:pt idx="0">
                  <c:v>61.3</c:v>
                </c:pt>
                <c:pt idx="1">
                  <c:v>44.2</c:v>
                </c:pt>
                <c:pt idx="2">
                  <c:v>70.099999999999994</c:v>
                </c:pt>
                <c:pt idx="3" formatCode="General">
                  <c:v>30.6</c:v>
                </c:pt>
              </c:numCache>
            </c:numRef>
          </c:val>
        </c:ser>
        <c:dLbls>
          <c:showVal val="1"/>
        </c:dLbls>
        <c:overlap val="100"/>
        <c:axId val="98155136"/>
        <c:axId val="98161024"/>
      </c:barChart>
      <c:catAx>
        <c:axId val="98155136"/>
        <c:scaling>
          <c:orientation val="minMax"/>
        </c:scaling>
        <c:axPos val="b"/>
        <c:numFmt formatCode="General" sourceLinked="1"/>
        <c:tickLblPos val="nextTo"/>
        <c:txPr>
          <a:bodyPr/>
          <a:lstStyle/>
          <a:p>
            <a:pPr>
              <a:defRPr sz="900" b="1">
                <a:latin typeface="Times New Roman" pitchFamily="18" charset="0"/>
                <a:cs typeface="Times New Roman" pitchFamily="18" charset="0"/>
              </a:defRPr>
            </a:pPr>
            <a:endParaRPr lang="ru-RU"/>
          </a:p>
        </c:txPr>
        <c:crossAx val="98161024"/>
        <c:crosses val="autoZero"/>
        <c:auto val="1"/>
        <c:lblAlgn val="ctr"/>
        <c:lblOffset val="100"/>
      </c:catAx>
      <c:valAx>
        <c:axId val="98161024"/>
        <c:scaling>
          <c:orientation val="minMax"/>
        </c:scaling>
        <c:axPos val="l"/>
        <c:numFmt formatCode="0%" sourceLinked="1"/>
        <c:tickLblPos val="nextTo"/>
        <c:txPr>
          <a:bodyPr/>
          <a:lstStyle/>
          <a:p>
            <a:pPr>
              <a:defRPr sz="898" b="1">
                <a:latin typeface="Times New Roman" pitchFamily="18" charset="0"/>
                <a:cs typeface="Times New Roman" pitchFamily="18" charset="0"/>
              </a:defRPr>
            </a:pPr>
            <a:endParaRPr lang="ru-RU"/>
          </a:p>
        </c:txPr>
        <c:crossAx val="98155136"/>
        <c:crosses val="autoZero"/>
        <c:crossBetween val="between"/>
      </c:valAx>
    </c:plotArea>
    <c:legend>
      <c:legendPos val="b"/>
      <c:layout>
        <c:manualLayout>
          <c:xMode val="edge"/>
          <c:yMode val="edge"/>
          <c:x val="6.6959661459429901E-2"/>
          <c:y val="0.77248774135790921"/>
          <c:w val="0.93304033854057478"/>
          <c:h val="0.18771816173452097"/>
        </c:manualLayout>
      </c:layout>
      <c:txPr>
        <a:bodyPr/>
        <a:lstStyle/>
        <a:p>
          <a:pPr>
            <a:defRPr sz="900" b="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на 1 июля 2017 г.</a:t>
            </a:r>
          </a:p>
        </c:rich>
      </c:tx>
      <c:layout>
        <c:manualLayout>
          <c:xMode val="edge"/>
          <c:yMode val="edge"/>
          <c:x val="0.3510958904109589"/>
          <c:y val="3.0725113442452396E-2"/>
        </c:manualLayout>
      </c:layout>
    </c:title>
    <c:plotArea>
      <c:layout>
        <c:manualLayout>
          <c:layoutTarget val="inner"/>
          <c:xMode val="edge"/>
          <c:yMode val="edge"/>
          <c:x val="0.21149210800704782"/>
          <c:y val="0.13659542557180426"/>
          <c:w val="0.7413866787593959"/>
          <c:h val="0.3914239747140027"/>
        </c:manualLayout>
      </c:layout>
      <c:barChart>
        <c:barDir val="col"/>
        <c:grouping val="percentStacked"/>
        <c:ser>
          <c:idx val="0"/>
          <c:order val="0"/>
          <c:tx>
            <c:strRef>
              <c:f>Лист1!$B$1</c:f>
              <c:strCache>
                <c:ptCount val="1"/>
                <c:pt idx="0">
                  <c:v>Сельскохозяйственные организации</c:v>
                </c:pt>
              </c:strCache>
            </c:strRef>
          </c:tx>
          <c:spPr>
            <a:solidFill>
              <a:srgbClr val="92D050"/>
            </a:solidFill>
          </c:spPr>
          <c:dLbls>
            <c:dLbl>
              <c:idx val="0"/>
              <c:layout>
                <c:manualLayout>
                  <c:x val="-4.5662100456621271E-3"/>
                  <c:y val="-1.618468146027208E-2"/>
                </c:manualLayout>
              </c:layout>
              <c:tx>
                <c:rich>
                  <a:bodyPr/>
                  <a:lstStyle/>
                  <a:p>
                    <a:r>
                      <a:rPr lang="en-US" sz="800"/>
                      <a:t>37,7</a:t>
                    </a:r>
                  </a:p>
                </c:rich>
              </c:tx>
              <c:showVal val="1"/>
              <c:extLst>
                <c:ext xmlns:c15="http://schemas.microsoft.com/office/drawing/2012/chart" uri="{CE6537A1-D6FC-4f65-9D91-7224C49458BB}">
                  <c15:layout/>
                </c:ext>
              </c:extLst>
            </c:dLbl>
            <c:dLbl>
              <c:idx val="1"/>
              <c:layout>
                <c:manualLayout>
                  <c:x val="0"/>
                  <c:y val="-8.4176977877765281E-3"/>
                </c:manualLayout>
              </c:layout>
              <c:tx>
                <c:rich>
                  <a:bodyPr/>
                  <a:lstStyle/>
                  <a:p>
                    <a:r>
                      <a:rPr lang="en-US" sz="800"/>
                      <a:t>62,0</a:t>
                    </a:r>
                  </a:p>
                </c:rich>
              </c:tx>
              <c:showVal val="1"/>
              <c:extLst>
                <c:ext xmlns:c15="http://schemas.microsoft.com/office/drawing/2012/chart" uri="{CE6537A1-D6FC-4f65-9D91-7224C49458BB}">
                  <c15:layout/>
                </c:ext>
              </c:extLst>
            </c:dLbl>
            <c:dLbl>
              <c:idx val="2"/>
              <c:layout>
                <c:manualLayout>
                  <c:x val="8.3712883778763194E-17"/>
                  <c:y val="-9.0677440830100528E-3"/>
                </c:manualLayout>
              </c:layout>
              <c:tx>
                <c:rich>
                  <a:bodyPr/>
                  <a:lstStyle/>
                  <a:p>
                    <a:r>
                      <a:rPr lang="en-US" sz="800"/>
                      <a:t>35,8</a:t>
                    </a:r>
                  </a:p>
                </c:rich>
              </c:tx>
              <c:showVal val="1"/>
              <c:extLst>
                <c:ext xmlns:c15="http://schemas.microsoft.com/office/drawing/2012/chart" uri="{CE6537A1-D6FC-4f65-9D91-7224C49458BB}">
                  <c15:layout/>
                </c:ext>
              </c:extLst>
            </c:dLbl>
            <c:dLbl>
              <c:idx val="3"/>
              <c:layout>
                <c:manualLayout>
                  <c:x val="0"/>
                  <c:y val="-5.0505050505050475E-3"/>
                </c:manualLayout>
              </c:layout>
              <c:tx>
                <c:rich>
                  <a:bodyPr/>
                  <a:lstStyle/>
                  <a:p>
                    <a:r>
                      <a:rPr lang="en-US" sz="800"/>
                      <a:t>52,2</a:t>
                    </a:r>
                  </a:p>
                </c:rich>
              </c:tx>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Лист1!$B$2:$B$5</c:f>
              <c:numCache>
                <c:formatCode>General</c:formatCode>
                <c:ptCount val="4"/>
                <c:pt idx="0" formatCode="0.0">
                  <c:v>37.700000000000003</c:v>
                </c:pt>
                <c:pt idx="1">
                  <c:v>62.1</c:v>
                </c:pt>
                <c:pt idx="2" formatCode="0.0">
                  <c:v>35.800000000000004</c:v>
                </c:pt>
                <c:pt idx="3">
                  <c:v>52.2</c:v>
                </c:pt>
              </c:numCache>
            </c:numRef>
          </c:val>
        </c:ser>
        <c:ser>
          <c:idx val="1"/>
          <c:order val="1"/>
          <c:tx>
            <c:strRef>
              <c:f>Лист1!$C$1</c:f>
              <c:strCache>
                <c:ptCount val="1"/>
                <c:pt idx="0">
                  <c:v>Хозяйства населения</c:v>
                </c:pt>
              </c:strCache>
            </c:strRef>
          </c:tx>
          <c:spPr>
            <a:solidFill>
              <a:srgbClr val="C0504D">
                <a:lumMod val="60000"/>
                <a:lumOff val="40000"/>
              </a:srgbClr>
            </a:solidFill>
          </c:spPr>
          <c:dLbls>
            <c:dLbl>
              <c:idx val="0"/>
              <c:layout>
                <c:manualLayout>
                  <c:x val="-4.5662100456621271E-3"/>
                  <c:y val="1.4768551658315534E-2"/>
                </c:manualLayout>
              </c:layout>
              <c:tx>
                <c:rich>
                  <a:bodyPr/>
                  <a:lstStyle/>
                  <a:p>
                    <a:r>
                      <a:rPr lang="en-US" sz="800"/>
                      <a:t>62,3</a:t>
                    </a:r>
                  </a:p>
                </c:rich>
              </c:tx>
              <c:showVal val="1"/>
              <c:extLst>
                <c:ext xmlns:c15="http://schemas.microsoft.com/office/drawing/2012/chart" uri="{CE6537A1-D6FC-4f65-9D91-7224C49458BB}">
                  <c15:layout/>
                </c:ext>
              </c:extLst>
            </c:dLbl>
            <c:dLbl>
              <c:idx val="1"/>
              <c:layout>
                <c:manualLayout>
                  <c:x val="0"/>
                  <c:y val="4.8588244651236933E-3"/>
                </c:manualLayout>
              </c:layout>
              <c:tx>
                <c:rich>
                  <a:bodyPr/>
                  <a:lstStyle/>
                  <a:p>
                    <a:r>
                      <a:rPr lang="en-US" sz="800"/>
                      <a:t>38,0</a:t>
                    </a:r>
                  </a:p>
                </c:rich>
              </c:tx>
              <c:showVal val="1"/>
              <c:extLst>
                <c:ext xmlns:c15="http://schemas.microsoft.com/office/drawing/2012/chart" uri="{CE6537A1-D6FC-4f65-9D91-7224C49458BB}">
                  <c15:layout/>
                </c:ext>
              </c:extLst>
            </c:dLbl>
            <c:dLbl>
              <c:idx val="2"/>
              <c:layout>
                <c:manualLayout>
                  <c:x val="8.3712883778763194E-17"/>
                  <c:y val="-4.859086491739553E-3"/>
                </c:manualLayout>
              </c:layout>
              <c:tx>
                <c:rich>
                  <a:bodyPr/>
                  <a:lstStyle/>
                  <a:p>
                    <a:r>
                      <a:rPr lang="en-US" sz="800"/>
                      <a:t>64,2</a:t>
                    </a:r>
                  </a:p>
                </c:rich>
              </c:tx>
              <c:showVal val="1"/>
              <c:extLst>
                <c:ext xmlns:c15="http://schemas.microsoft.com/office/drawing/2012/chart" uri="{CE6537A1-D6FC-4f65-9D91-7224C49458BB}">
                  <c15:layout/>
                </c:ext>
              </c:extLst>
            </c:dLbl>
            <c:dLbl>
              <c:idx val="3"/>
              <c:layout>
                <c:manualLayout>
                  <c:x val="-4.5662100456621271E-3"/>
                  <c:y val="-1.912829078183415E-4"/>
                </c:manualLayout>
              </c:layout>
              <c:tx>
                <c:rich>
                  <a:bodyPr/>
                  <a:lstStyle/>
                  <a:p>
                    <a:r>
                      <a:rPr lang="en-US" sz="800"/>
                      <a:t>47,8</a:t>
                    </a:r>
                  </a:p>
                </c:rich>
              </c:tx>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КРС</c:v>
                </c:pt>
                <c:pt idx="1">
                  <c:v>Свиньи</c:v>
                </c:pt>
                <c:pt idx="2">
                  <c:v>Овцы и козы</c:v>
                </c:pt>
                <c:pt idx="3">
                  <c:v>Птица</c:v>
                </c:pt>
              </c:strCache>
            </c:strRef>
          </c:cat>
          <c:val>
            <c:numRef>
              <c:f>Лист1!$C$2:$C$5</c:f>
              <c:numCache>
                <c:formatCode>0.0</c:formatCode>
                <c:ptCount val="4"/>
                <c:pt idx="0">
                  <c:v>62.3</c:v>
                </c:pt>
                <c:pt idx="1">
                  <c:v>37.9</c:v>
                </c:pt>
                <c:pt idx="2">
                  <c:v>64.2</c:v>
                </c:pt>
                <c:pt idx="3" formatCode="General">
                  <c:v>47.8</c:v>
                </c:pt>
              </c:numCache>
            </c:numRef>
          </c:val>
        </c:ser>
        <c:dLbls>
          <c:showVal val="1"/>
        </c:dLbls>
        <c:overlap val="100"/>
        <c:axId val="98289152"/>
        <c:axId val="98290688"/>
      </c:barChart>
      <c:catAx>
        <c:axId val="98289152"/>
        <c:scaling>
          <c:orientation val="minMax"/>
        </c:scaling>
        <c:axPos val="b"/>
        <c:numFmt formatCode="General" sourceLinked="1"/>
        <c:tickLblPos val="nextTo"/>
        <c:txPr>
          <a:bodyPr/>
          <a:lstStyle/>
          <a:p>
            <a:pPr>
              <a:defRPr sz="900" b="1">
                <a:latin typeface="Times New Roman" pitchFamily="18" charset="0"/>
                <a:cs typeface="Times New Roman" pitchFamily="18" charset="0"/>
              </a:defRPr>
            </a:pPr>
            <a:endParaRPr lang="ru-RU"/>
          </a:p>
        </c:txPr>
        <c:crossAx val="98290688"/>
        <c:crosses val="autoZero"/>
        <c:auto val="1"/>
        <c:lblAlgn val="ctr"/>
        <c:lblOffset val="100"/>
      </c:catAx>
      <c:valAx>
        <c:axId val="98290688"/>
        <c:scaling>
          <c:orientation val="minMax"/>
        </c:scaling>
        <c:axPos val="l"/>
        <c:numFmt formatCode="0%" sourceLinked="1"/>
        <c:tickLblPos val="nextTo"/>
        <c:txPr>
          <a:bodyPr/>
          <a:lstStyle/>
          <a:p>
            <a:pPr>
              <a:defRPr sz="898" b="1">
                <a:latin typeface="Times New Roman" pitchFamily="18" charset="0"/>
                <a:cs typeface="Times New Roman" pitchFamily="18" charset="0"/>
              </a:defRPr>
            </a:pPr>
            <a:endParaRPr lang="ru-RU"/>
          </a:p>
        </c:txPr>
        <c:crossAx val="98289152"/>
        <c:crosses val="autoZero"/>
        <c:crossBetween val="between"/>
        <c:majorUnit val="0.2"/>
      </c:valAx>
    </c:plotArea>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животноводства </a:t>
            </a:r>
          </a:p>
          <a:p>
            <a:pPr>
              <a:defRPr sz="1100"/>
            </a:pPr>
            <a:r>
              <a:rPr lang="ru-RU" sz="1100"/>
              <a:t>в организациях, осуществляющих сельскохозяйственное производство</a:t>
            </a:r>
          </a:p>
        </c:rich>
      </c:tx>
      <c:layout>
        <c:manualLayout>
          <c:xMode val="edge"/>
          <c:yMode val="edge"/>
          <c:x val="0.17626648082634655"/>
          <c:y val="2.2000748334131185E-2"/>
        </c:manualLayout>
      </c:layout>
    </c:title>
    <c:plotArea>
      <c:layout>
        <c:manualLayout>
          <c:layoutTarget val="inner"/>
          <c:xMode val="edge"/>
          <c:yMode val="edge"/>
          <c:x val="0.26578080965685946"/>
          <c:y val="0.1705361829771293"/>
          <c:w val="0.75871589085073265"/>
          <c:h val="0.39326677915260844"/>
        </c:manualLayout>
      </c:layout>
      <c:barChart>
        <c:barDir val="col"/>
        <c:grouping val="clustered"/>
        <c:ser>
          <c:idx val="0"/>
          <c:order val="0"/>
          <c:tx>
            <c:strRef>
              <c:f>Лист1!$B$1</c:f>
              <c:strCache>
                <c:ptCount val="1"/>
                <c:pt idx="0">
                  <c:v>январь-июнь 2016 года</c:v>
                </c:pt>
              </c:strCache>
            </c:strRef>
          </c:tx>
          <c:dLbls>
            <c:dLbl>
              <c:idx val="0"/>
              <c:layout>
                <c:manualLayout>
                  <c:x val="1.9613488018938017E-3"/>
                  <c:y val="1.2251939640412912E-2"/>
                </c:manualLayout>
              </c:layout>
              <c:tx>
                <c:rich>
                  <a:bodyPr/>
                  <a:lstStyle/>
                  <a:p>
                    <a:r>
                      <a:rPr lang="en-US" sz="900" b="1">
                        <a:latin typeface="Times New Roman" pitchFamily="18" charset="0"/>
                        <a:cs typeface="Times New Roman" pitchFamily="18" charset="0"/>
                      </a:rPr>
                      <a:t>148,0*</a:t>
                    </a:r>
                  </a:p>
                </c:rich>
              </c:tx>
              <c:dLblPos val="outEnd"/>
              <c:showVal val="1"/>
              <c:extLst>
                <c:ext xmlns:c15="http://schemas.microsoft.com/office/drawing/2012/chart" uri="{CE6537A1-D6FC-4f65-9D91-7224C49458BB}">
                  <c15:layout/>
                </c:ext>
              </c:extLst>
            </c:dLbl>
            <c:dLbl>
              <c:idx val="1"/>
              <c:layout>
                <c:manualLayout>
                  <c:x val="1.7847432316631308E-3"/>
                  <c:y val="1.0384862488544788E-2"/>
                </c:manualLayout>
              </c:layout>
              <c:tx>
                <c:rich>
                  <a:bodyPr/>
                  <a:lstStyle/>
                  <a:p>
                    <a:r>
                      <a:rPr lang="en-US" sz="900" b="1">
                        <a:latin typeface="Times New Roman" pitchFamily="18" charset="0"/>
                        <a:cs typeface="Times New Roman" pitchFamily="18" charset="0"/>
                      </a:rPr>
                      <a:t>84,8*</a:t>
                    </a:r>
                  </a:p>
                </c:rich>
              </c:tx>
              <c:dLblPos val="outEnd"/>
              <c:showVal val="1"/>
              <c:extLst>
                <c:ext xmlns:c15="http://schemas.microsoft.com/office/drawing/2012/chart" uri="{CE6537A1-D6FC-4f65-9D91-7224C49458BB}">
                  <c15:layout/>
                </c:ext>
              </c:extLst>
            </c:dLbl>
            <c:dLbl>
              <c:idx val="2"/>
              <c:layout>
                <c:manualLayout>
                  <c:x val="8.487556272016199E-17"/>
                  <c:y val="1.1904761904761921E-2"/>
                </c:manualLayout>
              </c:layout>
              <c:tx>
                <c:rich>
                  <a:bodyPr/>
                  <a:lstStyle/>
                  <a:p>
                    <a:r>
                      <a:rPr lang="en-US" sz="900" b="1">
                        <a:latin typeface="Times New Roman" pitchFamily="18" charset="0"/>
                        <a:cs typeface="Times New Roman" pitchFamily="18" charset="0"/>
                      </a:rPr>
                      <a:t>27,9*</a:t>
                    </a:r>
                  </a:p>
                </c:rich>
              </c:tx>
              <c:dLblPos val="outEnd"/>
              <c:showVal val="1"/>
              <c:extLst>
                <c:ext xmlns:c15="http://schemas.microsoft.com/office/drawing/2012/chart" uri="{CE6537A1-D6FC-4f65-9D91-7224C49458BB}">
                  <c15:layout/>
                </c:ext>
              </c:extLst>
            </c:dLbl>
            <c:spPr>
              <a:noFill/>
              <a:ln>
                <a:noFill/>
              </a:ln>
              <a:effectLst/>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Лист1!$B$2:$B$4</c:f>
              <c:numCache>
                <c:formatCode>#,##0.0</c:formatCode>
                <c:ptCount val="3"/>
                <c:pt idx="0">
                  <c:v>3341.9</c:v>
                </c:pt>
                <c:pt idx="1">
                  <c:v>3104.7</c:v>
                </c:pt>
                <c:pt idx="2">
                  <c:v>4799.9000000000005</c:v>
                </c:pt>
              </c:numCache>
            </c:numRef>
          </c:val>
        </c:ser>
        <c:ser>
          <c:idx val="1"/>
          <c:order val="1"/>
          <c:tx>
            <c:strRef>
              <c:f>Лист1!$C$1</c:f>
              <c:strCache>
                <c:ptCount val="1"/>
                <c:pt idx="0">
                  <c:v>январь-июнь 2017 года</c:v>
                </c:pt>
              </c:strCache>
            </c:strRef>
          </c:tx>
          <c:spPr>
            <a:solidFill>
              <a:schemeClr val="accent5">
                <a:lumMod val="40000"/>
                <a:lumOff val="60000"/>
              </a:schemeClr>
            </a:solidFill>
          </c:spPr>
          <c:dLbls>
            <c:dLbl>
              <c:idx val="0"/>
              <c:layout>
                <c:manualLayout>
                  <c:x val="1.0781555531365263E-2"/>
                  <c:y val="8.4445476487021026E-3"/>
                </c:manualLayout>
              </c:layout>
              <c:tx>
                <c:rich>
                  <a:bodyPr/>
                  <a:lstStyle/>
                  <a:p>
                    <a:r>
                      <a:rPr lang="en-US" sz="900" b="1">
                        <a:latin typeface="Times New Roman" pitchFamily="18" charset="0"/>
                        <a:cs typeface="Times New Roman" pitchFamily="18" charset="0"/>
                      </a:rPr>
                      <a:t>90,2*</a:t>
                    </a:r>
                  </a:p>
                </c:rich>
              </c:tx>
              <c:dLblPos val="outEnd"/>
              <c:showVal val="1"/>
              <c:extLst>
                <c:ext xmlns:c15="http://schemas.microsoft.com/office/drawing/2012/chart" uri="{CE6537A1-D6FC-4f65-9D91-7224C49458BB}">
                  <c15:layout/>
                </c:ext>
              </c:extLst>
            </c:dLbl>
            <c:dLbl>
              <c:idx val="1"/>
              <c:layout>
                <c:manualLayout>
                  <c:x val="-1.7562320838927634E-4"/>
                  <c:y val="1.4991168999317588E-2"/>
                </c:manualLayout>
              </c:layout>
              <c:tx>
                <c:rich>
                  <a:bodyPr/>
                  <a:lstStyle/>
                  <a:p>
                    <a:r>
                      <a:rPr lang="en-US" sz="900" b="1">
                        <a:latin typeface="Times New Roman" pitchFamily="18" charset="0"/>
                        <a:cs typeface="Times New Roman" pitchFamily="18" charset="0"/>
                      </a:rPr>
                      <a:t>101,8*</a:t>
                    </a:r>
                  </a:p>
                </c:rich>
              </c:tx>
              <c:dLblPos val="outEnd"/>
              <c:showVal val="1"/>
              <c:extLst>
                <c:ext xmlns:c15="http://schemas.microsoft.com/office/drawing/2012/chart" uri="{CE6537A1-D6FC-4f65-9D91-7224C49458BB}">
                  <c15:layout/>
                </c:ext>
              </c:extLst>
            </c:dLbl>
            <c:dLbl>
              <c:idx val="2"/>
              <c:layout>
                <c:manualLayout>
                  <c:x val="2.3147415692049392E-3"/>
                  <c:y val="1.8473035698124043E-2"/>
                </c:manualLayout>
              </c:layout>
              <c:tx>
                <c:rich>
                  <a:bodyPr/>
                  <a:lstStyle/>
                  <a:p>
                    <a:r>
                      <a:rPr lang="en-US" sz="900" b="1">
                        <a:latin typeface="Times New Roman" pitchFamily="18" charset="0"/>
                        <a:cs typeface="Times New Roman" pitchFamily="18" charset="0"/>
                      </a:rPr>
                      <a:t>76,8*</a:t>
                    </a:r>
                  </a:p>
                </c:rich>
              </c:tx>
              <c:dLblPos val="outEnd"/>
              <c:showVal val="1"/>
              <c:extLst>
                <c:ext xmlns:c15="http://schemas.microsoft.com/office/drawing/2012/chart" uri="{CE6537A1-D6FC-4f65-9D91-7224C49458BB}">
                  <c15:layout/>
                </c:ext>
              </c:extLst>
            </c:dLbl>
            <c:spPr>
              <a:noFill/>
              <a:ln>
                <a:noFill/>
              </a:ln>
              <a:effectLst/>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Лист1!$C$2:$C$4</c:f>
              <c:numCache>
                <c:formatCode>#,##0.0</c:formatCode>
                <c:ptCount val="3"/>
                <c:pt idx="0">
                  <c:v>3015.8</c:v>
                </c:pt>
                <c:pt idx="1">
                  <c:v>3159.8</c:v>
                </c:pt>
                <c:pt idx="2">
                  <c:v>3686.1</c:v>
                </c:pt>
              </c:numCache>
            </c:numRef>
          </c:val>
        </c:ser>
        <c:dLbls>
          <c:showVal val="1"/>
        </c:dLbls>
        <c:axId val="98578432"/>
        <c:axId val="98579968"/>
      </c:barChart>
      <c:catAx>
        <c:axId val="98578432"/>
        <c:scaling>
          <c:orientation val="minMax"/>
        </c:scaling>
        <c:axPos val="b"/>
        <c:numFmt formatCode="General" sourceLinked="0"/>
        <c:tickLblPos val="nextTo"/>
        <c:crossAx val="98579968"/>
        <c:crosses val="autoZero"/>
        <c:auto val="1"/>
        <c:lblAlgn val="ctr"/>
        <c:lblOffset val="100"/>
      </c:catAx>
      <c:valAx>
        <c:axId val="98579968"/>
        <c:scaling>
          <c:orientation val="minMax"/>
          <c:max val="5000"/>
        </c:scaling>
        <c:axPos val="l"/>
        <c:numFmt formatCode="#,##0.0" sourceLinked="1"/>
        <c:tickLblPos val="nextTo"/>
        <c:txPr>
          <a:bodyPr/>
          <a:lstStyle/>
          <a:p>
            <a:pPr>
              <a:defRPr sz="900"/>
            </a:pPr>
            <a:endParaRPr lang="ru-RU"/>
          </a:p>
        </c:txPr>
        <c:crossAx val="98578432"/>
        <c:crosses val="autoZero"/>
        <c:crossBetween val="between"/>
        <c:majorUnit val="1000"/>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latin typeface="Times New Roman" pitchFamily="18" charset="0"/>
                <a:cs typeface="Times New Roman" pitchFamily="18" charset="0"/>
              </a:rPr>
              <a:t>Анализ основных доходов от предоставления услуг электросвязи (млн. руб.)</a:t>
            </a:r>
          </a:p>
        </c:rich>
      </c:tx>
      <c:layout>
        <c:manualLayout>
          <c:xMode val="edge"/>
          <c:yMode val="edge"/>
          <c:x val="0.14733612273361227"/>
          <c:y val="2.1645021645021696E-2"/>
        </c:manualLayout>
      </c:layout>
    </c:title>
    <c:view3D>
      <c:rotX val="5"/>
      <c:rotY val="5"/>
      <c:depthPercent val="110"/>
      <c:perspective val="0"/>
    </c:view3D>
    <c:plotArea>
      <c:layout>
        <c:manualLayout>
          <c:layoutTarget val="inner"/>
          <c:xMode val="edge"/>
          <c:yMode val="edge"/>
          <c:x val="0.23890283589028763"/>
          <c:y val="0.12900451443569555"/>
          <c:w val="0.76109722146802072"/>
          <c:h val="0.52828178477689958"/>
        </c:manualLayout>
      </c:layout>
      <c:bar3DChart>
        <c:barDir val="col"/>
        <c:grouping val="stacked"/>
        <c:ser>
          <c:idx val="0"/>
          <c:order val="0"/>
          <c:tx>
            <c:strRef>
              <c:f>Лист1!$B$1</c:f>
              <c:strCache>
                <c:ptCount val="1"/>
                <c:pt idx="0">
                  <c:v>Фиксированная связь</c:v>
                </c:pt>
              </c:strCache>
            </c:strRef>
          </c:tx>
          <c:spPr>
            <a:solidFill>
              <a:srgbClr val="00B0F0"/>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январь-июнь 2017 года</c:v>
                </c:pt>
                <c:pt idx="1">
                  <c:v>январь-июнь 2016 года</c:v>
                </c:pt>
              </c:strCache>
            </c:strRef>
          </c:cat>
          <c:val>
            <c:numRef>
              <c:f>Лист1!$B$2:$B$3</c:f>
              <c:numCache>
                <c:formatCode>#,##0.0</c:formatCode>
                <c:ptCount val="2"/>
                <c:pt idx="0">
                  <c:v>76.3</c:v>
                </c:pt>
                <c:pt idx="1">
                  <c:v>81.8</c:v>
                </c:pt>
              </c:numCache>
            </c:numRef>
          </c:val>
        </c:ser>
        <c:ser>
          <c:idx val="1"/>
          <c:order val="1"/>
          <c:tx>
            <c:strRef>
              <c:f>Лист1!$C$1</c:f>
              <c:strCache>
                <c:ptCount val="1"/>
                <c:pt idx="0">
                  <c:v>Мобильная связь</c:v>
                </c:pt>
              </c:strCache>
            </c:strRef>
          </c:tx>
          <c:spPr>
            <a:solidFill>
              <a:srgbClr val="FF5050"/>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январь-июнь 2017 года</c:v>
                </c:pt>
                <c:pt idx="1">
                  <c:v>январь-июнь 2016 года</c:v>
                </c:pt>
              </c:strCache>
            </c:strRef>
          </c:cat>
          <c:val>
            <c:numRef>
              <c:f>Лист1!$C$2:$C$3</c:f>
              <c:numCache>
                <c:formatCode>#,##0.0</c:formatCode>
                <c:ptCount val="2"/>
                <c:pt idx="0">
                  <c:v>115.9</c:v>
                </c:pt>
                <c:pt idx="1">
                  <c:v>130</c:v>
                </c:pt>
              </c:numCache>
            </c:numRef>
          </c:val>
        </c:ser>
        <c:ser>
          <c:idx val="2"/>
          <c:order val="2"/>
          <c:tx>
            <c:strRef>
              <c:f>Лист1!$D$1</c:f>
              <c:strCache>
                <c:ptCount val="1"/>
                <c:pt idx="0">
                  <c:v>Услуги по передаче данных и доступа к глобальной сети Интернет или к информационным ресурсам</c:v>
                </c:pt>
              </c:strCache>
            </c:strRef>
          </c:tx>
          <c:spPr>
            <a:solidFill>
              <a:srgbClr val="92D050"/>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январь-июнь 2017 года</c:v>
                </c:pt>
                <c:pt idx="1">
                  <c:v>январь-июнь 2016 года</c:v>
                </c:pt>
              </c:strCache>
            </c:strRef>
          </c:cat>
          <c:val>
            <c:numRef>
              <c:f>Лист1!$D$2:$D$3</c:f>
              <c:numCache>
                <c:formatCode>#,##0.0</c:formatCode>
                <c:ptCount val="2"/>
                <c:pt idx="0">
                  <c:v>107.7</c:v>
                </c:pt>
                <c:pt idx="1">
                  <c:v>95.7</c:v>
                </c:pt>
              </c:numCache>
            </c:numRef>
          </c:val>
        </c:ser>
        <c:ser>
          <c:idx val="3"/>
          <c:order val="3"/>
          <c:tx>
            <c:strRef>
              <c:f>Лист1!$E$1</c:f>
              <c:strCache>
                <c:ptCount val="1"/>
                <c:pt idx="0">
                  <c:v>Услуги для целей телевизионного вещания</c:v>
                </c:pt>
              </c:strCache>
            </c:strRef>
          </c:tx>
          <c:spPr>
            <a:solidFill>
              <a:srgbClr val="9999FF"/>
            </a:solidFill>
          </c:spPr>
          <c:dLbls>
            <c:dLbl>
              <c:idx val="0"/>
              <c:spPr/>
              <c:txPr>
                <a:bodyPr/>
                <a:lstStyle/>
                <a:p>
                  <a:pPr>
                    <a:defRPr sz="1000" b="1">
                      <a:latin typeface="Times New Roman" pitchFamily="18" charset="0"/>
                      <a:cs typeface="Times New Roman" pitchFamily="18" charset="0"/>
                    </a:defRPr>
                  </a:pPr>
                  <a:endParaRPr lang="ru-RU"/>
                </a:p>
              </c:txPr>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январь-июнь 2017 года</c:v>
                </c:pt>
                <c:pt idx="1">
                  <c:v>январь-июнь 2016 года</c:v>
                </c:pt>
              </c:strCache>
            </c:strRef>
          </c:cat>
          <c:val>
            <c:numRef>
              <c:f>Лист1!$E$2:$E$3</c:f>
              <c:numCache>
                <c:formatCode>#,##0.0</c:formatCode>
                <c:ptCount val="2"/>
                <c:pt idx="0">
                  <c:v>32.5</c:v>
                </c:pt>
                <c:pt idx="1">
                  <c:v>30</c:v>
                </c:pt>
              </c:numCache>
            </c:numRef>
          </c:val>
        </c:ser>
        <c:ser>
          <c:idx val="4"/>
          <c:order val="4"/>
          <c:tx>
            <c:strRef>
              <c:f>Лист1!$F$1</c:f>
              <c:strCache>
                <c:ptCount val="1"/>
                <c:pt idx="0">
                  <c:v>Услуги для целей радиовещания</c:v>
                </c:pt>
              </c:strCache>
            </c:strRef>
          </c:tx>
          <c:spPr>
            <a:solidFill>
              <a:srgbClr val="FFC000"/>
            </a:solidFill>
          </c:spPr>
          <c:dLbls>
            <c:dLbl>
              <c:idx val="0"/>
              <c:layout>
                <c:manualLayout>
                  <c:x val="3.7192003719200991E-3"/>
                  <c:y val="-3.4632034632034653E-2"/>
                </c:manualLayout>
              </c:layout>
              <c:showVal val="1"/>
              <c:extLst>
                <c:ext xmlns:c15="http://schemas.microsoft.com/office/drawing/2012/chart" uri="{CE6537A1-D6FC-4f65-9D91-7224C49458BB}">
                  <c15:layout/>
                </c:ext>
              </c:extLst>
            </c:dLbl>
            <c:dLbl>
              <c:idx val="1"/>
              <c:layout>
                <c:manualLayout>
                  <c:x val="1.8596001859600482E-3"/>
                  <c:y val="-3.463203463203463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2017 года</c:v>
                </c:pt>
                <c:pt idx="1">
                  <c:v>январь-июнь 2016 года</c:v>
                </c:pt>
              </c:strCache>
            </c:strRef>
          </c:cat>
          <c:val>
            <c:numRef>
              <c:f>Лист1!$F$2:$F$3</c:f>
              <c:numCache>
                <c:formatCode>#,##0.0</c:formatCode>
                <c:ptCount val="2"/>
                <c:pt idx="0">
                  <c:v>17.3</c:v>
                </c:pt>
                <c:pt idx="1">
                  <c:v>13.858600000000004</c:v>
                </c:pt>
              </c:numCache>
            </c:numRef>
          </c:val>
        </c:ser>
        <c:gapWidth val="75"/>
        <c:shape val="cylinder"/>
        <c:axId val="98550528"/>
        <c:axId val="98552064"/>
        <c:axId val="0"/>
      </c:bar3DChart>
      <c:catAx>
        <c:axId val="98550528"/>
        <c:scaling>
          <c:orientation val="minMax"/>
        </c:scaling>
        <c:axPos val="b"/>
        <c:numFmt formatCode="General" sourceLinked="0"/>
        <c:majorTickMark val="none"/>
        <c:tickLblPos val="nextTo"/>
        <c:txPr>
          <a:bodyPr/>
          <a:lstStyle/>
          <a:p>
            <a:pPr>
              <a:defRPr sz="1000" b="1">
                <a:latin typeface="Times New Roman" pitchFamily="18" charset="0"/>
                <a:cs typeface="Times New Roman" pitchFamily="18" charset="0"/>
              </a:defRPr>
            </a:pPr>
            <a:endParaRPr lang="ru-RU"/>
          </a:p>
        </c:txPr>
        <c:crossAx val="98552064"/>
        <c:crosses val="autoZero"/>
        <c:auto val="1"/>
        <c:lblAlgn val="ctr"/>
        <c:lblOffset val="100"/>
      </c:catAx>
      <c:valAx>
        <c:axId val="98552064"/>
        <c:scaling>
          <c:orientation val="minMax"/>
        </c:scaling>
        <c:axPos val="l"/>
        <c:majorGridlines/>
        <c:numFmt formatCode="#,##0.0" sourceLinked="1"/>
        <c:majorTickMark val="none"/>
        <c:tickLblPos val="nextTo"/>
        <c:spPr>
          <a:ln w="9525">
            <a:noFill/>
          </a:ln>
        </c:spPr>
        <c:txPr>
          <a:bodyPr/>
          <a:lstStyle/>
          <a:p>
            <a:pPr>
              <a:defRPr b="1">
                <a:latin typeface="Times New Roman" pitchFamily="18" charset="0"/>
                <a:cs typeface="Times New Roman" pitchFamily="18" charset="0"/>
              </a:defRPr>
            </a:pPr>
            <a:endParaRPr lang="ru-RU"/>
          </a:p>
        </c:txPr>
        <c:crossAx val="98550528"/>
        <c:crosses val="autoZero"/>
        <c:crossBetween val="between"/>
      </c:valAx>
    </c:plotArea>
    <c:legend>
      <c:legendPos val="b"/>
      <c:layout>
        <c:manualLayout>
          <c:xMode val="edge"/>
          <c:yMode val="edge"/>
          <c:x val="2.2694829360712546E-2"/>
          <c:y val="0.72588379940880265"/>
          <c:w val="0.95791621705360164"/>
          <c:h val="0.2741163036438689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a:effectLst>
      <a:outerShdw blurRad="50800" dist="38100" algn="l" rotWithShape="0">
        <a:prstClr val="black">
          <a:alpha val="40000"/>
        </a:prstClr>
      </a:outerShdw>
    </a:effectLst>
    <a:scene3d>
      <a:camera prst="orthographicFront"/>
      <a:lightRig rig="threePt" dir="t"/>
    </a:scene3d>
    <a:sp3d prstMaterial="powder"/>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solidFill>
                  <a:sysClr val="windowText" lastClr="000000"/>
                </a:solidFill>
              </a:rPr>
              <a:t>Структура доходов от основной деятельности в разрезе </a:t>
            </a:r>
          </a:p>
          <a:p>
            <a:pPr>
              <a:defRPr sz="1100" b="1" i="0" u="none" strike="noStrike" baseline="0">
                <a:solidFill>
                  <a:srgbClr val="000000"/>
                </a:solidFill>
                <a:latin typeface="Times New Roman"/>
                <a:ea typeface="Times New Roman"/>
                <a:cs typeface="Times New Roman"/>
              </a:defRPr>
            </a:pPr>
            <a:r>
              <a:rPr lang="ru-RU" sz="1100">
                <a:solidFill>
                  <a:sysClr val="windowText" lastClr="000000"/>
                </a:solidFill>
              </a:rPr>
              <a:t>предприятий почтовой связи за </a:t>
            </a:r>
            <a:r>
              <a:rPr lang="en-US" sz="1100">
                <a:solidFill>
                  <a:sysClr val="windowText" lastClr="000000"/>
                </a:solidFill>
              </a:rPr>
              <a:t>I </a:t>
            </a:r>
            <a:r>
              <a:rPr lang="ru-RU" sz="1100">
                <a:solidFill>
                  <a:sysClr val="windowText" lastClr="000000"/>
                </a:solidFill>
              </a:rPr>
              <a:t>полугодие  2017 года (тыс. руб.)</a:t>
            </a:r>
          </a:p>
        </c:rich>
      </c:tx>
      <c:layout>
        <c:manualLayout>
          <c:xMode val="edge"/>
          <c:yMode val="edge"/>
          <c:x val="0.19314063270181114"/>
          <c:y val="0"/>
        </c:manualLayout>
      </c:layout>
      <c:spPr>
        <a:noFill/>
        <a:ln w="25441">
          <a:noFill/>
        </a:ln>
      </c:spPr>
    </c:title>
    <c:view3D>
      <c:rotX val="30"/>
      <c:rotY val="30"/>
      <c:depthPercent val="120"/>
      <c:perspective val="0"/>
    </c:view3D>
    <c:plotArea>
      <c:layout>
        <c:manualLayout>
          <c:layoutTarget val="inner"/>
          <c:xMode val="edge"/>
          <c:yMode val="edge"/>
          <c:x val="0.46620236986505903"/>
          <c:y val="0.42344539035941736"/>
          <c:w val="0.53379765851636962"/>
          <c:h val="0.57275881105268511"/>
        </c:manualLayout>
      </c:layout>
      <c:pie3DChart>
        <c:varyColors val="1"/>
        <c:ser>
          <c:idx val="0"/>
          <c:order val="0"/>
          <c:tx>
            <c:strRef>
              <c:f>Sheet1!$A$2</c:f>
              <c:strCache>
                <c:ptCount val="1"/>
                <c:pt idx="0">
                  <c:v>Восток</c:v>
                </c:pt>
              </c:strCache>
            </c:strRef>
          </c:tx>
          <c:spPr>
            <a:solidFill>
              <a:srgbClr val="FFFFFF"/>
            </a:solidFill>
            <a:ln w="12720">
              <a:solidFill>
                <a:srgbClr val="000000"/>
              </a:solidFill>
              <a:prstDash val="solid"/>
            </a:ln>
          </c:spPr>
          <c:explosion val="29"/>
          <c:dPt>
            <c:idx val="0"/>
            <c:explosion val="27"/>
            <c:spPr>
              <a:pattFill prst="diagBrick">
                <a:fgClr>
                  <a:srgbClr val="000000"/>
                </a:fgClr>
                <a:bgClr>
                  <a:srgbClr val="FFFFFF"/>
                </a:bgClr>
              </a:pattFill>
              <a:ln w="12720">
                <a:solidFill>
                  <a:srgbClr val="000000"/>
                </a:solidFill>
                <a:prstDash val="solid"/>
              </a:ln>
            </c:spPr>
          </c:dPt>
          <c:dPt>
            <c:idx val="1"/>
            <c:explosion val="23"/>
            <c:spPr>
              <a:pattFill prst="divot">
                <a:fgClr>
                  <a:srgbClr val="000000"/>
                </a:fgClr>
                <a:bgClr>
                  <a:srgbClr val="FFFFFF"/>
                </a:bgClr>
              </a:pattFill>
              <a:ln w="12720">
                <a:solidFill>
                  <a:srgbClr val="000000"/>
                </a:solidFill>
                <a:prstDash val="solid"/>
              </a:ln>
            </c:spPr>
          </c:dPt>
          <c:dPt>
            <c:idx val="2"/>
            <c:spPr>
              <a:pattFill prst="ltVert">
                <a:fgClr>
                  <a:srgbClr val="000000"/>
                </a:fgClr>
                <a:bgClr>
                  <a:srgbClr val="FFFFFF"/>
                </a:bgClr>
              </a:pattFill>
              <a:ln w="12720">
                <a:solidFill>
                  <a:srgbClr val="000000"/>
                </a:solidFill>
                <a:prstDash val="solid"/>
              </a:ln>
            </c:spPr>
          </c:dPt>
          <c:dPt>
            <c:idx val="3"/>
            <c:spPr>
              <a:pattFill prst="zigZag">
                <a:fgClr>
                  <a:srgbClr val="000000"/>
                </a:fgClr>
                <a:bgClr>
                  <a:srgbClr val="FFFFFF"/>
                </a:bgClr>
              </a:pattFill>
              <a:ln w="12720">
                <a:solidFill>
                  <a:srgbClr val="000000"/>
                </a:solidFill>
                <a:prstDash val="solid"/>
              </a:ln>
            </c:spPr>
          </c:dPt>
          <c:dPt>
            <c:idx val="4"/>
            <c:spPr>
              <a:pattFill prst="solidDmnd">
                <a:fgClr>
                  <a:srgbClr val="000000"/>
                </a:fgClr>
                <a:bgClr>
                  <a:srgbClr val="FFFFFF"/>
                </a:bgClr>
              </a:pattFill>
              <a:ln w="12720">
                <a:solidFill>
                  <a:srgbClr val="000000"/>
                </a:solidFill>
                <a:prstDash val="solid"/>
              </a:ln>
            </c:spPr>
          </c:dPt>
          <c:dPt>
            <c:idx val="5"/>
            <c:spPr>
              <a:pattFill prst="dotGrid">
                <a:fgClr>
                  <a:srgbClr val="000000"/>
                </a:fgClr>
                <a:bgClr>
                  <a:srgbClr val="FFFFFF"/>
                </a:bgClr>
              </a:pattFill>
              <a:ln w="12720">
                <a:solidFill>
                  <a:srgbClr val="000000"/>
                </a:solidFill>
                <a:prstDash val="solid"/>
              </a:ln>
            </c:spPr>
          </c:dPt>
          <c:dPt>
            <c:idx val="6"/>
            <c:explosion val="30"/>
            <c:spPr>
              <a:pattFill prst="dkHorz">
                <a:fgClr>
                  <a:srgbClr val="000000"/>
                </a:fgClr>
                <a:bgClr>
                  <a:srgbClr val="FFFFFF"/>
                </a:bgClr>
              </a:pattFill>
              <a:ln w="12720">
                <a:solidFill>
                  <a:srgbClr val="000000"/>
                </a:solidFill>
                <a:prstDash val="solid"/>
              </a:ln>
            </c:spPr>
          </c:dPt>
          <c:dLbls>
            <c:dLbl>
              <c:idx val="0"/>
              <c:layout>
                <c:manualLayout>
                  <c:x val="2.0481310803891943E-3"/>
                  <c:y val="7.6822113103020812E-2"/>
                </c:manualLayout>
              </c:layout>
              <c:dLblPos val="bestFit"/>
              <c:showVal val="1"/>
              <c:showPercent val="1"/>
              <c:extLst>
                <c:ext xmlns:c15="http://schemas.microsoft.com/office/drawing/2012/chart" uri="{CE6537A1-D6FC-4f65-9D91-7224C49458BB}">
                  <c15:layout/>
                </c:ext>
              </c:extLst>
            </c:dLbl>
            <c:dLbl>
              <c:idx val="1"/>
              <c:layout>
                <c:manualLayout>
                  <c:x val="-5.345444722635477E-2"/>
                  <c:y val="2.8681949811624696E-2"/>
                </c:manualLayout>
              </c:layout>
              <c:dLblPos val="bestFit"/>
              <c:showVal val="1"/>
              <c:showPercent val="1"/>
              <c:extLst>
                <c:ext xmlns:c15="http://schemas.microsoft.com/office/drawing/2012/chart" uri="{CE6537A1-D6FC-4f65-9D91-7224C49458BB}">
                  <c15:layout/>
                </c:ext>
              </c:extLst>
            </c:dLbl>
            <c:dLbl>
              <c:idx val="2"/>
              <c:layout>
                <c:manualLayout>
                  <c:x val="-4.8912487912696506E-2"/>
                  <c:y val="5.4577679635064123E-3"/>
                </c:manualLayout>
              </c:layout>
              <c:dLblPos val="bestFit"/>
              <c:showVal val="1"/>
              <c:showPercent val="1"/>
              <c:extLst>
                <c:ext xmlns:c15="http://schemas.microsoft.com/office/drawing/2012/chart" uri="{CE6537A1-D6FC-4f65-9D91-7224C49458BB}">
                  <c15:layout/>
                </c:ext>
              </c:extLst>
            </c:dLbl>
            <c:dLbl>
              <c:idx val="3"/>
              <c:layout>
                <c:manualLayout>
                  <c:x val="-5.3779009531703274E-2"/>
                  <c:y val="-5.71670976552296E-2"/>
                </c:manualLayout>
              </c:layout>
              <c:dLblPos val="bestFit"/>
              <c:showVal val="1"/>
              <c:showPercent val="1"/>
              <c:extLst>
                <c:ext xmlns:c15="http://schemas.microsoft.com/office/drawing/2012/chart" uri="{CE6537A1-D6FC-4f65-9D91-7224C49458BB}">
                  <c15:layout/>
                </c:ext>
              </c:extLst>
            </c:dLbl>
            <c:dLbl>
              <c:idx val="4"/>
              <c:layout>
                <c:manualLayout>
                  <c:x val="-3.4466777179168392E-2"/>
                  <c:y val="-0.13074275309682468"/>
                </c:manualLayout>
              </c:layout>
              <c:dLblPos val="bestFit"/>
              <c:showVal val="1"/>
              <c:showPercent val="1"/>
              <c:extLst>
                <c:ext xmlns:c15="http://schemas.microsoft.com/office/drawing/2012/chart" uri="{CE6537A1-D6FC-4f65-9D91-7224C49458BB}">
                  <c15:layout/>
                </c:ext>
              </c:extLst>
            </c:dLbl>
            <c:dLbl>
              <c:idx val="5"/>
              <c:layout>
                <c:manualLayout>
                  <c:x val="-1.324475065616826E-2"/>
                  <c:y val="-0.14594183107185676"/>
                </c:manualLayout>
              </c:layout>
              <c:dLblPos val="bestFit"/>
              <c:showVal val="1"/>
              <c:showPercent val="1"/>
              <c:extLst>
                <c:ext xmlns:c15="http://schemas.microsoft.com/office/drawing/2012/chart" uri="{CE6537A1-D6FC-4f65-9D91-7224C49458BB}">
                  <c15:layout/>
                </c:ext>
              </c:extLst>
            </c:dLbl>
            <c:dLbl>
              <c:idx val="6"/>
              <c:layout>
                <c:manualLayout>
                  <c:x val="1.2935661002900953E-2"/>
                  <c:y val="-0.16106923903884721"/>
                </c:manualLayout>
              </c:layout>
              <c:dLblPos val="bestFit"/>
              <c:showVal val="1"/>
              <c:showPercent val="1"/>
              <c:extLst>
                <c:ext xmlns:c15="http://schemas.microsoft.com/office/drawing/2012/chart" uri="{CE6537A1-D6FC-4f65-9D91-7224C49458BB}">
                  <c15:layout/>
                </c:ext>
              </c:extLst>
            </c:dLbl>
            <c:dLbl>
              <c:idx val="7"/>
              <c:layout>
                <c:manualLayout>
                  <c:x val="2.4121500941414579E-2"/>
                  <c:y val="-5.3614589689203976E-2"/>
                </c:manualLayout>
              </c:layout>
              <c:showVal val="1"/>
              <c:showPercent val="1"/>
              <c:extLst>
                <c:ext xmlns:c15="http://schemas.microsoft.com/office/drawing/2012/chart" uri="{CE6537A1-D6FC-4f65-9D91-7224C49458BB}"/>
              </c:extLst>
            </c:dLbl>
            <c:dLbl>
              <c:idx val="8"/>
              <c:layout>
                <c:manualLayout>
                  <c:x val="2.0527697195745268E-2"/>
                  <c:y val="-0.13624158603790967"/>
                </c:manualLayout>
              </c:layout>
              <c:showVal val="1"/>
              <c:showPercent val="1"/>
              <c:extLst>
                <c:ext xmlns:c15="http://schemas.microsoft.com/office/drawing/2012/chart" uri="{CE6537A1-D6FC-4f65-9D91-7224C49458BB}"/>
              </c:extLst>
            </c:dLbl>
            <c:dLbl>
              <c:idx val="9"/>
              <c:layout>
                <c:manualLayout>
                  <c:x val="4.8162044260596483E-2"/>
                  <c:y val="-2.7965249731237471E-2"/>
                </c:manualLayout>
              </c:layout>
              <c:showVal val="1"/>
              <c:showPercent val="1"/>
              <c:extLst>
                <c:ext xmlns:c15="http://schemas.microsoft.com/office/drawing/2012/chart" uri="{CE6537A1-D6FC-4f65-9D91-7224C49458BB}"/>
              </c:extLst>
            </c:dLbl>
            <c:dLbl>
              <c:idx val="10"/>
              <c:layout>
                <c:manualLayout>
                  <c:x val="8.898645733799404E-2"/>
                  <c:y val="0.10578725629775992"/>
                </c:manualLayout>
              </c:layout>
              <c:showVal val="1"/>
              <c:showPercent val="1"/>
              <c:extLst>
                <c:ext xmlns:c15="http://schemas.microsoft.com/office/drawing/2012/chart" uri="{CE6537A1-D6FC-4f65-9D91-7224C49458BB}"/>
              </c:extLst>
            </c:dLbl>
            <c:numFmt formatCode="0%" sourceLinked="0"/>
            <c:spPr>
              <a:noFill/>
              <a:ln w="25441">
                <a:noFill/>
              </a:ln>
            </c:spPr>
            <c:txPr>
              <a:bodyPr/>
              <a:lstStyle/>
              <a:p>
                <a:pPr>
                  <a:defRPr sz="950" b="0" i="0" u="none" strike="noStrike" baseline="0">
                    <a:solidFill>
                      <a:srgbClr val="000000"/>
                    </a:solidFill>
                    <a:latin typeface="Times New Roman"/>
                    <a:ea typeface="Times New Roman"/>
                    <a:cs typeface="Times New Roman"/>
                  </a:defRPr>
                </a:pPr>
                <a:endParaRPr lang="ru-RU"/>
              </a:p>
            </c:txPr>
            <c:showVal val="1"/>
            <c:showPercent val="1"/>
            <c:showLeaderLines val="1"/>
            <c:extLst>
              <c:ext xmlns:c15="http://schemas.microsoft.com/office/drawing/2012/chart" uri="{CE6537A1-D6FC-4f65-9D91-7224C49458BB}"/>
            </c:extLst>
          </c:dLbls>
          <c:cat>
            <c:strRef>
              <c:f>Sheet1!$B$1:$H$1</c:f>
              <c:strCache>
                <c:ptCount val="7"/>
                <c:pt idx="0">
                  <c:v>ГУП "Почта Приднестровья"</c:v>
                </c:pt>
                <c:pt idx="1">
                  <c:v>ДГУП "Бендерская почта"</c:v>
                </c:pt>
                <c:pt idx="2">
                  <c:v>ДГУП "Слободзейская почта"</c:v>
                </c:pt>
                <c:pt idx="3">
                  <c:v>ДГУП "Григориопольская почта"</c:v>
                </c:pt>
                <c:pt idx="4">
                  <c:v>ДГУП "Дубоссарская почта"</c:v>
                </c:pt>
                <c:pt idx="5">
                  <c:v>ДГУП "Рыбницкая почта"</c:v>
                </c:pt>
                <c:pt idx="6">
                  <c:v>ДГУП "Каменская почта"</c:v>
                </c:pt>
              </c:strCache>
            </c:strRef>
          </c:cat>
          <c:val>
            <c:numRef>
              <c:f>Sheet1!$B$2:$H$2</c:f>
              <c:numCache>
                <c:formatCode>0.0</c:formatCode>
                <c:ptCount val="7"/>
                <c:pt idx="0">
                  <c:v>1391.24</c:v>
                </c:pt>
                <c:pt idx="1">
                  <c:v>374.9</c:v>
                </c:pt>
                <c:pt idx="2">
                  <c:v>231.2</c:v>
                </c:pt>
                <c:pt idx="3">
                  <c:v>115.59</c:v>
                </c:pt>
                <c:pt idx="4">
                  <c:v>124.61999999999999</c:v>
                </c:pt>
                <c:pt idx="5">
                  <c:v>246.63</c:v>
                </c:pt>
                <c:pt idx="6">
                  <c:v>113.52</c:v>
                </c:pt>
              </c:numCache>
            </c:numRef>
          </c:val>
        </c:ser>
        <c:dLbls>
          <c:showVal val="1"/>
          <c:showPercent val="1"/>
        </c:dLbls>
      </c:pie3DChart>
      <c:spPr>
        <a:noFill/>
        <a:ln w="25441">
          <a:noFill/>
        </a:ln>
      </c:spPr>
    </c:plotArea>
    <c:legend>
      <c:legendPos val="l"/>
      <c:layout>
        <c:manualLayout>
          <c:xMode val="edge"/>
          <c:yMode val="edge"/>
          <c:x val="0"/>
          <c:y val="0.18578454445961784"/>
          <c:w val="0.37970931052973217"/>
          <c:h val="0.79285624352306561"/>
        </c:manualLayout>
      </c:layout>
      <c:spPr>
        <a:solidFill>
          <a:srgbClr val="FFFFFF"/>
        </a:solidFill>
        <a:ln w="25441">
          <a:noFill/>
        </a:ln>
      </c:spPr>
      <c:txPr>
        <a:bodyPr/>
        <a:lstStyle/>
        <a:p>
          <a:pPr algn="l">
            <a:lnSpc>
              <a:spcPct val="100000"/>
            </a:lnSpc>
            <a:defRPr sz="95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050"/>
            </a:pPr>
            <a:r>
              <a:rPr lang="ru-RU" sz="1050"/>
              <a:t>Динамика внешнеторгового оборота </a:t>
            </a:r>
          </a:p>
          <a:p>
            <a:pPr>
              <a:defRPr sz="1050"/>
            </a:pPr>
            <a:r>
              <a:rPr lang="ru-RU" sz="1050"/>
              <a:t>в январе-июне 2016 - 2017 г.г.,  млн долл. США</a:t>
            </a:r>
          </a:p>
        </c:rich>
      </c:tx>
      <c:layout>
        <c:manualLayout>
          <c:xMode val="edge"/>
          <c:yMode val="edge"/>
          <c:x val="0.30240315268509327"/>
          <c:y val="0"/>
        </c:manualLayout>
      </c:layout>
    </c:title>
    <c:plotArea>
      <c:layout>
        <c:manualLayout>
          <c:layoutTarget val="inner"/>
          <c:xMode val="edge"/>
          <c:yMode val="edge"/>
          <c:x val="0.23831820875763232"/>
          <c:y val="0.27065061578841132"/>
          <c:w val="0.74851471278700132"/>
          <c:h val="0.43459267110842442"/>
        </c:manualLayout>
      </c:layout>
      <c:barChart>
        <c:barDir val="col"/>
        <c:grouping val="clustered"/>
        <c:ser>
          <c:idx val="0"/>
          <c:order val="0"/>
          <c:tx>
            <c:strRef>
              <c:f>Sheet1!$B$1</c:f>
              <c:strCache>
                <c:ptCount val="1"/>
                <c:pt idx="0">
                  <c:v>январь - июнь 2016 г.</c:v>
                </c:pt>
              </c:strCache>
            </c:strRef>
          </c:tx>
          <c:spPr>
            <a:solidFill>
              <a:schemeClr val="tx2">
                <a:lumMod val="60000"/>
                <a:lumOff val="40000"/>
              </a:schemeClr>
            </a:solidFill>
          </c:spPr>
          <c:dLbls>
            <c:dLbl>
              <c:idx val="0"/>
              <c:layout>
                <c:manualLayout>
                  <c:x val="-9.7751710654936461E-3"/>
                  <c:y val="0"/>
                </c:manualLayout>
              </c:layout>
              <c:tx>
                <c:rich>
                  <a:bodyPr/>
                  <a:lstStyle/>
                  <a:p>
                    <a:r>
                      <a:rPr lang="en-US" sz="900"/>
                      <a:t>-25,2*</a:t>
                    </a:r>
                  </a:p>
                </c:rich>
              </c:tx>
              <c:showVal val="1"/>
              <c:extLst>
                <c:ext xmlns:c15="http://schemas.microsoft.com/office/drawing/2012/chart" uri="{CE6537A1-D6FC-4f65-9D91-7224C49458BB}">
                  <c15:layout/>
                </c:ext>
              </c:extLst>
            </c:dLbl>
            <c:dLbl>
              <c:idx val="1"/>
              <c:layout>
                <c:manualLayout>
                  <c:x val="-6.7130025169142094E-3"/>
                  <c:y val="1.1122047244094501E-2"/>
                </c:manualLayout>
              </c:layout>
              <c:tx>
                <c:rich>
                  <a:bodyPr/>
                  <a:lstStyle/>
                  <a:p>
                    <a:r>
                      <a:rPr lang="en-US" sz="900"/>
                      <a:t>-12,1*</a:t>
                    </a:r>
                  </a:p>
                </c:rich>
              </c:tx>
              <c:showVal val="1"/>
              <c:extLst>
                <c:ext xmlns:c15="http://schemas.microsoft.com/office/drawing/2012/chart" uri="{CE6537A1-D6FC-4f65-9D91-7224C49458BB}">
                  <c15:layout/>
                </c:ext>
              </c:extLst>
            </c:dLbl>
            <c:dLbl>
              <c:idx val="2"/>
              <c:tx>
                <c:rich>
                  <a:bodyPr/>
                  <a:lstStyle/>
                  <a:p>
                    <a:r>
                      <a:rPr lang="en-US" sz="900"/>
                      <a:t>-31,4*</a:t>
                    </a:r>
                  </a:p>
                </c:rich>
              </c:tx>
              <c:showVal val="1"/>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txPr>
              <a:bodyPr/>
              <a:lstStyle/>
              <a:p>
                <a:pPr>
                  <a:defRPr sz="900"/>
                </a:pPr>
                <a:endParaRPr lang="ru-RU"/>
              </a:p>
            </c:txPr>
            <c:showVal val="1"/>
            <c:extLst>
              <c:ext xmlns:c15="http://schemas.microsoft.com/office/drawing/2012/chart" uri="{CE6537A1-D6FC-4f65-9D91-7224C49458BB}">
                <c15:showLeaderLines val="0"/>
              </c:ext>
            </c:extLst>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707.803</c:v>
                </c:pt>
                <c:pt idx="1">
                  <c:v>258.73499999999899</c:v>
                </c:pt>
                <c:pt idx="2">
                  <c:v>449.06799999999993</c:v>
                </c:pt>
                <c:pt idx="3">
                  <c:v>-190.333</c:v>
                </c:pt>
              </c:numCache>
            </c:numRef>
          </c:val>
        </c:ser>
        <c:ser>
          <c:idx val="1"/>
          <c:order val="1"/>
          <c:tx>
            <c:strRef>
              <c:f>Sheet1!$C$1</c:f>
              <c:strCache>
                <c:ptCount val="1"/>
                <c:pt idx="0">
                  <c:v>январь - июнь 2017 г.</c:v>
                </c:pt>
              </c:strCache>
            </c:strRef>
          </c:tx>
          <c:spPr>
            <a:solidFill>
              <a:schemeClr val="accent5">
                <a:lumMod val="60000"/>
                <a:lumOff val="40000"/>
              </a:schemeClr>
            </a:solidFill>
            <a:effectLst>
              <a:outerShdw blurRad="40000" dist="12700" dir="5400000" rotWithShape="0">
                <a:srgbClr val="000000">
                  <a:alpha val="35000"/>
                </a:srgbClr>
              </a:outerShdw>
            </a:effectLst>
          </c:spPr>
          <c:dLbls>
            <c:dLbl>
              <c:idx val="0"/>
              <c:layout>
                <c:manualLayout>
                  <c:x val="2.2073413843797652E-3"/>
                  <c:y val="3.344437714516518E-3"/>
                </c:manualLayout>
              </c:layout>
              <c:tx>
                <c:rich>
                  <a:bodyPr/>
                  <a:lstStyle/>
                  <a:p>
                    <a:r>
                      <a:rPr lang="en-US" sz="900"/>
                      <a:t>-1,1*</a:t>
                    </a:r>
                  </a:p>
                </c:rich>
              </c:tx>
              <c:showVal val="1"/>
              <c:extLst>
                <c:ext xmlns:c15="http://schemas.microsoft.com/office/drawing/2012/chart" uri="{CE6537A1-D6FC-4f65-9D91-7224C49458BB}">
                  <c15:layout/>
                </c:ext>
              </c:extLst>
            </c:dLbl>
            <c:dLbl>
              <c:idx val="1"/>
              <c:layout>
                <c:manualLayout>
                  <c:x val="1.0962969804727605E-2"/>
                  <c:y val="9.7546941247728704E-3"/>
                </c:manualLayout>
              </c:layout>
              <c:tx>
                <c:rich>
                  <a:bodyPr/>
                  <a:lstStyle/>
                  <a:p>
                    <a:r>
                      <a:rPr lang="en-US" sz="900"/>
                      <a:t>-2,4*</a:t>
                    </a:r>
                  </a:p>
                </c:rich>
              </c:tx>
              <c:showVal val="1"/>
              <c:extLst>
                <c:ext xmlns:c15="http://schemas.microsoft.com/office/drawing/2012/chart" uri="{CE6537A1-D6FC-4f65-9D91-7224C49458BB}">
                  <c15:layout/>
                </c:ext>
              </c:extLst>
            </c:dLbl>
            <c:dLbl>
              <c:idx val="2"/>
              <c:layout>
                <c:manualLayout>
                  <c:x val="1.0367223158688739E-2"/>
                  <c:y val="1.0591055925701595E-2"/>
                </c:manualLayout>
              </c:layout>
              <c:tx>
                <c:rich>
                  <a:bodyPr/>
                  <a:lstStyle/>
                  <a:p>
                    <a:r>
                      <a:rPr lang="en-US" sz="900"/>
                      <a:t>-0,3*</a:t>
                    </a:r>
                  </a:p>
                </c:rich>
              </c:tx>
              <c:showVal val="1"/>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txPr>
              <a:bodyPr/>
              <a:lstStyle/>
              <a:p>
                <a:pPr>
                  <a:defRPr sz="900"/>
                </a:pPr>
                <a:endParaRPr lang="ru-RU"/>
              </a:p>
            </c:txPr>
            <c:showVal val="1"/>
            <c:extLst>
              <c:ext xmlns:c15="http://schemas.microsoft.com/office/drawing/2012/chart" uri="{CE6537A1-D6FC-4f65-9D91-7224C49458BB}">
                <c15:showLeaderLines val="0"/>
              </c:ext>
            </c:extLst>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700.17000000000053</c:v>
                </c:pt>
                <c:pt idx="1">
                  <c:v>252.43600000000001</c:v>
                </c:pt>
                <c:pt idx="2">
                  <c:v>447.73399999999754</c:v>
                </c:pt>
                <c:pt idx="3">
                  <c:v>-195.29799999999997</c:v>
                </c:pt>
              </c:numCache>
            </c:numRef>
          </c:val>
        </c:ser>
        <c:gapWidth val="76"/>
        <c:overlap val="-6"/>
        <c:axId val="100143488"/>
        <c:axId val="100145024"/>
      </c:barChart>
      <c:catAx>
        <c:axId val="100143488"/>
        <c:scaling>
          <c:orientation val="minMax"/>
        </c:scaling>
        <c:axPos val="b"/>
        <c:numFmt formatCode="General" sourceLinked="1"/>
        <c:majorTickMark val="cross"/>
        <c:tickLblPos val="nextTo"/>
        <c:txPr>
          <a:bodyPr rot="0" vert="horz"/>
          <a:lstStyle/>
          <a:p>
            <a:pPr>
              <a:defRPr/>
            </a:pPr>
            <a:endParaRPr lang="ru-RU"/>
          </a:p>
        </c:txPr>
        <c:crossAx val="100145024"/>
        <c:crosses val="autoZero"/>
        <c:lblAlgn val="ctr"/>
        <c:lblOffset val="20"/>
        <c:tickMarkSkip val="1"/>
      </c:catAx>
      <c:valAx>
        <c:axId val="100145024"/>
        <c:scaling>
          <c:orientation val="minMax"/>
        </c:scaling>
        <c:axPos val="l"/>
        <c:title>
          <c:tx>
            <c:rich>
              <a:bodyPr rot="0" vert="horz"/>
              <a:lstStyle/>
              <a:p>
                <a:pPr>
                  <a:defRPr sz="850"/>
                </a:pPr>
                <a:r>
                  <a:rPr lang="ru-RU" sz="850"/>
                  <a:t>* - темп прироста (спада) в % к </a:t>
                </a:r>
              </a:p>
              <a:p>
                <a:pPr>
                  <a:defRPr sz="850"/>
                </a:pPr>
                <a:r>
                  <a:rPr lang="ru-RU" sz="850"/>
                  <a:t>предыдущему году</a:t>
                </a:r>
              </a:p>
            </c:rich>
          </c:tx>
          <c:layout>
            <c:manualLayout>
              <c:xMode val="edge"/>
              <c:yMode val="edge"/>
              <c:x val="1.5432455107334468E-3"/>
              <c:y val="0.32301837270341255"/>
            </c:manualLayout>
          </c:layout>
        </c:title>
        <c:numFmt formatCode="#,##0.0" sourceLinked="1"/>
        <c:majorTickMark val="cross"/>
        <c:tickLblPos val="nextTo"/>
        <c:txPr>
          <a:bodyPr rot="0" vert="horz"/>
          <a:lstStyle/>
          <a:p>
            <a:pPr>
              <a:defRPr sz="900"/>
            </a:pPr>
            <a:endParaRPr lang="ru-RU"/>
          </a:p>
        </c:txPr>
        <c:crossAx val="100143488"/>
        <c:crosses val="autoZero"/>
        <c:crossBetween val="between"/>
        <c:majorUnit val="200"/>
      </c:valAx>
      <c:dTable>
        <c:showHorzBorder val="1"/>
        <c:showVertBorder val="1"/>
        <c:showOutline val="1"/>
        <c:showKeys val="1"/>
        <c:txPr>
          <a:bodyPr/>
          <a:lstStyle/>
          <a:p>
            <a:pPr rtl="0">
              <a:defRPr sz="900"/>
            </a:pPr>
            <a:endParaRPr lang="ru-RU"/>
          </a:p>
        </c:txPr>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pPr>
            <a:r>
              <a:rPr lang="ru-RU" sz="1050">
                <a:latin typeface="Times New Roman" pitchFamily="18" charset="0"/>
                <a:cs typeface="Times New Roman" pitchFamily="18" charset="0"/>
              </a:rPr>
              <a:t>Товарная структура экспорта, млн дол. США</a:t>
            </a:r>
          </a:p>
        </c:rich>
      </c:tx>
      <c:layout>
        <c:manualLayout>
          <c:xMode val="edge"/>
          <c:yMode val="edge"/>
          <c:x val="0.30130782039341875"/>
          <c:y val="1.2944983818770227E-2"/>
        </c:manualLayout>
      </c:layout>
    </c:title>
    <c:plotArea>
      <c:layout>
        <c:manualLayout>
          <c:layoutTarget val="inner"/>
          <c:xMode val="edge"/>
          <c:yMode val="edge"/>
          <c:x val="7.1631852470053645E-2"/>
          <c:y val="8.5041068895514285E-2"/>
          <c:w val="0.92836811128945951"/>
          <c:h val="0.37462103644811379"/>
        </c:manualLayout>
      </c:layout>
      <c:barChart>
        <c:barDir val="col"/>
        <c:grouping val="clustered"/>
        <c:ser>
          <c:idx val="0"/>
          <c:order val="0"/>
          <c:tx>
            <c:strRef>
              <c:f>Sheet1!$A$2</c:f>
              <c:strCache>
                <c:ptCount val="1"/>
                <c:pt idx="0">
                  <c:v>январь - июнь 2016 г.</c:v>
                </c:pt>
              </c:strCache>
            </c:strRef>
          </c:tx>
          <c:spPr>
            <a:gradFill flip="none"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tileRect r="-100000" b="-100000"/>
            </a:gradFill>
          </c:spPr>
          <c:dLbls>
            <c:dLbl>
              <c:idx val="0"/>
              <c:layout>
                <c:manualLayout>
                  <c:x val="-4.3723566812213753E-3"/>
                  <c:y val="2.9912765758649202E-3"/>
                </c:manualLayout>
              </c:layout>
              <c:tx>
                <c:rich>
                  <a:bodyPr/>
                  <a:lstStyle/>
                  <a:p>
                    <a:r>
                      <a:rPr lang="en-US" sz="900"/>
                      <a:t>20,9*</a:t>
                    </a:r>
                  </a:p>
                </c:rich>
              </c:tx>
              <c:dLblPos val="outEnd"/>
              <c:showVal val="1"/>
              <c:extLst>
                <c:ext xmlns:c15="http://schemas.microsoft.com/office/drawing/2012/chart" uri="{CE6537A1-D6FC-4f65-9D91-7224C49458BB}">
                  <c15:layout/>
                </c:ext>
              </c:extLst>
            </c:dLbl>
            <c:dLbl>
              <c:idx val="1"/>
              <c:layout>
                <c:manualLayout>
                  <c:x val="-6.4204877616104439E-3"/>
                  <c:y val="1.3320082562495223E-2"/>
                </c:manualLayout>
              </c:layout>
              <c:tx>
                <c:rich>
                  <a:bodyPr/>
                  <a:lstStyle/>
                  <a:p>
                    <a:r>
                      <a:rPr lang="en-US" sz="900"/>
                      <a:t>35,6*</a:t>
                    </a:r>
                  </a:p>
                </c:rich>
              </c:tx>
              <c:dLblPos val="outEnd"/>
              <c:showVal val="1"/>
              <c:extLst>
                <c:ext xmlns:c15="http://schemas.microsoft.com/office/drawing/2012/chart" uri="{CE6537A1-D6FC-4f65-9D91-7224C49458BB}">
                  <c15:layout/>
                </c:ext>
              </c:extLst>
            </c:dLbl>
            <c:dLbl>
              <c:idx val="2"/>
              <c:layout>
                <c:manualLayout>
                  <c:x val="-8.5607276618512567E-3"/>
                  <c:y val="1.1693046843720804E-2"/>
                </c:manualLayout>
              </c:layout>
              <c:tx>
                <c:rich>
                  <a:bodyPr/>
                  <a:lstStyle/>
                  <a:p>
                    <a:r>
                      <a:rPr lang="en-US" sz="900"/>
                      <a:t>20,4*</a:t>
                    </a:r>
                  </a:p>
                </c:rich>
              </c:tx>
              <c:dLblPos val="outEnd"/>
              <c:showVal val="1"/>
              <c:extLst>
                <c:ext xmlns:c15="http://schemas.microsoft.com/office/drawing/2012/chart" uri="{CE6537A1-D6FC-4f65-9D91-7224C49458BB}">
                  <c15:layout/>
                </c:ext>
              </c:extLst>
            </c:dLbl>
            <c:dLbl>
              <c:idx val="3"/>
              <c:layout>
                <c:manualLayout>
                  <c:x val="-6.1443932411674364E-3"/>
                  <c:y val="1.2944983818770227E-2"/>
                </c:manualLayout>
              </c:layout>
              <c:tx>
                <c:rich>
                  <a:bodyPr/>
                  <a:lstStyle/>
                  <a:p>
                    <a:r>
                      <a:rPr lang="en-US" sz="900"/>
                      <a:t>11,6*</a:t>
                    </a:r>
                  </a:p>
                </c:rich>
              </c:tx>
              <c:dLblPos val="outEnd"/>
              <c:showVal val="1"/>
              <c:extLst>
                <c:ext xmlns:c15="http://schemas.microsoft.com/office/drawing/2012/chart" uri="{CE6537A1-D6FC-4f65-9D91-7224C49458BB}">
                  <c15:layout/>
                </c:ext>
              </c:extLst>
            </c:dLbl>
            <c:dLbl>
              <c:idx val="4"/>
              <c:layout>
                <c:manualLayout>
                  <c:x val="2.1401819154629521E-3"/>
                  <c:y val="5.0505050505050475E-3"/>
                </c:manualLayout>
              </c:layout>
              <c:tx>
                <c:rich>
                  <a:bodyPr/>
                  <a:lstStyle/>
                  <a:p>
                    <a:r>
                      <a:rPr lang="en-US" sz="900"/>
                      <a:t>4,0*</a:t>
                    </a:r>
                  </a:p>
                </c:rich>
              </c:tx>
              <c:dLblPos val="outEnd"/>
              <c:showVal val="1"/>
              <c:extLst>
                <c:ext xmlns:c15="http://schemas.microsoft.com/office/drawing/2012/chart" uri="{CE6537A1-D6FC-4f65-9D91-7224C49458BB}">
                  <c15:layout/>
                </c:ext>
              </c:extLst>
            </c:dLbl>
            <c:dLbl>
              <c:idx val="5"/>
              <c:layout>
                <c:manualLayout>
                  <c:x val="-6.1443932411674364E-3"/>
                  <c:y val="8.6299892125135027E-3"/>
                </c:manualLayout>
              </c:layout>
              <c:tx>
                <c:rich>
                  <a:bodyPr/>
                  <a:lstStyle/>
                  <a:p>
                    <a:r>
                      <a:rPr lang="en-US" sz="900"/>
                      <a:t>4,4*</a:t>
                    </a:r>
                  </a:p>
                </c:rich>
              </c:tx>
              <c:dLblPos val="outEnd"/>
              <c:showVal val="1"/>
              <c:extLst>
                <c:ext xmlns:c15="http://schemas.microsoft.com/office/drawing/2012/chart" uri="{CE6537A1-D6FC-4f65-9D91-7224C49458BB}">
                  <c15:layout/>
                </c:ext>
              </c:extLst>
            </c:dLbl>
            <c:dLbl>
              <c:idx val="6"/>
              <c:layout>
                <c:manualLayout>
                  <c:x val="-1.0424825929017124E-2"/>
                  <c:y val="1.7259978425026964E-2"/>
                </c:manualLayout>
              </c:layout>
              <c:tx>
                <c:rich>
                  <a:bodyPr/>
                  <a:lstStyle/>
                  <a:p>
                    <a:r>
                      <a:rPr lang="en-US" sz="900"/>
                      <a:t>3,1*</a:t>
                    </a:r>
                  </a:p>
                </c:rich>
              </c:tx>
              <c:dLblPos val="outEnd"/>
              <c:showVal val="1"/>
              <c:extLst>
                <c:ext xmlns:c15="http://schemas.microsoft.com/office/drawing/2012/chart" uri="{CE6537A1-D6FC-4f65-9D91-7224C49458BB}">
                  <c15:layout/>
                </c:ext>
              </c:extLst>
            </c:dLbl>
            <c:spPr>
              <a:noFill/>
              <a:ln w="25363">
                <a:noFill/>
              </a:ln>
            </c:spPr>
            <c:txPr>
              <a:bodyPr rot="0" vert="horz"/>
              <a:lstStyle/>
              <a:p>
                <a:pPr>
                  <a:defRPr sz="9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54.091000000000001</c:v>
                </c:pt>
                <c:pt idx="1">
                  <c:v>92.08</c:v>
                </c:pt>
                <c:pt idx="2">
                  <c:v>52.783000000000001</c:v>
                </c:pt>
                <c:pt idx="3">
                  <c:v>29.902999999999889</c:v>
                </c:pt>
                <c:pt idx="4">
                  <c:v>10.478</c:v>
                </c:pt>
                <c:pt idx="5">
                  <c:v>11.367000000000004</c:v>
                </c:pt>
                <c:pt idx="6">
                  <c:v>8.033000000000003</c:v>
                </c:pt>
              </c:numCache>
            </c:numRef>
          </c:val>
        </c:ser>
        <c:ser>
          <c:idx val="1"/>
          <c:order val="1"/>
          <c:tx>
            <c:strRef>
              <c:f>Sheet1!$A$3</c:f>
              <c:strCache>
                <c:ptCount val="1"/>
                <c:pt idx="0">
                  <c:v>январь - июнь 2017 г.</c:v>
                </c:pt>
              </c:strCache>
            </c:strRef>
          </c:tx>
          <c:spPr>
            <a:gradFill flip="none" rotWithShape="1">
              <a:gsLst>
                <a:gs pos="0">
                  <a:srgbClr val="03D4A8"/>
                </a:gs>
                <a:gs pos="25000">
                  <a:srgbClr val="21D6E0"/>
                </a:gs>
                <a:gs pos="75000">
                  <a:srgbClr val="0087E6"/>
                </a:gs>
                <a:gs pos="100000">
                  <a:srgbClr val="005CBF"/>
                </a:gs>
              </a:gsLst>
              <a:path path="circle">
                <a:fillToRect l="100000" t="100000"/>
              </a:path>
              <a:tileRect r="-100000" b="-100000"/>
            </a:gradFill>
            <a:scene3d>
              <a:camera prst="orthographicFront"/>
              <a:lightRig rig="threePt" dir="t">
                <a:rot lat="0" lon="0" rev="1800000"/>
              </a:lightRig>
            </a:scene3d>
            <a:sp3d>
              <a:bevelT w="63500" h="25400"/>
            </a:sp3d>
          </c:spPr>
          <c:dLbls>
            <c:dLbl>
              <c:idx val="0"/>
              <c:layout>
                <c:manualLayout>
                  <c:x val="8.5607276618512567E-3"/>
                  <c:y val="4.0041409166483672E-3"/>
                </c:manualLayout>
              </c:layout>
              <c:tx>
                <c:rich>
                  <a:bodyPr/>
                  <a:lstStyle/>
                  <a:p>
                    <a:r>
                      <a:rPr lang="en-US" sz="900"/>
                      <a:t>27,9*</a:t>
                    </a:r>
                  </a:p>
                </c:rich>
              </c:tx>
              <c:dLblPos val="outEnd"/>
              <c:showVal val="1"/>
              <c:extLst>
                <c:ext xmlns:c15="http://schemas.microsoft.com/office/drawing/2012/chart" uri="{CE6537A1-D6FC-4f65-9D91-7224C49458BB}">
                  <c15:layout/>
                </c:ext>
              </c:extLst>
            </c:dLbl>
            <c:dLbl>
              <c:idx val="1"/>
              <c:layout>
                <c:manualLayout>
                  <c:x val="6.4205457463884395E-3"/>
                  <c:y val="5.0505050505050475E-3"/>
                </c:manualLayout>
              </c:layout>
              <c:tx>
                <c:rich>
                  <a:bodyPr/>
                  <a:lstStyle/>
                  <a:p>
                    <a:r>
                      <a:rPr lang="en-US" sz="900"/>
                      <a:t>18,1*</a:t>
                    </a:r>
                  </a:p>
                </c:rich>
              </c:tx>
              <c:dLblPos val="outEnd"/>
              <c:showVal val="1"/>
              <c:extLst>
                <c:ext xmlns:c15="http://schemas.microsoft.com/office/drawing/2012/chart" uri="{CE6537A1-D6FC-4f65-9D91-7224C49458BB}">
                  <c15:layout/>
                </c:ext>
              </c:extLst>
            </c:dLbl>
            <c:dLbl>
              <c:idx val="2"/>
              <c:layout>
                <c:manualLayout>
                  <c:x val="8.5607276618512567E-3"/>
                  <c:y val="6.0606060606060629E-2"/>
                </c:manualLayout>
              </c:layout>
              <c:tx>
                <c:rich>
                  <a:bodyPr/>
                  <a:lstStyle/>
                  <a:p>
                    <a:r>
                      <a:rPr lang="en-US" sz="900"/>
                      <a:t>21,7*</a:t>
                    </a:r>
                  </a:p>
                  <a:p>
                    <a:endParaRPr lang="en-US" sz="900"/>
                  </a:p>
                </c:rich>
              </c:tx>
              <c:dLblPos val="outEnd"/>
              <c:showVal val="1"/>
              <c:extLst>
                <c:ext xmlns:c15="http://schemas.microsoft.com/office/drawing/2012/chart" uri="{CE6537A1-D6FC-4f65-9D91-7224C49458BB}">
                  <c15:layout/>
                </c:ext>
              </c:extLst>
            </c:dLbl>
            <c:dLbl>
              <c:idx val="3"/>
              <c:layout>
                <c:manualLayout>
                  <c:x val="8.5607276618512567E-3"/>
                  <c:y val="1.0101010101010105E-2"/>
                </c:manualLayout>
              </c:layout>
              <c:tx>
                <c:rich>
                  <a:bodyPr/>
                  <a:lstStyle/>
                  <a:p>
                    <a:r>
                      <a:rPr lang="en-US" sz="900"/>
                      <a:t>16,0*</a:t>
                    </a:r>
                  </a:p>
                </c:rich>
              </c:tx>
              <c:dLblPos val="outEnd"/>
              <c:showVal val="1"/>
              <c:extLst>
                <c:ext xmlns:c15="http://schemas.microsoft.com/office/drawing/2012/chart" uri="{CE6537A1-D6FC-4f65-9D91-7224C49458BB}">
                  <c15:layout/>
                </c:ext>
              </c:extLst>
            </c:dLbl>
            <c:dLbl>
              <c:idx val="4"/>
              <c:layout>
                <c:manualLayout>
                  <c:x val="4.2803638309255824E-3"/>
                  <c:y val="0"/>
                </c:manualLayout>
              </c:layout>
              <c:tx>
                <c:rich>
                  <a:bodyPr/>
                  <a:lstStyle/>
                  <a:p>
                    <a:r>
                      <a:rPr lang="en-US" sz="900"/>
                      <a:t>6,7*</a:t>
                    </a:r>
                  </a:p>
                </c:rich>
              </c:tx>
              <c:dLblPos val="outEnd"/>
              <c:showVal val="1"/>
              <c:extLst>
                <c:ext xmlns:c15="http://schemas.microsoft.com/office/drawing/2012/chart" uri="{CE6537A1-D6FC-4f65-9D91-7224C49458BB}">
                  <c15:layout/>
                </c:ext>
              </c:extLst>
            </c:dLbl>
            <c:dLbl>
              <c:idx val="5"/>
              <c:layout>
                <c:manualLayout>
                  <c:x val="1.0700909577314071E-2"/>
                  <c:y val="0"/>
                </c:manualLayout>
              </c:layout>
              <c:tx>
                <c:rich>
                  <a:bodyPr/>
                  <a:lstStyle/>
                  <a:p>
                    <a:r>
                      <a:rPr lang="en-US" sz="900"/>
                      <a:t>5,8*</a:t>
                    </a:r>
                  </a:p>
                </c:rich>
              </c:tx>
              <c:dLblPos val="outEnd"/>
              <c:showVal val="1"/>
              <c:extLst>
                <c:ext xmlns:c15="http://schemas.microsoft.com/office/drawing/2012/chart" uri="{CE6537A1-D6FC-4f65-9D91-7224C49458BB}">
                  <c15:layout/>
                </c:ext>
              </c:extLst>
            </c:dLbl>
            <c:dLbl>
              <c:idx val="6"/>
              <c:layout>
                <c:manualLayout>
                  <c:x val="4.2803638309256934E-3"/>
                  <c:y val="1.5936254980079678E-2"/>
                </c:manualLayout>
              </c:layout>
              <c:tx>
                <c:rich>
                  <a:bodyPr/>
                  <a:lstStyle/>
                  <a:p>
                    <a:r>
                      <a:rPr lang="en-US" sz="900"/>
                      <a:t>3,9*</a:t>
                    </a:r>
                  </a:p>
                </c:rich>
              </c:tx>
              <c:dLblPos val="outEnd"/>
              <c:showVal val="1"/>
              <c:extLst>
                <c:ext xmlns:c15="http://schemas.microsoft.com/office/drawing/2012/chart" uri="{CE6537A1-D6FC-4f65-9D91-7224C49458BB}">
                  <c15:layout/>
                </c:ext>
              </c:extLst>
            </c:dLbl>
            <c:spPr>
              <a:noFill/>
              <a:ln w="25363">
                <a:noFill/>
              </a:ln>
            </c:spPr>
            <c:txPr>
              <a:bodyPr rot="0" vert="horz"/>
              <a:lstStyle/>
              <a:p>
                <a:pPr>
                  <a:defRPr sz="9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70.373999999999981</c:v>
                </c:pt>
                <c:pt idx="1">
                  <c:v>45.634</c:v>
                </c:pt>
                <c:pt idx="2">
                  <c:v>54.729000000000013</c:v>
                </c:pt>
                <c:pt idx="3">
                  <c:v>40.292000000000257</c:v>
                </c:pt>
                <c:pt idx="4">
                  <c:v>17.010000000000005</c:v>
                </c:pt>
                <c:pt idx="5">
                  <c:v>14.639999999999999</c:v>
                </c:pt>
                <c:pt idx="6">
                  <c:v>9.7570000000000014</c:v>
                </c:pt>
              </c:numCache>
            </c:numRef>
          </c:val>
        </c:ser>
        <c:dLbls>
          <c:showVal val="1"/>
        </c:dLbls>
        <c:gapWidth val="160"/>
        <c:axId val="100278656"/>
        <c:axId val="100280192"/>
      </c:barChart>
      <c:catAx>
        <c:axId val="100278656"/>
        <c:scaling>
          <c:orientation val="minMax"/>
        </c:scaling>
        <c:axPos val="b"/>
        <c:numFmt formatCode="General" sourceLinked="1"/>
        <c:tickLblPos val="low"/>
        <c:txPr>
          <a:bodyPr rot="-5400000" vert="horz" anchor="ctr" anchorCtr="1"/>
          <a:lstStyle/>
          <a:p>
            <a:pPr>
              <a:defRPr sz="900" b="1" i="0">
                <a:latin typeface="Times New Roman" pitchFamily="18" charset="0"/>
                <a:cs typeface="Times New Roman" pitchFamily="18" charset="0"/>
              </a:defRPr>
            </a:pPr>
            <a:endParaRPr lang="ru-RU"/>
          </a:p>
        </c:txPr>
        <c:crossAx val="100280192"/>
        <c:crosses val="autoZero"/>
        <c:lblAlgn val="ctr"/>
        <c:lblOffset val="160"/>
        <c:tickLblSkip val="1"/>
        <c:tickMarkSkip val="1"/>
      </c:catAx>
      <c:valAx>
        <c:axId val="100280192"/>
        <c:scaling>
          <c:orientation val="minMax"/>
        </c:scaling>
        <c:axPos val="l"/>
        <c:title>
          <c:tx>
            <c:rich>
              <a:bodyPr rot="0" vert="horz"/>
              <a:lstStyle/>
              <a:p>
                <a:pPr>
                  <a:defRPr sz="900"/>
                </a:pPr>
                <a:r>
                  <a:rPr lang="ru-RU" sz="900">
                    <a:latin typeface="Times New Roman" pitchFamily="18" charset="0"/>
                    <a:cs typeface="Times New Roman" pitchFamily="18" charset="0"/>
                  </a:rPr>
                  <a:t>*- удельный вес в общем объеме экспорта,%</a:t>
                </a:r>
              </a:p>
            </c:rich>
          </c:tx>
          <c:layout>
            <c:manualLayout>
              <c:xMode val="edge"/>
              <c:yMode val="edge"/>
              <c:x val="0.79959956618325934"/>
              <c:y val="9.891836335992113E-2"/>
            </c:manualLayout>
          </c:layout>
        </c:title>
        <c:numFmt formatCode="0.0" sourceLinked="1"/>
        <c:tickLblPos val="nextTo"/>
        <c:txPr>
          <a:bodyPr rot="0" vert="horz"/>
          <a:lstStyle/>
          <a:p>
            <a:pPr>
              <a:defRPr sz="900" b="1">
                <a:latin typeface="Times New Roman" pitchFamily="18" charset="0"/>
                <a:cs typeface="Times New Roman" pitchFamily="18" charset="0"/>
              </a:defRPr>
            </a:pPr>
            <a:endParaRPr lang="ru-RU"/>
          </a:p>
        </c:txPr>
        <c:crossAx val="100278656"/>
        <c:crosses val="autoZero"/>
        <c:crossBetween val="between"/>
      </c:valAx>
    </c:plotArea>
    <c:legend>
      <c:legendPos val="r"/>
      <c:legendEntry>
        <c:idx val="1"/>
        <c:txPr>
          <a:bodyPr/>
          <a:lstStyle/>
          <a:p>
            <a:pPr>
              <a:defRPr b="1">
                <a:latin typeface="Times New Roman" pitchFamily="18" charset="0"/>
                <a:cs typeface="Times New Roman" pitchFamily="18" charset="0"/>
              </a:defRPr>
            </a:pPr>
            <a:endParaRPr lang="ru-RU"/>
          </a:p>
        </c:txPr>
      </c:legendEntry>
      <c:layout>
        <c:manualLayout>
          <c:xMode val="edge"/>
          <c:yMode val="edge"/>
          <c:x val="0.12945430208320741"/>
          <c:y val="0.92418894240161731"/>
          <c:w val="0.74230076079199758"/>
          <c:h val="7.3466690450102887E-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050"/>
            </a:pPr>
            <a:r>
              <a:rPr lang="ru-RU" sz="1050">
                <a:latin typeface="Times New Roman" pitchFamily="18" charset="0"/>
                <a:cs typeface="Times New Roman" pitchFamily="18" charset="0"/>
              </a:rPr>
              <a:t>Экспорт товаров в разрезе основных стран, млн долл. США</a:t>
            </a:r>
          </a:p>
        </c:rich>
      </c:tx>
      <c:layout>
        <c:manualLayout>
          <c:xMode val="edge"/>
          <c:yMode val="edge"/>
          <c:x val="0.25632648860069002"/>
          <c:y val="0"/>
        </c:manualLayout>
      </c:layout>
      <c:spPr>
        <a:solidFill>
          <a:sysClr val="window" lastClr="FFFFFF"/>
        </a:solidFill>
        <a:ln w="24889">
          <a:noFill/>
        </a:ln>
      </c:spPr>
    </c:title>
    <c:plotArea>
      <c:layout>
        <c:manualLayout>
          <c:layoutTarget val="inner"/>
          <c:xMode val="edge"/>
          <c:yMode val="edge"/>
          <c:x val="0.21454499801874541"/>
          <c:y val="0.11613502691725715"/>
          <c:w val="0.77546917495041623"/>
          <c:h val="0.50606859142607152"/>
        </c:manualLayout>
      </c:layout>
      <c:barChart>
        <c:barDir val="col"/>
        <c:grouping val="clustered"/>
        <c:ser>
          <c:idx val="0"/>
          <c:order val="0"/>
          <c:tx>
            <c:strRef>
              <c:f>Лист1!$B$1</c:f>
              <c:strCache>
                <c:ptCount val="1"/>
                <c:pt idx="0">
                  <c:v>январь - июнь 2016 г.</c:v>
                </c:pt>
              </c:strCache>
            </c:strRef>
          </c:tx>
          <c:spPr>
            <a:solidFill>
              <a:srgbClr val="C0504D">
                <a:lumMod val="75000"/>
              </a:srgbClr>
            </a:solidFill>
          </c:spPr>
          <c:dLbls>
            <c:dLbl>
              <c:idx val="0"/>
              <c:layout>
                <c:manualLayout>
                  <c:x val="-2.113048071843615E-3"/>
                  <c:y val="1.8115942028985508E-2"/>
                </c:manualLayout>
              </c:layout>
              <c:tx>
                <c:rich>
                  <a:bodyPr/>
                  <a:lstStyle/>
                  <a:p>
                    <a:r>
                      <a:rPr lang="en-US" sz="900" b="1">
                        <a:latin typeface="Times New Roman" pitchFamily="18" charset="0"/>
                        <a:cs typeface="Times New Roman" pitchFamily="18" charset="0"/>
                      </a:rPr>
                      <a:t>45,1*</a:t>
                    </a:r>
                  </a:p>
                </c:rich>
              </c:tx>
              <c:dLblPos val="outEnd"/>
              <c:extLst>
                <c:ext xmlns:c15="http://schemas.microsoft.com/office/drawing/2012/chart" uri="{CE6537A1-D6FC-4f65-9D91-7224C49458BB}">
                  <c15:layout/>
                </c:ext>
              </c:extLst>
            </c:dLbl>
            <c:dLbl>
              <c:idx val="1"/>
              <c:layout>
                <c:manualLayout>
                  <c:x val="-4.290602103385114E-3"/>
                  <c:y val="1.3442448764611961E-2"/>
                </c:manualLayout>
              </c:layout>
              <c:tx>
                <c:rich>
                  <a:bodyPr/>
                  <a:lstStyle/>
                  <a:p>
                    <a:r>
                      <a:rPr lang="en-US" sz="900" b="1">
                        <a:latin typeface="Times New Roman" pitchFamily="18" charset="0"/>
                        <a:cs typeface="Times New Roman" pitchFamily="18" charset="0"/>
                      </a:rPr>
                      <a:t>7,6*</a:t>
                    </a:r>
                  </a:p>
                </c:rich>
              </c:tx>
              <c:dLblPos val="outEnd"/>
              <c:extLst>
                <c:ext xmlns:c15="http://schemas.microsoft.com/office/drawing/2012/chart" uri="{CE6537A1-D6FC-4f65-9D91-7224C49458BB}">
                  <c15:layout/>
                </c:ext>
              </c:extLst>
            </c:dLbl>
            <c:dLbl>
              <c:idx val="2"/>
              <c:layout>
                <c:manualLayout>
                  <c:x val="-8.3951497013100267E-3"/>
                  <c:y val="1.1839640446282025E-2"/>
                </c:manualLayout>
              </c:layout>
              <c:tx>
                <c:rich>
                  <a:bodyPr/>
                  <a:lstStyle/>
                  <a:p>
                    <a:r>
                      <a:rPr lang="en-US" sz="900" b="1">
                        <a:latin typeface="Times New Roman" pitchFamily="18" charset="0"/>
                        <a:cs typeface="Times New Roman" pitchFamily="18" charset="0"/>
                      </a:rPr>
                      <a:t>9,0*</a:t>
                    </a:r>
                  </a:p>
                </c:rich>
              </c:tx>
              <c:dLblPos val="outEnd"/>
              <c:extLst>
                <c:ext xmlns:c15="http://schemas.microsoft.com/office/drawing/2012/chart" uri="{CE6537A1-D6FC-4f65-9D91-7224C49458BB}">
                  <c15:layout/>
                </c:ext>
              </c:extLst>
            </c:dLbl>
            <c:dLbl>
              <c:idx val="3"/>
              <c:layout>
                <c:manualLayout>
                  <c:x val="-7.5040394725434103E-3"/>
                  <c:y val="1.0085739282589701E-2"/>
                </c:manualLayout>
              </c:layout>
              <c:tx>
                <c:rich>
                  <a:bodyPr/>
                  <a:lstStyle/>
                  <a:p>
                    <a:r>
                      <a:rPr lang="en-US" sz="900" b="1">
                        <a:latin typeface="Times New Roman" pitchFamily="18" charset="0"/>
                        <a:cs typeface="Times New Roman" pitchFamily="18" charset="0"/>
                      </a:rPr>
                      <a:t>7,4*</a:t>
                    </a:r>
                  </a:p>
                </c:rich>
              </c:tx>
              <c:dLblPos val="outEnd"/>
              <c:extLst>
                <c:ext xmlns:c15="http://schemas.microsoft.com/office/drawing/2012/chart" uri="{CE6537A1-D6FC-4f65-9D91-7224C49458BB}">
                  <c15:layout/>
                </c:ext>
              </c:extLst>
            </c:dLbl>
            <c:dLbl>
              <c:idx val="4"/>
              <c:layout>
                <c:manualLayout>
                  <c:x val="-1.0091052406087941E-3"/>
                  <c:y val="9.9600593404085766E-3"/>
                </c:manualLayout>
              </c:layout>
              <c:tx>
                <c:rich>
                  <a:bodyPr/>
                  <a:lstStyle/>
                  <a:p>
                    <a:r>
                      <a:rPr lang="en-US" sz="900" b="1">
                        <a:latin typeface="Times New Roman" pitchFamily="18" charset="0"/>
                        <a:cs typeface="Times New Roman" pitchFamily="18" charset="0"/>
                      </a:rPr>
                      <a:t>6,3*</a:t>
                    </a:r>
                  </a:p>
                </c:rich>
              </c:tx>
              <c:dLblPos val="outEnd"/>
              <c:extLst>
                <c:ext xmlns:c15="http://schemas.microsoft.com/office/drawing/2012/chart" uri="{CE6537A1-D6FC-4f65-9D91-7224C49458BB}">
                  <c15:layout/>
                </c:ext>
              </c:extLst>
            </c:dLbl>
            <c:dLbl>
              <c:idx val="5"/>
              <c:layout>
                <c:manualLayout>
                  <c:x val="-8.4156597542425268E-3"/>
                  <c:y val="1.2211951766898703E-2"/>
                </c:manualLayout>
              </c:layout>
              <c:tx>
                <c:rich>
                  <a:bodyPr/>
                  <a:lstStyle/>
                  <a:p>
                    <a:r>
                      <a:rPr lang="en-US" sz="900" b="1">
                        <a:latin typeface="Times New Roman" pitchFamily="18" charset="0"/>
                        <a:cs typeface="Times New Roman" pitchFamily="18" charset="0"/>
                      </a:rPr>
                      <a:t>16,2*</a:t>
                    </a:r>
                  </a:p>
                </c:rich>
              </c:tx>
              <c:dLblPos val="outEnd"/>
              <c:extLst>
                <c:ext xmlns:c15="http://schemas.microsoft.com/office/drawing/2012/chart" uri="{CE6537A1-D6FC-4f65-9D91-7224C49458BB}">
                  <c15:layout/>
                </c:ext>
              </c:extLst>
            </c:dLbl>
            <c:dLbl>
              <c:idx val="6"/>
              <c:layout>
                <c:manualLayout>
                  <c:x val="-3.3236415970983252E-3"/>
                  <c:y val="1.5872988702499143E-2"/>
                </c:manualLayout>
              </c:layout>
              <c:tx>
                <c:rich>
                  <a:bodyPr/>
                  <a:lstStyle/>
                  <a:p>
                    <a:r>
                      <a:rPr lang="en-US" sz="900" b="1">
                        <a:latin typeface="Times New Roman" pitchFamily="18" charset="0"/>
                        <a:cs typeface="Times New Roman" pitchFamily="18" charset="0"/>
                      </a:rPr>
                      <a:t>8,5*</a:t>
                    </a:r>
                  </a:p>
                </c:rich>
              </c:tx>
              <c:dLblPos val="outEnd"/>
              <c:extLst>
                <c:ext xmlns:c15="http://schemas.microsoft.com/office/drawing/2012/chart" uri="{CE6537A1-D6FC-4f65-9D91-7224C49458BB}">
                  <c15:layout/>
                </c:ext>
              </c:extLst>
            </c:dLbl>
            <c:dLbl>
              <c:idx val="7"/>
              <c:layout>
                <c:manualLayout>
                  <c:x val="1.6173653968929561E-4"/>
                  <c:y val="3.105177070257661E-3"/>
                </c:manualLayout>
              </c:layout>
              <c:tx>
                <c:rich>
                  <a:bodyPr/>
                  <a:lstStyle/>
                  <a:p>
                    <a:r>
                      <a:rPr lang="ru-RU" sz="900" b="1">
                        <a:latin typeface="Times New Roman" pitchFamily="18" charset="0"/>
                        <a:cs typeface="Times New Roman" pitchFamily="18" charset="0"/>
                      </a:rPr>
                      <a:t>7,9*</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extLst>
            </c:dLbl>
            <c:spPr>
              <a:noFill/>
              <a:ln w="24889">
                <a:noFill/>
              </a:ln>
            </c:spPr>
            <c:txPr>
              <a:bodyPr/>
              <a:lstStyle/>
              <a:p>
                <a:pPr>
                  <a:defRPr sz="9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Молдова</c:v>
                </c:pt>
                <c:pt idx="1">
                  <c:v>Россия</c:v>
                </c:pt>
                <c:pt idx="2">
                  <c:v>Украина</c:v>
                </c:pt>
                <c:pt idx="3">
                  <c:v>Италия</c:v>
                </c:pt>
                <c:pt idx="4">
                  <c:v>Германия</c:v>
                </c:pt>
                <c:pt idx="5">
                  <c:v>Румыния</c:v>
                </c:pt>
                <c:pt idx="6">
                  <c:v>Прочие страны</c:v>
                </c:pt>
              </c:strCache>
            </c:strRef>
          </c:cat>
          <c:val>
            <c:numRef>
              <c:f>Лист1!$B$2:$B$8</c:f>
              <c:numCache>
                <c:formatCode>0.0</c:formatCode>
                <c:ptCount val="7"/>
                <c:pt idx="0">
                  <c:v>116.56</c:v>
                </c:pt>
                <c:pt idx="1">
                  <c:v>19.667000000000005</c:v>
                </c:pt>
                <c:pt idx="2">
                  <c:v>23.254999999999999</c:v>
                </c:pt>
                <c:pt idx="3">
                  <c:v>19.172999999999988</c:v>
                </c:pt>
                <c:pt idx="4">
                  <c:v>16.36</c:v>
                </c:pt>
                <c:pt idx="5">
                  <c:v>41.792000000000257</c:v>
                </c:pt>
                <c:pt idx="6">
                  <c:v>21.927999999999987</c:v>
                </c:pt>
              </c:numCache>
            </c:numRef>
          </c:val>
        </c:ser>
        <c:ser>
          <c:idx val="1"/>
          <c:order val="1"/>
          <c:tx>
            <c:strRef>
              <c:f>Лист1!$C$1</c:f>
              <c:strCache>
                <c:ptCount val="1"/>
                <c:pt idx="0">
                  <c:v>январь - июнь 2017 г.</c:v>
                </c:pt>
              </c:strCache>
            </c:strRef>
          </c:tx>
          <c:spPr>
            <a:solidFill>
              <a:srgbClr val="C0504D">
                <a:lumMod val="60000"/>
                <a:lumOff val="40000"/>
              </a:srgbClr>
            </a:solidFill>
          </c:spPr>
          <c:dLbls>
            <c:dLbl>
              <c:idx val="0"/>
              <c:layout>
                <c:manualLayout>
                  <c:x val="1.670032026328137E-2"/>
                  <c:y val="1.6605101897898152E-2"/>
                </c:manualLayout>
              </c:layout>
              <c:tx>
                <c:rich>
                  <a:bodyPr/>
                  <a:lstStyle/>
                  <a:p>
                    <a:r>
                      <a:rPr lang="en-US" sz="900" b="1">
                        <a:latin typeface="Times New Roman" pitchFamily="18" charset="0"/>
                        <a:cs typeface="Times New Roman" pitchFamily="18" charset="0"/>
                      </a:rPr>
                      <a:t>34,9*</a:t>
                    </a:r>
                  </a:p>
                </c:rich>
              </c:tx>
              <c:dLblPos val="outEnd"/>
              <c:extLst>
                <c:ext xmlns:c15="http://schemas.microsoft.com/office/drawing/2012/chart" uri="{CE6537A1-D6FC-4f65-9D91-7224C49458BB}">
                  <c15:layout/>
                </c:ext>
              </c:extLst>
            </c:dLbl>
            <c:dLbl>
              <c:idx val="1"/>
              <c:layout>
                <c:manualLayout>
                  <c:x val="1.3888888888889681E-2"/>
                  <c:y val="1.1904761904761921E-2"/>
                </c:manualLayout>
              </c:layout>
              <c:tx>
                <c:rich>
                  <a:bodyPr/>
                  <a:lstStyle/>
                  <a:p>
                    <a:r>
                      <a:rPr lang="en-US" sz="900" b="1">
                        <a:latin typeface="Times New Roman" pitchFamily="18" charset="0"/>
                        <a:cs typeface="Times New Roman" pitchFamily="18" charset="0"/>
                      </a:rPr>
                      <a:t>12,0*</a:t>
                    </a:r>
                  </a:p>
                </c:rich>
              </c:tx>
              <c:dLblPos val="outEnd"/>
              <c:extLst>
                <c:ext xmlns:c15="http://schemas.microsoft.com/office/drawing/2012/chart" uri="{CE6537A1-D6FC-4f65-9D91-7224C49458BB}">
                  <c15:layout/>
                </c:ext>
              </c:extLst>
            </c:dLbl>
            <c:dLbl>
              <c:idx val="2"/>
              <c:layout>
                <c:manualLayout>
                  <c:x val="6.7986522148579124E-3"/>
                  <c:y val="6.6061942257217843E-2"/>
                </c:manualLayout>
              </c:layout>
              <c:tx>
                <c:rich>
                  <a:bodyPr/>
                  <a:lstStyle/>
                  <a:p>
                    <a:r>
                      <a:rPr lang="en-US" sz="900" b="1">
                        <a:latin typeface="Times New Roman" pitchFamily="18" charset="0"/>
                        <a:cs typeface="Times New Roman" pitchFamily="18" charset="0"/>
                      </a:rPr>
                      <a:t>14,3*</a:t>
                    </a:r>
                  </a:p>
                  <a:p>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3"/>
              <c:layout>
                <c:manualLayout>
                  <c:x val="7.6435608563360374E-3"/>
                  <c:y val="1.0963299889331866E-2"/>
                </c:manualLayout>
              </c:layout>
              <c:tx>
                <c:rich>
                  <a:bodyPr/>
                  <a:lstStyle/>
                  <a:p>
                    <a:r>
                      <a:rPr lang="en-US" sz="900" b="1">
                        <a:latin typeface="Times New Roman" pitchFamily="18" charset="0"/>
                        <a:cs typeface="Times New Roman" pitchFamily="18" charset="0"/>
                      </a:rPr>
                      <a:t>7,7*</a:t>
                    </a:r>
                  </a:p>
                </c:rich>
              </c:tx>
              <c:dLblPos val="outEnd"/>
              <c:extLst>
                <c:ext xmlns:c15="http://schemas.microsoft.com/office/drawing/2012/chart" uri="{CE6537A1-D6FC-4f65-9D91-7224C49458BB}">
                  <c15:layout/>
                </c:ext>
              </c:extLst>
            </c:dLbl>
            <c:dLbl>
              <c:idx val="4"/>
              <c:layout>
                <c:manualLayout>
                  <c:x val="1.3888888888889681E-2"/>
                  <c:y val="7.9365079365078823E-3"/>
                </c:manualLayout>
              </c:layout>
              <c:tx>
                <c:rich>
                  <a:bodyPr/>
                  <a:lstStyle/>
                  <a:p>
                    <a:r>
                      <a:rPr lang="en-US" sz="900" b="1">
                        <a:latin typeface="Times New Roman" pitchFamily="18" charset="0"/>
                        <a:cs typeface="Times New Roman" pitchFamily="18" charset="0"/>
                      </a:rPr>
                      <a:t>4,6*</a:t>
                    </a:r>
                  </a:p>
                </c:rich>
              </c:tx>
              <c:dLblPos val="outEnd"/>
              <c:extLst>
                <c:ext xmlns:c15="http://schemas.microsoft.com/office/drawing/2012/chart" uri="{CE6537A1-D6FC-4f65-9D91-7224C49458BB}">
                  <c15:layout/>
                </c:ext>
              </c:extLst>
            </c:dLbl>
            <c:dLbl>
              <c:idx val="5"/>
              <c:layout>
                <c:manualLayout>
                  <c:x val="1.1984310202113159E-2"/>
                  <c:y val="3.9444254250827352E-3"/>
                </c:manualLayout>
              </c:layout>
              <c:tx>
                <c:rich>
                  <a:bodyPr/>
                  <a:lstStyle/>
                  <a:p>
                    <a:r>
                      <a:rPr lang="en-US" sz="900" b="1">
                        <a:latin typeface="Times New Roman" pitchFamily="18" charset="0"/>
                        <a:cs typeface="Times New Roman" pitchFamily="18" charset="0"/>
                      </a:rPr>
                      <a:t>14,6*</a:t>
                    </a:r>
                  </a:p>
                </c:rich>
              </c:tx>
              <c:dLblPos val="outEnd"/>
              <c:extLst>
                <c:ext xmlns:c15="http://schemas.microsoft.com/office/drawing/2012/chart" uri="{CE6537A1-D6FC-4f65-9D91-7224C49458BB}">
                  <c15:layout/>
                </c:ext>
              </c:extLst>
            </c:dLbl>
            <c:dLbl>
              <c:idx val="6"/>
              <c:layout>
                <c:manualLayout>
                  <c:x val="6.4095591654649729E-3"/>
                  <c:y val="1.4009509680855459E-2"/>
                </c:manualLayout>
              </c:layout>
              <c:tx>
                <c:rich>
                  <a:bodyPr/>
                  <a:lstStyle/>
                  <a:p>
                    <a:r>
                      <a:rPr lang="en-US" sz="900" b="1">
                        <a:latin typeface="Times New Roman" pitchFamily="18" charset="0"/>
                        <a:cs typeface="Times New Roman" pitchFamily="18" charset="0"/>
                      </a:rPr>
                      <a:t>11,9*</a:t>
                    </a:r>
                  </a:p>
                </c:rich>
              </c:tx>
              <c:dLblPos val="outEnd"/>
              <c:extLst>
                <c:ext xmlns:c15="http://schemas.microsoft.com/office/drawing/2012/chart" uri="{CE6537A1-D6FC-4f65-9D91-7224C49458BB}">
                  <c15:layout/>
                </c:ext>
              </c:extLst>
            </c:dLbl>
            <c:dLbl>
              <c:idx val="7"/>
              <c:layout>
                <c:manualLayout>
                  <c:x val="1.415226249871919E-2"/>
                  <c:y val="7.8058503556620914E-3"/>
                </c:manualLayout>
              </c:layout>
              <c:tx>
                <c:rich>
                  <a:bodyPr/>
                  <a:lstStyle/>
                  <a:p>
                    <a:r>
                      <a:rPr lang="ru-RU" sz="900" b="1">
                        <a:latin typeface="Times New Roman" pitchFamily="18" charset="0"/>
                        <a:cs typeface="Times New Roman" pitchFamily="18" charset="0"/>
                      </a:rPr>
                      <a:t>8,1*</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extLst>
            </c:dLbl>
            <c:spPr>
              <a:noFill/>
              <a:ln w="24889">
                <a:noFill/>
              </a:ln>
            </c:spPr>
            <c:txPr>
              <a:bodyPr/>
              <a:lstStyle/>
              <a:p>
                <a:pPr>
                  <a:defRPr sz="9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Молдова</c:v>
                </c:pt>
                <c:pt idx="1">
                  <c:v>Россия</c:v>
                </c:pt>
                <c:pt idx="2">
                  <c:v>Украина</c:v>
                </c:pt>
                <c:pt idx="3">
                  <c:v>Италия</c:v>
                </c:pt>
                <c:pt idx="4">
                  <c:v>Германия</c:v>
                </c:pt>
                <c:pt idx="5">
                  <c:v>Румыния</c:v>
                </c:pt>
                <c:pt idx="6">
                  <c:v>Прочие страны</c:v>
                </c:pt>
              </c:strCache>
            </c:strRef>
          </c:cat>
          <c:val>
            <c:numRef>
              <c:f>Лист1!$C$2:$C$8</c:f>
              <c:numCache>
                <c:formatCode>0.0</c:formatCode>
                <c:ptCount val="7"/>
                <c:pt idx="0">
                  <c:v>88.143000000000001</c:v>
                </c:pt>
                <c:pt idx="1">
                  <c:v>30.295999999999989</c:v>
                </c:pt>
                <c:pt idx="2">
                  <c:v>36.041000000000004</c:v>
                </c:pt>
                <c:pt idx="3">
                  <c:v>19.507000000000001</c:v>
                </c:pt>
                <c:pt idx="4">
                  <c:v>11.646000000000001</c:v>
                </c:pt>
                <c:pt idx="5">
                  <c:v>36.850999999999999</c:v>
                </c:pt>
                <c:pt idx="6">
                  <c:v>29.952000000000012</c:v>
                </c:pt>
              </c:numCache>
            </c:numRef>
          </c:val>
        </c:ser>
        <c:dLbls>
          <c:showVal val="1"/>
        </c:dLbls>
        <c:axId val="100524032"/>
        <c:axId val="100525568"/>
      </c:barChart>
      <c:catAx>
        <c:axId val="100524032"/>
        <c:scaling>
          <c:orientation val="minMax"/>
        </c:scaling>
        <c:axPos val="b"/>
        <c:numFmt formatCode="General" sourceLinked="1"/>
        <c:tickLblPos val="nextTo"/>
        <c:crossAx val="100525568"/>
        <c:crosses val="autoZero"/>
        <c:auto val="1"/>
        <c:lblAlgn val="ctr"/>
        <c:lblOffset val="100"/>
      </c:catAx>
      <c:valAx>
        <c:axId val="100525568"/>
        <c:scaling>
          <c:orientation val="minMax"/>
        </c:scaling>
        <c:axPos val="l"/>
        <c:title>
          <c:tx>
            <c:rich>
              <a:bodyPr rot="0" vert="horz"/>
              <a:lstStyle/>
              <a:p>
                <a:pPr algn="ctr">
                  <a:defRPr sz="1078" b="1" i="0" u="none" strike="noStrike" baseline="0">
                    <a:solidFill>
                      <a:srgbClr val="000000"/>
                    </a:solidFill>
                    <a:latin typeface="Calibri"/>
                    <a:ea typeface="Calibri"/>
                    <a:cs typeface="Calibri"/>
                  </a:defRPr>
                </a:pPr>
                <a:r>
                  <a:rPr lang="ru-RU" sz="882" b="1" i="0" strike="noStrike">
                    <a:solidFill>
                      <a:srgbClr val="000000"/>
                    </a:solidFill>
                    <a:latin typeface="Times New Roman"/>
                    <a:cs typeface="Times New Roman"/>
                  </a:rPr>
                  <a:t>*- удельный вес в общем объеме экспорта, %</a:t>
                </a:r>
              </a:p>
            </c:rich>
          </c:tx>
          <c:layout>
            <c:manualLayout>
              <c:xMode val="edge"/>
              <c:yMode val="edge"/>
              <c:x val="3.6150120410206914E-4"/>
              <c:y val="0.321909305132486"/>
            </c:manualLayout>
          </c:layout>
          <c:spPr>
            <a:noFill/>
            <a:ln w="24889">
              <a:noFill/>
            </a:ln>
          </c:spPr>
        </c:title>
        <c:numFmt formatCode="0.0" sourceLinked="1"/>
        <c:tickLblPos val="nextTo"/>
        <c:txPr>
          <a:bodyPr/>
          <a:lstStyle/>
          <a:p>
            <a:pPr>
              <a:defRPr b="1">
                <a:latin typeface="Times New Roman" pitchFamily="18" charset="0"/>
                <a:cs typeface="Times New Roman" pitchFamily="18" charset="0"/>
              </a:defRPr>
            </a:pPr>
            <a:endParaRPr lang="ru-RU"/>
          </a:p>
        </c:txPr>
        <c:crossAx val="100524032"/>
        <c:crosses val="autoZero"/>
        <c:crossBetween val="midCat"/>
      </c:valAx>
      <c:dTable>
        <c:showHorzBorder val="1"/>
        <c:showVertBorder val="1"/>
        <c:showOutline val="1"/>
        <c:showKeys val="1"/>
        <c:txPr>
          <a:bodyPr/>
          <a:lstStyle/>
          <a:p>
            <a:pPr rtl="0">
              <a:defRPr sz="882" b="1">
                <a:latin typeface="Times New Roman" pitchFamily="18" charset="0"/>
                <a:cs typeface="Times New Roman" pitchFamily="18" charset="0"/>
              </a:defRPr>
            </a:pPr>
            <a:endParaRPr lang="ru-RU"/>
          </a:p>
        </c:txPr>
      </c:dTable>
    </c:plotArea>
    <c:legend>
      <c:legendPos val="b"/>
      <c:layout>
        <c:manualLayout>
          <c:xMode val="edge"/>
          <c:yMode val="edge"/>
          <c:x val="5.6614687869898934E-2"/>
          <c:y val="0.89923752841931548"/>
          <c:w val="0.82928231515398909"/>
          <c:h val="8.2925236352144965E-2"/>
        </c:manualLayout>
      </c:layout>
      <c:txPr>
        <a:bodyPr/>
        <a:lstStyle/>
        <a:p>
          <a:pPr rtl="0">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Структура производста ВВП, млн руб.</a:t>
            </a:r>
          </a:p>
        </c:rich>
      </c:tx>
      <c:layout>
        <c:manualLayout>
          <c:xMode val="edge"/>
          <c:yMode val="edge"/>
          <c:x val="0.29266544891565915"/>
          <c:y val="2.0878714397270983E-2"/>
        </c:manualLayout>
      </c:layout>
    </c:title>
    <c:plotArea>
      <c:layout/>
      <c:barChart>
        <c:barDir val="col"/>
        <c:grouping val="clustered"/>
        <c:ser>
          <c:idx val="0"/>
          <c:order val="0"/>
          <c:tx>
            <c:strRef>
              <c:f>Лист1!$B$1</c:f>
              <c:strCache>
                <c:ptCount val="1"/>
                <c:pt idx="0">
                  <c:v>январь-июнь 2016 года</c:v>
                </c:pt>
              </c:strCache>
            </c:strRef>
          </c:tx>
          <c:dLbls>
            <c:dLbl>
              <c:idx val="0"/>
              <c:tx>
                <c:rich>
                  <a:bodyPr/>
                  <a:lstStyle/>
                  <a:p>
                    <a:r>
                      <a:rPr lang="en-US" sz="800" b="1">
                        <a:latin typeface="Times New Roman" pitchFamily="18" charset="0"/>
                        <a:cs typeface="Times New Roman" pitchFamily="18" charset="0"/>
                      </a:rPr>
                      <a:t>20,62*</a:t>
                    </a:r>
                  </a:p>
                </c:rich>
              </c:tx>
              <c:dLblPos val="outEnd"/>
              <c:showVal val="1"/>
              <c:extLst>
                <c:ext xmlns:c15="http://schemas.microsoft.com/office/drawing/2012/chart" uri="{CE6537A1-D6FC-4f65-9D91-7224C49458BB}">
                  <c15:layout/>
                </c:ext>
              </c:extLst>
            </c:dLbl>
            <c:dLbl>
              <c:idx val="1"/>
              <c:layout>
                <c:manualLayout>
                  <c:x val="-4.6296296296297031E-3"/>
                  <c:y val="0"/>
                </c:manualLayout>
              </c:layout>
              <c:tx>
                <c:rich>
                  <a:bodyPr/>
                  <a:lstStyle/>
                  <a:p>
                    <a:r>
                      <a:rPr lang="en-US" sz="800" b="1">
                        <a:latin typeface="Times New Roman" pitchFamily="18" charset="0"/>
                        <a:cs typeface="Times New Roman" pitchFamily="18" charset="0"/>
                      </a:rPr>
                      <a:t>81,21*</a:t>
                    </a:r>
                  </a:p>
                </c:rich>
              </c:tx>
              <c:dLblPos val="outEnd"/>
              <c:showVal val="1"/>
              <c:extLst>
                <c:ext xmlns:c15="http://schemas.microsoft.com/office/drawing/2012/chart" uri="{CE6537A1-D6FC-4f65-9D91-7224C49458BB}">
                  <c15:layout/>
                </c:ext>
              </c:extLst>
            </c:dLbl>
            <c:dLbl>
              <c:idx val="2"/>
              <c:layout>
                <c:manualLayout>
                  <c:x val="0"/>
                  <c:y val="8.9612276325237966E-2"/>
                </c:manualLayout>
              </c:layout>
              <c:tx>
                <c:rich>
                  <a:bodyPr/>
                  <a:lstStyle/>
                  <a:p>
                    <a:r>
                      <a:rPr lang="en-US" sz="800" b="1">
                        <a:latin typeface="Times New Roman" pitchFamily="18" charset="0"/>
                        <a:cs typeface="Times New Roman" pitchFamily="18" charset="0"/>
                      </a:rPr>
                      <a:t>-1,83*</a:t>
                    </a:r>
                  </a:p>
                </c:rich>
              </c:tx>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showLeaderLines val="0"/>
              </c:ext>
            </c:extLst>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formatCode="0.0">
                  <c:v>845.6</c:v>
                </c:pt>
                <c:pt idx="1">
                  <c:v>3331.4</c:v>
                </c:pt>
                <c:pt idx="2" formatCode="0.0">
                  <c:v>-75</c:v>
                </c:pt>
              </c:numCache>
            </c:numRef>
          </c:val>
        </c:ser>
        <c:ser>
          <c:idx val="1"/>
          <c:order val="1"/>
          <c:tx>
            <c:strRef>
              <c:f>Лист1!$C$1</c:f>
              <c:strCache>
                <c:ptCount val="1"/>
                <c:pt idx="0">
                  <c:v>январь-июнь 2017 года</c:v>
                </c:pt>
              </c:strCache>
            </c:strRef>
          </c:tx>
          <c:dLbls>
            <c:dLbl>
              <c:idx val="0"/>
              <c:tx>
                <c:rich>
                  <a:bodyPr/>
                  <a:lstStyle/>
                  <a:p>
                    <a:r>
                      <a:rPr lang="en-US" sz="800" b="1">
                        <a:latin typeface="Times New Roman" pitchFamily="18" charset="0"/>
                        <a:cs typeface="Times New Roman" pitchFamily="18" charset="0"/>
                      </a:rPr>
                      <a:t>13,35*</a:t>
                    </a:r>
                  </a:p>
                </c:rich>
              </c:tx>
              <c:dLblPos val="outEnd"/>
              <c:showVal val="1"/>
              <c:extLst>
                <c:ext xmlns:c15="http://schemas.microsoft.com/office/drawing/2012/chart" uri="{CE6537A1-D6FC-4f65-9D91-7224C49458BB}">
                  <c15:layout/>
                </c:ext>
              </c:extLst>
            </c:dLbl>
            <c:dLbl>
              <c:idx val="1"/>
              <c:tx>
                <c:rich>
                  <a:bodyPr/>
                  <a:lstStyle/>
                  <a:p>
                    <a:r>
                      <a:rPr lang="en-US" sz="800" b="1">
                        <a:latin typeface="Times New Roman" pitchFamily="18" charset="0"/>
                        <a:cs typeface="Times New Roman" pitchFamily="18" charset="0"/>
                      </a:rPr>
                      <a:t>83,30*</a:t>
                    </a:r>
                  </a:p>
                </c:rich>
              </c:tx>
              <c:dLblPos val="outEnd"/>
              <c:showVal val="1"/>
              <c:extLst>
                <c:ext xmlns:c15="http://schemas.microsoft.com/office/drawing/2012/chart" uri="{CE6537A1-D6FC-4f65-9D91-7224C49458BB}">
                  <c15:layout/>
                </c:ext>
              </c:extLst>
            </c:dLbl>
            <c:dLbl>
              <c:idx val="2"/>
              <c:layout>
                <c:manualLayout>
                  <c:x val="6.4126118850528725E-3"/>
                  <c:y val="2.6327520868009581E-2"/>
                </c:manualLayout>
              </c:layout>
              <c:tx>
                <c:rich>
                  <a:bodyPr/>
                  <a:lstStyle/>
                  <a:p>
                    <a:pPr>
                      <a:defRPr>
                        <a:solidFill>
                          <a:sysClr val="windowText" lastClr="000000"/>
                        </a:solidFill>
                      </a:defRPr>
                    </a:pPr>
                    <a:r>
                      <a:rPr lang="en-US" sz="800" b="1">
                        <a:solidFill>
                          <a:sysClr val="windowText" lastClr="000000"/>
                        </a:solidFill>
                        <a:latin typeface="Times New Roman" pitchFamily="18" charset="0"/>
                        <a:cs typeface="Times New Roman" pitchFamily="18" charset="0"/>
                      </a:rPr>
                      <a:t>-0,64*</a:t>
                    </a:r>
                  </a:p>
                </c:rich>
              </c:tx>
              <c:spPr/>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showLeaderLines val="0"/>
              </c:ext>
            </c:extLst>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formatCode="0.0">
                  <c:v>522.29999999999995</c:v>
                </c:pt>
                <c:pt idx="1">
                  <c:v>3416.4</c:v>
                </c:pt>
                <c:pt idx="2" formatCode="0.0">
                  <c:v>-25.2</c:v>
                </c:pt>
              </c:numCache>
            </c:numRef>
          </c:val>
        </c:ser>
        <c:dLbls>
          <c:showVal val="1"/>
        </c:dLbls>
        <c:axId val="95939584"/>
        <c:axId val="96391936"/>
      </c:barChart>
      <c:catAx>
        <c:axId val="95939584"/>
        <c:scaling>
          <c:orientation val="minMax"/>
        </c:scaling>
        <c:axPos val="b"/>
        <c:numFmt formatCode="General" sourceLinked="0"/>
        <c:tickLblPos val="nextTo"/>
        <c:crossAx val="96391936"/>
        <c:crosses val="autoZero"/>
        <c:auto val="1"/>
        <c:lblAlgn val="ctr"/>
        <c:lblOffset val="100"/>
      </c:catAx>
      <c:valAx>
        <c:axId val="96391936"/>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*_ удельный вес в структуре ВВП,%</a:t>
                </a:r>
              </a:p>
            </c:rich>
          </c:tx>
          <c:layout>
            <c:manualLayout>
              <c:xMode val="edge"/>
              <c:yMode val="edge"/>
              <c:x val="0.8295778500696499"/>
              <c:y val="0.14025028600024247"/>
            </c:manualLayout>
          </c:layout>
        </c:title>
        <c:numFmt formatCode="0.0" sourceLinked="1"/>
        <c:tickLblPos val="nextTo"/>
        <c:txPr>
          <a:bodyPr/>
          <a:lstStyle/>
          <a:p>
            <a:pPr>
              <a:defRPr sz="900" b="1">
                <a:latin typeface="Times New Roman" pitchFamily="18" charset="0"/>
                <a:cs typeface="Times New Roman" pitchFamily="18" charset="0"/>
              </a:defRPr>
            </a:pPr>
            <a:endParaRPr lang="ru-RU"/>
          </a:p>
        </c:txPr>
        <c:crossAx val="95939584"/>
        <c:crosses val="autoZero"/>
        <c:crossBetween val="between"/>
        <c:majorUnit val="10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050"/>
            </a:pPr>
            <a:r>
              <a:rPr lang="ru-RU" sz="1050"/>
              <a:t>Товарная структура импорта ПМР, млн долл. США</a:t>
            </a:r>
          </a:p>
        </c:rich>
      </c:tx>
      <c:layout>
        <c:manualLayout>
          <c:xMode val="edge"/>
          <c:yMode val="edge"/>
          <c:x val="0.21589471339159241"/>
          <c:y val="3.9306204289070126E-4"/>
        </c:manualLayout>
      </c:layout>
      <c:spPr>
        <a:solidFill>
          <a:sysClr val="window" lastClr="FFFFFF"/>
        </a:solidFill>
        <a:ln w="23365">
          <a:noFill/>
        </a:ln>
      </c:spPr>
    </c:title>
    <c:plotArea>
      <c:layout>
        <c:manualLayout>
          <c:layoutTarget val="inner"/>
          <c:xMode val="edge"/>
          <c:yMode val="edge"/>
          <c:x val="6.4038461538462113E-2"/>
          <c:y val="8.133997384602544E-2"/>
          <c:w val="0.93596153846153862"/>
          <c:h val="0.41766153789080401"/>
        </c:manualLayout>
      </c:layout>
      <c:barChart>
        <c:barDir val="col"/>
        <c:grouping val="clustered"/>
        <c:ser>
          <c:idx val="0"/>
          <c:order val="0"/>
          <c:tx>
            <c:strRef>
              <c:f>Sheet1!$A$2</c:f>
              <c:strCache>
                <c:ptCount val="1"/>
                <c:pt idx="0">
                  <c:v>январь - июнь 2016 г.</c:v>
                </c:pt>
              </c:strCache>
            </c:strRef>
          </c:tx>
          <c:spPr>
            <a:gradFill flip="none" rotWithShape="1">
              <a:gsLst>
                <a:gs pos="0">
                  <a:srgbClr val="03D4A8"/>
                </a:gs>
                <a:gs pos="25000">
                  <a:srgbClr val="21D6E0"/>
                </a:gs>
                <a:gs pos="75000">
                  <a:srgbClr val="0087E6"/>
                </a:gs>
                <a:gs pos="100000">
                  <a:srgbClr val="005CBF"/>
                </a:gs>
              </a:gsLst>
              <a:path path="circle">
                <a:fillToRect l="100000" t="100000"/>
              </a:path>
              <a:tileRect r="-100000" b="-100000"/>
            </a:gradFill>
          </c:spPr>
          <c:dLbls>
            <c:dLbl>
              <c:idx val="0"/>
              <c:layout>
                <c:manualLayout>
                  <c:x val="3.404670570024965E-3"/>
                  <c:y val="1.925373748344153E-2"/>
                </c:manualLayout>
              </c:layout>
              <c:tx>
                <c:rich>
                  <a:bodyPr/>
                  <a:lstStyle/>
                  <a:p>
                    <a:r>
                      <a:rPr lang="en-US" sz="900"/>
                      <a:t>48,3*</a:t>
                    </a:r>
                  </a:p>
                </c:rich>
              </c:tx>
              <c:dLblPos val="outEnd"/>
              <c:showVal val="1"/>
              <c:extLst>
                <c:ext xmlns:c15="http://schemas.microsoft.com/office/drawing/2012/chart" uri="{CE6537A1-D6FC-4f65-9D91-7224C49458BB}">
                  <c15:layout/>
                </c:ext>
              </c:extLst>
            </c:dLbl>
            <c:dLbl>
              <c:idx val="1"/>
              <c:layout>
                <c:manualLayout>
                  <c:x val="-1.5731287177619545E-3"/>
                  <c:y val="2.0290865281184192E-2"/>
                </c:manualLayout>
              </c:layout>
              <c:tx>
                <c:rich>
                  <a:bodyPr/>
                  <a:lstStyle/>
                  <a:p>
                    <a:r>
                      <a:rPr lang="en-US" sz="900"/>
                      <a:t>6,6*</a:t>
                    </a:r>
                  </a:p>
                </c:rich>
              </c:tx>
              <c:dLblPos val="outEnd"/>
              <c:showVal val="1"/>
              <c:extLst>
                <c:ext xmlns:c15="http://schemas.microsoft.com/office/drawing/2012/chart" uri="{CE6537A1-D6FC-4f65-9D91-7224C49458BB}">
                  <c15:layout/>
                </c:ext>
              </c:extLst>
            </c:dLbl>
            <c:dLbl>
              <c:idx val="2"/>
              <c:layout>
                <c:manualLayout>
                  <c:x val="-1.3042837844093721E-3"/>
                  <c:y val="1.0836278480812983E-2"/>
                </c:manualLayout>
              </c:layout>
              <c:tx>
                <c:rich>
                  <a:bodyPr/>
                  <a:lstStyle/>
                  <a:p>
                    <a:r>
                      <a:rPr lang="en-US" sz="900"/>
                      <a:t>10,9*</a:t>
                    </a:r>
                  </a:p>
                </c:rich>
              </c:tx>
              <c:dLblPos val="outEnd"/>
              <c:showVal val="1"/>
              <c:extLst>
                <c:ext xmlns:c15="http://schemas.microsoft.com/office/drawing/2012/chart" uri="{CE6537A1-D6FC-4f65-9D91-7224C49458BB}">
                  <c15:layout/>
                </c:ext>
              </c:extLst>
            </c:dLbl>
            <c:dLbl>
              <c:idx val="3"/>
              <c:layout>
                <c:manualLayout>
                  <c:x val="-6.2825471241537978E-3"/>
                  <c:y val="9.9798016300668251E-3"/>
                </c:manualLayout>
              </c:layout>
              <c:tx>
                <c:rich>
                  <a:bodyPr/>
                  <a:lstStyle/>
                  <a:p>
                    <a:r>
                      <a:rPr lang="en-US" sz="900"/>
                      <a:t>8,9*</a:t>
                    </a:r>
                  </a:p>
                </c:rich>
              </c:tx>
              <c:dLblPos val="outEnd"/>
              <c:showVal val="1"/>
              <c:extLst>
                <c:ext xmlns:c15="http://schemas.microsoft.com/office/drawing/2012/chart" uri="{CE6537A1-D6FC-4f65-9D91-7224C49458BB}">
                  <c15:layout/>
                </c:ext>
              </c:extLst>
            </c:dLbl>
            <c:dLbl>
              <c:idx val="4"/>
              <c:layout>
                <c:manualLayout>
                  <c:x val="1.2039404165388417E-3"/>
                  <c:y val="3.9873514104252416E-3"/>
                </c:manualLayout>
              </c:layout>
              <c:tx>
                <c:rich>
                  <a:bodyPr/>
                  <a:lstStyle/>
                  <a:p>
                    <a:r>
                      <a:rPr lang="en-US" sz="900"/>
                      <a:t>7,1*</a:t>
                    </a:r>
                  </a:p>
                </c:rich>
              </c:tx>
              <c:dLblPos val="outEnd"/>
              <c:showVal val="1"/>
              <c:extLst>
                <c:ext xmlns:c15="http://schemas.microsoft.com/office/drawing/2012/chart" uri="{CE6537A1-D6FC-4f65-9D91-7224C49458BB}">
                  <c15:layout/>
                </c:ext>
              </c:extLst>
            </c:dLbl>
            <c:dLbl>
              <c:idx val="5"/>
              <c:layout>
                <c:manualLayout>
                  <c:x val="-1.5628511428054401E-3"/>
                  <c:y val="1.6254776229738493E-3"/>
                </c:manualLayout>
              </c:layout>
              <c:tx>
                <c:rich>
                  <a:bodyPr/>
                  <a:lstStyle/>
                  <a:p>
                    <a:r>
                      <a:rPr lang="en-US" sz="900" b="1"/>
                      <a:t>6,4*</a:t>
                    </a:r>
                  </a:p>
                </c:rich>
              </c:tx>
              <c:dLblPos val="outEnd"/>
              <c:extLst>
                <c:ext xmlns:c15="http://schemas.microsoft.com/office/drawing/2012/chart" uri="{CE6537A1-D6FC-4f65-9D91-7224C49458BB}">
                  <c15:layout/>
                </c:ext>
              </c:extLst>
            </c:dLbl>
            <c:dLbl>
              <c:idx val="6"/>
              <c:layout>
                <c:manualLayout>
                  <c:x val="-7.5617342090612003E-4"/>
                  <c:y val="1.6455402091132061E-2"/>
                </c:manualLayout>
              </c:layout>
              <c:tx>
                <c:rich>
                  <a:bodyPr/>
                  <a:lstStyle/>
                  <a:p>
                    <a:r>
                      <a:rPr lang="en-US" sz="900" b="1"/>
                      <a:t>11,8</a:t>
                    </a:r>
                  </a:p>
                </c:rich>
              </c:tx>
              <c:dLblPos val="outEnd"/>
              <c:extLst>
                <c:ext xmlns:c15="http://schemas.microsoft.com/office/drawing/2012/chart" uri="{CE6537A1-D6FC-4f65-9D91-7224C49458BB}">
                  <c15:layout/>
                </c:ext>
              </c:extLst>
            </c:dLbl>
            <c:dLbl>
              <c:idx val="7"/>
              <c:layout>
                <c:manualLayout>
                  <c:xMode val="edge"/>
                  <c:yMode val="edge"/>
                  <c:x val="0.72802197802197965"/>
                  <c:y val="0.43750000000000488"/>
                </c:manualLayout>
              </c:layout>
              <c:dLblPos val="outEnd"/>
              <c:showVal val="1"/>
              <c:extLst>
                <c:ext xmlns:c15="http://schemas.microsoft.com/office/drawing/2012/chart" uri="{CE6537A1-D6FC-4f65-9D91-7224C49458BB}"/>
              </c:extLst>
            </c:dLbl>
            <c:spPr>
              <a:noFill/>
              <a:ln w="23365">
                <a:noFill/>
              </a:ln>
            </c:spPr>
            <c:txPr>
              <a:bodyPr rot="0" vert="horz" anchor="ctr" anchorCtr="0"/>
              <a:lstStyle/>
              <a:p>
                <a:pPr>
                  <a:defRPr sz="900" b="1"/>
                </a:pPr>
                <a:endParaRPr lang="ru-RU"/>
              </a:p>
            </c:txPr>
            <c:showVal val="1"/>
            <c:extLst>
              <c:ext xmlns:c15="http://schemas.microsoft.com/office/drawing/2012/chart" uri="{CE6537A1-D6FC-4f65-9D91-7224C49458BB}">
                <c15:showLeaderLines val="0"/>
              </c:ext>
            </c:extLst>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Sheet1!$B$2:$H$2</c:f>
              <c:numCache>
                <c:formatCode>0.0</c:formatCode>
                <c:ptCount val="7"/>
                <c:pt idx="0">
                  <c:v>216.74699999999999</c:v>
                </c:pt>
                <c:pt idx="1">
                  <c:v>29.776</c:v>
                </c:pt>
                <c:pt idx="2">
                  <c:v>49.066000000000003</c:v>
                </c:pt>
                <c:pt idx="3">
                  <c:v>39.756</c:v>
                </c:pt>
                <c:pt idx="4">
                  <c:v>31.95</c:v>
                </c:pt>
                <c:pt idx="5">
                  <c:v>28.815999999999999</c:v>
                </c:pt>
                <c:pt idx="6">
                  <c:v>52.956999999999923</c:v>
                </c:pt>
              </c:numCache>
            </c:numRef>
          </c:val>
        </c:ser>
        <c:ser>
          <c:idx val="1"/>
          <c:order val="1"/>
          <c:tx>
            <c:strRef>
              <c:f>Sheet1!$A$3</c:f>
              <c:strCache>
                <c:ptCount val="1"/>
                <c:pt idx="0">
                  <c:v>январь - июнь 2017 г.</c:v>
                </c:pt>
              </c:strCache>
            </c:strRef>
          </c:tx>
          <c:spPr>
            <a:gradFill flip="none" rotWithShape="1">
              <a:gsLst>
                <a:gs pos="0">
                  <a:srgbClr val="DDEBCF"/>
                </a:gs>
                <a:gs pos="50000">
                  <a:srgbClr val="9CB86E"/>
                </a:gs>
                <a:gs pos="100000">
                  <a:srgbClr val="156B13"/>
                </a:gs>
              </a:gsLst>
              <a:path path="circle">
                <a:fillToRect l="100000" t="100000"/>
              </a:path>
              <a:tileRect r="-100000" b="-100000"/>
            </a:gradFill>
          </c:spPr>
          <c:dLbls>
            <c:dLbl>
              <c:idx val="0"/>
              <c:layout>
                <c:manualLayout>
                  <c:x val="5.2558529061472684E-3"/>
                  <c:y val="6.0188774629529422E-3"/>
                </c:manualLayout>
              </c:layout>
              <c:tx>
                <c:rich>
                  <a:bodyPr/>
                  <a:lstStyle/>
                  <a:p>
                    <a:r>
                      <a:rPr lang="en-US" sz="900"/>
                      <a:t>36,0*</a:t>
                    </a:r>
                  </a:p>
                </c:rich>
              </c:tx>
              <c:dLblPos val="outEnd"/>
              <c:showVal val="1"/>
              <c:extLst>
                <c:ext xmlns:c15="http://schemas.microsoft.com/office/drawing/2012/chart" uri="{CE6537A1-D6FC-4f65-9D91-7224C49458BB}">
                  <c15:layout/>
                </c:ext>
              </c:extLst>
            </c:dLbl>
            <c:dLbl>
              <c:idx val="1"/>
              <c:layout>
                <c:manualLayout>
                  <c:x val="9.1876075299205664E-4"/>
                  <c:y val="1.6703670237941701E-2"/>
                </c:manualLayout>
              </c:layout>
              <c:tx>
                <c:rich>
                  <a:bodyPr/>
                  <a:lstStyle/>
                  <a:p>
                    <a:r>
                      <a:rPr lang="en-US" sz="900"/>
                      <a:t>12,8*</a:t>
                    </a:r>
                  </a:p>
                </c:rich>
              </c:tx>
              <c:dLblPos val="outEnd"/>
              <c:showVal val="1"/>
              <c:extLst>
                <c:ext xmlns:c15="http://schemas.microsoft.com/office/drawing/2012/chart" uri="{CE6537A1-D6FC-4f65-9D91-7224C49458BB}">
                  <c15:layout/>
                </c:ext>
              </c:extLst>
            </c:dLbl>
            <c:dLbl>
              <c:idx val="2"/>
              <c:layout>
                <c:manualLayout>
                  <c:x val="7.8852944023365523E-3"/>
                  <c:y val="8.9476556052448357E-3"/>
                </c:manualLayout>
              </c:layout>
              <c:tx>
                <c:rich>
                  <a:bodyPr/>
                  <a:lstStyle/>
                  <a:p>
                    <a:r>
                      <a:rPr lang="en-US" sz="900" b="1"/>
                      <a:t>13,6*</a:t>
                    </a:r>
                  </a:p>
                </c:rich>
              </c:tx>
              <c:dLblPos val="outEnd"/>
              <c:extLst>
                <c:ext xmlns:c15="http://schemas.microsoft.com/office/drawing/2012/chart" uri="{CE6537A1-D6FC-4f65-9D91-7224C49458BB}">
                  <c15:layout/>
                </c:ext>
              </c:extLst>
            </c:dLbl>
            <c:dLbl>
              <c:idx val="3"/>
              <c:layout>
                <c:manualLayout>
                  <c:x val="7.6798573255267037E-3"/>
                  <c:y val="3.5813380470298786E-3"/>
                </c:manualLayout>
              </c:layout>
              <c:tx>
                <c:rich>
                  <a:bodyPr/>
                  <a:lstStyle/>
                  <a:p>
                    <a:r>
                      <a:rPr lang="en-US" sz="900"/>
                      <a:t>10,3*</a:t>
                    </a:r>
                  </a:p>
                </c:rich>
              </c:tx>
              <c:dLblPos val="outEnd"/>
              <c:showVal val="1"/>
              <c:extLst>
                <c:ext xmlns:c15="http://schemas.microsoft.com/office/drawing/2012/chart" uri="{CE6537A1-D6FC-4f65-9D91-7224C49458BB}">
                  <c15:layout/>
                </c:ext>
              </c:extLst>
            </c:dLbl>
            <c:dLbl>
              <c:idx val="4"/>
              <c:layout>
                <c:manualLayout>
                  <c:x val="1.0924639230358553E-2"/>
                  <c:y val="4.8544624769320784E-3"/>
                </c:manualLayout>
              </c:layout>
              <c:tx>
                <c:rich>
                  <a:bodyPr/>
                  <a:lstStyle/>
                  <a:p>
                    <a:r>
                      <a:rPr lang="en-US" sz="900"/>
                      <a:t>8,3*</a:t>
                    </a:r>
                  </a:p>
                </c:rich>
              </c:tx>
              <c:dLblPos val="outEnd"/>
              <c:showVal val="1"/>
              <c:extLst>
                <c:ext xmlns:c15="http://schemas.microsoft.com/office/drawing/2012/chart" uri="{CE6537A1-D6FC-4f65-9D91-7224C49458BB}">
                  <c15:layout/>
                </c:ext>
              </c:extLst>
            </c:dLbl>
            <c:dLbl>
              <c:idx val="5"/>
              <c:layout>
                <c:manualLayout>
                  <c:x val="1.6322401175000143E-2"/>
                  <c:y val="-8.9551842841341864E-3"/>
                </c:manualLayout>
              </c:layout>
              <c:tx>
                <c:rich>
                  <a:bodyPr/>
                  <a:lstStyle/>
                  <a:p>
                    <a:r>
                      <a:rPr lang="en-US" sz="900"/>
                      <a:t>7,8*</a:t>
                    </a:r>
                  </a:p>
                </c:rich>
              </c:tx>
              <c:dLblPos val="outEnd"/>
              <c:showVal val="1"/>
              <c:extLst>
                <c:ext xmlns:c15="http://schemas.microsoft.com/office/drawing/2012/chart" uri="{CE6537A1-D6FC-4f65-9D91-7224C49458BB}">
                  <c15:layout/>
                </c:ext>
              </c:extLst>
            </c:dLbl>
            <c:dLbl>
              <c:idx val="6"/>
              <c:layout>
                <c:manualLayout>
                  <c:x val="4.0251667106205027E-3"/>
                  <c:y val="1.0088636461425918E-2"/>
                </c:manualLayout>
              </c:layout>
              <c:tx>
                <c:rich>
                  <a:bodyPr/>
                  <a:lstStyle/>
                  <a:p>
                    <a:r>
                      <a:rPr lang="en-US" sz="900" b="1"/>
                      <a:t>11,3</a:t>
                    </a:r>
                  </a:p>
                </c:rich>
              </c:tx>
              <c:dLblPos val="outEnd"/>
              <c:extLst>
                <c:ext xmlns:c15="http://schemas.microsoft.com/office/drawing/2012/chart" uri="{CE6537A1-D6FC-4f65-9D91-7224C49458BB}">
                  <c15:layout/>
                </c:ext>
              </c:extLst>
            </c:dLbl>
            <c:dLbl>
              <c:idx val="7"/>
              <c:layout>
                <c:manualLayout>
                  <c:xMode val="edge"/>
                  <c:yMode val="edge"/>
                  <c:x val="0.75274725274725274"/>
                  <c:y val="0.48214285714289223"/>
                </c:manualLayout>
              </c:layout>
              <c:dLblPos val="outEnd"/>
              <c:showVal val="1"/>
              <c:extLst>
                <c:ext xmlns:c15="http://schemas.microsoft.com/office/drawing/2012/chart" uri="{CE6537A1-D6FC-4f65-9D91-7224C49458BB}"/>
              </c:extLst>
            </c:dLbl>
            <c:spPr>
              <a:noFill/>
              <a:ln w="23365">
                <a:noFill/>
              </a:ln>
            </c:spPr>
            <c:txPr>
              <a:bodyPr rot="0" vert="horz"/>
              <a:lstStyle/>
              <a:p>
                <a:pPr>
                  <a:defRPr sz="900" b="1"/>
                </a:pPr>
                <a:endParaRPr lang="ru-RU"/>
              </a:p>
            </c:txPr>
            <c:showVal val="1"/>
            <c:extLst>
              <c:ext xmlns:c15="http://schemas.microsoft.com/office/drawing/2012/chart" uri="{CE6537A1-D6FC-4f65-9D91-7224C49458BB}">
                <c15:showLeaderLines val="0"/>
              </c:ext>
            </c:extLst>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Sheet1!$B$3:$H$3</c:f>
              <c:numCache>
                <c:formatCode>0.0</c:formatCode>
                <c:ptCount val="7"/>
                <c:pt idx="0">
                  <c:v>161.16399999999999</c:v>
                </c:pt>
                <c:pt idx="1">
                  <c:v>57.356999999999999</c:v>
                </c:pt>
                <c:pt idx="2">
                  <c:v>60.672000000000011</c:v>
                </c:pt>
                <c:pt idx="3">
                  <c:v>45.981999999999999</c:v>
                </c:pt>
                <c:pt idx="4">
                  <c:v>37.021000000000001</c:v>
                </c:pt>
                <c:pt idx="5">
                  <c:v>35.042000000000002</c:v>
                </c:pt>
                <c:pt idx="6">
                  <c:v>50.496000000000031</c:v>
                </c:pt>
              </c:numCache>
            </c:numRef>
          </c:val>
        </c:ser>
        <c:gapWidth val="160"/>
        <c:axId val="100713600"/>
        <c:axId val="100715136"/>
      </c:barChart>
      <c:catAx>
        <c:axId val="100713600"/>
        <c:scaling>
          <c:orientation val="minMax"/>
        </c:scaling>
        <c:axPos val="b"/>
        <c:numFmt formatCode="General" sourceLinked="1"/>
        <c:tickLblPos val="low"/>
        <c:txPr>
          <a:bodyPr rot="-5400000" vert="horz"/>
          <a:lstStyle/>
          <a:p>
            <a:pPr>
              <a:defRPr sz="900" b="1"/>
            </a:pPr>
            <a:endParaRPr lang="ru-RU"/>
          </a:p>
        </c:txPr>
        <c:crossAx val="100715136"/>
        <c:crosses val="autoZero"/>
        <c:lblAlgn val="ctr"/>
        <c:lblOffset val="160"/>
        <c:tickLblSkip val="1"/>
        <c:tickMarkSkip val="1"/>
      </c:catAx>
      <c:valAx>
        <c:axId val="100715136"/>
        <c:scaling>
          <c:orientation val="minMax"/>
        </c:scaling>
        <c:axPos val="l"/>
        <c:title>
          <c:tx>
            <c:rich>
              <a:bodyPr rot="0" vert="horz"/>
              <a:lstStyle/>
              <a:p>
                <a:pPr>
                  <a:defRPr sz="900"/>
                </a:pPr>
                <a:r>
                  <a:rPr lang="ru-RU" sz="900"/>
                  <a:t>*-удельный</a:t>
                </a:r>
              </a:p>
              <a:p>
                <a:pPr>
                  <a:defRPr sz="900"/>
                </a:pPr>
                <a:r>
                  <a:rPr lang="ru-RU" sz="900"/>
                  <a:t> вес в общем </a:t>
                </a:r>
              </a:p>
              <a:p>
                <a:pPr>
                  <a:defRPr sz="900"/>
                </a:pPr>
                <a:r>
                  <a:rPr lang="ru-RU" sz="900"/>
                  <a:t>объеме импорта,%</a:t>
                </a:r>
              </a:p>
            </c:rich>
          </c:tx>
          <c:layout>
            <c:manualLayout>
              <c:xMode val="edge"/>
              <c:yMode val="edge"/>
              <c:x val="0.80836135461688363"/>
              <c:y val="8.7301603571637965E-2"/>
            </c:manualLayout>
          </c:layout>
        </c:title>
        <c:numFmt formatCode="0.0" sourceLinked="1"/>
        <c:tickLblPos val="nextTo"/>
        <c:txPr>
          <a:bodyPr rot="0" vert="horz"/>
          <a:lstStyle/>
          <a:p>
            <a:pPr>
              <a:defRPr sz="900" b="1"/>
            </a:pPr>
            <a:endParaRPr lang="ru-RU"/>
          </a:p>
        </c:txPr>
        <c:crossAx val="100713600"/>
        <c:crosses val="autoZero"/>
        <c:crossBetween val="between"/>
      </c:valAx>
    </c:plotArea>
    <c:legend>
      <c:legendPos val="r"/>
      <c:layout>
        <c:manualLayout>
          <c:xMode val="edge"/>
          <c:yMode val="edge"/>
          <c:x val="0.27972745194470044"/>
          <c:y val="0.93794743502831401"/>
          <c:w val="0.68029928163999664"/>
          <c:h val="6.2052437791565933E-2"/>
        </c:manualLayout>
      </c:layout>
      <c:txPr>
        <a:bodyPr/>
        <a:lstStyle/>
        <a:p>
          <a:pPr>
            <a:defRPr sz="1000"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197">
                <a:latin typeface="Times New Roman" pitchFamily="18" charset="0"/>
                <a:cs typeface="Times New Roman" pitchFamily="18" charset="0"/>
              </a:defRPr>
            </a:pPr>
            <a:r>
              <a:rPr lang="ru-RU" sz="1197">
                <a:latin typeface="Times New Roman" pitchFamily="18" charset="0"/>
                <a:cs typeface="Times New Roman" pitchFamily="18" charset="0"/>
              </a:rPr>
              <a:t>Импорт товаров в разрезе стран, млн долл. США</a:t>
            </a:r>
          </a:p>
        </c:rich>
      </c:tx>
      <c:layout>
        <c:manualLayout>
          <c:xMode val="edge"/>
          <c:yMode val="edge"/>
          <c:x val="0.28778462820421863"/>
          <c:y val="3.5633496168670548E-3"/>
        </c:manualLayout>
      </c:layout>
      <c:spPr>
        <a:solidFill>
          <a:sysClr val="window" lastClr="FFFFFF"/>
        </a:solidFill>
        <a:ln w="25335">
          <a:noFill/>
        </a:ln>
      </c:spPr>
    </c:title>
    <c:plotArea>
      <c:layout>
        <c:manualLayout>
          <c:layoutTarget val="inner"/>
          <c:xMode val="edge"/>
          <c:yMode val="edge"/>
          <c:x val="0.21941539222490919"/>
          <c:y val="5.2423733918506556E-2"/>
          <c:w val="0.7704528955157206"/>
          <c:h val="0.6136833904407486"/>
        </c:manualLayout>
      </c:layout>
      <c:barChart>
        <c:barDir val="col"/>
        <c:grouping val="clustered"/>
        <c:ser>
          <c:idx val="0"/>
          <c:order val="0"/>
          <c:tx>
            <c:strRef>
              <c:f>Лист1!$B$1</c:f>
              <c:strCache>
                <c:ptCount val="1"/>
                <c:pt idx="0">
                  <c:v>январь - июнь 2016 г.</c:v>
                </c:pt>
              </c:strCache>
            </c:strRef>
          </c:tx>
          <c:spPr>
            <a:solidFill>
              <a:srgbClr val="9BBB59">
                <a:lumMod val="75000"/>
              </a:srgbClr>
            </a:solidFill>
          </c:spPr>
          <c:dLbls>
            <c:dLbl>
              <c:idx val="0"/>
              <c:layout>
                <c:manualLayout>
                  <c:x val="-6.9443883617112123E-3"/>
                  <c:y val="1.6468920613410428E-2"/>
                </c:manualLayout>
              </c:layout>
              <c:tx>
                <c:rich>
                  <a:bodyPr/>
                  <a:lstStyle/>
                  <a:p>
                    <a:r>
                      <a:rPr lang="en-US" sz="898" b="1">
                        <a:latin typeface="Times New Roman" pitchFamily="18" charset="0"/>
                        <a:cs typeface="Times New Roman" pitchFamily="18" charset="0"/>
                      </a:rPr>
                      <a:t>50,3*</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1"/>
              <c:layout>
                <c:manualLayout>
                  <c:x val="-6.9444444444448456E-3"/>
                  <c:y val="1.3773866501981372E-2"/>
                </c:manualLayout>
              </c:layout>
              <c:tx>
                <c:rich>
                  <a:bodyPr/>
                  <a:lstStyle/>
                  <a:p>
                    <a:r>
                      <a:rPr lang="en-US" sz="898" b="1">
                        <a:latin typeface="Times New Roman" pitchFamily="18" charset="0"/>
                        <a:cs typeface="Times New Roman" pitchFamily="18" charset="0"/>
                      </a:rPr>
                      <a:t>11,7*</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2"/>
              <c:layout>
                <c:manualLayout>
                  <c:x val="-2.1241315423808954E-3"/>
                  <c:y val="1.3422676470077001E-2"/>
                </c:manualLayout>
              </c:layout>
              <c:tx>
                <c:rich>
                  <a:bodyPr/>
                  <a:lstStyle/>
                  <a:p>
                    <a:r>
                      <a:rPr lang="en-US" sz="898" b="1">
                        <a:latin typeface="Times New Roman" pitchFamily="18" charset="0"/>
                        <a:cs typeface="Times New Roman" pitchFamily="18" charset="0"/>
                      </a:rPr>
                      <a:t>9,2*</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3"/>
              <c:layout>
                <c:manualLayout>
                  <c:x val="-1.2527404662652903E-3"/>
                  <c:y val="1.8752672472232362E-2"/>
                </c:manualLayout>
              </c:layout>
              <c:tx>
                <c:rich>
                  <a:bodyPr/>
                  <a:lstStyle/>
                  <a:p>
                    <a:r>
                      <a:rPr lang="en-US" sz="898" b="1">
                        <a:latin typeface="Times New Roman" pitchFamily="18" charset="0"/>
                        <a:cs typeface="Times New Roman" pitchFamily="18" charset="0"/>
                      </a:rPr>
                      <a:t>1,7*</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4"/>
              <c:layout>
                <c:manualLayout>
                  <c:x val="-3.5208973683888813E-3"/>
                  <c:y val="1.3422708778503161E-2"/>
                </c:manualLayout>
              </c:layout>
              <c:tx>
                <c:rich>
                  <a:bodyPr/>
                  <a:lstStyle/>
                  <a:p>
                    <a:r>
                      <a:rPr lang="en-US" sz="898" b="1">
                        <a:latin typeface="Times New Roman" pitchFamily="18" charset="0"/>
                        <a:cs typeface="Times New Roman" pitchFamily="18" charset="0"/>
                      </a:rPr>
                      <a:t>3,8*</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5"/>
              <c:layout>
                <c:manualLayout>
                  <c:x val="-6.9444444444448517E-3"/>
                  <c:y val="0"/>
                </c:manualLayout>
              </c:layout>
              <c:tx>
                <c:rich>
                  <a:bodyPr/>
                  <a:lstStyle/>
                  <a:p>
                    <a:r>
                      <a:rPr lang="en-US" sz="898" b="1">
                        <a:latin typeface="Times New Roman" pitchFamily="18" charset="0"/>
                        <a:cs typeface="Times New Roman" pitchFamily="18" charset="0"/>
                      </a:rPr>
                      <a:t>2,0*</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6"/>
              <c:layout>
                <c:manualLayout>
                  <c:x val="-1.0165556228548401E-3"/>
                  <c:y val="1.0853808936533541E-2"/>
                </c:manualLayout>
              </c:layout>
              <c:tx>
                <c:rich>
                  <a:bodyPr/>
                  <a:lstStyle/>
                  <a:p>
                    <a:r>
                      <a:rPr lang="en-US" sz="898" b="1">
                        <a:latin typeface="Times New Roman" pitchFamily="18" charset="0"/>
                        <a:cs typeface="Times New Roman" pitchFamily="18" charset="0"/>
                      </a:rPr>
                      <a:t>21,3*</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7"/>
              <c:layout>
                <c:manualLayout>
                  <c:x val="-1.2636096958468426E-2"/>
                  <c:y val="8.9485668596065021E-3"/>
                </c:manualLayout>
              </c:layout>
              <c:tx>
                <c:rich>
                  <a:bodyPr/>
                  <a:lstStyle/>
                  <a:p>
                    <a:r>
                      <a:rPr lang="ru-RU" sz="898" b="1">
                        <a:latin typeface="Times New Roman" pitchFamily="18" charset="0"/>
                        <a:cs typeface="Times New Roman" pitchFamily="18" charset="0"/>
                      </a:rPr>
                      <a:t>16,9*</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extLst>
            </c:dLbl>
            <c:spPr>
              <a:noFill/>
              <a:ln w="25335">
                <a:noFill/>
              </a:ln>
            </c:spPr>
            <c:txPr>
              <a:bodyPr/>
              <a:lstStyle/>
              <a:p>
                <a:pPr>
                  <a:defRPr sz="898">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Россия</c:v>
                </c:pt>
                <c:pt idx="1">
                  <c:v>Украина</c:v>
                </c:pt>
                <c:pt idx="2">
                  <c:v> Молдова</c:v>
                </c:pt>
                <c:pt idx="3">
                  <c:v>Казахстан</c:v>
                </c:pt>
                <c:pt idx="4">
                  <c:v>Германия</c:v>
                </c:pt>
                <c:pt idx="5">
                  <c:v>Румыния</c:v>
                </c:pt>
                <c:pt idx="6">
                  <c:v>Прочие страны</c:v>
                </c:pt>
              </c:strCache>
            </c:strRef>
          </c:cat>
          <c:val>
            <c:numRef>
              <c:f>Лист1!$B$2:$B$8</c:f>
              <c:numCache>
                <c:formatCode>0.0</c:formatCode>
                <c:ptCount val="7"/>
                <c:pt idx="0">
                  <c:v>225.82600000000087</c:v>
                </c:pt>
                <c:pt idx="1">
                  <c:v>52.339999999999996</c:v>
                </c:pt>
                <c:pt idx="2">
                  <c:v>41.436</c:v>
                </c:pt>
                <c:pt idx="3">
                  <c:v>7.6829999999999945</c:v>
                </c:pt>
                <c:pt idx="4">
                  <c:v>17.073</c:v>
                </c:pt>
                <c:pt idx="5">
                  <c:v>9.0180000000000007</c:v>
                </c:pt>
                <c:pt idx="6">
                  <c:v>95.693000000000112</c:v>
                </c:pt>
              </c:numCache>
            </c:numRef>
          </c:val>
        </c:ser>
        <c:ser>
          <c:idx val="1"/>
          <c:order val="1"/>
          <c:tx>
            <c:strRef>
              <c:f>Лист1!$C$1</c:f>
              <c:strCache>
                <c:ptCount val="1"/>
                <c:pt idx="0">
                  <c:v>январь - июнь 2017 г.</c:v>
                </c:pt>
              </c:strCache>
            </c:strRef>
          </c:tx>
          <c:spPr>
            <a:solidFill>
              <a:srgbClr val="9BBB59">
                <a:lumMod val="60000"/>
                <a:lumOff val="40000"/>
              </a:srgbClr>
            </a:solidFill>
          </c:spPr>
          <c:dLbls>
            <c:dLbl>
              <c:idx val="0"/>
              <c:layout>
                <c:manualLayout>
                  <c:x val="1.0580978848232751E-2"/>
                  <c:y val="0"/>
                </c:manualLayout>
              </c:layout>
              <c:tx>
                <c:rich>
                  <a:bodyPr/>
                  <a:lstStyle/>
                  <a:p>
                    <a:r>
                      <a:rPr lang="en-US" sz="898" b="1">
                        <a:latin typeface="Times New Roman" pitchFamily="18" charset="0"/>
                        <a:cs typeface="Times New Roman" pitchFamily="18" charset="0"/>
                      </a:rPr>
                      <a:t>38,1*</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1"/>
              <c:layout>
                <c:manualLayout>
                  <c:x val="1.1864597807626987E-2"/>
                  <c:y val="6.5359545288627002E-3"/>
                </c:manualLayout>
              </c:layout>
              <c:tx>
                <c:rich>
                  <a:bodyPr/>
                  <a:lstStyle/>
                  <a:p>
                    <a:r>
                      <a:rPr lang="en-US" sz="898" b="1">
                        <a:latin typeface="Times New Roman" pitchFamily="18" charset="0"/>
                        <a:cs typeface="Times New Roman" pitchFamily="18" charset="0"/>
                      </a:rPr>
                      <a:t>16,8*</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2"/>
              <c:layout>
                <c:manualLayout>
                  <c:x val="1.1029488960938721E-2"/>
                  <c:y val="1.3131007630668701E-2"/>
                </c:manualLayout>
              </c:layout>
              <c:tx>
                <c:rich>
                  <a:bodyPr/>
                  <a:lstStyle/>
                  <a:p>
                    <a:r>
                      <a:rPr lang="en-US" sz="898" b="1">
                        <a:latin typeface="Times New Roman" pitchFamily="18" charset="0"/>
                        <a:cs typeface="Times New Roman" pitchFamily="18" charset="0"/>
                      </a:rPr>
                      <a:t>11,0*</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3"/>
              <c:layout>
                <c:manualLayout>
                  <c:x val="7.8794406018397305E-3"/>
                  <c:y val="-4.4744572491352465E-3"/>
                </c:manualLayout>
              </c:layout>
              <c:tx>
                <c:rich>
                  <a:bodyPr/>
                  <a:lstStyle/>
                  <a:p>
                    <a:r>
                      <a:rPr lang="en-US" sz="900" b="1">
                        <a:latin typeface="Times New Roman" pitchFamily="18" charset="0"/>
                        <a:cs typeface="Times New Roman" pitchFamily="18" charset="0"/>
                      </a:rPr>
                      <a:t>2,8*</a:t>
                    </a:r>
                  </a:p>
                </c:rich>
              </c:tx>
              <c:dLblPos val="outEnd"/>
              <c:extLst>
                <c:ext xmlns:c15="http://schemas.microsoft.com/office/drawing/2012/chart" uri="{CE6537A1-D6FC-4f65-9D91-7224C49458BB}">
                  <c15:layout/>
                </c:ext>
              </c:extLst>
            </c:dLbl>
            <c:dLbl>
              <c:idx val="4"/>
              <c:layout>
                <c:manualLayout>
                  <c:x val="1.0321290721012817E-2"/>
                  <c:y val="8.8296744363908167E-3"/>
                </c:manualLayout>
              </c:layout>
              <c:tx>
                <c:rich>
                  <a:bodyPr/>
                  <a:lstStyle/>
                  <a:p>
                    <a:r>
                      <a:rPr lang="en-US" sz="898" b="1">
                        <a:latin typeface="Times New Roman" pitchFamily="18" charset="0"/>
                        <a:cs typeface="Times New Roman" pitchFamily="18" charset="0"/>
                      </a:rPr>
                      <a:t>3,9*</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5"/>
              <c:layout>
                <c:manualLayout>
                  <c:x val="9.9672687972827047E-3"/>
                  <c:y val="-1.7764335749422807E-4"/>
                </c:manualLayout>
              </c:layout>
              <c:tx>
                <c:rich>
                  <a:bodyPr/>
                  <a:lstStyle/>
                  <a:p>
                    <a:r>
                      <a:rPr lang="en-US" sz="898" b="1">
                        <a:latin typeface="Times New Roman" pitchFamily="18" charset="0"/>
                        <a:cs typeface="Times New Roman" pitchFamily="18" charset="0"/>
                      </a:rPr>
                      <a:t>4,2*</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6"/>
              <c:layout>
                <c:manualLayout>
                  <c:x val="9.4373780200551639E-3"/>
                  <c:y val="0"/>
                </c:manualLayout>
              </c:layout>
              <c:tx>
                <c:rich>
                  <a:bodyPr/>
                  <a:lstStyle/>
                  <a:p>
                    <a:r>
                      <a:rPr lang="en-US" sz="898" b="1">
                        <a:latin typeface="Times New Roman" pitchFamily="18" charset="0"/>
                        <a:cs typeface="Times New Roman" pitchFamily="18" charset="0"/>
                      </a:rPr>
                      <a:t>23,2*</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15:layout/>
                </c:ext>
              </c:extLst>
            </c:dLbl>
            <c:dLbl>
              <c:idx val="7"/>
              <c:layout>
                <c:manualLayout>
                  <c:x val="1.0951829550718327E-2"/>
                  <c:y val="-8.2143540004519303E-3"/>
                </c:manualLayout>
              </c:layout>
              <c:tx>
                <c:rich>
                  <a:bodyPr/>
                  <a:lstStyle/>
                  <a:p>
                    <a:r>
                      <a:rPr lang="ru-RU" sz="898" b="1">
                        <a:latin typeface="Times New Roman" pitchFamily="18" charset="0"/>
                        <a:cs typeface="Times New Roman" pitchFamily="18" charset="0"/>
                      </a:rPr>
                      <a:t>17,6*</a:t>
                    </a:r>
                    <a:endParaRPr lang="en-US" sz="900" b="1">
                      <a:latin typeface="Times New Roman" pitchFamily="18" charset="0"/>
                      <a:cs typeface="Times New Roman" pitchFamily="18" charset="0"/>
                    </a:endParaRPr>
                  </a:p>
                </c:rich>
              </c:tx>
              <c:dLblPos val="outEnd"/>
              <c:extLst>
                <c:ext xmlns:c15="http://schemas.microsoft.com/office/drawing/2012/chart" uri="{CE6537A1-D6FC-4f65-9D91-7224C49458BB}"/>
              </c:extLst>
            </c:dLbl>
            <c:spPr>
              <a:noFill/>
              <a:ln w="25335">
                <a:noFill/>
              </a:ln>
            </c:spPr>
            <c:txPr>
              <a:bodyPr/>
              <a:lstStyle/>
              <a:p>
                <a:pPr>
                  <a:defRPr sz="898">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Россия</c:v>
                </c:pt>
                <c:pt idx="1">
                  <c:v>Украина</c:v>
                </c:pt>
                <c:pt idx="2">
                  <c:v> Молдова</c:v>
                </c:pt>
                <c:pt idx="3">
                  <c:v>Казахстан</c:v>
                </c:pt>
                <c:pt idx="4">
                  <c:v>Германия</c:v>
                </c:pt>
                <c:pt idx="5">
                  <c:v>Румыния</c:v>
                </c:pt>
                <c:pt idx="6">
                  <c:v>Прочие страны</c:v>
                </c:pt>
              </c:strCache>
            </c:strRef>
          </c:cat>
          <c:val>
            <c:numRef>
              <c:f>Лист1!$C$2:$C$8</c:f>
              <c:numCache>
                <c:formatCode>0.0</c:formatCode>
                <c:ptCount val="7"/>
                <c:pt idx="0">
                  <c:v>170.57499999999999</c:v>
                </c:pt>
                <c:pt idx="1">
                  <c:v>75.263000000000005</c:v>
                </c:pt>
                <c:pt idx="2">
                  <c:v>49.27</c:v>
                </c:pt>
                <c:pt idx="3">
                  <c:v>12.515000000000002</c:v>
                </c:pt>
                <c:pt idx="4">
                  <c:v>17.638000000000005</c:v>
                </c:pt>
                <c:pt idx="5">
                  <c:v>18.594999999999999</c:v>
                </c:pt>
                <c:pt idx="6">
                  <c:v>103.87799999999999</c:v>
                </c:pt>
              </c:numCache>
            </c:numRef>
          </c:val>
        </c:ser>
        <c:dLbls>
          <c:showVal val="1"/>
        </c:dLbls>
        <c:axId val="100946304"/>
        <c:axId val="100947840"/>
      </c:barChart>
      <c:catAx>
        <c:axId val="100946304"/>
        <c:scaling>
          <c:orientation val="minMax"/>
        </c:scaling>
        <c:axPos val="b"/>
        <c:numFmt formatCode="General" sourceLinked="1"/>
        <c:tickLblPos val="nextTo"/>
        <c:crossAx val="100947840"/>
        <c:crosses val="autoZero"/>
        <c:auto val="1"/>
        <c:lblAlgn val="ctr"/>
        <c:lblOffset val="100"/>
        <c:tickLblSkip val="1"/>
      </c:catAx>
      <c:valAx>
        <c:axId val="100947840"/>
        <c:scaling>
          <c:orientation val="minMax"/>
        </c:scaling>
        <c:axPos val="l"/>
        <c:title>
          <c:tx>
            <c:rich>
              <a:bodyPr rot="0" vert="horz"/>
              <a:lstStyle/>
              <a:p>
                <a:pPr algn="ctr">
                  <a:defRPr sz="898" b="1" i="0" u="none" strike="noStrike" baseline="0">
                    <a:solidFill>
                      <a:srgbClr val="000000"/>
                    </a:solidFill>
                    <a:latin typeface="Times New Roman"/>
                    <a:ea typeface="Times New Roman"/>
                    <a:cs typeface="Times New Roman"/>
                  </a:defRPr>
                </a:pPr>
                <a:r>
                  <a:rPr lang="ru-RU" b="1"/>
                  <a:t>*- удельный вес страны в общем импорте,%</a:t>
                </a:r>
              </a:p>
            </c:rich>
          </c:tx>
          <c:layout>
            <c:manualLayout>
              <c:xMode val="edge"/>
              <c:yMode val="edge"/>
              <c:x val="0.80919422572178479"/>
              <c:y val="0.12238827762423737"/>
            </c:manualLayout>
          </c:layout>
          <c:spPr>
            <a:noFill/>
            <a:ln w="25335">
              <a:noFill/>
            </a:ln>
          </c:spPr>
        </c:title>
        <c:numFmt formatCode="0.0" sourceLinked="1"/>
        <c:tickLblPos val="nextTo"/>
        <c:txPr>
          <a:bodyPr/>
          <a:lstStyle/>
          <a:p>
            <a:pPr>
              <a:defRPr b="1">
                <a:latin typeface="Times New Roman" pitchFamily="18" charset="0"/>
                <a:cs typeface="Times New Roman" pitchFamily="18" charset="0"/>
              </a:defRPr>
            </a:pPr>
            <a:endParaRPr lang="ru-RU"/>
          </a:p>
        </c:txPr>
        <c:crossAx val="100946304"/>
        <c:crosses val="autoZero"/>
        <c:crossBetween val="between"/>
      </c:valAx>
      <c:dTable>
        <c:showHorzBorder val="1"/>
        <c:showVertBorder val="1"/>
        <c:showOutline val="1"/>
        <c:showKeys val="1"/>
        <c:txPr>
          <a:bodyPr/>
          <a:lstStyle/>
          <a:p>
            <a:pPr rtl="0">
              <a:defRPr sz="870" b="1">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200">
                <a:latin typeface="Times New Roman" pitchFamily="18" charset="0"/>
                <a:cs typeface="Times New Roman" pitchFamily="18" charset="0"/>
              </a:rPr>
              <a:t>Инвестиции в основной капитал</a:t>
            </a:r>
          </a:p>
          <a:p>
            <a:pPr algn="ctr">
              <a:defRPr/>
            </a:pPr>
            <a:r>
              <a:rPr lang="ru-RU" sz="1100" i="1">
                <a:latin typeface="Times New Roman" pitchFamily="18" charset="0"/>
                <a:cs typeface="Times New Roman" pitchFamily="18" charset="0"/>
              </a:rPr>
              <a:t>(в части</a:t>
            </a:r>
            <a:r>
              <a:rPr lang="ru-RU" sz="1100" i="1" baseline="0">
                <a:latin typeface="Times New Roman" pitchFamily="18" charset="0"/>
                <a:cs typeface="Times New Roman" pitchFamily="18" charset="0"/>
              </a:rPr>
              <a:t> новых и преобретенных по импорту основных средств</a:t>
            </a:r>
            <a:r>
              <a:rPr lang="ru-RU" sz="1100" i="1">
                <a:latin typeface="Times New Roman" pitchFamily="18" charset="0"/>
                <a:cs typeface="Times New Roman" pitchFamily="18" charset="0"/>
              </a:rPr>
              <a:t>)</a:t>
            </a:r>
          </a:p>
          <a:p>
            <a:pPr algn="ctr">
              <a:defRPr/>
            </a:pPr>
            <a:r>
              <a:rPr lang="ru-RU" sz="1100" i="1">
                <a:latin typeface="Times New Roman" pitchFamily="18" charset="0"/>
                <a:cs typeface="Times New Roman" pitchFamily="18" charset="0"/>
              </a:rPr>
              <a:t> </a:t>
            </a:r>
            <a:r>
              <a:rPr lang="ru-RU" sz="1100" b="0">
                <a:latin typeface="Times New Roman" pitchFamily="18" charset="0"/>
                <a:cs typeface="Times New Roman" pitchFamily="18" charset="0"/>
              </a:rPr>
              <a:t>(без субъектов малого предпринимательства) (в текущих ценах), млн руб.</a:t>
            </a:r>
          </a:p>
        </c:rich>
      </c:tx>
      <c:layout>
        <c:manualLayout>
          <c:xMode val="edge"/>
          <c:yMode val="edge"/>
          <c:x val="0.18182034349476206"/>
          <c:y val="3.329351632903496E-3"/>
        </c:manualLayout>
      </c:layout>
    </c:title>
    <c:plotArea>
      <c:layout>
        <c:manualLayout>
          <c:layoutTarget val="inner"/>
          <c:xMode val="edge"/>
          <c:yMode val="edge"/>
          <c:x val="0.3601236476043278"/>
          <c:y val="0.20822705260433996"/>
          <c:w val="0.61349509559039817"/>
          <c:h val="0.39894495582418615"/>
        </c:manualLayout>
      </c:layout>
      <c:barChart>
        <c:barDir val="col"/>
        <c:grouping val="clustered"/>
        <c:ser>
          <c:idx val="0"/>
          <c:order val="0"/>
          <c:tx>
            <c:strRef>
              <c:f>Лист1!$B$1</c:f>
              <c:strCache>
                <c:ptCount val="1"/>
                <c:pt idx="0">
                  <c:v>прочие</c:v>
                </c:pt>
              </c:strCache>
            </c:strRef>
          </c:tx>
          <c:spPr>
            <a:scene3d>
              <a:camera prst="orthographicFront"/>
              <a:lightRig rig="threePt" dir="t"/>
            </a:scene3d>
            <a:sp3d>
              <a:bevelT/>
            </a:sp3d>
          </c:spPr>
          <c:dLbls>
            <c:dLbl>
              <c:idx val="0"/>
              <c:layout>
                <c:manualLayout>
                  <c:x val="-5.2424639580603187E-3"/>
                  <c:y val="-1.6511867905056765E-2"/>
                </c:manualLayout>
              </c:layout>
              <c:tx>
                <c:rich>
                  <a:bodyPr/>
                  <a:lstStyle/>
                  <a:p>
                    <a:r>
                      <a:rPr lang="en-US" sz="950"/>
                      <a:t>*5,8</a:t>
                    </a:r>
                  </a:p>
                </c:rich>
              </c:tx>
              <c:showVal val="1"/>
              <c:extLst>
                <c:ext xmlns:c15="http://schemas.microsoft.com/office/drawing/2012/chart" uri="{CE6537A1-D6FC-4f65-9D91-7224C49458BB}">
                  <c15:layout/>
                </c:ext>
              </c:extLst>
            </c:dLbl>
            <c:dLbl>
              <c:idx val="1"/>
              <c:layout>
                <c:manualLayout>
                  <c:x val="-3.4949759720402022E-3"/>
                  <c:y val="-8.2559339525285057E-3"/>
                </c:manualLayout>
              </c:layout>
              <c:tx>
                <c:rich>
                  <a:bodyPr/>
                  <a:lstStyle/>
                  <a:p>
                    <a:r>
                      <a:rPr lang="en-US" sz="950"/>
                      <a:t>*2,9</a:t>
                    </a:r>
                  </a:p>
                </c:rich>
              </c:tx>
              <c:showVal val="1"/>
              <c:extLst>
                <c:ext xmlns:c15="http://schemas.microsoft.com/office/drawing/2012/chart" uri="{CE6537A1-D6FC-4f65-9D91-7224C49458BB}">
                  <c15:layout/>
                </c:ext>
              </c:extLst>
            </c:dLbl>
            <c:spPr>
              <a:noFill/>
              <a:ln>
                <a:noFill/>
              </a:ln>
              <a:effectLst/>
            </c:spPr>
            <c:txPr>
              <a:bodyPr/>
              <a:lstStyle/>
              <a:p>
                <a:pPr>
                  <a:defRPr sz="95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 года</c:v>
                </c:pt>
              </c:strCache>
            </c:strRef>
          </c:cat>
          <c:val>
            <c:numRef>
              <c:f>Лист1!$B$2:$B$3</c:f>
              <c:numCache>
                <c:formatCode>0.0</c:formatCode>
                <c:ptCount val="2"/>
                <c:pt idx="0">
                  <c:v>21.60000000000003</c:v>
                </c:pt>
                <c:pt idx="1">
                  <c:v>7.6999999999999886</c:v>
                </c:pt>
              </c:numCache>
            </c:numRef>
          </c:val>
        </c:ser>
        <c:ser>
          <c:idx val="1"/>
          <c:order val="1"/>
          <c:tx>
            <c:strRef>
              <c:f>Лист1!$C$1</c:f>
              <c:strCache>
                <c:ptCount val="1"/>
                <c:pt idx="0">
                  <c:v>строительно-монтажные работы</c:v>
                </c:pt>
              </c:strCache>
            </c:strRef>
          </c:tx>
          <c:spPr>
            <a:scene3d>
              <a:camera prst="orthographicFront"/>
              <a:lightRig rig="threePt" dir="t"/>
            </a:scene3d>
            <a:sp3d>
              <a:bevelT/>
            </a:sp3d>
          </c:spPr>
          <c:dLbls>
            <c:dLbl>
              <c:idx val="0"/>
              <c:layout>
                <c:manualLayout>
                  <c:x val="-3.1817352042741438E-3"/>
                  <c:y val="1.007116378493926E-2"/>
                </c:manualLayout>
              </c:layout>
              <c:tx>
                <c:rich>
                  <a:bodyPr/>
                  <a:lstStyle/>
                  <a:p>
                    <a:pPr>
                      <a:defRPr sz="950" b="1">
                        <a:latin typeface="Times New Roman" pitchFamily="18" charset="0"/>
                        <a:cs typeface="Times New Roman" pitchFamily="18" charset="0"/>
                      </a:defRPr>
                    </a:pPr>
                    <a:r>
                      <a:rPr lang="en-US" sz="950"/>
                      <a:t>*27,7</a:t>
                    </a:r>
                  </a:p>
                </c:rich>
              </c:tx>
              <c:spPr/>
              <c:showVal val="1"/>
              <c:extLst>
                <c:ext xmlns:c15="http://schemas.microsoft.com/office/drawing/2012/chart" uri="{CE6537A1-D6FC-4f65-9D91-7224C49458BB}">
                  <c15:layout/>
                </c:ext>
              </c:extLst>
            </c:dLbl>
            <c:dLbl>
              <c:idx val="1"/>
              <c:layout>
                <c:manualLayout>
                  <c:x val="-5.2425286097352308E-3"/>
                  <c:y val="1.0979606930576874E-2"/>
                </c:manualLayout>
              </c:layout>
              <c:tx>
                <c:rich>
                  <a:bodyPr/>
                  <a:lstStyle/>
                  <a:p>
                    <a:r>
                      <a:rPr lang="en-US" sz="950" b="1">
                        <a:latin typeface="Times New Roman" pitchFamily="18" charset="0"/>
                        <a:cs typeface="Times New Roman" pitchFamily="18" charset="0"/>
                      </a:rPr>
                      <a:t>*28,4</a:t>
                    </a:r>
                  </a:p>
                </c:rich>
              </c:tx>
              <c:showVal val="1"/>
              <c:extLst>
                <c:ext xmlns:c15="http://schemas.microsoft.com/office/drawing/2012/chart" uri="{CE6537A1-D6FC-4f65-9D91-7224C49458BB}">
                  <c15:layout/>
                </c:ext>
              </c:extLst>
            </c:dLbl>
            <c:spPr>
              <a:noFill/>
              <a:ln>
                <a:noFill/>
              </a:ln>
              <a:effectLst/>
            </c:spPr>
            <c:txPr>
              <a:bodyPr/>
              <a:lstStyle/>
              <a:p>
                <a:pPr>
                  <a:defRPr sz="950"/>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 года</c:v>
                </c:pt>
              </c:strCache>
            </c:strRef>
          </c:cat>
          <c:val>
            <c:numRef>
              <c:f>Лист1!$C$2:$C$3</c:f>
              <c:numCache>
                <c:formatCode>0.0</c:formatCode>
                <c:ptCount val="2"/>
                <c:pt idx="0">
                  <c:v>102.7</c:v>
                </c:pt>
                <c:pt idx="1">
                  <c:v>76</c:v>
                </c:pt>
              </c:numCache>
            </c:numRef>
          </c:val>
        </c:ser>
        <c:ser>
          <c:idx val="2"/>
          <c:order val="2"/>
          <c:tx>
            <c:strRef>
              <c:f>Лист1!$D$1</c:f>
              <c:strCache>
                <c:ptCount val="1"/>
                <c:pt idx="0">
                  <c:v>машины, оборудование, транспортные средства, инструмент, инвентарь</c:v>
                </c:pt>
              </c:strCache>
            </c:strRef>
          </c:tx>
          <c:spPr>
            <a:scene3d>
              <a:camera prst="orthographicFront"/>
              <a:lightRig rig="threePt" dir="t"/>
            </a:scene3d>
            <a:sp3d>
              <a:bevelT/>
            </a:sp3d>
          </c:spPr>
          <c:dLbls>
            <c:dLbl>
              <c:idx val="0"/>
              <c:layout>
                <c:manualLayout>
                  <c:x val="0"/>
                  <c:y val="0"/>
                </c:manualLayout>
              </c:layout>
              <c:tx>
                <c:rich>
                  <a:bodyPr/>
                  <a:lstStyle/>
                  <a:p>
                    <a:r>
                      <a:rPr lang="en-US" b="1">
                        <a:latin typeface="Times New Roman" pitchFamily="18" charset="0"/>
                        <a:cs typeface="Times New Roman" pitchFamily="18" charset="0"/>
                      </a:rPr>
                      <a:t>*66,5</a:t>
                    </a:r>
                  </a:p>
                </c:rich>
              </c:tx>
              <c:showVal val="1"/>
              <c:extLst>
                <c:ext xmlns:c15="http://schemas.microsoft.com/office/drawing/2012/chart" uri="{CE6537A1-D6FC-4f65-9D91-7224C49458BB}">
                  <c15:layout/>
                </c:ext>
              </c:extLst>
            </c:dLbl>
            <c:dLbl>
              <c:idx val="1"/>
              <c:tx>
                <c:rich>
                  <a:bodyPr/>
                  <a:lstStyle/>
                  <a:p>
                    <a:r>
                      <a:rPr lang="en-US" sz="950" b="1">
                        <a:latin typeface="Times New Roman" pitchFamily="18" charset="0"/>
                        <a:cs typeface="Times New Roman" pitchFamily="18" charset="0"/>
                      </a:rPr>
                      <a:t>*68,7</a:t>
                    </a: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 года</c:v>
                </c:pt>
              </c:strCache>
            </c:strRef>
          </c:cat>
          <c:val>
            <c:numRef>
              <c:f>Лист1!$D$2:$D$3</c:f>
              <c:numCache>
                <c:formatCode>0.0</c:formatCode>
                <c:ptCount val="2"/>
                <c:pt idx="0">
                  <c:v>247</c:v>
                </c:pt>
                <c:pt idx="1">
                  <c:v>183.7</c:v>
                </c:pt>
              </c:numCache>
            </c:numRef>
          </c:val>
        </c:ser>
        <c:dLbls>
          <c:showVal val="1"/>
        </c:dLbls>
        <c:gapWidth val="199"/>
        <c:overlap val="-5"/>
        <c:axId val="101099392"/>
        <c:axId val="101100928"/>
      </c:barChart>
      <c:catAx>
        <c:axId val="101099392"/>
        <c:scaling>
          <c:orientation val="minMax"/>
        </c:scaling>
        <c:delete val="1"/>
        <c:axPos val="b"/>
        <c:majorGridlines>
          <c:spPr>
            <a:ln>
              <a:solidFill>
                <a:schemeClr val="bg1"/>
              </a:solidFill>
            </a:ln>
          </c:spPr>
        </c:majorGridlines>
        <c:numFmt formatCode="General" sourceLinked="0"/>
        <c:tickLblPos val="nextTo"/>
        <c:crossAx val="101100928"/>
        <c:crossesAt val="0"/>
        <c:auto val="1"/>
        <c:lblAlgn val="ctr"/>
        <c:lblOffset val="100"/>
      </c:catAx>
      <c:valAx>
        <c:axId val="101100928"/>
        <c:scaling>
          <c:orientation val="minMax"/>
        </c:scaling>
        <c:axPos val="l"/>
        <c:majorGridlines>
          <c:spPr>
            <a:ln>
              <a:solidFill>
                <a:schemeClr val="bg1"/>
              </a:solidFill>
            </a:ln>
          </c:spPr>
        </c:majorGridlines>
        <c:numFmt formatCode="0.0" sourceLinked="1"/>
        <c:majorTickMark val="in"/>
        <c:tickLblPos val="nextTo"/>
        <c:spPr>
          <a:ln w="6350" cap="sq"/>
        </c:spPr>
        <c:txPr>
          <a:bodyPr/>
          <a:lstStyle/>
          <a:p>
            <a:pPr>
              <a:defRPr sz="950" b="1">
                <a:latin typeface="Times New Roman" pitchFamily="18" charset="0"/>
                <a:cs typeface="Times New Roman" pitchFamily="18" charset="0"/>
              </a:defRPr>
            </a:pPr>
            <a:endParaRPr lang="ru-RU"/>
          </a:p>
        </c:txPr>
        <c:crossAx val="101099392"/>
        <c:crosses val="autoZero"/>
        <c:crossBetween val="between"/>
      </c:valAx>
      <c:dTable>
        <c:showHorzBorder val="1"/>
        <c:showVertBorder val="1"/>
        <c:showOutline val="1"/>
        <c:showKeys val="1"/>
        <c:spPr>
          <a:ln>
            <a:solidFill>
              <a:schemeClr val="tx1"/>
            </a:solidFill>
          </a:ln>
        </c:spPr>
        <c:txPr>
          <a:bodyPr/>
          <a:lstStyle/>
          <a:p>
            <a:pPr algn="just" rtl="0">
              <a:defRPr sz="900" b="1">
                <a:latin typeface="Times New Roman" pitchFamily="18" charset="0"/>
                <a:cs typeface="Times New Roman" pitchFamily="18" charset="0"/>
              </a:defRPr>
            </a:pPr>
            <a:endParaRPr lang="ru-RU"/>
          </a:p>
        </c:txPr>
      </c:dTable>
      <c:spPr>
        <a:noFill/>
        <a:ln w="25400">
          <a:noFill/>
        </a:ln>
      </c:spPr>
    </c:plotArea>
    <c:plotVisOnly val="1"/>
    <c:dispBlanksAs val="gap"/>
  </c:chart>
  <c:spPr>
    <a:noFill/>
    <a:ln>
      <a:noFill/>
    </a:ln>
  </c:sp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050"/>
            </a:pPr>
            <a:r>
              <a:rPr lang="ru-RU" sz="1050">
                <a:latin typeface="Times New Roman" pitchFamily="18" charset="0"/>
                <a:cs typeface="Times New Roman" pitchFamily="18" charset="0"/>
              </a:rPr>
              <a:t>Динамика инвестиций по объектам </a:t>
            </a:r>
          </a:p>
          <a:p>
            <a:pPr algn="ctr">
              <a:defRPr sz="1050"/>
            </a:pPr>
            <a:r>
              <a:rPr lang="ru-RU" sz="1050">
                <a:latin typeface="Times New Roman" pitchFamily="18" charset="0"/>
                <a:cs typeface="Times New Roman" pitchFamily="18" charset="0"/>
              </a:rPr>
              <a:t>производственного и непроизводственного назначенея,</a:t>
            </a:r>
            <a:r>
              <a:rPr lang="ru-RU" sz="1050" b="0">
                <a:latin typeface="Times New Roman" pitchFamily="18" charset="0"/>
                <a:cs typeface="Times New Roman" pitchFamily="18" charset="0"/>
              </a:rPr>
              <a:t> </a:t>
            </a:r>
            <a:r>
              <a:rPr lang="ru-RU" sz="1050">
                <a:latin typeface="Times New Roman" pitchFamily="18" charset="0"/>
                <a:cs typeface="Times New Roman" pitchFamily="18" charset="0"/>
              </a:rPr>
              <a:t>млн руб.</a:t>
            </a:r>
          </a:p>
        </c:rich>
      </c:tx>
      <c:layout>
        <c:manualLayout>
          <c:xMode val="edge"/>
          <c:yMode val="edge"/>
          <c:x val="0.22924857204704671"/>
          <c:y val="3.3290093097605193E-3"/>
        </c:manualLayout>
      </c:layout>
    </c:title>
    <c:plotArea>
      <c:layout>
        <c:manualLayout>
          <c:layoutTarget val="inner"/>
          <c:xMode val="edge"/>
          <c:yMode val="edge"/>
          <c:x val="0.33438356115282353"/>
          <c:y val="0.21792163324140187"/>
          <c:w val="0.64965149749031115"/>
          <c:h val="0.49088733141085433"/>
        </c:manualLayout>
      </c:layout>
      <c:barChart>
        <c:barDir val="col"/>
        <c:grouping val="clustered"/>
        <c:ser>
          <c:idx val="0"/>
          <c:order val="0"/>
          <c:tx>
            <c:strRef>
              <c:f>Лист1!$B$1</c:f>
              <c:strCache>
                <c:ptCount val="1"/>
                <c:pt idx="0">
                  <c:v>производственного назначения</c:v>
                </c:pt>
              </c:strCache>
            </c:strRef>
          </c:tx>
          <c:spPr>
            <a:solidFill>
              <a:srgbClr val="00B0F0"/>
            </a:solidFill>
            <a:ln>
              <a:noFill/>
            </a:ln>
            <a:scene3d>
              <a:camera prst="orthographicFront"/>
              <a:lightRig rig="threePt" dir="t"/>
            </a:scene3d>
            <a:sp3d>
              <a:bevelT w="165100" prst="coolSlant"/>
            </a:sp3d>
          </c:spPr>
          <c:dLbls>
            <c:dLbl>
              <c:idx val="0"/>
              <c:layout>
                <c:manualLayout>
                  <c:x val="-1.6034638006015734E-3"/>
                  <c:y val="1.2396834426114986E-2"/>
                </c:manualLayout>
              </c:layout>
              <c:tx>
                <c:rich>
                  <a:bodyPr/>
                  <a:lstStyle/>
                  <a:p>
                    <a:r>
                      <a:rPr lang="en-US" sz="900"/>
                      <a:t>*83,3</a:t>
                    </a:r>
                  </a:p>
                </c:rich>
              </c:tx>
              <c:showVal val="1"/>
              <c:extLst>
                <c:ext xmlns:c15="http://schemas.microsoft.com/office/drawing/2012/chart" uri="{CE6537A1-D6FC-4f65-9D91-7224C49458BB}">
                  <c15:layout/>
                </c:ext>
              </c:extLst>
            </c:dLbl>
            <c:dLbl>
              <c:idx val="1"/>
              <c:layout>
                <c:manualLayout>
                  <c:x val="3.333524915225029E-4"/>
                  <c:y val="2.0159077073540819E-3"/>
                </c:manualLayout>
              </c:layout>
              <c:tx>
                <c:rich>
                  <a:bodyPr/>
                  <a:lstStyle/>
                  <a:p>
                    <a:r>
                      <a:rPr lang="en-US" sz="900"/>
                      <a:t>*86,2</a:t>
                    </a:r>
                  </a:p>
                </c:rich>
              </c:tx>
              <c:showVal val="1"/>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 года</c:v>
                </c:pt>
              </c:strCache>
            </c:strRef>
          </c:cat>
          <c:val>
            <c:numRef>
              <c:f>Лист1!$B$2:$B$3</c:f>
              <c:numCache>
                <c:formatCode>General</c:formatCode>
                <c:ptCount val="2"/>
                <c:pt idx="0">
                  <c:v>309.3</c:v>
                </c:pt>
                <c:pt idx="1">
                  <c:v>230.4</c:v>
                </c:pt>
              </c:numCache>
            </c:numRef>
          </c:val>
        </c:ser>
        <c:ser>
          <c:idx val="1"/>
          <c:order val="1"/>
          <c:tx>
            <c:strRef>
              <c:f>Лист1!$C$1</c:f>
              <c:strCache>
                <c:ptCount val="1"/>
                <c:pt idx="0">
                  <c:v>непроизводственного назначения</c:v>
                </c:pt>
              </c:strCache>
            </c:strRef>
          </c:tx>
          <c:spPr>
            <a:solidFill>
              <a:schemeClr val="accent6">
                <a:lumMod val="75000"/>
              </a:schemeClr>
            </a:solidFill>
            <a:ln>
              <a:noFill/>
            </a:ln>
            <a:scene3d>
              <a:camera prst="orthographicFront"/>
              <a:lightRig rig="threePt" dir="t"/>
            </a:scene3d>
            <a:sp3d>
              <a:bevelT prst="angle"/>
            </a:sp3d>
          </c:spPr>
          <c:dLbls>
            <c:dLbl>
              <c:idx val="0"/>
              <c:layout>
                <c:manualLayout>
                  <c:x val="-8.1848382090924758E-3"/>
                  <c:y val="1.0763350398690663E-2"/>
                </c:manualLayout>
              </c:layout>
              <c:tx>
                <c:rich>
                  <a:bodyPr/>
                  <a:lstStyle/>
                  <a:p>
                    <a:r>
                      <a:rPr lang="en-US" sz="900"/>
                      <a:t>*16,7</a:t>
                    </a:r>
                  </a:p>
                </c:rich>
              </c:tx>
              <c:showVal val="1"/>
              <c:extLst>
                <c:ext xmlns:c15="http://schemas.microsoft.com/office/drawing/2012/chart" uri="{CE6537A1-D6FC-4f65-9D91-7224C49458BB}">
                  <c15:layout/>
                </c:ext>
              </c:extLst>
            </c:dLbl>
            <c:dLbl>
              <c:idx val="1"/>
              <c:layout>
                <c:manualLayout>
                  <c:x val="2.7817690671877909E-4"/>
                  <c:y val="1.8602237457960427E-4"/>
                </c:manualLayout>
              </c:layout>
              <c:tx>
                <c:rich>
                  <a:bodyPr/>
                  <a:lstStyle/>
                  <a:p>
                    <a:r>
                      <a:rPr lang="en-US" sz="900"/>
                      <a:t>*13,8</a:t>
                    </a:r>
                  </a:p>
                </c:rich>
              </c:tx>
              <c:showVal val="1"/>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 года</c:v>
                </c:pt>
              </c:strCache>
            </c:strRef>
          </c:cat>
          <c:val>
            <c:numRef>
              <c:f>Лист1!$C$2:$C$3</c:f>
              <c:numCache>
                <c:formatCode>0.0</c:formatCode>
                <c:ptCount val="2"/>
                <c:pt idx="0">
                  <c:v>62</c:v>
                </c:pt>
                <c:pt idx="1">
                  <c:v>37.1</c:v>
                </c:pt>
              </c:numCache>
            </c:numRef>
          </c:val>
        </c:ser>
        <c:gapWidth val="142"/>
        <c:overlap val="-9"/>
        <c:axId val="101157120"/>
        <c:axId val="101171200"/>
      </c:barChart>
      <c:catAx>
        <c:axId val="101157120"/>
        <c:scaling>
          <c:orientation val="minMax"/>
        </c:scaling>
        <c:axPos val="b"/>
        <c:majorGridlines>
          <c:spPr>
            <a:ln>
              <a:solidFill>
                <a:schemeClr val="bg1"/>
              </a:solidFill>
            </a:ln>
          </c:spPr>
        </c:majorGridlines>
        <c:numFmt formatCode="General" sourceLinked="1"/>
        <c:tickLblPos val="nextTo"/>
        <c:spPr>
          <a:solidFill>
            <a:schemeClr val="bg1"/>
          </a:solidFill>
          <a:ln w="6350" cap="sq"/>
        </c:spPr>
        <c:txPr>
          <a:bodyPr/>
          <a:lstStyle/>
          <a:p>
            <a:pPr>
              <a:defRPr sz="950" b="1">
                <a:latin typeface="Times New Roman" pitchFamily="18" charset="0"/>
                <a:cs typeface="Times New Roman" pitchFamily="18" charset="0"/>
              </a:defRPr>
            </a:pPr>
            <a:endParaRPr lang="ru-RU"/>
          </a:p>
        </c:txPr>
        <c:crossAx val="101171200"/>
        <c:crossesAt val="0"/>
        <c:auto val="1"/>
        <c:lblAlgn val="ctr"/>
        <c:lblOffset val="100"/>
        <c:tickLblSkip val="1"/>
      </c:catAx>
      <c:valAx>
        <c:axId val="101171200"/>
        <c:scaling>
          <c:orientation val="minMax"/>
        </c:scaling>
        <c:axPos val="l"/>
        <c:majorGridlines>
          <c:spPr>
            <a:ln>
              <a:solidFill>
                <a:sysClr val="window" lastClr="FFFFFF"/>
              </a:solidFill>
            </a:ln>
          </c:spPr>
        </c:majorGridlines>
        <c:numFmt formatCode="General" sourceLinked="1"/>
        <c:majorTickMark val="in"/>
        <c:tickLblPos val="nextTo"/>
        <c:spPr>
          <a:ln>
            <a:solidFill>
              <a:sysClr val="windowText" lastClr="000000">
                <a:tint val="75000"/>
                <a:shade val="95000"/>
                <a:satMod val="105000"/>
              </a:sysClr>
            </a:solidFill>
          </a:ln>
        </c:spPr>
        <c:txPr>
          <a:bodyPr/>
          <a:lstStyle/>
          <a:p>
            <a:pPr>
              <a:defRPr sz="900" b="1">
                <a:latin typeface="Times New Roman" pitchFamily="18" charset="0"/>
                <a:cs typeface="Times New Roman" pitchFamily="18" charset="0"/>
              </a:defRPr>
            </a:pPr>
            <a:endParaRPr lang="ru-RU"/>
          </a:p>
        </c:txPr>
        <c:crossAx val="101157120"/>
        <c:crosses val="autoZero"/>
        <c:crossBetween val="midCat"/>
      </c:valAx>
      <c:dTable>
        <c:showHorzBorder val="1"/>
        <c:showVertBorder val="1"/>
        <c:showOutline val="1"/>
        <c:showKeys val="1"/>
        <c:spPr>
          <a:ln>
            <a:solidFill>
              <a:schemeClr val="tx1"/>
            </a:solidFill>
          </a:ln>
        </c:spPr>
        <c:txPr>
          <a:bodyPr/>
          <a:lstStyle/>
          <a:p>
            <a:pPr algn="just" rtl="0">
              <a:defRPr sz="800" b="1">
                <a:latin typeface="Times New Roman" pitchFamily="18" charset="0"/>
                <a:cs typeface="Times New Roman" pitchFamily="18" charset="0"/>
              </a:defRPr>
            </a:pPr>
            <a:endParaRPr lang="ru-RU"/>
          </a:p>
        </c:txPr>
      </c:dTable>
      <c:spPr>
        <a:noFill/>
        <a:ln w="25400">
          <a:noFill/>
        </a:ln>
      </c:spPr>
    </c:plotArea>
    <c:plotVisOnly val="1"/>
    <c:dispBlanksAs val="gap"/>
  </c:chart>
  <c:spPr>
    <a:noFill/>
    <a:ln>
      <a:no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5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январь-июнь  2017  г.</a:t>
            </a:r>
          </a:p>
        </c:rich>
      </c:tx>
      <c:layout>
        <c:manualLayout>
          <c:xMode val="edge"/>
          <c:yMode val="edge"/>
          <c:x val="0.39598848531030961"/>
          <c:y val="6.4014936277295847E-3"/>
        </c:manualLayout>
      </c:layout>
      <c:spPr>
        <a:noFill/>
        <a:ln w="18548">
          <a:noFill/>
        </a:ln>
      </c:spPr>
    </c:title>
    <c:view3D>
      <c:rotX val="30"/>
      <c:rotY val="60"/>
      <c:perspective val="0"/>
    </c:view3D>
    <c:plotArea>
      <c:layout>
        <c:manualLayout>
          <c:layoutTarget val="inner"/>
          <c:xMode val="edge"/>
          <c:yMode val="edge"/>
          <c:x val="0.25809273840769903"/>
          <c:y val="0.19206618568458"/>
          <c:w val="0.70248981891457118"/>
          <c:h val="0.69014555797222688"/>
        </c:manualLayout>
      </c:layout>
      <c:pie3DChart>
        <c:ser>
          <c:idx val="0"/>
          <c:order val="0"/>
          <c:tx>
            <c:strRef>
              <c:f>Sheet1!$A$2</c:f>
              <c:strCache>
                <c:ptCount val="1"/>
                <c:pt idx="0">
                  <c:v>Восток</c:v>
                </c:pt>
              </c:strCache>
            </c:strRef>
          </c:tx>
          <c:explosion val="25"/>
          <c:dPt>
            <c:idx val="0"/>
            <c:spPr>
              <a:blipFill>
                <a:blip xmlns:r="http://schemas.openxmlformats.org/officeDocument/2006/relationships" r:embed="rId2"/>
                <a:tile tx="0" ty="0" sx="100000" sy="100000" flip="none" algn="tl"/>
              </a:blipFill>
            </c:spPr>
          </c:dPt>
          <c:dPt>
            <c:idx val="1"/>
            <c:explosion val="9"/>
            <c:spPr>
              <a:blipFill>
                <a:blip xmlns:r="http://schemas.openxmlformats.org/officeDocument/2006/relationships" r:embed="rId3"/>
                <a:tile tx="0" ty="0" sx="100000" sy="100000" flip="none" algn="tl"/>
              </a:blipFill>
            </c:spPr>
          </c:dPt>
          <c:dPt>
            <c:idx val="2"/>
            <c:spPr>
              <a:blipFill>
                <a:blip xmlns:r="http://schemas.openxmlformats.org/officeDocument/2006/relationships" r:embed="rId4"/>
                <a:tile tx="0" ty="0" sx="100000" sy="100000" flip="none" algn="tl"/>
              </a:blipFill>
            </c:spPr>
          </c:dPt>
          <c:dLbls>
            <c:dLbl>
              <c:idx val="0"/>
              <c:layout>
                <c:manualLayout>
                  <c:x val="1.7921146953405017E-2"/>
                  <c:y val="-4.0092539978894434E-2"/>
                </c:manualLayout>
              </c:layout>
              <c:tx>
                <c:rich>
                  <a:bodyPr/>
                  <a:lstStyle/>
                  <a:p>
                    <a:r>
                      <a:rPr lang="en-US" sz="900">
                        <a:latin typeface="Times New Roman" pitchFamily="18" charset="0"/>
                        <a:cs typeface="Times New Roman" pitchFamily="18" charset="0"/>
                      </a:rPr>
                      <a:t>2,0%</a:t>
                    </a:r>
                  </a:p>
                </c:rich>
              </c:tx>
              <c:dLblPos val="bestFit"/>
              <c:extLst>
                <c:ext xmlns:c15="http://schemas.microsoft.com/office/drawing/2012/chart" uri="{CE6537A1-D6FC-4f65-9D91-7224C49458BB}">
                  <c15:layout/>
                </c:ext>
              </c:extLst>
            </c:dLbl>
            <c:dLbl>
              <c:idx val="1"/>
              <c:layout>
                <c:manualLayout>
                  <c:x val="0.16078134790183071"/>
                  <c:y val="0.13261038060865968"/>
                </c:manualLayout>
              </c:layout>
              <c:tx>
                <c:rich>
                  <a:bodyPr/>
                  <a:lstStyle/>
                  <a:p>
                    <a:r>
                      <a:rPr lang="en-US" sz="900">
                        <a:latin typeface="Times New Roman" pitchFamily="18" charset="0"/>
                        <a:cs typeface="Times New Roman" pitchFamily="18" charset="0"/>
                      </a:rPr>
                      <a:t>92,3%</a:t>
                    </a:r>
                  </a:p>
                </c:rich>
              </c:tx>
              <c:dLblPos val="bestFit"/>
              <c:extLst>
                <c:ext xmlns:c15="http://schemas.microsoft.com/office/drawing/2012/chart" uri="{CE6537A1-D6FC-4f65-9D91-7224C49458BB}">
                  <c15:layout/>
                </c:ext>
              </c:extLst>
            </c:dLbl>
            <c:dLbl>
              <c:idx val="2"/>
              <c:layout>
                <c:manualLayout>
                  <c:x val="-0.11637897063421089"/>
                  <c:y val="-0.13201883269746076"/>
                </c:manualLayout>
              </c:layout>
              <c:tx>
                <c:rich>
                  <a:bodyPr/>
                  <a:lstStyle/>
                  <a:p>
                    <a:r>
                      <a:rPr lang="en-US" sz="900">
                        <a:latin typeface="Times New Roman" pitchFamily="18" charset="0"/>
                        <a:cs typeface="Times New Roman" pitchFamily="18" charset="0"/>
                      </a:rPr>
                      <a:t>5,7%</a:t>
                    </a:r>
                  </a:p>
                </c:rich>
              </c:tx>
              <c:dLblPos val="bestFit"/>
              <c:extLst>
                <c:ext xmlns:c15="http://schemas.microsoft.com/office/drawing/2012/chart" uri="{CE6537A1-D6FC-4f65-9D91-7224C49458BB}">
                  <c15:layout/>
                </c:ext>
              </c:extLst>
            </c:dLbl>
            <c:dLbl>
              <c:idx val="3"/>
              <c:layout>
                <c:manualLayout>
                  <c:x val="3.8509299240820712E-3"/>
                  <c:y val="-0.12136158237952216"/>
                </c:manualLayout>
              </c:layout>
              <c:tx>
                <c:rich>
                  <a:bodyPr/>
                  <a:lstStyle/>
                  <a:p>
                    <a:r>
                      <a:rPr lang="ru-RU" sz="900">
                        <a:latin typeface="Times New Roman" pitchFamily="18" charset="0"/>
                        <a:cs typeface="Times New Roman" pitchFamily="18" charset="0"/>
                      </a:rPr>
                      <a:t>1,9</a:t>
                    </a:r>
                    <a:r>
                      <a:rPr lang="en-US" sz="900">
                        <a:latin typeface="Times New Roman" pitchFamily="18" charset="0"/>
                        <a:cs typeface="Times New Roman" pitchFamily="18" charset="0"/>
                      </a:rPr>
                      <a:t>%</a:t>
                    </a:r>
                  </a:p>
                </c:rich>
              </c:tx>
              <c:dLblPos val="bestFit"/>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Val val="1"/>
            <c:showPercent val="1"/>
            <c:showLeaderLines val="1"/>
            <c:extLst>
              <c:ext xmlns:c15="http://schemas.microsoft.com/office/drawing/2012/chart" uri="{CE6537A1-D6FC-4f65-9D91-7224C49458BB}"/>
            </c:extLst>
          </c:dLbls>
          <c:cat>
            <c:strRef>
              <c:f>Sheet1!$B$1:$D$1</c:f>
              <c:strCache>
                <c:ptCount val="3"/>
                <c:pt idx="0">
                  <c:v>средства бюджетов</c:v>
                </c:pt>
                <c:pt idx="1">
                  <c:v>собственные средства организаций</c:v>
                </c:pt>
                <c:pt idx="2">
                  <c:v>прочие источники</c:v>
                </c:pt>
              </c:strCache>
            </c:strRef>
          </c:cat>
          <c:val>
            <c:numRef>
              <c:f>Sheet1!$B$2:$D$2</c:f>
              <c:numCache>
                <c:formatCode>0.0%</c:formatCode>
                <c:ptCount val="3"/>
                <c:pt idx="0">
                  <c:v>2.0000000000000011E-2</c:v>
                </c:pt>
                <c:pt idx="1">
                  <c:v>0.92300000000000004</c:v>
                </c:pt>
                <c:pt idx="2">
                  <c:v>5.7000000000000023E-2</c:v>
                </c:pt>
              </c:numCache>
            </c:numRef>
          </c:val>
        </c:ser>
        <c:dLbls>
          <c:showVal val="1"/>
          <c:showPercent val="1"/>
        </c:dLbls>
      </c:pie3DChart>
      <c:spPr>
        <a:noFill/>
        <a:ln w="18594">
          <a:noFill/>
        </a:ln>
      </c:spPr>
    </c:plotArea>
    <c:legend>
      <c:legendPos val="l"/>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2.3668900891520791E-2"/>
          <c:y val="6.8923884514435693E-2"/>
          <c:w val="0.31415093274630995"/>
          <c:h val="0.90358470655085632"/>
        </c:manualLayout>
      </c:layout>
      <c:spPr>
        <a:solidFill>
          <a:srgbClr val="FFFFFF"/>
        </a:solidFill>
        <a:ln>
          <a:noFill/>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586" b="1" i="0" u="none" strike="noStrike" baseline="0">
          <a:solidFill>
            <a:srgbClr val="000000"/>
          </a:solidFill>
          <a:latin typeface="Calibri"/>
          <a:ea typeface="Calibri"/>
          <a:cs typeface="Calibri"/>
        </a:defRPr>
      </a:pPr>
      <a:endParaRPr lang="ru-RU"/>
    </a:p>
  </c:txPr>
  <c:externalData r:id="rId5"/>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январь-июнь</a:t>
            </a:r>
            <a:r>
              <a:rPr lang="ru-RU" sz="900">
                <a:latin typeface="Times New Roman" pitchFamily="18" charset="0"/>
                <a:cs typeface="Times New Roman" pitchFamily="18" charset="0"/>
              </a:rPr>
              <a:t>  2016 г.</a:t>
            </a:r>
          </a:p>
        </c:rich>
      </c:tx>
      <c:layout>
        <c:manualLayout>
          <c:xMode val="edge"/>
          <c:yMode val="edge"/>
          <c:x val="0.28459388522380791"/>
          <c:y val="2.0342658172753551E-2"/>
        </c:manualLayout>
      </c:layout>
      <c:spPr>
        <a:noFill/>
        <a:ln w="24324">
          <a:noFill/>
        </a:ln>
      </c:spPr>
    </c:title>
    <c:view3D>
      <c:rotX val="25"/>
      <c:rotY val="65"/>
      <c:perspective val="0"/>
    </c:view3D>
    <c:plotArea>
      <c:layout>
        <c:manualLayout>
          <c:layoutTarget val="inner"/>
          <c:xMode val="edge"/>
          <c:yMode val="edge"/>
          <c:x val="3.485645375409155E-3"/>
          <c:y val="0.21843996062992144"/>
          <c:w val="0.99651416280790939"/>
          <c:h val="0.64566874453193368"/>
        </c:manualLayout>
      </c:layout>
      <c:pie3DChart>
        <c:varyColors val="1"/>
        <c:ser>
          <c:idx val="0"/>
          <c:order val="0"/>
          <c:tx>
            <c:strRef>
              <c:f>Sheet1!$A$2</c:f>
              <c:strCache>
                <c:ptCount val="1"/>
                <c:pt idx="0">
                  <c:v>Восток</c:v>
                </c:pt>
              </c:strCache>
            </c:strRef>
          </c:tx>
          <c:explosion val="27"/>
          <c:dPt>
            <c:idx val="0"/>
            <c:explosion val="13"/>
            <c:spPr>
              <a:blipFill>
                <a:blip xmlns:r="http://schemas.openxmlformats.org/officeDocument/2006/relationships" r:embed="rId2"/>
                <a:tile tx="0" ty="0" sx="100000" sy="100000" flip="none" algn="tl"/>
              </a:blipFill>
            </c:spPr>
          </c:dPt>
          <c:dPt>
            <c:idx val="1"/>
            <c:spPr>
              <a:blipFill>
                <a:blip xmlns:r="http://schemas.openxmlformats.org/officeDocument/2006/relationships" r:embed="rId3"/>
                <a:tile tx="0" ty="0" sx="100000" sy="100000" flip="none" algn="tl"/>
              </a:blipFill>
            </c:spPr>
          </c:dPt>
          <c:dPt>
            <c:idx val="2"/>
            <c:explosion val="11"/>
            <c:spPr>
              <a:blipFill>
                <a:blip xmlns:r="http://schemas.openxmlformats.org/officeDocument/2006/relationships" r:embed="rId4"/>
                <a:tile tx="0" ty="0" sx="100000" sy="100000" flip="none" algn="tl"/>
              </a:blipFill>
            </c:spPr>
          </c:dPt>
          <c:dLbls>
            <c:dLbl>
              <c:idx val="0"/>
              <c:layout>
                <c:manualLayout>
                  <c:x val="1.0296010296010301E-2"/>
                  <c:y val="-0.11984120075442832"/>
                </c:manualLayout>
              </c:layout>
              <c:tx>
                <c:rich>
                  <a:bodyPr/>
                  <a:lstStyle/>
                  <a:p>
                    <a:r>
                      <a:rPr lang="en-US" sz="900">
                        <a:latin typeface="Times New Roman" pitchFamily="18" charset="0"/>
                        <a:cs typeface="Times New Roman" pitchFamily="18" charset="0"/>
                      </a:rPr>
                      <a:t>2,0%</a:t>
                    </a:r>
                  </a:p>
                </c:rich>
              </c:tx>
              <c:dLblPos val="bestFit"/>
              <c:separator>; </c:separator>
              <c:extLst>
                <c:ext xmlns:c15="http://schemas.microsoft.com/office/drawing/2012/chart" uri="{CE6537A1-D6FC-4f65-9D91-7224C49458BB}">
                  <c15:layout/>
                </c:ext>
              </c:extLst>
            </c:dLbl>
            <c:dLbl>
              <c:idx val="1"/>
              <c:layout>
                <c:manualLayout>
                  <c:x val="0.16989498353651539"/>
                  <c:y val="0.16906714785651794"/>
                </c:manualLayout>
              </c:layout>
              <c:tx>
                <c:rich>
                  <a:bodyPr/>
                  <a:lstStyle/>
                  <a:p>
                    <a:r>
                      <a:rPr lang="en-US" sz="900">
                        <a:latin typeface="Times New Roman" pitchFamily="18" charset="0"/>
                        <a:cs typeface="Times New Roman" pitchFamily="18" charset="0"/>
                      </a:rPr>
                      <a:t>92,6%</a:t>
                    </a:r>
                  </a:p>
                </c:rich>
              </c:tx>
              <c:dLblPos val="bestFit"/>
              <c:separator>; </c:separator>
              <c:extLst>
                <c:ext xmlns:c15="http://schemas.microsoft.com/office/drawing/2012/chart" uri="{CE6537A1-D6FC-4f65-9D91-7224C49458BB}">
                  <c15:layout/>
                </c:ext>
              </c:extLst>
            </c:dLbl>
            <c:dLbl>
              <c:idx val="2"/>
              <c:layout>
                <c:manualLayout>
                  <c:x val="-0.15077007265983638"/>
                  <c:y val="-0.13076827708094291"/>
                </c:manualLayout>
              </c:layout>
              <c:spPr/>
              <c:txPr>
                <a:bodyPr/>
                <a:lstStyle/>
                <a:p>
                  <a:pPr>
                    <a:defRPr sz="900">
                      <a:latin typeface="Times New Roman" pitchFamily="18" charset="0"/>
                      <a:cs typeface="Times New Roman" pitchFamily="18" charset="0"/>
                    </a:defRPr>
                  </a:pPr>
                  <a:endParaRPr lang="ru-RU"/>
                </a:p>
              </c:txPr>
              <c:dLblPos val="bestFit"/>
              <c:showVal val="1"/>
              <c:extLst>
                <c:ext xmlns:c15="http://schemas.microsoft.com/office/drawing/2012/chart" uri="{CE6537A1-D6FC-4f65-9D91-7224C49458BB}">
                  <c15:layout/>
                </c:ext>
              </c:extLst>
            </c:dLbl>
            <c:dLbl>
              <c:idx val="3"/>
              <c:layout>
                <c:manualLayout>
                  <c:x val="8.4646175984759327E-3"/>
                  <c:y val="-0.21925796963821734"/>
                </c:manualLayout>
              </c:layout>
              <c:tx>
                <c:rich>
                  <a:bodyPr/>
                  <a:lstStyle/>
                  <a:p>
                    <a:r>
                      <a:rPr lang="ru-RU" sz="900">
                        <a:latin typeface="Times New Roman" pitchFamily="18" charset="0"/>
                        <a:cs typeface="Times New Roman" pitchFamily="18" charset="0"/>
                      </a:rPr>
                      <a:t>5,8</a:t>
                    </a:r>
                    <a:r>
                      <a:rPr lang="en-US" sz="900">
                        <a:latin typeface="Times New Roman" pitchFamily="18" charset="0"/>
                        <a:cs typeface="Times New Roman" pitchFamily="18" charset="0"/>
                      </a:rPr>
                      <a:t>%</a:t>
                    </a:r>
                  </a:p>
                </c:rich>
              </c:tx>
              <c:dLblPos val="bestFit"/>
              <c:separator>; </c:separator>
              <c:extLst>
                <c:ext xmlns:c15="http://schemas.microsoft.com/office/drawing/2012/chart" uri="{CE6537A1-D6FC-4f65-9D91-7224C49458BB}"/>
              </c:extLst>
            </c:dLbl>
            <c:dLbl>
              <c:idx val="4"/>
              <c:layout>
                <c:manualLayout>
                  <c:x val="-7.9423291546550534E-2"/>
                  <c:y val="1.1341417274298561E-3"/>
                </c:manualLayout>
              </c:layout>
              <c:dLblPos val="bestFit"/>
              <c:showPercent val="1"/>
              <c:separator>; </c:separator>
              <c:extLst>
                <c:ext xmlns:c15="http://schemas.microsoft.com/office/drawing/2012/chart" uri="{CE6537A1-D6FC-4f65-9D91-7224C49458BB}"/>
              </c:extLst>
            </c:dLbl>
            <c:dLbl>
              <c:idx val="5"/>
              <c:layout>
                <c:manualLayout>
                  <c:x val="-0.12883613558915979"/>
                  <c:y val="-5.6232996118203933E-2"/>
                </c:manualLayout>
              </c:layout>
              <c:dLblPos val="bestFit"/>
              <c:showPercent val="1"/>
              <c:separator>; </c:separator>
              <c:extLst>
                <c:ext xmlns:c15="http://schemas.microsoft.com/office/drawing/2012/chart" uri="{CE6537A1-D6FC-4f65-9D91-7224C49458BB}"/>
              </c:extLst>
            </c:dLbl>
            <c:dLbl>
              <c:idx val="6"/>
              <c:layout>
                <c:manualLayout>
                  <c:x val="-4.6739807796465846E-2"/>
                  <c:y val="-0.13727101005578182"/>
                </c:manualLayout>
              </c:layout>
              <c:dLblPos val="bestFit"/>
              <c:showPercent val="1"/>
              <c:separator>; </c:separator>
              <c:extLst>
                <c:ext xmlns:c15="http://schemas.microsoft.com/office/drawing/2012/chart" uri="{CE6537A1-D6FC-4f65-9D91-7224C49458BB}"/>
              </c:extLst>
            </c:dLbl>
            <c:dLbl>
              <c:idx val="7"/>
              <c:layout>
                <c:manualLayout>
                  <c:x val="-0.12131749626794185"/>
                  <c:y val="-0.14979121978685594"/>
                </c:manualLayout>
              </c:layout>
              <c:dLblPos val="bestFit"/>
              <c:showPercent val="1"/>
              <c:separator>; </c:separator>
              <c:extLst>
                <c:ext xmlns:c15="http://schemas.microsoft.com/office/drawing/2012/chart" uri="{CE6537A1-D6FC-4f65-9D91-7224C49458BB}"/>
              </c:extLst>
            </c:dLbl>
            <c:dLbl>
              <c:idx val="8"/>
              <c:layout>
                <c:manualLayout>
                  <c:x val="7.9664857278558709E-2"/>
                  <c:y val="-0.1359210952999807"/>
                </c:manualLayout>
              </c:layout>
              <c:dLblPos val="bestFit"/>
              <c:showPercent val="1"/>
              <c:separator>; </c:separator>
              <c:extLst>
                <c:ext xmlns:c15="http://schemas.microsoft.com/office/drawing/2012/chart" uri="{CE6537A1-D6FC-4f65-9D91-7224C49458BB}"/>
              </c:extLst>
            </c:dLbl>
            <c:dLbl>
              <c:idx val="9"/>
              <c:layout>
                <c:manualLayout>
                  <c:x val="5.5932806936557874E-2"/>
                  <c:y val="-9.9738752073467746E-2"/>
                </c:manualLayout>
              </c:layout>
              <c:dLblPos val="bestFit"/>
              <c:showPercent val="1"/>
              <c:separator>; </c:separator>
              <c:extLst>
                <c:ext xmlns:c15="http://schemas.microsoft.com/office/drawing/2012/chart" uri="{CE6537A1-D6FC-4f65-9D91-7224C49458BB}"/>
              </c:extLst>
            </c:dLbl>
            <c:dLbl>
              <c:idx val="10"/>
              <c:layout>
                <c:manualLayout>
                  <c:x val="8.9960564866300274E-2"/>
                  <c:y val="-6.6121948348689341E-2"/>
                </c:manualLayout>
              </c:layout>
              <c:dLblPos val="bestFit"/>
              <c:showPercent val="1"/>
              <c:separator>; </c:separator>
              <c:extLst>
                <c:ext xmlns:c15="http://schemas.microsoft.com/office/drawing/2012/chart" uri="{CE6537A1-D6FC-4f65-9D91-7224C49458BB}"/>
              </c:extLst>
            </c:dLbl>
            <c:dLbl>
              <c:idx val="11"/>
              <c:layout>
                <c:manualLayout>
                  <c:x val="4.7145589451160895E-2"/>
                  <c:y val="-1.489385283150272E-2"/>
                </c:manualLayout>
              </c:layout>
              <c:dLblPos val="bestFit"/>
              <c:showPercent val="1"/>
              <c:separator>; </c:separator>
              <c:extLst>
                <c:ext xmlns:c15="http://schemas.microsoft.com/office/drawing/2012/chart" uri="{CE6537A1-D6FC-4f65-9D91-7224C49458BB}"/>
              </c:extLst>
            </c:dLbl>
            <c:spPr>
              <a:noFill/>
              <a:ln>
                <a:noFill/>
              </a:ln>
              <a:effectLst/>
            </c:spPr>
            <c:showPercent val="1"/>
            <c:separator>; </c:separator>
            <c:showLeaderLines val="1"/>
            <c:extLst>
              <c:ext xmlns:c15="http://schemas.microsoft.com/office/drawing/2012/chart" uri="{CE6537A1-D6FC-4f65-9D91-7224C49458BB}"/>
            </c:extLst>
          </c:dLbls>
          <c:cat>
            <c:strRef>
              <c:f>Sheet1!$B$1:$D$1</c:f>
              <c:strCache>
                <c:ptCount val="3"/>
                <c:pt idx="0">
                  <c:v>средства бюджетов</c:v>
                </c:pt>
                <c:pt idx="1">
                  <c:v>собственные средства организаций</c:v>
                </c:pt>
                <c:pt idx="2">
                  <c:v>прочие источники</c:v>
                </c:pt>
              </c:strCache>
            </c:strRef>
          </c:cat>
          <c:val>
            <c:numRef>
              <c:f>Sheet1!$B$2:$D$2</c:f>
              <c:numCache>
                <c:formatCode>0.0%</c:formatCode>
                <c:ptCount val="3"/>
                <c:pt idx="0">
                  <c:v>2.0000000000000011E-2</c:v>
                </c:pt>
                <c:pt idx="1">
                  <c:v>0.92600000000000005</c:v>
                </c:pt>
                <c:pt idx="2">
                  <c:v>5.3999999999999999E-2</c:v>
                </c:pt>
              </c:numCache>
            </c:numRef>
          </c:val>
        </c:ser>
        <c:dLbls>
          <c:showVal val="1"/>
          <c:showPercent val="1"/>
        </c:dLbls>
      </c:pie3DChart>
      <c:spPr>
        <a:solidFill>
          <a:srgbClr val="FFFFFF"/>
        </a:solidFill>
        <a:ln w="12162">
          <a:solidFill>
            <a:srgbClr val="FFFFFF"/>
          </a:solidFill>
          <a:prstDash val="solid"/>
        </a:ln>
      </c:spPr>
    </c:plotArea>
    <c:plotVisOnly val="1"/>
    <c:dispBlanksAs val="zero"/>
  </c:chart>
  <c:spPr>
    <a:noFill/>
    <a:ln>
      <a:noFill/>
    </a:ln>
  </c:spPr>
  <c:txPr>
    <a:bodyPr/>
    <a:lstStyle/>
    <a:p>
      <a:pPr>
        <a:defRPr sz="763" b="1" i="0" u="none" strike="noStrike" baseline="0">
          <a:solidFill>
            <a:srgbClr val="000000"/>
          </a:solidFill>
          <a:latin typeface="Calibri"/>
          <a:ea typeface="Calibri"/>
          <a:cs typeface="Calibri"/>
        </a:defRPr>
      </a:pPr>
      <a:endParaRPr lang="ru-RU"/>
    </a:p>
  </c:txPr>
  <c:externalData r:id="rId5"/>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5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 -июнь 2017 г.</a:t>
            </a:r>
          </a:p>
        </c:rich>
      </c:tx>
      <c:layout>
        <c:manualLayout>
          <c:xMode val="edge"/>
          <c:yMode val="edge"/>
          <c:x val="0.36774944932526532"/>
          <c:y val="9.7951673566578745E-5"/>
        </c:manualLayout>
      </c:layout>
      <c:spPr>
        <a:noFill/>
        <a:ln w="23471">
          <a:noFill/>
        </a:ln>
      </c:spPr>
    </c:title>
    <c:view3D>
      <c:rotX val="30"/>
      <c:rotY val="80"/>
      <c:perspective val="0"/>
    </c:view3D>
    <c:plotArea>
      <c:layout>
        <c:manualLayout>
          <c:layoutTarget val="inner"/>
          <c:xMode val="edge"/>
          <c:yMode val="edge"/>
          <c:x val="0.30103076656965377"/>
          <c:y val="0.21789284813974524"/>
          <c:w val="0.67986714050124253"/>
          <c:h val="0.67461126681199179"/>
        </c:manualLayout>
      </c:layout>
      <c:pie3DChart>
        <c:varyColors val="1"/>
        <c:ser>
          <c:idx val="0"/>
          <c:order val="0"/>
          <c:tx>
            <c:strRef>
              <c:f>Sheet1!$A$2</c:f>
              <c:strCache>
                <c:ptCount val="1"/>
                <c:pt idx="0">
                  <c:v>Восток</c:v>
                </c:pt>
              </c:strCache>
            </c:strRef>
          </c:tx>
          <c:spPr>
            <a:solidFill>
              <a:srgbClr val="9999FF"/>
            </a:solidFill>
            <a:ln w="11735">
              <a:solidFill>
                <a:srgbClr val="000000"/>
              </a:solidFill>
              <a:prstDash val="solid"/>
            </a:ln>
          </c:spPr>
          <c:dPt>
            <c:idx val="0"/>
            <c:explosion val="15"/>
            <c:spPr>
              <a:gradFill flip="none" rotWithShape="1">
                <a:gsLst>
                  <a:gs pos="0">
                    <a:srgbClr val="5E9EFF"/>
                  </a:gs>
                  <a:gs pos="39999">
                    <a:srgbClr val="85C2FF"/>
                  </a:gs>
                  <a:gs pos="70000">
                    <a:srgbClr val="C4D6EB"/>
                  </a:gs>
                  <a:gs pos="100000">
                    <a:srgbClr val="FFEBFA"/>
                  </a:gs>
                </a:gsLst>
                <a:path path="shape">
                  <a:fillToRect l="50000" t="50000" r="50000" b="50000"/>
                </a:path>
                <a:tileRect/>
              </a:gradFill>
              <a:ln w="11735">
                <a:solidFill>
                  <a:srgbClr val="000000"/>
                </a:solidFill>
                <a:prstDash val="solid"/>
              </a:ln>
            </c:spPr>
          </c:dPt>
          <c:dPt>
            <c:idx val="1"/>
            <c:explosion val="29"/>
            <c:spPr>
              <a:blipFill dpi="0" rotWithShape="0">
                <a:blip xmlns:r="http://schemas.openxmlformats.org/officeDocument/2006/relationships" r:embed="rId2"/>
                <a:srcRect/>
                <a:tile tx="0" ty="0" sx="100000" sy="100000" flip="none" algn="tl"/>
              </a:blipFill>
              <a:ln w="11735">
                <a:solidFill>
                  <a:srgbClr val="000000"/>
                </a:solidFill>
                <a:prstDash val="solid"/>
              </a:ln>
            </c:spPr>
          </c:dPt>
          <c:dPt>
            <c:idx val="2"/>
            <c:explosion val="7"/>
            <c:spPr>
              <a:gradFill flip="none" rotWithShape="1">
                <a:gsLst>
                  <a:gs pos="0">
                    <a:srgbClr val="F79646">
                      <a:lumMod val="75000"/>
                    </a:srgbClr>
                  </a:gs>
                  <a:gs pos="13000">
                    <a:srgbClr val="FFA800"/>
                  </a:gs>
                  <a:gs pos="28000">
                    <a:srgbClr val="825600"/>
                  </a:gs>
                  <a:gs pos="42999">
                    <a:srgbClr val="FFA800"/>
                  </a:gs>
                  <a:gs pos="58000">
                    <a:srgbClr val="825600"/>
                  </a:gs>
                  <a:gs pos="72000">
                    <a:srgbClr val="FFA800"/>
                  </a:gs>
                  <a:gs pos="87000">
                    <a:srgbClr val="825600"/>
                  </a:gs>
                  <a:gs pos="100000">
                    <a:srgbClr val="FFA800"/>
                  </a:gs>
                </a:gsLst>
                <a:path path="rect">
                  <a:fillToRect l="100000" t="100000"/>
                </a:path>
                <a:tileRect r="-100000" b="-100000"/>
              </a:gradFill>
              <a:ln w="11735">
                <a:solidFill>
                  <a:srgbClr val="000000"/>
                </a:solidFill>
                <a:prstDash val="solid"/>
              </a:ln>
            </c:spPr>
          </c:dPt>
          <c:dPt>
            <c:idx val="3"/>
            <c:explosion val="23"/>
            <c:spPr>
              <a:pattFill prst="lgCheck">
                <a:fgClr>
                  <a:srgbClr val="993366"/>
                </a:fgClr>
                <a:bgClr>
                  <a:srgbClr val="FFFFFF"/>
                </a:bgClr>
              </a:pattFill>
              <a:ln w="11735">
                <a:solidFill>
                  <a:srgbClr val="000000"/>
                </a:solidFill>
                <a:prstDash val="solid"/>
              </a:ln>
            </c:spPr>
          </c:dPt>
          <c:dLbls>
            <c:dLbl>
              <c:idx val="0"/>
              <c:layout>
                <c:manualLayout>
                  <c:x val="7.6335877862595422E-2"/>
                  <c:y val="2.0833333333333412E-2"/>
                </c:manualLayout>
              </c:layout>
              <c:dLblPos val="bestFit"/>
              <c:showVal val="1"/>
              <c:extLst>
                <c:ext xmlns:c15="http://schemas.microsoft.com/office/drawing/2012/chart" uri="{CE6537A1-D6FC-4f65-9D91-7224C49458BB}">
                  <c15:layout/>
                </c:ext>
              </c:extLst>
            </c:dLbl>
            <c:dLbl>
              <c:idx val="1"/>
              <c:layout>
                <c:manualLayout>
                  <c:x val="0.14418999151823594"/>
                  <c:y val="5.5555555555555615E-2"/>
                </c:manualLayout>
              </c:layout>
              <c:dLblPos val="bestFit"/>
              <c:showVal val="1"/>
              <c:extLst>
                <c:ext xmlns:c15="http://schemas.microsoft.com/office/drawing/2012/chart" uri="{CE6537A1-D6FC-4f65-9D91-7224C49458BB}">
                  <c15:layout/>
                </c:ext>
              </c:extLst>
            </c:dLbl>
            <c:dLbl>
              <c:idx val="2"/>
              <c:layout>
                <c:manualLayout>
                  <c:x val="-4.8563800585098779E-2"/>
                  <c:y val="-9.7457478832095198E-2"/>
                </c:manualLayout>
              </c:layout>
              <c:dLblPos val="bestFit"/>
              <c:showVal val="1"/>
              <c:extLst>
                <c:ext xmlns:c15="http://schemas.microsoft.com/office/drawing/2012/chart" uri="{CE6537A1-D6FC-4f65-9D91-7224C49458BB}">
                  <c15:layout/>
                </c:ext>
              </c:extLst>
            </c:dLbl>
            <c:dLbl>
              <c:idx val="3"/>
              <c:layout>
                <c:manualLayout>
                  <c:x val="-1.5281757402101241E-2"/>
                  <c:y val="-0.1592514495010168"/>
                </c:manualLayout>
              </c:layout>
              <c:dLblPos val="bestFit"/>
              <c:showVal val="1"/>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dLblPos val="outEnd"/>
            <c:showVal val="1"/>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0.21200000000000024</c:v>
                </c:pt>
                <c:pt idx="1">
                  <c:v>4.2000000000000023E-2</c:v>
                </c:pt>
                <c:pt idx="2">
                  <c:v>0.74000000000000221</c:v>
                </c:pt>
                <c:pt idx="3">
                  <c:v>6.0000000000000114E-3</c:v>
                </c:pt>
              </c:numCache>
            </c:numRef>
          </c:val>
        </c:ser>
        <c:dLbls>
          <c:showVal val="1"/>
          <c:showPercent val="1"/>
        </c:dLbls>
      </c:pie3DChart>
      <c:spPr>
        <a:solidFill>
          <a:srgbClr val="FFFFFF"/>
        </a:solidFill>
        <a:ln w="11735">
          <a:solidFill>
            <a:srgbClr val="FFFFFF"/>
          </a:solidFill>
          <a:prstDash val="solid"/>
        </a:ln>
      </c:spPr>
    </c:plotArea>
    <c:legend>
      <c:legendPos val="l"/>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2.8095571148162357E-2"/>
          <c:y val="0.31877040793629752"/>
          <c:w val="0.31118388962442062"/>
          <c:h val="0.51571689132078824"/>
        </c:manualLayout>
      </c:layout>
      <c:spPr>
        <a:solidFill>
          <a:srgbClr val="FFFFFF"/>
        </a:solidFill>
        <a:ln w="2934">
          <a:noFill/>
          <a:prstDash val="solid"/>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41" b="1" i="0" u="none" strike="noStrike" baseline="0">
          <a:solidFill>
            <a:srgbClr val="000000"/>
          </a:solidFill>
          <a:latin typeface="Calibri"/>
          <a:ea typeface="Calibri"/>
          <a:cs typeface="Calibri"/>
        </a:defRPr>
      </a:pPr>
      <a:endParaRPr lang="ru-RU"/>
    </a:p>
  </c:txPr>
  <c:externalData r:id="rId3"/>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январь-июнь</a:t>
            </a:r>
            <a:r>
              <a:rPr lang="ru-RU" sz="900">
                <a:latin typeface="Times New Roman" pitchFamily="18" charset="0"/>
                <a:cs typeface="Times New Roman" pitchFamily="18" charset="0"/>
              </a:rPr>
              <a:t> 2016 г.</a:t>
            </a:r>
          </a:p>
        </c:rich>
      </c:tx>
      <c:layout>
        <c:manualLayout>
          <c:xMode val="edge"/>
          <c:yMode val="edge"/>
          <c:x val="0.35048194129108756"/>
          <c:y val="5.9130657448308631E-3"/>
        </c:manualLayout>
      </c:layout>
      <c:spPr>
        <a:noFill/>
        <a:ln w="22943">
          <a:noFill/>
        </a:ln>
      </c:spPr>
    </c:title>
    <c:view3D>
      <c:rotX val="30"/>
      <c:rotY val="80"/>
      <c:perspective val="0"/>
    </c:view3D>
    <c:plotArea>
      <c:layout>
        <c:manualLayout>
          <c:layoutTarget val="inner"/>
          <c:xMode val="edge"/>
          <c:yMode val="edge"/>
          <c:x val="3.9547869016372951E-2"/>
          <c:y val="0.24057591067012576"/>
          <c:w val="0.96045214348206043"/>
          <c:h val="0.62911292157844423"/>
        </c:manualLayout>
      </c:layout>
      <c:pie3DChart>
        <c:varyColors val="1"/>
        <c:ser>
          <c:idx val="0"/>
          <c:order val="0"/>
          <c:tx>
            <c:strRef>
              <c:f>Sheet1!$A$2</c:f>
              <c:strCache>
                <c:ptCount val="1"/>
                <c:pt idx="0">
                  <c:v>Восток</c:v>
                </c:pt>
              </c:strCache>
            </c:strRef>
          </c:tx>
          <c:spPr>
            <a:solidFill>
              <a:srgbClr val="9999FF"/>
            </a:solidFill>
            <a:ln w="11472">
              <a:solidFill>
                <a:srgbClr val="000000"/>
              </a:solidFill>
              <a:prstDash val="solid"/>
            </a:ln>
          </c:spPr>
          <c:dPt>
            <c:idx val="0"/>
            <c:explosion val="19"/>
            <c:spPr>
              <a:gradFill>
                <a:gsLst>
                  <a:gs pos="0">
                    <a:srgbClr val="5E9EFF"/>
                  </a:gs>
                  <a:gs pos="39999">
                    <a:srgbClr val="85C2FF"/>
                  </a:gs>
                  <a:gs pos="70000">
                    <a:srgbClr val="C4D6EB"/>
                  </a:gs>
                  <a:gs pos="100000">
                    <a:srgbClr val="FFEBFA"/>
                  </a:gs>
                </a:gsLst>
                <a:path path="shape">
                  <a:fillToRect l="50000" t="50000" r="50000" b="50000"/>
                </a:path>
              </a:gradFill>
              <a:ln w="11472">
                <a:solidFill>
                  <a:srgbClr val="000000"/>
                </a:solidFill>
                <a:prstDash val="solid"/>
              </a:ln>
            </c:spPr>
          </c:dPt>
          <c:dPt>
            <c:idx val="1"/>
            <c:explosion val="18"/>
            <c:spPr>
              <a:blipFill dpi="0" rotWithShape="0">
                <a:blip xmlns:r="http://schemas.openxmlformats.org/officeDocument/2006/relationships" r:embed="rId2"/>
                <a:srcRect/>
                <a:tile tx="0" ty="0" sx="100000" sy="100000" flip="none" algn="tl"/>
              </a:blipFill>
              <a:ln w="11472">
                <a:solidFill>
                  <a:srgbClr val="000000"/>
                </a:solidFill>
                <a:prstDash val="solid"/>
              </a:ln>
            </c:spPr>
          </c:dPt>
          <c:dPt>
            <c:idx val="2"/>
            <c:explosion val="13"/>
            <c:spPr>
              <a:gradFill flip="none" rotWithShape="1">
                <a:gsLst>
                  <a:gs pos="0">
                    <a:srgbClr val="F79646">
                      <a:lumMod val="75000"/>
                    </a:srgbClr>
                  </a:gs>
                  <a:gs pos="13000">
                    <a:srgbClr val="FFA800"/>
                  </a:gs>
                  <a:gs pos="28000">
                    <a:srgbClr val="825600"/>
                  </a:gs>
                  <a:gs pos="42999">
                    <a:srgbClr val="FFA800"/>
                  </a:gs>
                  <a:gs pos="58000">
                    <a:srgbClr val="825600"/>
                  </a:gs>
                  <a:gs pos="72000">
                    <a:srgbClr val="FFA800"/>
                  </a:gs>
                  <a:gs pos="87000">
                    <a:srgbClr val="825600"/>
                  </a:gs>
                  <a:gs pos="100000">
                    <a:srgbClr val="FFA800"/>
                  </a:gs>
                </a:gsLst>
                <a:path path="rect">
                  <a:fillToRect l="100000" t="100000"/>
                </a:path>
                <a:tileRect r="-100000" b="-100000"/>
              </a:gradFill>
              <a:ln w="11472">
                <a:solidFill>
                  <a:srgbClr val="000000"/>
                </a:solidFill>
                <a:prstDash val="solid"/>
              </a:ln>
            </c:spPr>
          </c:dPt>
          <c:dPt>
            <c:idx val="3"/>
            <c:explosion val="20"/>
            <c:spPr>
              <a:pattFill prst="lgCheck">
                <a:fgClr>
                  <a:srgbClr val="993366"/>
                </a:fgClr>
                <a:bgClr>
                  <a:srgbClr val="FFFFFF"/>
                </a:bgClr>
              </a:pattFill>
              <a:ln w="11472">
                <a:solidFill>
                  <a:srgbClr val="000000"/>
                </a:solidFill>
                <a:prstDash val="solid"/>
              </a:ln>
            </c:spPr>
          </c:dPt>
          <c:dLbls>
            <c:dLbl>
              <c:idx val="0"/>
              <c:layout>
                <c:manualLayout>
                  <c:x val="9.4501859142608766E-2"/>
                  <c:y val="-4.0294181977252874E-3"/>
                </c:manualLayout>
              </c:layout>
              <c:tx>
                <c:rich>
                  <a:bodyPr/>
                  <a:lstStyle/>
                  <a:p>
                    <a:r>
                      <a:rPr lang="en-US" sz="900">
                        <a:latin typeface="Times New Roman" pitchFamily="18" charset="0"/>
                        <a:cs typeface="Times New Roman" pitchFamily="18" charset="0"/>
                      </a:rPr>
                      <a:t>33,4%</a:t>
                    </a:r>
                  </a:p>
                </c:rich>
              </c:tx>
              <c:dLblPos val="bestFit"/>
              <c:extLst>
                <c:ext xmlns:c15="http://schemas.microsoft.com/office/drawing/2012/chart" uri="{CE6537A1-D6FC-4f65-9D91-7224C49458BB}">
                  <c15:layout/>
                </c:ext>
              </c:extLst>
            </c:dLbl>
            <c:dLbl>
              <c:idx val="1"/>
              <c:layout>
                <c:manualLayout>
                  <c:x val="0.14293373918538593"/>
                  <c:y val="5.9182524059495263E-2"/>
                </c:manualLayout>
              </c:layout>
              <c:tx>
                <c:rich>
                  <a:bodyPr/>
                  <a:lstStyle/>
                  <a:p>
                    <a:r>
                      <a:rPr lang="en-US" sz="900">
                        <a:latin typeface="Times New Roman" pitchFamily="18" charset="0"/>
                        <a:cs typeface="Times New Roman" pitchFamily="18" charset="0"/>
                      </a:rPr>
                      <a:t>4,8% </a:t>
                    </a:r>
                  </a:p>
                </c:rich>
              </c:tx>
              <c:dLblPos val="bestFit"/>
              <c:extLst>
                <c:ext xmlns:c15="http://schemas.microsoft.com/office/drawing/2012/chart" uri="{CE6537A1-D6FC-4f65-9D91-7224C49458BB}">
                  <c15:layout/>
                </c:ext>
              </c:extLst>
            </c:dLbl>
            <c:dLbl>
              <c:idx val="2"/>
              <c:layout>
                <c:manualLayout>
                  <c:x val="-7.7556255468066493E-2"/>
                  <c:y val="-6.0112572633623525E-2"/>
                </c:manualLayout>
              </c:layout>
              <c:tx>
                <c:rich>
                  <a:bodyPr/>
                  <a:lstStyle/>
                  <a:p>
                    <a:r>
                      <a:rPr lang="en-US" sz="900">
                        <a:latin typeface="Times New Roman" pitchFamily="18" charset="0"/>
                        <a:cs typeface="Times New Roman" pitchFamily="18" charset="0"/>
                      </a:rPr>
                      <a:t>61,7% </a:t>
                    </a:r>
                  </a:p>
                </c:rich>
              </c:tx>
              <c:dLblPos val="bestFit"/>
              <c:extLst>
                <c:ext xmlns:c15="http://schemas.microsoft.com/office/drawing/2012/chart" uri="{CE6537A1-D6FC-4f65-9D91-7224C49458BB}">
                  <c15:layout/>
                </c:ext>
              </c:extLst>
            </c:dLbl>
            <c:dLbl>
              <c:idx val="3"/>
              <c:layout>
                <c:manualLayout>
                  <c:x val="6.4336966559739014E-2"/>
                  <c:y val="-8.3578849518815099E-2"/>
                </c:manualLayout>
              </c:layout>
              <c:tx>
                <c:rich>
                  <a:bodyPr/>
                  <a:lstStyle/>
                  <a:p>
                    <a:r>
                      <a:rPr lang="en-US" sz="900">
                        <a:latin typeface="Times New Roman" pitchFamily="18" charset="0"/>
                        <a:cs typeface="Times New Roman" pitchFamily="18" charset="0"/>
                      </a:rPr>
                      <a:t>0,1% </a:t>
                    </a:r>
                  </a:p>
                </c:rich>
              </c:tx>
              <c:dLblPos val="bestFit"/>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showVal val="1"/>
            <c:showPercent val="1"/>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0.33400000000000146</c:v>
                </c:pt>
                <c:pt idx="1">
                  <c:v>4.8000000000000001E-2</c:v>
                </c:pt>
                <c:pt idx="2">
                  <c:v>0.61700000000000221</c:v>
                </c:pt>
                <c:pt idx="3">
                  <c:v>1.0000000000000041E-3</c:v>
                </c:pt>
              </c:numCache>
            </c:numRef>
          </c:val>
        </c:ser>
        <c:ser>
          <c:idx val="1"/>
          <c:order val="1"/>
          <c:tx>
            <c:strRef>
              <c:f>Sheet1!$A$2</c:f>
              <c:strCache>
                <c:ptCount val="1"/>
                <c:pt idx="0">
                  <c:v>Восток</c:v>
                </c:pt>
              </c:strCache>
            </c:strRef>
          </c:tx>
          <c:spPr>
            <a:solidFill>
              <a:srgbClr val="9999FF"/>
            </a:solidFill>
            <a:ln w="11468">
              <a:solidFill>
                <a:srgbClr val="000000"/>
              </a:solidFill>
              <a:prstDash val="solid"/>
            </a:ln>
          </c:spPr>
          <c:dPt>
            <c:idx val="0"/>
            <c:spPr>
              <a:solidFill>
                <a:srgbClr val="969696"/>
              </a:solidFill>
              <a:ln w="11468">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1468">
                <a:solidFill>
                  <a:srgbClr val="000000"/>
                </a:solidFill>
                <a:prstDash val="solid"/>
              </a:ln>
            </c:spPr>
          </c:dPt>
          <c:dPt>
            <c:idx val="2"/>
            <c:spPr>
              <a:solidFill>
                <a:srgbClr val="00B050"/>
              </a:solidFill>
              <a:ln w="11468">
                <a:solidFill>
                  <a:srgbClr val="000000"/>
                </a:solidFill>
                <a:prstDash val="solid"/>
              </a:ln>
            </c:spPr>
          </c:dPt>
          <c:dPt>
            <c:idx val="3"/>
            <c:spPr>
              <a:pattFill prst="lgCheck">
                <a:fgClr>
                  <a:srgbClr val="993366"/>
                </a:fgClr>
                <a:bgClr>
                  <a:srgbClr val="FFFFFF"/>
                </a:bgClr>
              </a:pattFill>
              <a:ln w="11468">
                <a:solidFill>
                  <a:srgbClr val="000000"/>
                </a:solidFill>
                <a:prstDash val="solid"/>
              </a:ln>
            </c:spPr>
          </c:dPt>
          <c:dLbls>
            <c:dLbl>
              <c:idx val="0"/>
              <c:tx>
                <c:rich>
                  <a:bodyPr/>
                  <a:lstStyle/>
                  <a:p>
                    <a:r>
                      <a:rPr lang="en-US"/>
                      <a:t> 2</a:t>
                    </a:r>
                    <a:r>
                      <a:rPr lang="ru-RU"/>
                      <a:t>4,7</a:t>
                    </a:r>
                    <a:r>
                      <a:rPr lang="en-US"/>
                      <a:t>%</a:t>
                    </a:r>
                  </a:p>
                </c:rich>
              </c:tx>
              <c:dLblPos val="bestFit"/>
              <c:extLst>
                <c:ext xmlns:c15="http://schemas.microsoft.com/office/drawing/2012/chart" uri="{CE6537A1-D6FC-4f65-9D91-7224C49458BB}"/>
              </c:extLst>
            </c:dLbl>
            <c:dLbl>
              <c:idx val="1"/>
              <c:tx>
                <c:rich>
                  <a:bodyPr/>
                  <a:lstStyle/>
                  <a:p>
                    <a:r>
                      <a:rPr lang="en-US"/>
                      <a:t> </a:t>
                    </a:r>
                    <a:r>
                      <a:rPr lang="ru-RU"/>
                      <a:t>4,0%</a:t>
                    </a:r>
                    <a:endParaRPr lang="en-US"/>
                  </a:p>
                </c:rich>
              </c:tx>
              <c:dLblPos val="bestFit"/>
              <c:extLst>
                <c:ext xmlns:c15="http://schemas.microsoft.com/office/drawing/2012/chart" uri="{CE6537A1-D6FC-4f65-9D91-7224C49458BB}"/>
              </c:extLst>
            </c:dLbl>
            <c:dLbl>
              <c:idx val="2"/>
              <c:tx>
                <c:rich>
                  <a:bodyPr/>
                  <a:lstStyle/>
                  <a:p>
                    <a:r>
                      <a:rPr lang="en-US"/>
                      <a:t> 7</a:t>
                    </a:r>
                    <a:r>
                      <a:rPr lang="ru-RU"/>
                      <a:t>1,0</a:t>
                    </a:r>
                    <a:r>
                      <a:rPr lang="en-US"/>
                      <a:t>%</a:t>
                    </a:r>
                  </a:p>
                </c:rich>
              </c:tx>
              <c:dLblPos val="bestFit"/>
              <c:extLst>
                <c:ext xmlns:c15="http://schemas.microsoft.com/office/drawing/2012/chart" uri="{CE6537A1-D6FC-4f65-9D91-7224C49458BB}"/>
              </c:extLst>
            </c:dLbl>
            <c:dLbl>
              <c:idx val="3"/>
              <c:tx>
                <c:rich>
                  <a:bodyPr/>
                  <a:lstStyle/>
                  <a:p>
                    <a:r>
                      <a:rPr lang="en-US"/>
                      <a:t> 0</a:t>
                    </a:r>
                    <a:r>
                      <a:rPr lang="ru-RU"/>
                      <a:t>,3</a:t>
                    </a:r>
                    <a:r>
                      <a:rPr lang="en-US"/>
                      <a:t>%</a:t>
                    </a:r>
                  </a:p>
                </c:rich>
              </c:tx>
              <c:dLblPos val="bestFit"/>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showPercent val="1"/>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0.33400000000000146</c:v>
                </c:pt>
                <c:pt idx="1">
                  <c:v>4.8000000000000001E-2</c:v>
                </c:pt>
                <c:pt idx="2">
                  <c:v>0.61700000000000221</c:v>
                </c:pt>
                <c:pt idx="3">
                  <c:v>1.0000000000000041E-3</c:v>
                </c:pt>
              </c:numCache>
            </c:numRef>
          </c:val>
        </c:ser>
        <c:dLbls>
          <c:showVal val="1"/>
          <c:showPercent val="1"/>
        </c:dLbls>
      </c:pie3DChart>
      <c:spPr>
        <a:solidFill>
          <a:srgbClr val="FFFFFF"/>
        </a:solidFill>
        <a:ln w="11472">
          <a:solidFill>
            <a:srgbClr val="FFFFFF"/>
          </a:solidFill>
          <a:prstDash val="solid"/>
        </a:ln>
      </c:spPr>
    </c:plotArea>
    <c:plotVisOnly val="1"/>
    <c:dispBlanksAs val="zero"/>
  </c:chart>
  <c:spPr>
    <a:noFill/>
    <a:ln>
      <a:noFill/>
    </a:ln>
  </c:spPr>
  <c:txPr>
    <a:bodyPr/>
    <a:lstStyle/>
    <a:p>
      <a:pPr>
        <a:defRPr sz="726" b="1" i="0" u="none" strike="noStrike" baseline="0">
          <a:solidFill>
            <a:srgbClr val="000000"/>
          </a:solidFill>
          <a:latin typeface="Calibri"/>
          <a:ea typeface="Calibri"/>
          <a:cs typeface="Calibri"/>
        </a:defRPr>
      </a:pPr>
      <a:endParaRPr lang="ru-RU"/>
    </a:p>
  </c:txPr>
  <c:externalData r:id="rId3"/>
</c:chartSpace>
</file>

<file path=word/charts/chart2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b="1"/>
            </a:pPr>
            <a:r>
              <a:rPr lang="ru-RU" b="1"/>
              <a:t> январь - июнь</a:t>
            </a:r>
            <a:r>
              <a:rPr lang="ru-RU" b="1" baseline="0"/>
              <a:t> </a:t>
            </a:r>
            <a:r>
              <a:rPr lang="ru-RU" b="1"/>
              <a:t>2017 год</a:t>
            </a:r>
          </a:p>
        </c:rich>
      </c:tx>
      <c:layout>
        <c:manualLayout>
          <c:xMode val="edge"/>
          <c:yMode val="edge"/>
          <c:x val="0.40339428882865241"/>
          <c:y val="0"/>
        </c:manualLayout>
      </c:layout>
      <c:spPr>
        <a:noFill/>
      </c:spPr>
    </c:title>
    <c:view3D>
      <c:rotY val="270"/>
      <c:perspective val="0"/>
    </c:view3D>
    <c:plotArea>
      <c:layout>
        <c:manualLayout>
          <c:layoutTarget val="inner"/>
          <c:xMode val="edge"/>
          <c:yMode val="edge"/>
          <c:x val="0.32294352094877032"/>
          <c:y val="0.21373081132386126"/>
          <c:w val="0.46342862314625555"/>
          <c:h val="0.29868987895501348"/>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24001268723584779"/>
                  <c:y val="-4.6837168609737811E-4"/>
                </c:manualLayout>
              </c:layout>
              <c:tx>
                <c:rich>
                  <a:bodyPr/>
                  <a:lstStyle/>
                  <a:p>
                    <a:r>
                      <a:rPr lang="ru-RU" sz="900"/>
                      <a:t>Торговля и общепит; 1847; 49,0%</a:t>
                    </a:r>
                  </a:p>
                </c:rich>
              </c:tx>
              <c:dLblPos val="bestFit"/>
              <c:showVal val="1"/>
              <c:showCatName val="1"/>
              <c:showPercent val="1"/>
              <c:separator>; </c:separator>
              <c:extLst>
                <c:ext xmlns:c15="http://schemas.microsoft.com/office/drawing/2012/chart" uri="{CE6537A1-D6FC-4f65-9D91-7224C49458BB}">
                  <c15:layout/>
                </c:ext>
              </c:extLst>
            </c:dLbl>
            <c:dLbl>
              <c:idx val="1"/>
              <c:layout>
                <c:manualLayout>
                  <c:x val="2.3571144516026567E-2"/>
                  <c:y val="-0.12348974828331014"/>
                </c:manualLayout>
              </c:layout>
              <c:tx>
                <c:rich>
                  <a:bodyPr/>
                  <a:lstStyle/>
                  <a:p>
                    <a:r>
                      <a:rPr lang="ru-RU" sz="900"/>
                      <a:t>Промышленность; </a:t>
                    </a:r>
                  </a:p>
                  <a:p>
                    <a:r>
                      <a:rPr lang="ru-RU" sz="900"/>
                      <a:t>434; 11,5%</a:t>
                    </a:r>
                  </a:p>
                </c:rich>
              </c:tx>
              <c:dLblPos val="bestFit"/>
              <c:showVal val="1"/>
              <c:showCatName val="1"/>
              <c:showPercent val="1"/>
              <c:separator>; </c:separator>
              <c:extLst>
                <c:ext xmlns:c15="http://schemas.microsoft.com/office/drawing/2012/chart" uri="{CE6537A1-D6FC-4f65-9D91-7224C49458BB}">
                  <c15:layout/>
                </c:ext>
              </c:extLst>
            </c:dLbl>
            <c:dLbl>
              <c:idx val="2"/>
              <c:layout>
                <c:manualLayout>
                  <c:x val="0.15706480798661496"/>
                  <c:y val="0.10471545707949299"/>
                </c:manualLayout>
              </c:layout>
              <c:tx>
                <c:rich>
                  <a:bodyPr/>
                  <a:lstStyle/>
                  <a:p>
                    <a:r>
                      <a:rPr lang="ru-RU" sz="900"/>
                      <a:t>Сельское хозяйство; 330; 8,8%</a:t>
                    </a:r>
                  </a:p>
                </c:rich>
              </c:tx>
              <c:dLblPos val="bestFit"/>
              <c:showVal val="1"/>
              <c:showCatName val="1"/>
              <c:showPercent val="1"/>
              <c:separator>; </c:separator>
              <c:extLst>
                <c:ext xmlns:c15="http://schemas.microsoft.com/office/drawing/2012/chart" uri="{CE6537A1-D6FC-4f65-9D91-7224C49458BB}">
                  <c15:layout/>
                </c:ext>
              </c:extLst>
            </c:dLbl>
            <c:dLbl>
              <c:idx val="3"/>
              <c:layout>
                <c:manualLayout>
                  <c:x val="0.40551196961407715"/>
                  <c:y val="0.30293149402836272"/>
                </c:manualLayout>
              </c:layout>
              <c:tx>
                <c:rich>
                  <a:bodyPr/>
                  <a:lstStyle/>
                  <a:p>
                    <a:r>
                      <a:rPr lang="ru-RU" sz="900"/>
                      <a:t>Строительство; </a:t>
                    </a:r>
                  </a:p>
                  <a:p>
                    <a:r>
                      <a:rPr lang="ru-RU" sz="900"/>
                      <a:t>251; 6,7%</a:t>
                    </a:r>
                  </a:p>
                </c:rich>
              </c:tx>
              <c:dLblPos val="bestFit"/>
              <c:showVal val="1"/>
              <c:showCatName val="1"/>
              <c:showPercent val="1"/>
              <c:separator>; </c:separator>
              <c:extLst>
                <c:ext xmlns:c15="http://schemas.microsoft.com/office/drawing/2012/chart" uri="{CE6537A1-D6FC-4f65-9D91-7224C49458BB}">
                  <c15:layout/>
                </c:ext>
              </c:extLst>
            </c:dLbl>
            <c:dLbl>
              <c:idx val="4"/>
              <c:layout>
                <c:manualLayout>
                  <c:x val="0.18511533490338083"/>
                  <c:y val="0.31404748825001538"/>
                </c:manualLayout>
              </c:layout>
              <c:tx>
                <c:rich>
                  <a:bodyPr/>
                  <a:lstStyle/>
                  <a:p>
                    <a:r>
                      <a:rPr lang="ru-RU" sz="900"/>
                      <a:t>Операции с недвижим. имущест.; 213; 5,6%</a:t>
                    </a:r>
                  </a:p>
                </c:rich>
              </c:tx>
              <c:dLblPos val="bestFit"/>
              <c:showVal val="1"/>
              <c:showCatName val="1"/>
              <c:showPercent val="1"/>
              <c:separator>; </c:separator>
              <c:extLst>
                <c:ext xmlns:c15="http://schemas.microsoft.com/office/drawing/2012/chart" uri="{CE6537A1-D6FC-4f65-9D91-7224C49458BB}">
                  <c15:layout/>
                </c:ext>
              </c:extLst>
            </c:dLbl>
            <c:dLbl>
              <c:idx val="5"/>
              <c:layout>
                <c:manualLayout>
                  <c:x val="3.3368064641466633E-2"/>
                  <c:y val="0.33456713259679749"/>
                </c:manualLayout>
              </c:layout>
              <c:tx>
                <c:rich>
                  <a:bodyPr/>
                  <a:lstStyle/>
                  <a:p>
                    <a:r>
                      <a:rPr lang="ru-RU" sz="900"/>
                      <a:t>Непроизв. виды бытового обслуж.; 88; 2,3%</a:t>
                    </a:r>
                  </a:p>
                </c:rich>
              </c:tx>
              <c:dLblPos val="bestFit"/>
              <c:showVal val="1"/>
              <c:showCatName val="1"/>
              <c:showPercent val="1"/>
              <c:separator>; </c:separator>
              <c:extLst>
                <c:ext xmlns:c15="http://schemas.microsoft.com/office/drawing/2012/chart" uri="{CE6537A1-D6FC-4f65-9D91-7224C49458BB}">
                  <c15:layout/>
                </c:ext>
              </c:extLst>
            </c:dLbl>
            <c:dLbl>
              <c:idx val="6"/>
              <c:layout>
                <c:manualLayout>
                  <c:x val="-0.12146560556935729"/>
                  <c:y val="0.17055718588682081"/>
                </c:manualLayout>
              </c:layout>
              <c:tx>
                <c:rich>
                  <a:bodyPr/>
                  <a:lstStyle/>
                  <a:p>
                    <a:r>
                      <a:rPr lang="ru-RU" sz="900"/>
                      <a:t>Общая коммер. деятельн.</a:t>
                    </a:r>
                  </a:p>
                  <a:p>
                    <a:r>
                      <a:rPr lang="ru-RU" sz="900"/>
                      <a:t>104; 2,8%</a:t>
                    </a:r>
                  </a:p>
                </c:rich>
              </c:tx>
              <c:dLblPos val="bestFit"/>
              <c:showVal val="1"/>
              <c:showCatName val="1"/>
              <c:showPercent val="1"/>
              <c:separator>; </c:separator>
              <c:extLst>
                <c:ext xmlns:c15="http://schemas.microsoft.com/office/drawing/2012/chart" uri="{CE6537A1-D6FC-4f65-9D91-7224C49458BB}">
                  <c15:layout/>
                </c:ext>
              </c:extLst>
            </c:dLbl>
            <c:dLbl>
              <c:idx val="7"/>
              <c:layout>
                <c:manualLayout>
                  <c:x val="-0.12273910205668823"/>
                  <c:y val="5.4992203465342249E-3"/>
                </c:manualLayout>
              </c:layout>
              <c:tx>
                <c:rich>
                  <a:bodyPr/>
                  <a:lstStyle/>
                  <a:p>
                    <a:r>
                      <a:rPr lang="ru-RU" sz="900"/>
                      <a:t>ЖКХ; 74; 2,0%</a:t>
                    </a:r>
                  </a:p>
                </c:rich>
              </c:tx>
              <c:dLblPos val="bestFit"/>
              <c:showVal val="1"/>
              <c:showCatName val="1"/>
              <c:showPercent val="1"/>
              <c:separator>; </c:separator>
              <c:extLst>
                <c:ext xmlns:c15="http://schemas.microsoft.com/office/drawing/2012/chart" uri="{CE6537A1-D6FC-4f65-9D91-7224C49458BB}">
                  <c15:layout/>
                </c:ext>
              </c:extLst>
            </c:dLbl>
            <c:dLbl>
              <c:idx val="8"/>
              <c:layout>
                <c:manualLayout>
                  <c:x val="-7.9251135904084502E-2"/>
                  <c:y val="-0.10968076664835502"/>
                </c:manualLayout>
              </c:layout>
              <c:tx>
                <c:rich>
                  <a:bodyPr/>
                  <a:lstStyle/>
                  <a:p>
                    <a:r>
                      <a:rPr lang="ru-RU" sz="900"/>
                      <a:t>Прочие;</a:t>
                    </a:r>
                  </a:p>
                  <a:p>
                    <a:r>
                      <a:rPr lang="ru-RU" sz="900"/>
                      <a:t> 429; 11,4%</a:t>
                    </a:r>
                  </a:p>
                </c:rich>
              </c:tx>
              <c:dLblPos val="bestFit"/>
              <c:showVal val="1"/>
              <c:showCatName val="1"/>
              <c:showPercent val="1"/>
              <c:separator>; </c:separator>
              <c:extLst>
                <c:ext xmlns:c15="http://schemas.microsoft.com/office/drawing/2012/chart" uri="{CE6537A1-D6FC-4f65-9D91-7224C49458BB}">
                  <c15:layout/>
                </c:ext>
              </c:extLst>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extLst>
              <c:ext xmlns:c15="http://schemas.microsoft.com/office/drawing/2012/chart" uri="{CE6537A1-D6FC-4f65-9D91-7224C49458BB}"/>
            </c:extLst>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1848</c:v>
                </c:pt>
                <c:pt idx="1">
                  <c:v>434</c:v>
                </c:pt>
                <c:pt idx="2">
                  <c:v>330</c:v>
                </c:pt>
                <c:pt idx="3">
                  <c:v>251</c:v>
                </c:pt>
                <c:pt idx="4">
                  <c:v>213</c:v>
                </c:pt>
                <c:pt idx="5">
                  <c:v>88</c:v>
                </c:pt>
                <c:pt idx="6">
                  <c:v>104</c:v>
                </c:pt>
                <c:pt idx="7">
                  <c:v>74</c:v>
                </c:pt>
                <c:pt idx="8">
                  <c:v>429</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январь - июнь 2016 год</a:t>
            </a:r>
          </a:p>
        </c:rich>
      </c:tx>
      <c:layout>
        <c:manualLayout>
          <c:xMode val="edge"/>
          <c:yMode val="edge"/>
          <c:x val="0.41432312786515391"/>
          <c:y val="0"/>
        </c:manualLayout>
      </c:layout>
      <c:spPr>
        <a:noFill/>
      </c:spPr>
    </c:title>
    <c:view3D>
      <c:rotY val="270"/>
      <c:perspective val="0"/>
    </c:view3D>
    <c:plotArea>
      <c:layout>
        <c:manualLayout>
          <c:layoutTarget val="inner"/>
          <c:xMode val="edge"/>
          <c:yMode val="edge"/>
          <c:x val="0.26978369083174947"/>
          <c:y val="0.18421052631578938"/>
          <c:w val="0.46342862314625516"/>
          <c:h val="0.29868987895501314"/>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24001268723584779"/>
                  <c:y val="-4.6837168609737789E-4"/>
                </c:manualLayout>
              </c:layout>
              <c:tx>
                <c:rich>
                  <a:bodyPr/>
                  <a:lstStyle/>
                  <a:p>
                    <a:r>
                      <a:rPr lang="ru-RU" sz="900"/>
                      <a:t>Торговля и общепит; 1897; 49,4%</a:t>
                    </a:r>
                  </a:p>
                </c:rich>
              </c:tx>
              <c:dLblPos val="bestFit"/>
              <c:showVal val="1"/>
              <c:showCatName val="1"/>
              <c:showPercent val="1"/>
              <c:separator>; </c:separator>
              <c:extLst>
                <c:ext xmlns:c15="http://schemas.microsoft.com/office/drawing/2012/chart" uri="{CE6537A1-D6FC-4f65-9D91-7224C49458BB}">
                  <c15:layout/>
                </c:ext>
              </c:extLst>
            </c:dLbl>
            <c:dLbl>
              <c:idx val="1"/>
              <c:layout>
                <c:manualLayout>
                  <c:x val="0.17844026294296664"/>
                  <c:y val="-5.9528779832753904E-2"/>
                </c:manualLayout>
              </c:layout>
              <c:tx>
                <c:rich>
                  <a:bodyPr/>
                  <a:lstStyle/>
                  <a:p>
                    <a:r>
                      <a:rPr lang="ru-RU" sz="900"/>
                      <a:t>Промышленность; 439; 11,4%</a:t>
                    </a:r>
                  </a:p>
                </c:rich>
              </c:tx>
              <c:dLblPos val="bestFit"/>
              <c:showVal val="1"/>
              <c:showCatName val="1"/>
              <c:showPercent val="1"/>
              <c:separator>; </c:separator>
              <c:extLst>
                <c:ext xmlns:c15="http://schemas.microsoft.com/office/drawing/2012/chart" uri="{CE6537A1-D6FC-4f65-9D91-7224C49458BB}">
                  <c15:layout/>
                </c:ext>
              </c:extLst>
            </c:dLbl>
            <c:dLbl>
              <c:idx val="2"/>
              <c:layout>
                <c:manualLayout>
                  <c:x val="0.15706480798661496"/>
                  <c:y val="0.10471545707949299"/>
                </c:manualLayout>
              </c:layout>
              <c:tx>
                <c:rich>
                  <a:bodyPr/>
                  <a:lstStyle/>
                  <a:p>
                    <a:r>
                      <a:rPr lang="ru-RU" sz="900"/>
                      <a:t>Сельское хозяйство; 331; 8,6%</a:t>
                    </a:r>
                  </a:p>
                </c:rich>
              </c:tx>
              <c:dLblPos val="bestFit"/>
              <c:showVal val="1"/>
              <c:showCatName val="1"/>
              <c:showPercent val="1"/>
              <c:separator>; </c:separator>
              <c:extLst>
                <c:ext xmlns:c15="http://schemas.microsoft.com/office/drawing/2012/chart" uri="{CE6537A1-D6FC-4f65-9D91-7224C49458BB}">
                  <c15:layout/>
                </c:ext>
              </c:extLst>
            </c:dLbl>
            <c:dLbl>
              <c:idx val="3"/>
              <c:layout>
                <c:manualLayout>
                  <c:x val="0.40551196961407676"/>
                  <c:y val="0.30293149402836272"/>
                </c:manualLayout>
              </c:layout>
              <c:tx>
                <c:rich>
                  <a:bodyPr/>
                  <a:lstStyle/>
                  <a:p>
                    <a:r>
                      <a:rPr lang="ru-RU" sz="900"/>
                      <a:t>Строительство; 259; 6,7%</a:t>
                    </a:r>
                  </a:p>
                </c:rich>
              </c:tx>
              <c:dLblPos val="bestFit"/>
              <c:showVal val="1"/>
              <c:showCatName val="1"/>
              <c:showPercent val="1"/>
              <c:separator>; </c:separator>
              <c:extLst>
                <c:ext xmlns:c15="http://schemas.microsoft.com/office/drawing/2012/chart" uri="{CE6537A1-D6FC-4f65-9D91-7224C49458BB}">
                  <c15:layout/>
                </c:ext>
              </c:extLst>
            </c:dLbl>
            <c:dLbl>
              <c:idx val="4"/>
              <c:layout>
                <c:manualLayout>
                  <c:x val="0.18511533490338072"/>
                  <c:y val="0.31404748825001538"/>
                </c:manualLayout>
              </c:layout>
              <c:tx>
                <c:rich>
                  <a:bodyPr/>
                  <a:lstStyle/>
                  <a:p>
                    <a:r>
                      <a:rPr lang="ru-RU" sz="900"/>
                      <a:t>Операции с недвижим. имущест.; 208; 5,4%</a:t>
                    </a:r>
                  </a:p>
                </c:rich>
              </c:tx>
              <c:dLblPos val="bestFit"/>
              <c:showVal val="1"/>
              <c:showCatName val="1"/>
              <c:showPercent val="1"/>
              <c:separator>; </c:separator>
              <c:extLst>
                <c:ext xmlns:c15="http://schemas.microsoft.com/office/drawing/2012/chart" uri="{CE6537A1-D6FC-4f65-9D91-7224C49458BB}">
                  <c15:layout/>
                </c:ext>
              </c:extLst>
            </c:dLbl>
            <c:dLbl>
              <c:idx val="5"/>
              <c:layout>
                <c:manualLayout>
                  <c:x val="3.3368064641466633E-2"/>
                  <c:y val="0.33456713259679749"/>
                </c:manualLayout>
              </c:layout>
              <c:tx>
                <c:rich>
                  <a:bodyPr/>
                  <a:lstStyle/>
                  <a:p>
                    <a:r>
                      <a:rPr lang="ru-RU" sz="900"/>
                      <a:t>Непроизв. виды бытового обслуж.; 92; 2,4%</a:t>
                    </a:r>
                  </a:p>
                </c:rich>
              </c:tx>
              <c:dLblPos val="bestFit"/>
              <c:showVal val="1"/>
              <c:showCatName val="1"/>
              <c:showPercent val="1"/>
              <c:separator>; </c:separator>
              <c:extLst>
                <c:ext xmlns:c15="http://schemas.microsoft.com/office/drawing/2012/chart" uri="{CE6537A1-D6FC-4f65-9D91-7224C49458BB}">
                  <c15:layout/>
                </c:ext>
              </c:extLst>
            </c:dLbl>
            <c:dLbl>
              <c:idx val="6"/>
              <c:layout>
                <c:manualLayout>
                  <c:x val="-0.11077035310163316"/>
                  <c:y val="0.16563714419418571"/>
                </c:manualLayout>
              </c:layout>
              <c:tx>
                <c:rich>
                  <a:bodyPr/>
                  <a:lstStyle/>
                  <a:p>
                    <a:r>
                      <a:rPr lang="ru-RU" sz="900"/>
                      <a:t>Общая коммер. деятельн.; 116; 3,0%</a:t>
                    </a:r>
                  </a:p>
                </c:rich>
              </c:tx>
              <c:dLblPos val="bestFit"/>
              <c:showVal val="1"/>
              <c:showCatName val="1"/>
              <c:showPercent val="1"/>
              <c:separator>; </c:separator>
              <c:extLst>
                <c:ext xmlns:c15="http://schemas.microsoft.com/office/drawing/2012/chart" uri="{CE6537A1-D6FC-4f65-9D91-7224C49458BB}">
                  <c15:layout/>
                </c:ext>
              </c:extLst>
            </c:dLbl>
            <c:dLbl>
              <c:idx val="7"/>
              <c:layout>
                <c:manualLayout>
                  <c:x val="-0.12273917421953805"/>
                  <c:y val="-1.4180959938147325E-2"/>
                </c:manualLayout>
              </c:layout>
              <c:tx>
                <c:rich>
                  <a:bodyPr/>
                  <a:lstStyle/>
                  <a:p>
                    <a:r>
                      <a:rPr lang="ru-RU" sz="900"/>
                      <a:t>ЖКХ; 74; 1,9%</a:t>
                    </a:r>
                  </a:p>
                </c:rich>
              </c:tx>
              <c:dLblPos val="bestFit"/>
              <c:showVal val="1"/>
              <c:showCatName val="1"/>
              <c:showPercent val="1"/>
              <c:separator>; </c:separator>
              <c:extLst>
                <c:ext xmlns:c15="http://schemas.microsoft.com/office/drawing/2012/chart" uri="{CE6537A1-D6FC-4f65-9D91-7224C49458BB}">
                  <c15:layout/>
                </c:ext>
              </c:extLst>
            </c:dLbl>
            <c:dLbl>
              <c:idx val="8"/>
              <c:layout>
                <c:manualLayout>
                  <c:x val="-7.9251135904084502E-2"/>
                  <c:y val="-0.10968076664835502"/>
                </c:manualLayout>
              </c:layout>
              <c:tx>
                <c:rich>
                  <a:bodyPr/>
                  <a:lstStyle/>
                  <a:p>
                    <a:r>
                      <a:rPr lang="ru-RU" sz="900"/>
                      <a:t>Прочие; 425; 11,1%</a:t>
                    </a:r>
                  </a:p>
                </c:rich>
              </c:tx>
              <c:dLblPos val="bestFit"/>
              <c:showVal val="1"/>
              <c:showCatName val="1"/>
              <c:showPercent val="1"/>
              <c:separator>; </c:separator>
              <c:extLst>
                <c:ext xmlns:c15="http://schemas.microsoft.com/office/drawing/2012/chart" uri="{CE6537A1-D6FC-4f65-9D91-7224C49458BB}">
                  <c15:layout/>
                </c:ext>
              </c:extLst>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extLst>
              <c:ext xmlns:c15="http://schemas.microsoft.com/office/drawing/2012/chart" uri="{CE6537A1-D6FC-4f65-9D91-7224C49458BB}"/>
            </c:extLst>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1897</c:v>
                </c:pt>
                <c:pt idx="1">
                  <c:v>439</c:v>
                </c:pt>
                <c:pt idx="2">
                  <c:v>331</c:v>
                </c:pt>
                <c:pt idx="3">
                  <c:v>259</c:v>
                </c:pt>
                <c:pt idx="4">
                  <c:v>208</c:v>
                </c:pt>
                <c:pt idx="5">
                  <c:v>92</c:v>
                </c:pt>
                <c:pt idx="6">
                  <c:v>116</c:v>
                </c:pt>
                <c:pt idx="7">
                  <c:v>74</c:v>
                </c:pt>
                <c:pt idx="8">
                  <c:v>425</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валовой добавлененой стоимости отраслей товарного производства, млн руб.</a:t>
            </a:r>
          </a:p>
        </c:rich>
      </c:tx>
      <c:layout>
        <c:manualLayout>
          <c:xMode val="edge"/>
          <c:yMode val="edge"/>
          <c:x val="0.11878714234794725"/>
          <c:y val="0"/>
        </c:manualLayout>
      </c:layout>
    </c:title>
    <c:plotArea>
      <c:layout>
        <c:manualLayout>
          <c:layoutTarget val="inner"/>
          <c:xMode val="edge"/>
          <c:yMode val="edge"/>
          <c:x val="0.25664883235749381"/>
          <c:y val="0.19820113431657743"/>
          <c:w val="0.73694091123224981"/>
          <c:h val="0.45483081793433888"/>
        </c:manualLayout>
      </c:layout>
      <c:barChart>
        <c:barDir val="col"/>
        <c:grouping val="clustered"/>
        <c:ser>
          <c:idx val="0"/>
          <c:order val="0"/>
          <c:tx>
            <c:strRef>
              <c:f>Лист1!$B$1</c:f>
              <c:strCache>
                <c:ptCount val="1"/>
                <c:pt idx="0">
                  <c:v>январь-июнь 2016 года</c:v>
                </c:pt>
              </c:strCache>
            </c:strRef>
          </c:tx>
          <c:dLbls>
            <c:dLbl>
              <c:idx val="0"/>
              <c:layout>
                <c:manualLayout>
                  <c:x val="0"/>
                  <c:y val="1.2615052077766319E-2"/>
                </c:manualLayout>
              </c:layout>
              <c:tx>
                <c:rich>
                  <a:bodyPr/>
                  <a:lstStyle/>
                  <a:p>
                    <a:r>
                      <a:rPr lang="en-US"/>
                      <a:t>41,21*</a:t>
                    </a:r>
                  </a:p>
                </c:rich>
              </c:tx>
              <c:dLblPos val="outEnd"/>
              <c:showVal val="1"/>
              <c:extLst>
                <c:ext xmlns:c15="http://schemas.microsoft.com/office/drawing/2012/chart" uri="{CE6537A1-D6FC-4f65-9D91-7224C49458BB}">
                  <c15:layout/>
                </c:ext>
              </c:extLst>
            </c:dLbl>
            <c:dLbl>
              <c:idx val="1"/>
              <c:tx>
                <c:rich>
                  <a:bodyPr/>
                  <a:lstStyle/>
                  <a:p>
                    <a:r>
                      <a:rPr lang="en-US"/>
                      <a:t>-23,47*</a:t>
                    </a:r>
                  </a:p>
                </c:rich>
              </c:tx>
              <c:dLblPos val="outEnd"/>
              <c:showVal val="1"/>
              <c:extLst>
                <c:ext xmlns:c15="http://schemas.microsoft.com/office/drawing/2012/chart" uri="{CE6537A1-D6FC-4f65-9D91-7224C49458BB}">
                  <c15:layout/>
                </c:ext>
              </c:extLst>
            </c:dLbl>
            <c:dLbl>
              <c:idx val="2"/>
              <c:layout>
                <c:manualLayout>
                  <c:x val="2.5396825396825401E-3"/>
                  <c:y val="1.8099547511312229E-2"/>
                </c:manualLayout>
              </c:layout>
              <c:tx>
                <c:rich>
                  <a:bodyPr/>
                  <a:lstStyle/>
                  <a:p>
                    <a:r>
                      <a:rPr lang="en-US"/>
                      <a:t>2,88*</a:t>
                    </a:r>
                  </a:p>
                </c:rich>
              </c:tx>
              <c:dLblPos val="outEnd"/>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Лист1!$A$2:$A$4</c:f>
              <c:strCache>
                <c:ptCount val="3"/>
                <c:pt idx="0">
                  <c:v>Промышленность</c:v>
                </c:pt>
                <c:pt idx="1">
                  <c:v>Селькое хозяйство</c:v>
                </c:pt>
                <c:pt idx="2">
                  <c:v>Строительство</c:v>
                </c:pt>
              </c:strCache>
            </c:strRef>
          </c:cat>
          <c:val>
            <c:numRef>
              <c:f>Лист1!$B$2:$B$4</c:f>
              <c:numCache>
                <c:formatCode>#,##0.0</c:formatCode>
                <c:ptCount val="3"/>
                <c:pt idx="0">
                  <c:v>1690.2</c:v>
                </c:pt>
                <c:pt idx="1">
                  <c:v>-962.7</c:v>
                </c:pt>
                <c:pt idx="2">
                  <c:v>118.1</c:v>
                </c:pt>
              </c:numCache>
            </c:numRef>
          </c:val>
        </c:ser>
        <c:ser>
          <c:idx val="1"/>
          <c:order val="1"/>
          <c:tx>
            <c:strRef>
              <c:f>Лист1!$C$1</c:f>
              <c:strCache>
                <c:ptCount val="1"/>
                <c:pt idx="0">
                  <c:v>январь-июнь 2017 года</c:v>
                </c:pt>
              </c:strCache>
            </c:strRef>
          </c:tx>
          <c:dLbls>
            <c:dLbl>
              <c:idx val="0"/>
              <c:layout>
                <c:manualLayout>
                  <c:x val="-2.5396825396825401E-3"/>
                  <c:y val="1.0420778850607871E-2"/>
                </c:manualLayout>
              </c:layout>
              <c:tx>
                <c:rich>
                  <a:bodyPr/>
                  <a:lstStyle/>
                  <a:p>
                    <a:r>
                      <a:rPr lang="en-US"/>
                      <a:t>37,56*</a:t>
                    </a:r>
                  </a:p>
                </c:rich>
              </c:tx>
              <c:dLblPos val="outEnd"/>
              <c:showVal val="1"/>
              <c:extLst>
                <c:ext xmlns:c15="http://schemas.microsoft.com/office/drawing/2012/chart" uri="{CE6537A1-D6FC-4f65-9D91-7224C49458BB}">
                  <c15:layout/>
                </c:ext>
              </c:extLst>
            </c:dLbl>
            <c:dLbl>
              <c:idx val="1"/>
              <c:tx>
                <c:rich>
                  <a:bodyPr/>
                  <a:lstStyle/>
                  <a:p>
                    <a:r>
                      <a:rPr lang="en-US"/>
                      <a:t>-25,77*</a:t>
                    </a:r>
                  </a:p>
                </c:rich>
              </c:tx>
              <c:dLblPos val="outEnd"/>
              <c:showVal val="1"/>
              <c:extLst>
                <c:ext xmlns:c15="http://schemas.microsoft.com/office/drawing/2012/chart" uri="{CE6537A1-D6FC-4f65-9D91-7224C49458BB}">
                  <c15:layout/>
                </c:ext>
              </c:extLst>
            </c:dLbl>
            <c:dLbl>
              <c:idx val="2"/>
              <c:layout>
                <c:manualLayout>
                  <c:x val="-1.0158730158730254E-2"/>
                  <c:y val="1.2066365007541479E-2"/>
                </c:manualLayout>
              </c:layout>
              <c:tx>
                <c:rich>
                  <a:bodyPr/>
                  <a:lstStyle/>
                  <a:p>
                    <a:r>
                      <a:rPr lang="en-US"/>
                      <a:t>1,56*</a:t>
                    </a:r>
                  </a:p>
                </c:rich>
              </c:tx>
              <c:dLblPos val="outEnd"/>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Лист1!$A$2:$A$4</c:f>
              <c:strCache>
                <c:ptCount val="3"/>
                <c:pt idx="0">
                  <c:v>Промышленность</c:v>
                </c:pt>
                <c:pt idx="1">
                  <c:v>Селькое хозяйство</c:v>
                </c:pt>
                <c:pt idx="2">
                  <c:v>Строительство</c:v>
                </c:pt>
              </c:strCache>
            </c:strRef>
          </c:cat>
          <c:val>
            <c:numRef>
              <c:f>Лист1!$C$2:$C$4</c:f>
              <c:numCache>
                <c:formatCode>#,##0.0</c:formatCode>
                <c:ptCount val="3"/>
                <c:pt idx="0">
                  <c:v>1469.9</c:v>
                </c:pt>
                <c:pt idx="1">
                  <c:v>-1008.6</c:v>
                </c:pt>
                <c:pt idx="2">
                  <c:v>61</c:v>
                </c:pt>
              </c:numCache>
            </c:numRef>
          </c:val>
        </c:ser>
        <c:dLbls>
          <c:showVal val="1"/>
        </c:dLbls>
        <c:axId val="96292224"/>
        <c:axId val="96310400"/>
      </c:barChart>
      <c:catAx>
        <c:axId val="96292224"/>
        <c:scaling>
          <c:orientation val="minMax"/>
        </c:scaling>
        <c:axPos val="b"/>
        <c:numFmt formatCode="General" sourceLinked="0"/>
        <c:tickLblPos val="nextTo"/>
        <c:txPr>
          <a:bodyPr/>
          <a:lstStyle/>
          <a:p>
            <a:pPr>
              <a:defRPr b="1">
                <a:latin typeface="Times New Roman" pitchFamily="18" charset="0"/>
                <a:cs typeface="Times New Roman" pitchFamily="18" charset="0"/>
              </a:defRPr>
            </a:pPr>
            <a:endParaRPr lang="ru-RU"/>
          </a:p>
        </c:txPr>
        <c:crossAx val="96310400"/>
        <c:crosses val="autoZero"/>
        <c:auto val="1"/>
        <c:lblAlgn val="ctr"/>
        <c:lblOffset val="100"/>
      </c:catAx>
      <c:valAx>
        <c:axId val="96310400"/>
        <c:scaling>
          <c:orientation val="minMax"/>
          <c:min val="-1500"/>
        </c:scaling>
        <c:axPos val="l"/>
        <c:title>
          <c:tx>
            <c:rich>
              <a:bodyPr rot="0" vert="horz"/>
              <a:lstStyle/>
              <a:p>
                <a:pPr>
                  <a:defRPr sz="900"/>
                </a:pPr>
                <a:r>
                  <a:rPr lang="ru-RU" sz="900">
                    <a:latin typeface="Times New Roman" pitchFamily="18" charset="0"/>
                    <a:cs typeface="Times New Roman" pitchFamily="18" charset="0"/>
                  </a:rPr>
                  <a:t>*- долевое представление в структуре ВВП,%</a:t>
                </a:r>
              </a:p>
            </c:rich>
          </c:tx>
          <c:layout>
            <c:manualLayout>
              <c:xMode val="edge"/>
              <c:yMode val="edge"/>
              <c:x val="0.75505663143460566"/>
              <c:y val="0.17501390393115371"/>
            </c:manualLayout>
          </c:layout>
        </c:title>
        <c:numFmt formatCode="#,##0.0" sourceLinked="1"/>
        <c:tickLblPos val="nextTo"/>
        <c:txPr>
          <a:bodyPr/>
          <a:lstStyle/>
          <a:p>
            <a:pPr>
              <a:defRPr sz="800" b="1">
                <a:latin typeface="Times New Roman" pitchFamily="18" charset="0"/>
                <a:cs typeface="Times New Roman" pitchFamily="18" charset="0"/>
              </a:defRPr>
            </a:pPr>
            <a:endParaRPr lang="ru-RU"/>
          </a:p>
        </c:txPr>
        <c:crossAx val="96292224"/>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оплаты труда в разрезе отраслей экономики, руб. ПМР</a:t>
            </a:r>
          </a:p>
        </c:rich>
      </c:tx>
      <c:layout>
        <c:manualLayout>
          <c:xMode val="edge"/>
          <c:yMode val="edge"/>
          <c:x val="0.17390464947862391"/>
          <c:y val="2.1721703391727196E-3"/>
        </c:manualLayout>
      </c:layout>
      <c:spPr>
        <a:noFill/>
      </c:spPr>
    </c:title>
    <c:plotArea>
      <c:layout>
        <c:manualLayout>
          <c:layoutTarget val="inner"/>
          <c:xMode val="edge"/>
          <c:yMode val="edge"/>
          <c:x val="6.7541720075688219E-2"/>
          <c:y val="7.9958409721397894E-2"/>
          <c:w val="0.93245827992431152"/>
          <c:h val="0.39038697424128643"/>
        </c:manualLayout>
      </c:layout>
      <c:lineChart>
        <c:grouping val="standard"/>
        <c:ser>
          <c:idx val="0"/>
          <c:order val="0"/>
          <c:tx>
            <c:strRef>
              <c:f>Sheet1!$A$2</c:f>
              <c:strCache>
                <c:ptCount val="1"/>
                <c:pt idx="0">
                  <c:v>I полугодие 2016 года</c:v>
                </c:pt>
              </c:strCache>
            </c:strRef>
          </c:tx>
          <c:spPr>
            <a:ln w="25400">
              <a:prstDash val="dash"/>
            </a:ln>
          </c:spPr>
          <c:marker>
            <c:symbol val="none"/>
          </c:marker>
          <c:dLbls>
            <c:dLbl>
              <c:idx val="0"/>
              <c:layout>
                <c:manualLayout>
                  <c:x val="-3.7690777024965191E-2"/>
                  <c:y val="3.613452212945744E-2"/>
                </c:manualLayout>
              </c:layout>
              <c:showVal val="1"/>
              <c:extLst>
                <c:ext xmlns:c15="http://schemas.microsoft.com/office/drawing/2012/chart" uri="{CE6537A1-D6FC-4f65-9D91-7224C49458BB}">
                  <c15:layout/>
                </c:ext>
              </c:extLst>
            </c:dLbl>
            <c:dLbl>
              <c:idx val="1"/>
              <c:layout>
                <c:manualLayout>
                  <c:x val="-2.8116462186412745E-2"/>
                  <c:y val="2.6166264392830128E-2"/>
                </c:manualLayout>
              </c:layout>
              <c:showVal val="1"/>
              <c:extLst>
                <c:ext xmlns:c15="http://schemas.microsoft.com/office/drawing/2012/chart" uri="{CE6537A1-D6FC-4f65-9D91-7224C49458BB}">
                  <c15:layout/>
                </c:ext>
              </c:extLst>
            </c:dLbl>
            <c:dLbl>
              <c:idx val="2"/>
              <c:layout>
                <c:manualLayout>
                  <c:x val="-3.2016765346192189E-2"/>
                  <c:y val="1.860549466492576E-2"/>
                </c:manualLayout>
              </c:layout>
              <c:showVal val="1"/>
              <c:extLst>
                <c:ext xmlns:c15="http://schemas.microsoft.com/office/drawing/2012/chart" uri="{CE6537A1-D6FC-4f65-9D91-7224C49458BB}">
                  <c15:layout/>
                </c:ext>
              </c:extLst>
            </c:dLbl>
            <c:dLbl>
              <c:idx val="3"/>
              <c:layout>
                <c:manualLayout>
                  <c:x val="-9.2095790351787526E-2"/>
                  <c:y val="-4.1442998017207694E-3"/>
                </c:manualLayout>
              </c:layout>
              <c:tx>
                <c:rich>
                  <a:bodyPr/>
                  <a:lstStyle/>
                  <a:p>
                    <a:r>
                      <a:rPr lang="en-US"/>
                      <a:t>9975,6,0</a:t>
                    </a:r>
                  </a:p>
                </c:rich>
              </c:tx>
              <c:showVal val="1"/>
              <c:extLst>
                <c:ext xmlns:c15="http://schemas.microsoft.com/office/drawing/2012/chart" uri="{CE6537A1-D6FC-4f65-9D91-7224C49458BB}">
                  <c15:layout/>
                </c:ext>
              </c:extLst>
            </c:dLbl>
            <c:dLbl>
              <c:idx val="4"/>
              <c:layout>
                <c:manualLayout>
                  <c:x val="-6.8304136401554458E-2"/>
                  <c:y val="1.3534646108934876E-2"/>
                </c:manualLayout>
              </c:layout>
              <c:showVal val="1"/>
              <c:extLst>
                <c:ext xmlns:c15="http://schemas.microsoft.com/office/drawing/2012/chart" uri="{CE6537A1-D6FC-4f65-9D91-7224C49458BB}">
                  <c15:layout/>
                </c:ext>
              </c:extLst>
            </c:dLbl>
            <c:dLbl>
              <c:idx val="5"/>
              <c:layout>
                <c:manualLayout>
                  <c:x val="-7.6069096014161022E-2"/>
                  <c:y val="1.5786500305552356E-2"/>
                </c:manualLayout>
              </c:layout>
              <c:showVal val="1"/>
              <c:extLst>
                <c:ext xmlns:c15="http://schemas.microsoft.com/office/drawing/2012/chart" uri="{CE6537A1-D6FC-4f65-9D91-7224C49458BB}">
                  <c15:layout/>
                </c:ext>
              </c:extLst>
            </c:dLbl>
            <c:dLbl>
              <c:idx val="6"/>
              <c:layout>
                <c:manualLayout>
                  <c:x val="-5.7718366599524148E-4"/>
                  <c:y val="-2.8170159634568277E-3"/>
                </c:manualLayout>
              </c:layout>
              <c:showVal val="1"/>
              <c:extLst>
                <c:ext xmlns:c15="http://schemas.microsoft.com/office/drawing/2012/chart" uri="{CE6537A1-D6FC-4f65-9D91-7224C49458BB}">
                  <c15:layout/>
                </c:ext>
              </c:extLst>
            </c:dLbl>
            <c:dLbl>
              <c:idx val="7"/>
              <c:layout>
                <c:manualLayout>
                  <c:x val="-4.8765671732894034E-2"/>
                  <c:y val="-2.1203787968715145E-2"/>
                </c:manualLayout>
              </c:layout>
              <c:showVal val="1"/>
              <c:extLst>
                <c:ext xmlns:c15="http://schemas.microsoft.com/office/drawing/2012/chart" uri="{CE6537A1-D6FC-4f65-9D91-7224C49458BB}">
                  <c15:layout/>
                </c:ext>
              </c:extLst>
            </c:dLbl>
            <c:dLbl>
              <c:idx val="8"/>
              <c:layout>
                <c:manualLayout>
                  <c:x val="-9.5316690064904674E-3"/>
                  <c:y val="1.8104520854491243E-3"/>
                </c:manualLayout>
              </c:layout>
              <c:showVal val="1"/>
              <c:extLst>
                <c:ext xmlns:c15="http://schemas.microsoft.com/office/drawing/2012/chart" uri="{CE6537A1-D6FC-4f65-9D91-7224C49458BB}">
                  <c15:layout/>
                </c:ext>
              </c:extLst>
            </c:dLbl>
            <c:dLbl>
              <c:idx val="9"/>
              <c:layout>
                <c:manualLayout>
                  <c:x val="-2.5355388715945396E-2"/>
                  <c:y val="2.013501453021891E-2"/>
                </c:manualLayout>
              </c:layout>
              <c:showVal val="1"/>
              <c:extLst>
                <c:ext xmlns:c15="http://schemas.microsoft.com/office/drawing/2012/chart" uri="{CE6537A1-D6FC-4f65-9D91-7224C49458BB}">
                  <c15:layout/>
                </c:ext>
              </c:extLst>
            </c:dLbl>
            <c:dLbl>
              <c:idx val="10"/>
              <c:layout>
                <c:manualLayout>
                  <c:x val="-7.5301633807402443E-2"/>
                  <c:y val="-1.4278303151804447E-2"/>
                </c:manualLayout>
              </c:layout>
              <c:showVal val="1"/>
              <c:extLst>
                <c:ext xmlns:c15="http://schemas.microsoft.com/office/drawing/2012/chart" uri="{CE6537A1-D6FC-4f65-9D91-7224C49458BB}">
                  <c15:layout/>
                </c:ext>
              </c:extLst>
            </c:dLbl>
            <c:dLbl>
              <c:idx val="11"/>
              <c:layout>
                <c:manualLayout>
                  <c:x val="-1.590608150725346E-2"/>
                  <c:y val="-7.2763203594526007E-3"/>
                </c:manualLayout>
              </c:layout>
              <c:showVal val="1"/>
              <c:extLst>
                <c:ext xmlns:c15="http://schemas.microsoft.com/office/drawing/2012/chart" uri="{CE6537A1-D6FC-4f65-9D91-7224C49458BB}">
                  <c15:layout/>
                </c:ext>
              </c:extLst>
            </c:dLbl>
            <c:dLbl>
              <c:idx val="12"/>
              <c:layout>
                <c:manualLayout>
                  <c:x val="-6.8832814502838624E-2"/>
                  <c:y val="1.3679069010846007E-2"/>
                </c:manualLayout>
              </c:layout>
              <c:showVal val="1"/>
              <c:extLst>
                <c:ext xmlns:c15="http://schemas.microsoft.com/office/drawing/2012/chart" uri="{CE6537A1-D6FC-4f65-9D91-7224C49458BB}">
                  <c15:layout/>
                </c:ext>
              </c:extLst>
            </c:dLbl>
            <c:dLbl>
              <c:idx val="13"/>
              <c:layout>
                <c:manualLayout>
                  <c:x val="-4.0407902500559485E-2"/>
                  <c:y val="1.4695744690205233E-2"/>
                </c:manualLayout>
              </c:layout>
              <c:showVal val="1"/>
              <c:extLst>
                <c:ext xmlns:c15="http://schemas.microsoft.com/office/drawing/2012/chart" uri="{CE6537A1-D6FC-4f65-9D91-7224C49458BB}">
                  <c15:layout/>
                </c:ext>
              </c:extLst>
            </c:dLbl>
            <c:dLbl>
              <c:idx val="14"/>
              <c:layout>
                <c:manualLayout>
                  <c:x val="-8.6786221489755483E-2"/>
                  <c:y val="8.0846050022641645E-3"/>
                </c:manualLayout>
              </c:layout>
              <c:showVal val="1"/>
              <c:extLst>
                <c:ext xmlns:c15="http://schemas.microsoft.com/office/drawing/2012/chart" uri="{CE6537A1-D6FC-4f65-9D91-7224C49458BB}">
                  <c15:layout/>
                </c:ext>
              </c:extLst>
            </c:dLbl>
            <c:dLbl>
              <c:idx val="15"/>
              <c:layout>
                <c:manualLayout>
                  <c:x val="-6.5044660115160025E-2"/>
                  <c:y val="1.8093749587834183E-2"/>
                </c:manualLayout>
              </c:layout>
              <c:showVal val="1"/>
              <c:extLst>
                <c:ext xmlns:c15="http://schemas.microsoft.com/office/drawing/2012/chart" uri="{CE6537A1-D6FC-4f65-9D91-7224C49458BB}">
                  <c15:layout/>
                </c:ext>
              </c:extLst>
            </c:dLbl>
            <c:dLbl>
              <c:idx val="16"/>
              <c:layout>
                <c:manualLayout>
                  <c:x val="-5.5243443406783457E-2"/>
                  <c:y val="1.8405237033812985E-2"/>
                </c:manualLayout>
              </c:layout>
              <c:showVal val="1"/>
              <c:extLst>
                <c:ext xmlns:c15="http://schemas.microsoft.com/office/drawing/2012/chart" uri="{CE6537A1-D6FC-4f65-9D91-7224C49458BB}">
                  <c15:layout/>
                </c:ext>
              </c:extLst>
            </c:dLbl>
            <c:dLbl>
              <c:idx val="17"/>
              <c:layout>
                <c:manualLayout>
                  <c:x val="-2.991019145862581E-2"/>
                  <c:y val="1.9194617004532729E-2"/>
                </c:manualLayout>
              </c:layout>
              <c:showVal val="1"/>
              <c:extLst>
                <c:ext xmlns:c15="http://schemas.microsoft.com/office/drawing/2012/chart" uri="{CE6537A1-D6FC-4f65-9D91-7224C49458BB}">
                  <c15:layout/>
                </c:ext>
              </c:extLst>
            </c:dLbl>
            <c:dLbl>
              <c:idx val="18"/>
              <c:layout>
                <c:manualLayout>
                  <c:x val="-2.6857107977782047E-4"/>
                  <c:y val="-2.0853831713246899E-2"/>
                </c:manualLayout>
              </c:layout>
              <c:showVal val="1"/>
              <c:extLst>
                <c:ext xmlns:c15="http://schemas.microsoft.com/office/drawing/2012/chart" uri="{CE6537A1-D6FC-4f65-9D91-7224C49458BB}">
                  <c15:layout/>
                </c:ext>
              </c:extLst>
            </c:dLbl>
            <c:dLbl>
              <c:idx val="19"/>
              <c:layout>
                <c:manualLayout>
                  <c:x val="-2.9930518439337254E-2"/>
                  <c:y val="1.5657818232210161E-2"/>
                </c:manualLayout>
              </c:layout>
              <c:dLblPos val="r"/>
              <c:showVal val="1"/>
              <c:extLst>
                <c:ext xmlns:c15="http://schemas.microsoft.com/office/drawing/2012/chart" uri="{CE6537A1-D6FC-4f65-9D91-7224C49458BB}"/>
              </c:extLst>
            </c:dLbl>
            <c:spPr>
              <a:noFill/>
              <a:ln>
                <a:noFill/>
              </a:ln>
              <a:effectLst/>
            </c:spPr>
            <c:txPr>
              <a:bodyPr/>
              <a:lstStyle/>
              <a:p>
                <a:pPr>
                  <a:defRPr sz="1000"/>
                </a:pPr>
                <a:endParaRPr lang="ru-RU"/>
              </a:p>
            </c:txPr>
            <c:dLblPos val="t"/>
            <c:showVal val="1"/>
            <c:extLst>
              <c:ext xmlns:c15="http://schemas.microsoft.com/office/drawing/2012/chart" uri="{CE6537A1-D6FC-4f65-9D91-7224C49458BB}">
                <c15:showLeaderLines val="0"/>
              </c:ext>
            </c:extLst>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Sheet1!$B$2:$T$2</c:f>
              <c:numCache>
                <c:formatCode>0.0</c:formatCode>
                <c:ptCount val="19"/>
                <c:pt idx="0">
                  <c:v>2842.6</c:v>
                </c:pt>
                <c:pt idx="1">
                  <c:v>2715.7</c:v>
                </c:pt>
                <c:pt idx="2">
                  <c:v>2930.2</c:v>
                </c:pt>
                <c:pt idx="3">
                  <c:v>4998</c:v>
                </c:pt>
                <c:pt idx="4">
                  <c:v>3103.1</c:v>
                </c:pt>
                <c:pt idx="5">
                  <c:v>2547.9</c:v>
                </c:pt>
                <c:pt idx="6">
                  <c:v>2579.1999999999998</c:v>
                </c:pt>
                <c:pt idx="7">
                  <c:v>2835.6</c:v>
                </c:pt>
                <c:pt idx="8">
                  <c:v>2644.6</c:v>
                </c:pt>
                <c:pt idx="9">
                  <c:v>2955.7</c:v>
                </c:pt>
                <c:pt idx="10">
                  <c:v>3524.5</c:v>
                </c:pt>
                <c:pt idx="11">
                  <c:v>3181.4</c:v>
                </c:pt>
                <c:pt idx="12">
                  <c:v>2720.3</c:v>
                </c:pt>
                <c:pt idx="13">
                  <c:v>2263.6999999999998</c:v>
                </c:pt>
                <c:pt idx="14">
                  <c:v>3599.2</c:v>
                </c:pt>
                <c:pt idx="15">
                  <c:v>3242.6</c:v>
                </c:pt>
                <c:pt idx="16">
                  <c:v>2774.4</c:v>
                </c:pt>
                <c:pt idx="17">
                  <c:v>2849.9</c:v>
                </c:pt>
                <c:pt idx="18">
                  <c:v>3567.3</c:v>
                </c:pt>
              </c:numCache>
            </c:numRef>
          </c:val>
        </c:ser>
        <c:ser>
          <c:idx val="1"/>
          <c:order val="1"/>
          <c:tx>
            <c:strRef>
              <c:f>Sheet1!$A$3</c:f>
              <c:strCache>
                <c:ptCount val="1"/>
                <c:pt idx="0">
                  <c:v>I полугодие 2017 года</c:v>
                </c:pt>
              </c:strCache>
            </c:strRef>
          </c:tx>
          <c:spPr>
            <a:ln w="31750"/>
          </c:spPr>
          <c:marker>
            <c:symbol val="none"/>
          </c:marker>
          <c:dLbls>
            <c:dLbl>
              <c:idx val="0"/>
              <c:layout>
                <c:manualLayout>
                  <c:x val="-4.0361350180064696E-2"/>
                  <c:y val="-1.7659601595026754E-2"/>
                </c:manualLayout>
              </c:layout>
              <c:showVal val="1"/>
              <c:extLst>
                <c:ext xmlns:c15="http://schemas.microsoft.com/office/drawing/2012/chart" uri="{CE6537A1-D6FC-4f65-9D91-7224C49458BB}">
                  <c15:layout/>
                </c:ext>
              </c:extLst>
            </c:dLbl>
            <c:dLbl>
              <c:idx val="1"/>
              <c:layout>
                <c:manualLayout>
                  <c:x val="-4.0370465319742012E-2"/>
                  <c:y val="-3.273453883591184E-2"/>
                </c:manualLayout>
              </c:layout>
              <c:showVal val="1"/>
              <c:extLst>
                <c:ext xmlns:c15="http://schemas.microsoft.com/office/drawing/2012/chart" uri="{CE6537A1-D6FC-4f65-9D91-7224C49458BB}">
                  <c15:layout/>
                </c:ext>
              </c:extLst>
            </c:dLbl>
            <c:dLbl>
              <c:idx val="2"/>
              <c:layout>
                <c:manualLayout>
                  <c:x val="-5.4225152088547057E-2"/>
                  <c:y val="-3.5632009566643551E-2"/>
                </c:manualLayout>
              </c:layout>
              <c:showVal val="1"/>
              <c:extLst>
                <c:ext xmlns:c15="http://schemas.microsoft.com/office/drawing/2012/chart" uri="{CE6537A1-D6FC-4f65-9D91-7224C49458BB}">
                  <c15:layout/>
                </c:ext>
              </c:extLst>
            </c:dLbl>
            <c:dLbl>
              <c:idx val="3"/>
              <c:layout>
                <c:manualLayout>
                  <c:x val="-8.6571852936987548E-2"/>
                  <c:y val="-2.0487388825140497E-3"/>
                </c:manualLayout>
              </c:layout>
              <c:showVal val="1"/>
              <c:extLst>
                <c:ext xmlns:c15="http://schemas.microsoft.com/office/drawing/2012/chart" uri="{CE6537A1-D6FC-4f65-9D91-7224C49458BB}">
                  <c15:layout/>
                </c:ext>
              </c:extLst>
            </c:dLbl>
            <c:dLbl>
              <c:idx val="4"/>
              <c:layout>
                <c:manualLayout>
                  <c:x val="-1.4785570408350161E-2"/>
                  <c:y val="-1.7237323977718839E-2"/>
                </c:manualLayout>
              </c:layout>
              <c:showVal val="1"/>
              <c:extLst>
                <c:ext xmlns:c15="http://schemas.microsoft.com/office/drawing/2012/chart" uri="{CE6537A1-D6FC-4f65-9D91-7224C49458BB}">
                  <c15:layout/>
                </c:ext>
              </c:extLst>
            </c:dLbl>
            <c:dLbl>
              <c:idx val="5"/>
              <c:layout>
                <c:manualLayout>
                  <c:x val="-2.2293841176829882E-2"/>
                  <c:y val="-1.4314134100071652E-2"/>
                </c:manualLayout>
              </c:layout>
              <c:showVal val="1"/>
              <c:extLst>
                <c:ext xmlns:c15="http://schemas.microsoft.com/office/drawing/2012/chart" uri="{CE6537A1-D6FC-4f65-9D91-7224C49458BB}">
                  <c15:layout/>
                </c:ext>
              </c:extLst>
            </c:dLbl>
            <c:dLbl>
              <c:idx val="6"/>
              <c:layout>
                <c:manualLayout>
                  <c:x val="-3.8772060469185556E-2"/>
                  <c:y val="3.6220692262713412E-2"/>
                </c:manualLayout>
              </c:layout>
              <c:showVal val="1"/>
              <c:extLst>
                <c:ext xmlns:c15="http://schemas.microsoft.com/office/drawing/2012/chart" uri="{CE6537A1-D6FC-4f65-9D91-7224C49458BB}">
                  <c15:layout/>
                </c:ext>
              </c:extLst>
            </c:dLbl>
            <c:dLbl>
              <c:idx val="7"/>
              <c:layout>
                <c:manualLayout>
                  <c:x val="-1.0144011068383901E-2"/>
                  <c:y val="2.9194529075825342E-3"/>
                </c:manualLayout>
              </c:layout>
              <c:spPr>
                <a:noFill/>
              </c:spPr>
              <c:txPr>
                <a:bodyPr/>
                <a:lstStyle/>
                <a:p>
                  <a:pPr>
                    <a:defRPr sz="1000" b="1"/>
                  </a:pPr>
                  <a:endParaRPr lang="ru-RU"/>
                </a:p>
              </c:txPr>
              <c:showVal val="1"/>
              <c:extLst>
                <c:ext xmlns:c15="http://schemas.microsoft.com/office/drawing/2012/chart" uri="{CE6537A1-D6FC-4f65-9D91-7224C49458BB}">
                  <c15:layout/>
                </c:ext>
              </c:extLst>
            </c:dLbl>
            <c:dLbl>
              <c:idx val="8"/>
              <c:layout>
                <c:manualLayout>
                  <c:x val="-4.7989582697511683E-2"/>
                  <c:y val="2.5030445314938643E-2"/>
                </c:manualLayout>
              </c:layout>
              <c:showVal val="1"/>
              <c:extLst>
                <c:ext xmlns:c15="http://schemas.microsoft.com/office/drawing/2012/chart" uri="{CE6537A1-D6FC-4f65-9D91-7224C49458BB}">
                  <c15:layout/>
                </c:ext>
              </c:extLst>
            </c:dLbl>
            <c:dLbl>
              <c:idx val="9"/>
              <c:layout>
                <c:manualLayout>
                  <c:x val="-6.4346700848441005E-2"/>
                  <c:y val="-2.1358322671977611E-2"/>
                </c:manualLayout>
              </c:layout>
              <c:showVal val="1"/>
              <c:extLst>
                <c:ext xmlns:c15="http://schemas.microsoft.com/office/drawing/2012/chart" uri="{CE6537A1-D6FC-4f65-9D91-7224C49458BB}">
                  <c15:layout/>
                </c:ext>
              </c:extLst>
            </c:dLbl>
            <c:dLbl>
              <c:idx val="10"/>
              <c:layout>
                <c:manualLayout>
                  <c:x val="-6.3996419052270055E-3"/>
                  <c:y val="8.0498731628395482E-4"/>
                </c:manualLayout>
              </c:layout>
              <c:showVal val="1"/>
              <c:extLst>
                <c:ext xmlns:c15="http://schemas.microsoft.com/office/drawing/2012/chart" uri="{CE6537A1-D6FC-4f65-9D91-7224C49458BB}">
                  <c15:layout/>
                </c:ext>
              </c:extLst>
            </c:dLbl>
            <c:dLbl>
              <c:idx val="11"/>
              <c:layout>
                <c:manualLayout>
                  <c:x val="-6.4910537345622937E-2"/>
                  <c:y val="1.5194959926491598E-2"/>
                </c:manualLayout>
              </c:layout>
              <c:showVal val="1"/>
              <c:extLst>
                <c:ext xmlns:c15="http://schemas.microsoft.com/office/drawing/2012/chart" uri="{CE6537A1-D6FC-4f65-9D91-7224C49458BB}">
                  <c15:layout/>
                </c:ext>
              </c:extLst>
            </c:dLbl>
            <c:dLbl>
              <c:idx val="12"/>
              <c:layout>
                <c:manualLayout>
                  <c:x val="-1.1754298154591138E-2"/>
                  <c:y val="-4.3023516532795314E-3"/>
                </c:manualLayout>
              </c:layout>
              <c:showVal val="1"/>
              <c:extLst>
                <c:ext xmlns:c15="http://schemas.microsoft.com/office/drawing/2012/chart" uri="{CE6537A1-D6FC-4f65-9D91-7224C49458BB}">
                  <c15:layout/>
                </c:ext>
              </c:extLst>
            </c:dLbl>
            <c:dLbl>
              <c:idx val="13"/>
              <c:layout>
                <c:manualLayout>
                  <c:x val="-5.7275631243769104E-3"/>
                  <c:y val="-2.8954923348149322E-3"/>
                </c:manualLayout>
              </c:layout>
              <c:showVal val="1"/>
              <c:extLst>
                <c:ext xmlns:c15="http://schemas.microsoft.com/office/drawing/2012/chart" uri="{CE6537A1-D6FC-4f65-9D91-7224C49458BB}">
                  <c15:layout/>
                </c:ext>
              </c:extLst>
            </c:dLbl>
            <c:dLbl>
              <c:idx val="14"/>
              <c:layout>
                <c:manualLayout>
                  <c:x val="-7.8902113979938834E-2"/>
                  <c:y val="-5.6296354915434822E-3"/>
                </c:manualLayout>
              </c:layout>
              <c:showVal val="1"/>
              <c:extLst>
                <c:ext xmlns:c15="http://schemas.microsoft.com/office/drawing/2012/chart" uri="{CE6537A1-D6FC-4f65-9D91-7224C49458BB}">
                  <c15:layout/>
                </c:ext>
              </c:extLst>
            </c:dLbl>
            <c:dLbl>
              <c:idx val="15"/>
              <c:layout>
                <c:manualLayout>
                  <c:x val="-3.2217135648741652E-2"/>
                  <c:y val="-1.6136676382788821E-2"/>
                </c:manualLayout>
              </c:layout>
              <c:showVal val="1"/>
              <c:extLst>
                <c:ext xmlns:c15="http://schemas.microsoft.com/office/drawing/2012/chart" uri="{CE6537A1-D6FC-4f65-9D91-7224C49458BB}">
                  <c15:layout/>
                </c:ext>
              </c:extLst>
            </c:dLbl>
            <c:dLbl>
              <c:idx val="16"/>
              <c:layout>
                <c:manualLayout>
                  <c:x val="-7.3901646015178332E-2"/>
                  <c:y val="1.8690345867570582E-2"/>
                </c:manualLayout>
              </c:layout>
              <c:showVal val="1"/>
              <c:extLst>
                <c:ext xmlns:c15="http://schemas.microsoft.com/office/drawing/2012/chart" uri="{CE6537A1-D6FC-4f65-9D91-7224C49458BB}">
                  <c15:layout/>
                </c:ext>
              </c:extLst>
            </c:dLbl>
            <c:dLbl>
              <c:idx val="17"/>
              <c:layout>
                <c:manualLayout>
                  <c:x val="-5.8642413884310983E-2"/>
                  <c:y val="-1.7669493574609698E-2"/>
                </c:manualLayout>
              </c:layout>
              <c:showVal val="1"/>
              <c:extLst>
                <c:ext xmlns:c15="http://schemas.microsoft.com/office/drawing/2012/chart" uri="{CE6537A1-D6FC-4f65-9D91-7224C49458BB}">
                  <c15:layout/>
                </c:ext>
              </c:extLst>
            </c:dLbl>
            <c:dLbl>
              <c:idx val="18"/>
              <c:layout>
                <c:manualLayout>
                  <c:x val="-2.5054914647296995E-2"/>
                  <c:y val="7.7737770215909321E-3"/>
                </c:manualLayout>
              </c:layout>
              <c:showVal val="1"/>
              <c:extLst>
                <c:ext xmlns:c15="http://schemas.microsoft.com/office/drawing/2012/chart" uri="{CE6537A1-D6FC-4f65-9D91-7224C49458BB}">
                  <c15:layout/>
                </c:ext>
              </c:extLst>
            </c:dLbl>
            <c:dLbl>
              <c:idx val="19"/>
              <c:layout>
                <c:manualLayout>
                  <c:x val="0"/>
                  <c:y val="-2.5052509171536237E-2"/>
                </c:manualLayout>
              </c:layout>
              <c:dLblPos val="r"/>
              <c:showVal val="1"/>
              <c:extLst>
                <c:ext xmlns:c15="http://schemas.microsoft.com/office/drawing/2012/chart" uri="{CE6537A1-D6FC-4f65-9D91-7224C49458BB}"/>
              </c:extLst>
            </c:dLbl>
            <c:spPr>
              <a:noFill/>
              <a:ln>
                <a:noFill/>
              </a:ln>
              <a:effectLst/>
            </c:spPr>
            <c:txPr>
              <a:bodyPr/>
              <a:lstStyle/>
              <a:p>
                <a:pPr>
                  <a:defRPr sz="1000" b="1"/>
                </a:pPr>
                <a:endParaRPr lang="ru-RU"/>
              </a:p>
            </c:txPr>
            <c:dLblPos val="t"/>
            <c:showVal val="1"/>
            <c:extLst>
              <c:ext xmlns:c15="http://schemas.microsoft.com/office/drawing/2012/chart" uri="{CE6537A1-D6FC-4f65-9D91-7224C49458BB}">
                <c15:showLeaderLines val="0"/>
              </c:ext>
            </c:extLst>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Sheet1!$B$3:$T$3</c:f>
              <c:numCache>
                <c:formatCode>0.0</c:formatCode>
                <c:ptCount val="19"/>
                <c:pt idx="0">
                  <c:v>2856.6</c:v>
                </c:pt>
                <c:pt idx="1">
                  <c:v>2867.1</c:v>
                </c:pt>
                <c:pt idx="2">
                  <c:v>2998</c:v>
                </c:pt>
                <c:pt idx="3">
                  <c:v>4190.6000000000004</c:v>
                </c:pt>
                <c:pt idx="4">
                  <c:v>3189.8</c:v>
                </c:pt>
                <c:pt idx="5">
                  <c:v>2571</c:v>
                </c:pt>
                <c:pt idx="6">
                  <c:v>2645.5</c:v>
                </c:pt>
                <c:pt idx="7">
                  <c:v>3678.6</c:v>
                </c:pt>
                <c:pt idx="8">
                  <c:v>2536.1</c:v>
                </c:pt>
                <c:pt idx="9">
                  <c:v>3048</c:v>
                </c:pt>
                <c:pt idx="10">
                  <c:v>3484</c:v>
                </c:pt>
                <c:pt idx="11">
                  <c:v>3106.3</c:v>
                </c:pt>
                <c:pt idx="12">
                  <c:v>2965</c:v>
                </c:pt>
                <c:pt idx="13">
                  <c:v>2468.5</c:v>
                </c:pt>
                <c:pt idx="14">
                  <c:v>3700.8</c:v>
                </c:pt>
                <c:pt idx="15">
                  <c:v>3372.4</c:v>
                </c:pt>
                <c:pt idx="16">
                  <c:v>2959.6</c:v>
                </c:pt>
                <c:pt idx="17">
                  <c:v>2990.9</c:v>
                </c:pt>
                <c:pt idx="18">
                  <c:v>3558.6</c:v>
                </c:pt>
              </c:numCache>
            </c:numRef>
          </c:val>
        </c:ser>
        <c:ser>
          <c:idx val="2"/>
          <c:order val="2"/>
          <c:tx>
            <c:strRef>
              <c:f>Sheet1!$A$4</c:f>
              <c:strCache>
                <c:ptCount val="1"/>
                <c:pt idx="0">
                  <c:v>средняя заработная плата в целом по республике за I полугодие 2017 года </c:v>
                </c:pt>
              </c:strCache>
            </c:strRef>
          </c:tx>
          <c:spPr>
            <a:ln w="34925">
              <a:prstDash val="solid"/>
            </a:ln>
          </c:spPr>
          <c:marker>
            <c:symbol val="none"/>
          </c:marker>
          <c:trendline>
            <c:trendlineType val="linear"/>
          </c:trendline>
          <c:trendline>
            <c:trendlineType val="linear"/>
          </c:trendline>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Sheet1!$B$4:$T$4</c:f>
              <c:numCache>
                <c:formatCode>General</c:formatCode>
                <c:ptCount val="19"/>
                <c:pt idx="0">
                  <c:v>3845</c:v>
                </c:pt>
                <c:pt idx="1">
                  <c:v>3845</c:v>
                </c:pt>
                <c:pt idx="2">
                  <c:v>3845</c:v>
                </c:pt>
                <c:pt idx="3">
                  <c:v>3845</c:v>
                </c:pt>
                <c:pt idx="4">
                  <c:v>3845</c:v>
                </c:pt>
                <c:pt idx="5">
                  <c:v>3845</c:v>
                </c:pt>
                <c:pt idx="6">
                  <c:v>3845</c:v>
                </c:pt>
                <c:pt idx="7">
                  <c:v>3845</c:v>
                </c:pt>
                <c:pt idx="8">
                  <c:v>3845</c:v>
                </c:pt>
                <c:pt idx="9">
                  <c:v>3845</c:v>
                </c:pt>
                <c:pt idx="10">
                  <c:v>3845</c:v>
                </c:pt>
                <c:pt idx="11">
                  <c:v>3845</c:v>
                </c:pt>
                <c:pt idx="12">
                  <c:v>3845</c:v>
                </c:pt>
                <c:pt idx="13">
                  <c:v>3845</c:v>
                </c:pt>
                <c:pt idx="14">
                  <c:v>3845</c:v>
                </c:pt>
                <c:pt idx="15">
                  <c:v>3845</c:v>
                </c:pt>
                <c:pt idx="16">
                  <c:v>3845</c:v>
                </c:pt>
                <c:pt idx="17">
                  <c:v>3845</c:v>
                </c:pt>
                <c:pt idx="18">
                  <c:v>3845</c:v>
                </c:pt>
              </c:numCache>
            </c:numRef>
          </c:val>
        </c:ser>
        <c:marker val="1"/>
        <c:axId val="103498880"/>
        <c:axId val="103500416"/>
      </c:lineChart>
      <c:catAx>
        <c:axId val="103498880"/>
        <c:scaling>
          <c:orientation val="minMax"/>
        </c:scaling>
        <c:axPos val="b"/>
        <c:numFmt formatCode="General" sourceLinked="1"/>
        <c:tickLblPos val="nextTo"/>
        <c:txPr>
          <a:bodyPr rot="-5400000" vert="horz"/>
          <a:lstStyle/>
          <a:p>
            <a:pPr>
              <a:defRPr sz="1000"/>
            </a:pPr>
            <a:endParaRPr lang="ru-RU"/>
          </a:p>
        </c:txPr>
        <c:crossAx val="103500416"/>
        <c:crosses val="autoZero"/>
        <c:auto val="1"/>
        <c:lblAlgn val="ctr"/>
        <c:lblOffset val="200"/>
        <c:tickLblSkip val="1"/>
        <c:tickMarkSkip val="1"/>
      </c:catAx>
      <c:valAx>
        <c:axId val="103500416"/>
        <c:scaling>
          <c:orientation val="minMax"/>
          <c:max val="5000"/>
          <c:min val="1500"/>
        </c:scaling>
        <c:axPos val="l"/>
        <c:numFmt formatCode="General" sourceLinked="0"/>
        <c:tickLblPos val="nextTo"/>
        <c:txPr>
          <a:bodyPr rot="0" vert="horz"/>
          <a:lstStyle/>
          <a:p>
            <a:pPr>
              <a:defRPr sz="1000"/>
            </a:pPr>
            <a:endParaRPr lang="ru-RU"/>
          </a:p>
        </c:txPr>
        <c:crossAx val="103498880"/>
        <c:crosses val="autoZero"/>
        <c:crossBetween val="between"/>
        <c:majorUnit val="500"/>
      </c:valAx>
    </c:plotArea>
    <c:legend>
      <c:legendPos val="r"/>
      <c:legendEntry>
        <c:idx val="3"/>
        <c:delete val="1"/>
      </c:legendEntry>
      <c:legendEntry>
        <c:idx val="4"/>
        <c:delete val="1"/>
      </c:legendEntry>
      <c:layout>
        <c:manualLayout>
          <c:xMode val="edge"/>
          <c:yMode val="edge"/>
          <c:x val="0"/>
          <c:y val="0.90501677240093747"/>
          <c:w val="0.88626991393517673"/>
          <c:h val="8.1024545298673117E-2"/>
        </c:manualLayout>
      </c:layout>
      <c:txPr>
        <a:bodyPr/>
        <a:lstStyle/>
        <a:p>
          <a:pPr>
            <a:defRPr sz="10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2688713910761154"/>
          <c:y val="3.7111628652052288E-2"/>
          <c:w val="0.87311278798483527"/>
          <c:h val="0.45806555430571178"/>
        </c:manualLayout>
      </c:layout>
      <c:bar3DChart>
        <c:barDir val="col"/>
        <c:grouping val="clustered"/>
        <c:ser>
          <c:idx val="0"/>
          <c:order val="0"/>
          <c:tx>
            <c:strRef>
              <c:f>Лист1!$B$1</c:f>
              <c:strCache>
                <c:ptCount val="1"/>
                <c:pt idx="0">
                  <c:v>I полугодие 2016 года</c:v>
                </c:pt>
              </c:strCache>
            </c:strRef>
          </c:tx>
          <c:spPr>
            <a:solidFill>
              <a:schemeClr val="accent5">
                <a:lumMod val="20000"/>
                <a:lumOff val="80000"/>
              </a:schemeClr>
            </a:solidFill>
          </c:spPr>
          <c:dLbls>
            <c:dLbl>
              <c:idx val="1"/>
              <c:layout>
                <c:manualLayout>
                  <c:x val="-2.2408963585434523E-3"/>
                  <c:y val="8.7145969498910701E-3"/>
                </c:manualLayout>
              </c:layout>
              <c:showVal val="1"/>
              <c:extLst>
                <c:ext xmlns:c15="http://schemas.microsoft.com/office/drawing/2012/chart" uri="{CE6537A1-D6FC-4f65-9D91-7224C49458BB}">
                  <c15:layout/>
                </c:ext>
              </c:extLst>
            </c:dLbl>
            <c:dLbl>
              <c:idx val="3"/>
              <c:layout>
                <c:manualLayout>
                  <c:x val="0"/>
                  <c:y val="3.1900914346491001E-3"/>
                </c:manualLayout>
              </c:layout>
              <c:showVal val="1"/>
              <c:extLst>
                <c:ext xmlns:c15="http://schemas.microsoft.com/office/drawing/2012/chart" uri="{CE6537A1-D6FC-4f65-9D91-7224C49458BB}">
                  <c15:layout/>
                </c:ext>
              </c:extLst>
            </c:dLbl>
            <c:dLbl>
              <c:idx val="4"/>
              <c:layout>
                <c:manualLayout>
                  <c:x val="0"/>
                  <c:y val="2.9046369203849652E-3"/>
                </c:manualLayout>
              </c:layout>
              <c:showVal val="1"/>
              <c:extLst>
                <c:ext xmlns:c15="http://schemas.microsoft.com/office/drawing/2012/chart" uri="{CE6537A1-D6FC-4f65-9D91-7224C49458BB}">
                  <c15:layout/>
                </c:ext>
              </c:extLst>
            </c:dLbl>
            <c:dLbl>
              <c:idx val="6"/>
              <c:layout>
                <c:manualLayout>
                  <c:x val="6.7226890756303618E-3"/>
                  <c:y val="0"/>
                </c:manualLayout>
              </c:layout>
              <c:showVal val="1"/>
              <c:extLst>
                <c:ext xmlns:c15="http://schemas.microsoft.com/office/drawing/2012/chart" uri="{CE6537A1-D6FC-4f65-9D91-7224C49458BB}">
                  <c15:layout/>
                </c:ext>
              </c:extLst>
            </c:dLbl>
            <c:dLbl>
              <c:idx val="7"/>
              <c:layout>
                <c:manualLayout>
                  <c:x val="-4.4817927170869108E-3"/>
                  <c:y val="7.1583208961624898E-3"/>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Лист1!$B$2:$B$11</c:f>
              <c:numCache>
                <c:formatCode>#,##0.0</c:formatCode>
                <c:ptCount val="10"/>
                <c:pt idx="0">
                  <c:v>2.7</c:v>
                </c:pt>
                <c:pt idx="1">
                  <c:v>16.8</c:v>
                </c:pt>
                <c:pt idx="2">
                  <c:v>6.0000000000000032E-2</c:v>
                </c:pt>
                <c:pt idx="3">
                  <c:v>0.1</c:v>
                </c:pt>
                <c:pt idx="4">
                  <c:v>4.7</c:v>
                </c:pt>
                <c:pt idx="5">
                  <c:v>4.5</c:v>
                </c:pt>
                <c:pt idx="6">
                  <c:v>10.5</c:v>
                </c:pt>
                <c:pt idx="7">
                  <c:v>0.8</c:v>
                </c:pt>
                <c:pt idx="8">
                  <c:v>0.9</c:v>
                </c:pt>
                <c:pt idx="9">
                  <c:v>0.5</c:v>
                </c:pt>
              </c:numCache>
            </c:numRef>
          </c:val>
        </c:ser>
        <c:ser>
          <c:idx val="1"/>
          <c:order val="1"/>
          <c:tx>
            <c:strRef>
              <c:f>Лист1!$C$1</c:f>
              <c:strCache>
                <c:ptCount val="1"/>
                <c:pt idx="0">
                  <c:v>I полугодие 2017 года</c:v>
                </c:pt>
              </c:strCache>
            </c:strRef>
          </c:tx>
          <c:spPr>
            <a:solidFill>
              <a:srgbClr val="00B0F0"/>
            </a:solidFill>
          </c:spPr>
          <c:dLbls>
            <c:dLbl>
              <c:idx val="0"/>
              <c:layout>
                <c:manualLayout>
                  <c:x val="1.5712682379349044E-2"/>
                  <c:y val="-3.9320927581828155E-7"/>
                </c:manualLayout>
              </c:layout>
              <c:showVal val="1"/>
              <c:extLst>
                <c:ext xmlns:c15="http://schemas.microsoft.com/office/drawing/2012/chart" uri="{CE6537A1-D6FC-4f65-9D91-7224C49458BB}">
                  <c15:layout/>
                </c:ext>
              </c:extLst>
            </c:dLbl>
            <c:dLbl>
              <c:idx val="1"/>
              <c:layout>
                <c:manualLayout>
                  <c:x val="1.3468013468013481E-2"/>
                  <c:y val="0"/>
                </c:manualLayout>
              </c:layout>
              <c:showVal val="1"/>
              <c:extLst>
                <c:ext xmlns:c15="http://schemas.microsoft.com/office/drawing/2012/chart" uri="{CE6537A1-D6FC-4f65-9D91-7224C49458BB}">
                  <c15:layout/>
                </c:ext>
              </c:extLst>
            </c:dLbl>
            <c:dLbl>
              <c:idx val="2"/>
              <c:layout>
                <c:manualLayout>
                  <c:x val="1.3467963563378109E-2"/>
                  <c:y val="2.9048656499636887E-3"/>
                </c:manualLayout>
              </c:layout>
              <c:showVal val="1"/>
              <c:extLst>
                <c:ext xmlns:c15="http://schemas.microsoft.com/office/drawing/2012/chart" uri="{CE6537A1-D6FC-4f65-9D91-7224C49458BB}">
                  <c15:layout/>
                </c:ext>
              </c:extLst>
            </c:dLbl>
            <c:dLbl>
              <c:idx val="3"/>
              <c:layout>
                <c:manualLayout>
                  <c:x val="1.8588686515195706E-2"/>
                  <c:y val="4.1019591652167123E-3"/>
                </c:manualLayout>
              </c:layout>
              <c:showVal val="1"/>
              <c:extLst>
                <c:ext xmlns:c15="http://schemas.microsoft.com/office/drawing/2012/chart" uri="{CE6537A1-D6FC-4f65-9D91-7224C49458BB}">
                  <c15:layout/>
                </c:ext>
              </c:extLst>
            </c:dLbl>
            <c:dLbl>
              <c:idx val="4"/>
              <c:layout>
                <c:manualLayout>
                  <c:x val="1.3888888888889509E-2"/>
                  <c:y val="0"/>
                </c:manualLayout>
              </c:layout>
              <c:showVal val="1"/>
              <c:extLst>
                <c:ext xmlns:c15="http://schemas.microsoft.com/office/drawing/2012/chart" uri="{CE6537A1-D6FC-4f65-9D91-7224C49458BB}">
                  <c15:layout/>
                </c:ext>
              </c:extLst>
            </c:dLbl>
            <c:dLbl>
              <c:idx val="5"/>
              <c:layout>
                <c:manualLayout>
                  <c:x val="4.5080835483799816E-3"/>
                  <c:y val="7.2072072072072403E-3"/>
                </c:manualLayout>
              </c:layout>
              <c:showVal val="1"/>
              <c:extLst>
                <c:ext xmlns:c15="http://schemas.microsoft.com/office/drawing/2012/chart" uri="{CE6537A1-D6FC-4f65-9D91-7224C49458BB}">
                  <c15:layout/>
                </c:ext>
              </c:extLst>
            </c:dLbl>
            <c:dLbl>
              <c:idx val="6"/>
              <c:layout>
                <c:manualLayout>
                  <c:x val="1.1574074074074075E-2"/>
                  <c:y val="3.968253968253981E-3"/>
                </c:manualLayout>
              </c:layout>
              <c:showVal val="1"/>
              <c:extLst>
                <c:ext xmlns:c15="http://schemas.microsoft.com/office/drawing/2012/chart" uri="{CE6537A1-D6FC-4f65-9D91-7224C49458BB}">
                  <c15:layout/>
                </c:ext>
              </c:extLst>
            </c:dLbl>
            <c:dLbl>
              <c:idx val="7"/>
              <c:layout>
                <c:manualLayout>
                  <c:x val="1.3888888888889509E-2"/>
                  <c:y val="0"/>
                </c:manualLayout>
              </c:layout>
              <c:showVal val="1"/>
              <c:extLst>
                <c:ext xmlns:c15="http://schemas.microsoft.com/office/drawing/2012/chart" uri="{CE6537A1-D6FC-4f65-9D91-7224C49458BB}">
                  <c15:layout/>
                </c:ext>
              </c:extLst>
            </c:dLbl>
            <c:dLbl>
              <c:idx val="8"/>
              <c:layout>
                <c:manualLayout>
                  <c:x val="6.7226890756302534E-3"/>
                  <c:y val="-2.9047315031567179E-3"/>
                </c:manualLayout>
              </c:layout>
              <c:showVal val="1"/>
              <c:extLst>
                <c:ext xmlns:c15="http://schemas.microsoft.com/office/drawing/2012/chart" uri="{CE6537A1-D6FC-4f65-9D91-7224C49458BB}">
                  <c15:layout/>
                </c:ext>
              </c:extLst>
            </c:dLbl>
            <c:dLbl>
              <c:idx val="9"/>
              <c:layout>
                <c:manualLayout>
                  <c:x val="1.3445378151260595E-2"/>
                  <c:y val="0"/>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Лист1!$C$2:$C$11</c:f>
              <c:numCache>
                <c:formatCode>#,##0.0</c:formatCode>
                <c:ptCount val="10"/>
                <c:pt idx="0">
                  <c:v>5.3</c:v>
                </c:pt>
                <c:pt idx="1">
                  <c:v>27.4</c:v>
                </c:pt>
                <c:pt idx="2">
                  <c:v>0.4</c:v>
                </c:pt>
                <c:pt idx="3">
                  <c:v>0.9</c:v>
                </c:pt>
                <c:pt idx="4">
                  <c:v>6.6</c:v>
                </c:pt>
                <c:pt idx="5">
                  <c:v>10</c:v>
                </c:pt>
                <c:pt idx="6">
                  <c:v>0.9</c:v>
                </c:pt>
                <c:pt idx="7">
                  <c:v>0.30000000000000032</c:v>
                </c:pt>
                <c:pt idx="8">
                  <c:v>2.2999999999999998</c:v>
                </c:pt>
                <c:pt idx="9">
                  <c:v>0.4</c:v>
                </c:pt>
              </c:numCache>
            </c:numRef>
          </c:val>
        </c:ser>
        <c:shape val="cylinder"/>
        <c:axId val="103859328"/>
        <c:axId val="103860864"/>
        <c:axId val="0"/>
      </c:bar3DChart>
      <c:catAx>
        <c:axId val="103859328"/>
        <c:scaling>
          <c:orientation val="minMax"/>
        </c:scaling>
        <c:axPos val="b"/>
        <c:numFmt formatCode="General" sourceLinked="1"/>
        <c:tickLblPos val="low"/>
        <c:txPr>
          <a:bodyPr/>
          <a:lstStyle/>
          <a:p>
            <a:pPr>
              <a:defRPr b="1">
                <a:latin typeface="Times New Roman" pitchFamily="18" charset="0"/>
                <a:cs typeface="Times New Roman" pitchFamily="18" charset="0"/>
              </a:defRPr>
            </a:pPr>
            <a:endParaRPr lang="ru-RU"/>
          </a:p>
        </c:txPr>
        <c:crossAx val="103860864"/>
        <c:crosses val="autoZero"/>
        <c:auto val="1"/>
        <c:lblAlgn val="ctr"/>
        <c:lblOffset val="100"/>
      </c:catAx>
      <c:valAx>
        <c:axId val="103860864"/>
        <c:scaling>
          <c:orientation val="minMax"/>
          <c:max val="30"/>
          <c:min val="0"/>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103859328"/>
        <c:crosses val="autoZero"/>
        <c:crossBetween val="between"/>
        <c:majorUnit val="5"/>
      </c:valAx>
      <c:spPr>
        <a:noFill/>
        <a:ln w="25400">
          <a:noFill/>
        </a:ln>
      </c:spPr>
    </c:plotArea>
    <c:legend>
      <c:legendPos val="l"/>
      <c:layout>
        <c:manualLayout>
          <c:xMode val="edge"/>
          <c:yMode val="edge"/>
          <c:x val="4.6722865524162376E-2"/>
          <c:y val="0.86935499004653394"/>
          <c:w val="0.28205946859382308"/>
          <c:h val="9.4774558408957224E-2"/>
        </c:manualLayout>
      </c:layout>
      <c:txPr>
        <a:bodyPr/>
        <a:lstStyle/>
        <a:p>
          <a:pPr>
            <a:defRPr sz="9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lang val="ru-RU"/>
  <c:chart>
    <c:view3D>
      <c:rotX val="0"/>
      <c:rotY val="0"/>
      <c:perspective val="30"/>
    </c:view3D>
    <c:plotArea>
      <c:layout>
        <c:manualLayout>
          <c:layoutTarget val="inner"/>
          <c:xMode val="edge"/>
          <c:yMode val="edge"/>
          <c:x val="0.27407166123778748"/>
          <c:y val="6.9510268562401334E-2"/>
          <c:w val="0.69552660152008805"/>
          <c:h val="0.62953002431694016"/>
        </c:manualLayout>
      </c:layout>
      <c:bar3DChart>
        <c:barDir val="col"/>
        <c:grouping val="clustered"/>
        <c:ser>
          <c:idx val="0"/>
          <c:order val="0"/>
          <c:tx>
            <c:strRef>
              <c:f>Лист1!$B$1</c:f>
              <c:strCache>
                <c:ptCount val="1"/>
                <c:pt idx="0">
                  <c:v>январь-июнь 2015 года</c:v>
                </c:pt>
              </c:strCache>
            </c:strRef>
          </c:tx>
          <c:spPr>
            <a:solidFill>
              <a:schemeClr val="accent2">
                <a:lumMod val="75000"/>
              </a:schemeClr>
            </a:solidFill>
          </c:spPr>
          <c:dLbls>
            <c:dLbl>
              <c:idx val="0"/>
              <c:layout>
                <c:manualLayout>
                  <c:x val="7.374216659399687E-3"/>
                  <c:y val="1.8957345971563982E-2"/>
                </c:manualLayout>
              </c:layout>
              <c:tx>
                <c:rich>
                  <a:bodyPr/>
                  <a:lstStyle/>
                  <a:p>
                    <a:r>
                      <a:rPr lang="en-US"/>
                      <a:t>-24,4*</a:t>
                    </a:r>
                  </a:p>
                </c:rich>
              </c:tx>
              <c:showVal val="1"/>
              <c:extLst>
                <c:ext xmlns:c15="http://schemas.microsoft.com/office/drawing/2012/chart" uri="{CE6537A1-D6FC-4f65-9D91-7224C49458BB}">
                  <c15:layout/>
                </c:ext>
              </c:extLst>
            </c:dLbl>
            <c:dLbl>
              <c:idx val="1"/>
              <c:layout>
                <c:manualLayout>
                  <c:x val="-2.3148409380423542E-3"/>
                  <c:y val="5.2991006455947189E-4"/>
                </c:manualLayout>
              </c:layout>
              <c:tx>
                <c:rich>
                  <a:bodyPr/>
                  <a:lstStyle/>
                  <a:p>
                    <a:r>
                      <a:rPr lang="en-US"/>
                      <a:t>-22,3*</a:t>
                    </a:r>
                  </a:p>
                </c:rich>
              </c:tx>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Лист1!$A$2:$A$3</c:f>
              <c:strCache>
                <c:ptCount val="2"/>
                <c:pt idx="0">
                  <c:v>в текущих ценах</c:v>
                </c:pt>
                <c:pt idx="1">
                  <c:v>в сопоставимых ценах</c:v>
                </c:pt>
              </c:strCache>
            </c:strRef>
          </c:cat>
          <c:val>
            <c:numRef>
              <c:f>Лист1!$B$2:$B$3</c:f>
              <c:numCache>
                <c:formatCode>General</c:formatCode>
                <c:ptCount val="2"/>
                <c:pt idx="0" formatCode="0.0">
                  <c:v>75.599999999999994</c:v>
                </c:pt>
                <c:pt idx="1">
                  <c:v>77.7</c:v>
                </c:pt>
              </c:numCache>
            </c:numRef>
          </c:val>
        </c:ser>
        <c:ser>
          <c:idx val="1"/>
          <c:order val="1"/>
          <c:tx>
            <c:strRef>
              <c:f>Лист1!$C$1</c:f>
              <c:strCache>
                <c:ptCount val="1"/>
                <c:pt idx="0">
                  <c:v>январь-июнь 2016 года</c:v>
                </c:pt>
              </c:strCache>
            </c:strRef>
          </c:tx>
          <c:spPr>
            <a:solidFill>
              <a:schemeClr val="accent2">
                <a:lumMod val="40000"/>
                <a:lumOff val="60000"/>
              </a:schemeClr>
            </a:solidFill>
          </c:spPr>
          <c:dLbls>
            <c:dLbl>
              <c:idx val="0"/>
              <c:layout>
                <c:manualLayout>
                  <c:x val="3.317687894876352E-3"/>
                  <c:y val="1.9690761403639803E-2"/>
                </c:manualLayout>
              </c:layout>
              <c:tx>
                <c:rich>
                  <a:bodyPr/>
                  <a:lstStyle/>
                  <a:p>
                    <a:r>
                      <a:rPr lang="en-US"/>
                      <a:t>-9,1*</a:t>
                    </a:r>
                  </a:p>
                </c:rich>
              </c:tx>
              <c:showVal val="1"/>
              <c:extLst>
                <c:ext xmlns:c15="http://schemas.microsoft.com/office/drawing/2012/chart" uri="{CE6537A1-D6FC-4f65-9D91-7224C49458BB}">
                  <c15:layout/>
                </c:ext>
              </c:extLst>
            </c:dLbl>
            <c:dLbl>
              <c:idx val="1"/>
              <c:layout>
                <c:manualLayout>
                  <c:x val="5.2026639992477121E-3"/>
                  <c:y val="5.4349367466507495E-3"/>
                </c:manualLayout>
              </c:layout>
              <c:tx>
                <c:rich>
                  <a:bodyPr/>
                  <a:lstStyle/>
                  <a:p>
                    <a:r>
                      <a:rPr lang="en-US"/>
                      <a:t>-7,9*</a:t>
                    </a:r>
                  </a:p>
                </c:rich>
              </c:tx>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Лист1!$A$2:$A$3</c:f>
              <c:strCache>
                <c:ptCount val="2"/>
                <c:pt idx="0">
                  <c:v>в текущих ценах</c:v>
                </c:pt>
                <c:pt idx="1">
                  <c:v>в сопоставимых ценах</c:v>
                </c:pt>
              </c:strCache>
            </c:strRef>
          </c:cat>
          <c:val>
            <c:numRef>
              <c:f>Лист1!$C$2:$C$3</c:f>
              <c:numCache>
                <c:formatCode>General</c:formatCode>
                <c:ptCount val="2"/>
                <c:pt idx="0" formatCode="0.0">
                  <c:v>90.9</c:v>
                </c:pt>
                <c:pt idx="1">
                  <c:v>92.1</c:v>
                </c:pt>
              </c:numCache>
            </c:numRef>
          </c:val>
        </c:ser>
        <c:ser>
          <c:idx val="2"/>
          <c:order val="2"/>
          <c:tx>
            <c:strRef>
              <c:f>Лист1!$D$1</c:f>
              <c:strCache>
                <c:ptCount val="1"/>
                <c:pt idx="0">
                  <c:v>январь-июнь 2017 года</c:v>
                </c:pt>
              </c:strCache>
            </c:strRef>
          </c:tx>
          <c:dLbls>
            <c:dLbl>
              <c:idx val="0"/>
              <c:layout>
                <c:manualLayout>
                  <c:x val="6.5146034040273193E-3"/>
                  <c:y val="8.0088865261582279E-3"/>
                </c:manualLayout>
              </c:layout>
              <c:tx>
                <c:rich>
                  <a:bodyPr/>
                  <a:lstStyle/>
                  <a:p>
                    <a:r>
                      <a:rPr lang="en-US" b="1"/>
                      <a:t>113,5*</a:t>
                    </a:r>
                  </a:p>
                </c:rich>
              </c:tx>
              <c:showVal val="1"/>
              <c:extLst>
                <c:ext xmlns:c15="http://schemas.microsoft.com/office/drawing/2012/chart" uri="{CE6537A1-D6FC-4f65-9D91-7224C49458BB}">
                  <c15:layout/>
                </c:ext>
              </c:extLst>
            </c:dLbl>
            <c:dLbl>
              <c:idx val="1"/>
              <c:layout>
                <c:manualLayout>
                  <c:x val="1.0857763300760043E-2"/>
                  <c:y val="1.8957345971563982E-2"/>
                </c:manualLayout>
              </c:layout>
              <c:tx>
                <c:rich>
                  <a:bodyPr/>
                  <a:lstStyle/>
                  <a:p>
                    <a:r>
                      <a:rPr lang="en-US" b="1"/>
                      <a:t>106,0*</a:t>
                    </a:r>
                  </a:p>
                </c:rich>
              </c:tx>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Лист1!$A$2:$A$3</c:f>
              <c:strCache>
                <c:ptCount val="2"/>
                <c:pt idx="0">
                  <c:v>в текущих ценах</c:v>
                </c:pt>
                <c:pt idx="1">
                  <c:v>в сопоставимых ценах</c:v>
                </c:pt>
              </c:strCache>
            </c:strRef>
          </c:cat>
          <c:val>
            <c:numRef>
              <c:f>Лист1!$D$2:$D$3</c:f>
              <c:numCache>
                <c:formatCode>0.0</c:formatCode>
                <c:ptCount val="2"/>
                <c:pt idx="0">
                  <c:v>113.5</c:v>
                </c:pt>
                <c:pt idx="1">
                  <c:v>106</c:v>
                </c:pt>
              </c:numCache>
            </c:numRef>
          </c:val>
        </c:ser>
        <c:dLbls>
          <c:showVal val="1"/>
        </c:dLbls>
        <c:shape val="cylinder"/>
        <c:axId val="103900288"/>
        <c:axId val="103901824"/>
        <c:axId val="0"/>
      </c:bar3DChart>
      <c:catAx>
        <c:axId val="103900288"/>
        <c:scaling>
          <c:orientation val="minMax"/>
        </c:scaling>
        <c:axPos val="b"/>
        <c:numFmt formatCode="General" sourceLinked="0"/>
        <c:tickLblPos val="nextTo"/>
        <c:txPr>
          <a:bodyPr/>
          <a:lstStyle/>
          <a:p>
            <a:pPr>
              <a:defRPr sz="1000" b="1"/>
            </a:pPr>
            <a:endParaRPr lang="ru-RU"/>
          </a:p>
        </c:txPr>
        <c:crossAx val="103901824"/>
        <c:crosses val="autoZero"/>
        <c:auto val="1"/>
        <c:lblAlgn val="ctr"/>
        <c:lblOffset val="100"/>
      </c:catAx>
      <c:valAx>
        <c:axId val="103901824"/>
        <c:scaling>
          <c:orientation val="minMax"/>
          <c:max val="120"/>
          <c:min val="0"/>
        </c:scaling>
        <c:axPos val="l"/>
        <c:title>
          <c:tx>
            <c:rich>
              <a:bodyPr rot="0" vert="horz"/>
              <a:lstStyle/>
              <a:p>
                <a:pPr>
                  <a:defRPr/>
                </a:pPr>
                <a:r>
                  <a:rPr lang="ru-RU"/>
                  <a:t>*-темп прироста (спада),%</a:t>
                </a:r>
              </a:p>
            </c:rich>
          </c:tx>
          <c:layout>
            <c:manualLayout>
              <c:xMode val="edge"/>
              <c:yMode val="edge"/>
              <c:x val="2.6760692433837278E-2"/>
              <c:y val="0.26542322834645682"/>
            </c:manualLayout>
          </c:layout>
        </c:title>
        <c:numFmt formatCode="0.0" sourceLinked="1"/>
        <c:tickLblPos val="nextTo"/>
        <c:txPr>
          <a:bodyPr/>
          <a:lstStyle/>
          <a:p>
            <a:pPr>
              <a:defRPr b="1"/>
            </a:pPr>
            <a:endParaRPr lang="ru-RU"/>
          </a:p>
        </c:txPr>
        <c:crossAx val="103900288"/>
        <c:crosses val="autoZero"/>
        <c:crossBetween val="between"/>
      </c:valAx>
    </c:plotArea>
    <c:legend>
      <c:legendPos val="b"/>
      <c:layout>
        <c:manualLayout>
          <c:xMode val="edge"/>
          <c:yMode val="edge"/>
          <c:x val="8.3147725426830202E-2"/>
          <c:y val="0.88648231767237651"/>
          <c:w val="0.91685227457317586"/>
          <c:h val="0.10719856700376909"/>
        </c:manualLayout>
      </c:layout>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200"/>
            </a:pPr>
            <a:r>
              <a:rPr lang="ru-RU" sz="1200"/>
              <a:t>Товарная структура розничного товарооборота, %</a:t>
            </a:r>
          </a:p>
        </c:rich>
      </c:tx>
      <c:layout>
        <c:manualLayout>
          <c:xMode val="edge"/>
          <c:yMode val="edge"/>
          <c:x val="0.20861503664394698"/>
          <c:y val="0"/>
        </c:manualLayout>
      </c:layout>
    </c:title>
    <c:plotArea>
      <c:layout>
        <c:manualLayout>
          <c:layoutTarget val="inner"/>
          <c:xMode val="edge"/>
          <c:yMode val="edge"/>
          <c:x val="6.2329098899846516E-2"/>
          <c:y val="0.23611111111111116"/>
          <c:w val="0.91479402129040066"/>
          <c:h val="0.37267685289338831"/>
        </c:manualLayout>
      </c:layout>
      <c:barChart>
        <c:barDir val="col"/>
        <c:grouping val="clustered"/>
        <c:ser>
          <c:idx val="0"/>
          <c:order val="0"/>
          <c:tx>
            <c:strRef>
              <c:f>Лист1!$B$1</c:f>
              <c:strCache>
                <c:ptCount val="1"/>
                <c:pt idx="0">
                  <c:v>Продовольственные товары</c:v>
                </c:pt>
              </c:strCache>
            </c:strRef>
          </c:tx>
          <c:dLbls>
            <c:dLbl>
              <c:idx val="0"/>
              <c:layout>
                <c:manualLayout>
                  <c:x val="4.27578834847675E-3"/>
                  <c:y val="2.6157755293855948E-2"/>
                </c:manualLayout>
              </c:layout>
              <c:tx>
                <c:rich>
                  <a:bodyPr/>
                  <a:lstStyle/>
                  <a:p>
                    <a:r>
                      <a:rPr lang="en-US" sz="800"/>
                      <a:t>46,6</a:t>
                    </a:r>
                  </a:p>
                </c:rich>
              </c:tx>
              <c:showVal val="1"/>
              <c:extLst>
                <c:ext xmlns:c15="http://schemas.microsoft.com/office/drawing/2012/chart" uri="{CE6537A1-D6FC-4f65-9D91-7224C49458BB}">
                  <c15:layout/>
                </c:ext>
              </c:extLst>
            </c:dLbl>
            <c:dLbl>
              <c:idx val="1"/>
              <c:layout>
                <c:manualLayout>
                  <c:x val="0"/>
                  <c:y val="3.4877007058475601E-2"/>
                </c:manualLayout>
              </c:layout>
              <c:tx>
                <c:rich>
                  <a:bodyPr/>
                  <a:lstStyle/>
                  <a:p>
                    <a:r>
                      <a:rPr lang="en-US" sz="800"/>
                      <a:t>47,3</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 года</c:v>
                </c:pt>
              </c:strCache>
            </c:strRef>
          </c:cat>
          <c:val>
            <c:numRef>
              <c:f>Лист1!$B$2:$B$3</c:f>
              <c:numCache>
                <c:formatCode>0.0</c:formatCode>
                <c:ptCount val="2"/>
                <c:pt idx="0" formatCode="General">
                  <c:v>46.6</c:v>
                </c:pt>
                <c:pt idx="1">
                  <c:v>47.3</c:v>
                </c:pt>
              </c:numCache>
            </c:numRef>
          </c:val>
        </c:ser>
        <c:ser>
          <c:idx val="1"/>
          <c:order val="1"/>
          <c:tx>
            <c:strRef>
              <c:f>Лист1!$C$1</c:f>
              <c:strCache>
                <c:ptCount val="1"/>
                <c:pt idx="0">
                  <c:v>Непродовольственные товары</c:v>
                </c:pt>
              </c:strCache>
            </c:strRef>
          </c:tx>
          <c:spPr>
            <a:solidFill>
              <a:schemeClr val="accent6">
                <a:lumMod val="40000"/>
                <a:lumOff val="60000"/>
              </a:schemeClr>
            </a:solidFill>
          </c:spPr>
          <c:dLbls>
            <c:dLbl>
              <c:idx val="0"/>
              <c:layout>
                <c:manualLayout>
                  <c:x val="0"/>
                  <c:y val="3.4877007058475601E-2"/>
                </c:manualLayout>
              </c:layout>
              <c:tx>
                <c:rich>
                  <a:bodyPr/>
                  <a:lstStyle/>
                  <a:p>
                    <a:r>
                      <a:rPr lang="en-US" sz="800"/>
                      <a:t>53,4</a:t>
                    </a:r>
                  </a:p>
                </c:rich>
              </c:tx>
              <c:showVal val="1"/>
              <c:extLst>
                <c:ext xmlns:c15="http://schemas.microsoft.com/office/drawing/2012/chart" uri="{CE6537A1-D6FC-4f65-9D91-7224C49458BB}">
                  <c15:layout/>
                </c:ext>
              </c:extLst>
            </c:dLbl>
            <c:dLbl>
              <c:idx val="1"/>
              <c:layout>
                <c:manualLayout>
                  <c:x val="2.1378941742383802E-3"/>
                  <c:y val="3.4877007058475601E-2"/>
                </c:manualLayout>
              </c:layout>
              <c:tx>
                <c:rich>
                  <a:bodyPr/>
                  <a:lstStyle/>
                  <a:p>
                    <a:r>
                      <a:rPr lang="en-US" sz="800"/>
                      <a:t>52,7</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 года</c:v>
                </c:pt>
              </c:strCache>
            </c:strRef>
          </c:cat>
          <c:val>
            <c:numRef>
              <c:f>Лист1!$C$2:$C$3</c:f>
              <c:numCache>
                <c:formatCode>0.0</c:formatCode>
                <c:ptCount val="2"/>
                <c:pt idx="0" formatCode="General">
                  <c:v>53.4</c:v>
                </c:pt>
                <c:pt idx="1">
                  <c:v>52.7</c:v>
                </c:pt>
              </c:numCache>
            </c:numRef>
          </c:val>
        </c:ser>
        <c:axId val="104062976"/>
        <c:axId val="104064512"/>
      </c:barChart>
      <c:catAx>
        <c:axId val="104062976"/>
        <c:scaling>
          <c:orientation val="minMax"/>
        </c:scaling>
        <c:axPos val="b"/>
        <c:numFmt formatCode="General" sourceLinked="0"/>
        <c:tickLblPos val="nextTo"/>
        <c:txPr>
          <a:bodyPr/>
          <a:lstStyle/>
          <a:p>
            <a:pPr>
              <a:defRPr b="1"/>
            </a:pPr>
            <a:endParaRPr lang="ru-RU"/>
          </a:p>
        </c:txPr>
        <c:crossAx val="104064512"/>
        <c:crosses val="autoZero"/>
        <c:auto val="1"/>
        <c:lblAlgn val="ctr"/>
        <c:lblOffset val="100"/>
      </c:catAx>
      <c:valAx>
        <c:axId val="104064512"/>
        <c:scaling>
          <c:orientation val="minMax"/>
          <c:max val="60"/>
          <c:min val="0"/>
        </c:scaling>
        <c:axPos val="l"/>
        <c:numFmt formatCode="General" sourceLinked="1"/>
        <c:tickLblPos val="nextTo"/>
        <c:txPr>
          <a:bodyPr/>
          <a:lstStyle/>
          <a:p>
            <a:pPr>
              <a:defRPr b="1"/>
            </a:pPr>
            <a:endParaRPr lang="ru-RU"/>
          </a:p>
        </c:txPr>
        <c:crossAx val="104062976"/>
        <c:crosses val="autoZero"/>
        <c:crossBetween val="between"/>
        <c:majorUnit val="20"/>
      </c:valAx>
    </c:plotArea>
    <c:legend>
      <c:legendPos val="b"/>
      <c:layout>
        <c:manualLayout>
          <c:xMode val="edge"/>
          <c:yMode val="edge"/>
          <c:x val="0.1268200523296506"/>
          <c:y val="0.826680309029168"/>
          <c:w val="0.74635970341632762"/>
          <c:h val="0.17153793275840526"/>
        </c:manualLayout>
      </c:layout>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30"/>
  <c:chart>
    <c:view3D>
      <c:rotX val="0"/>
      <c:rotY val="0"/>
      <c:perspective val="30"/>
    </c:view3D>
    <c:floor>
      <c:spPr>
        <a:effectLst/>
      </c:spPr>
    </c:floor>
    <c:plotArea>
      <c:layout>
        <c:manualLayout>
          <c:layoutTarget val="inner"/>
          <c:xMode val="edge"/>
          <c:yMode val="edge"/>
          <c:x val="0.31480805906456844"/>
          <c:y val="4.2124542124542107E-2"/>
          <c:w val="0.65161879944863565"/>
          <c:h val="0.63878193440841946"/>
        </c:manualLayout>
      </c:layout>
      <c:bar3DChart>
        <c:barDir val="col"/>
        <c:grouping val="clustered"/>
        <c:ser>
          <c:idx val="0"/>
          <c:order val="0"/>
          <c:tx>
            <c:strRef>
              <c:f>Лист1!$B$1</c:f>
              <c:strCache>
                <c:ptCount val="1"/>
                <c:pt idx="0">
                  <c:v>в текущих ценах</c:v>
                </c:pt>
              </c:strCache>
            </c:strRef>
          </c:tx>
          <c:spPr>
            <a:blipFill>
              <a:blip xmlns:r="http://schemas.openxmlformats.org/officeDocument/2006/relationships" r:embed="rId1"/>
              <a:tile tx="0" ty="0" sx="100000" sy="100000" flip="none" algn="tl"/>
            </a:blipFill>
          </c:spPr>
          <c:dLbls>
            <c:dLbl>
              <c:idx val="0"/>
              <c:tx>
                <c:rich>
                  <a:bodyPr/>
                  <a:lstStyle/>
                  <a:p>
                    <a:r>
                      <a:rPr lang="en-US"/>
                      <a:t>-1,8*</a:t>
                    </a:r>
                  </a:p>
                </c:rich>
              </c:tx>
              <c:showVal val="1"/>
              <c:extLst>
                <c:ext xmlns:c15="http://schemas.microsoft.com/office/drawing/2012/chart" uri="{CE6537A1-D6FC-4f65-9D91-7224C49458BB}">
                  <c15:layout/>
                </c:ext>
              </c:extLst>
            </c:dLbl>
            <c:dLbl>
              <c:idx val="1"/>
              <c:layout>
                <c:manualLayout>
                  <c:x val="5.5528133610165224E-3"/>
                  <c:y val="2.1885370055616228E-2"/>
                </c:manualLayout>
              </c:layout>
              <c:tx>
                <c:rich>
                  <a:bodyPr/>
                  <a:lstStyle/>
                  <a:p>
                    <a:r>
                      <a:rPr lang="en-US"/>
                      <a:t>+1,9*</a:t>
                    </a:r>
                  </a:p>
                </c:rich>
              </c:tx>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2017года</c:v>
                </c:pt>
              </c:strCache>
            </c:strRef>
          </c:cat>
          <c:val>
            <c:numRef>
              <c:f>Лист1!$B$2:$B$3</c:f>
              <c:numCache>
                <c:formatCode>0.0</c:formatCode>
                <c:ptCount val="2"/>
                <c:pt idx="0">
                  <c:v>98.2</c:v>
                </c:pt>
                <c:pt idx="1">
                  <c:v>101.9</c:v>
                </c:pt>
              </c:numCache>
            </c:numRef>
          </c:val>
        </c:ser>
        <c:ser>
          <c:idx val="1"/>
          <c:order val="1"/>
          <c:tx>
            <c:strRef>
              <c:f>Лист1!$C$1</c:f>
              <c:strCache>
                <c:ptCount val="1"/>
                <c:pt idx="0">
                  <c:v>в сопоставимых ценах</c:v>
                </c:pt>
              </c:strCache>
            </c:strRef>
          </c:tx>
          <c:spPr>
            <a:blipFill>
              <a:blip xmlns:r="http://schemas.openxmlformats.org/officeDocument/2006/relationships" r:embed="rId2"/>
              <a:tile tx="0" ty="0" sx="100000" sy="100000" flip="none" algn="tl"/>
            </a:blipFill>
          </c:spPr>
          <c:dLbls>
            <c:dLbl>
              <c:idx val="0"/>
              <c:layout>
                <c:manualLayout>
                  <c:x val="1.0824600162389775E-2"/>
                  <c:y val="-4.5784661532694134E-3"/>
                </c:manualLayout>
              </c:layout>
              <c:tx>
                <c:rich>
                  <a:bodyPr/>
                  <a:lstStyle/>
                  <a:p>
                    <a:r>
                      <a:rPr lang="en-US"/>
                      <a:t>-2,1*</a:t>
                    </a:r>
                  </a:p>
                </c:rich>
              </c:tx>
              <c:showVal val="1"/>
              <c:extLst>
                <c:ext xmlns:c15="http://schemas.microsoft.com/office/drawing/2012/chart" uri="{CE6537A1-D6FC-4f65-9D91-7224C49458BB}">
                  <c15:layout/>
                </c:ext>
              </c:extLst>
            </c:dLbl>
            <c:dLbl>
              <c:idx val="1"/>
              <c:layout>
                <c:manualLayout>
                  <c:x val="-8.2546149393018728E-3"/>
                  <c:y val="2.2725727565992601E-2"/>
                </c:manualLayout>
              </c:layout>
              <c:tx>
                <c:rich>
                  <a:bodyPr/>
                  <a:lstStyle/>
                  <a:p>
                    <a:r>
                      <a:rPr lang="en-US"/>
                      <a:t>+1,3*</a:t>
                    </a:r>
                  </a:p>
                </c:rich>
              </c:tx>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январь-июнь 2016 года</c:v>
                </c:pt>
                <c:pt idx="1">
                  <c:v>январь-июнь 2017года</c:v>
                </c:pt>
              </c:strCache>
            </c:strRef>
          </c:cat>
          <c:val>
            <c:numRef>
              <c:f>Лист1!$C$2:$C$3</c:f>
              <c:numCache>
                <c:formatCode>0.0</c:formatCode>
                <c:ptCount val="2"/>
                <c:pt idx="0">
                  <c:v>98</c:v>
                </c:pt>
                <c:pt idx="1">
                  <c:v>101.3</c:v>
                </c:pt>
              </c:numCache>
            </c:numRef>
          </c:val>
        </c:ser>
        <c:dLbls>
          <c:showVal val="1"/>
        </c:dLbls>
        <c:shape val="cylinder"/>
        <c:axId val="104225792"/>
        <c:axId val="104243968"/>
        <c:axId val="0"/>
      </c:bar3DChart>
      <c:catAx>
        <c:axId val="104225792"/>
        <c:scaling>
          <c:orientation val="minMax"/>
        </c:scaling>
        <c:axPos val="b"/>
        <c:numFmt formatCode="General" sourceLinked="0"/>
        <c:tickLblPos val="nextTo"/>
        <c:spPr>
          <a:noFill/>
        </c:spPr>
        <c:txPr>
          <a:bodyPr/>
          <a:lstStyle/>
          <a:p>
            <a:pPr>
              <a:defRPr b="1">
                <a:latin typeface="Times New Roman" pitchFamily="18" charset="0"/>
                <a:cs typeface="Times New Roman" pitchFamily="18" charset="0"/>
              </a:defRPr>
            </a:pPr>
            <a:endParaRPr lang="ru-RU"/>
          </a:p>
        </c:txPr>
        <c:crossAx val="104243968"/>
        <c:crosses val="autoZero"/>
        <c:auto val="1"/>
        <c:lblAlgn val="ctr"/>
        <c:lblOffset val="100"/>
      </c:catAx>
      <c:valAx>
        <c:axId val="104243968"/>
        <c:scaling>
          <c:orientation val="minMax"/>
          <c:max val="115"/>
        </c:scaling>
        <c:axPos val="l"/>
        <c:title>
          <c:tx>
            <c:rich>
              <a:bodyPr rot="0" vert="horz"/>
              <a:lstStyle/>
              <a:p>
                <a:pPr>
                  <a:defRPr sz="800">
                    <a:latin typeface="Times New Roman" pitchFamily="18" charset="0"/>
                    <a:cs typeface="Times New Roman" pitchFamily="18" charset="0"/>
                  </a:defRPr>
                </a:pPr>
                <a:r>
                  <a:rPr lang="ru-RU" sz="800">
                    <a:latin typeface="Times New Roman" pitchFamily="18" charset="0"/>
                    <a:cs typeface="Times New Roman" pitchFamily="18" charset="0"/>
                  </a:rPr>
                  <a:t>*-темп прироста (спада), %</a:t>
                </a:r>
              </a:p>
            </c:rich>
          </c:tx>
          <c:layout>
            <c:manualLayout>
              <c:xMode val="edge"/>
              <c:yMode val="edge"/>
              <c:x val="3.8397318459836051E-2"/>
              <c:y val="0.32911286901776382"/>
            </c:manualLayout>
          </c:layout>
        </c:title>
        <c:numFmt formatCode="0.0" sourceLinked="1"/>
        <c:tickLblPos val="nextTo"/>
        <c:txPr>
          <a:bodyPr/>
          <a:lstStyle/>
          <a:p>
            <a:pPr>
              <a:defRPr b="1">
                <a:latin typeface="Times New Roman" pitchFamily="18" charset="0"/>
                <a:cs typeface="Times New Roman" pitchFamily="18" charset="0"/>
              </a:defRPr>
            </a:pPr>
            <a:endParaRPr lang="ru-RU"/>
          </a:p>
        </c:txPr>
        <c:crossAx val="104225792"/>
        <c:crosses val="autoZero"/>
        <c:crossBetween val="between"/>
      </c:valAx>
    </c:plotArea>
    <c:legend>
      <c:legendPos val="b"/>
      <c:layout>
        <c:manualLayout>
          <c:xMode val="edge"/>
          <c:yMode val="edge"/>
          <c:x val="0.11574893344517502"/>
          <c:y val="0.89581048522780748"/>
          <c:w val="0.84266940859196771"/>
          <c:h val="0.10312134060165597"/>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3"/>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январь-июнь 2016 года</a:t>
            </a:r>
          </a:p>
        </c:rich>
      </c:tx>
      <c:layout>
        <c:manualLayout>
          <c:xMode val="edge"/>
          <c:yMode val="edge"/>
          <c:x val="0.24134685219142143"/>
          <c:y val="3.7037037037037049E-2"/>
        </c:manualLayout>
      </c:layout>
    </c:title>
    <c:view3D>
      <c:rotX val="30"/>
      <c:perspective val="30"/>
    </c:view3D>
    <c:plotArea>
      <c:layout>
        <c:manualLayout>
          <c:layoutTarget val="inner"/>
          <c:xMode val="edge"/>
          <c:yMode val="edge"/>
          <c:x val="0.2685887894150219"/>
          <c:y val="0.2319240303295422"/>
          <c:w val="0.50267483969569271"/>
          <c:h val="0.42947716042536938"/>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1"/>
          </c:dPt>
          <c:dPt>
            <c:idx val="1"/>
            <c:spPr>
              <a:solidFill>
                <a:schemeClr val="accent2">
                  <a:lumMod val="60000"/>
                  <a:lumOff val="40000"/>
                </a:schemeClr>
              </a:solidFill>
            </c:spPr>
          </c:dPt>
          <c:dLbls>
            <c:dLbl>
              <c:idx val="0"/>
              <c:layout>
                <c:manualLayout>
                  <c:x val="0.13895393990577676"/>
                  <c:y val="0.21407154814309629"/>
                </c:manualLayout>
              </c:layout>
              <c:tx>
                <c:rich>
                  <a:bodyPr/>
                  <a:lstStyle/>
                  <a:p>
                    <a:r>
                      <a:rPr lang="en-US"/>
                      <a:t>54,9</a:t>
                    </a:r>
                  </a:p>
                </c:rich>
              </c:tx>
              <c:dLblPos val="bestFit"/>
              <c:showVal val="1"/>
              <c:extLst>
                <c:ext xmlns:c15="http://schemas.microsoft.com/office/drawing/2012/chart" uri="{CE6537A1-D6FC-4f65-9D91-7224C49458BB}">
                  <c15:layout/>
                </c:ext>
              </c:extLst>
            </c:dLbl>
            <c:dLbl>
              <c:idx val="1"/>
              <c:layout>
                <c:manualLayout>
                  <c:x val="-0.18222655157796336"/>
                  <c:y val="-0.15929733192800152"/>
                </c:manualLayout>
              </c:layout>
              <c:tx>
                <c:rich>
                  <a:bodyPr/>
                  <a:lstStyle/>
                  <a:p>
                    <a:r>
                      <a:rPr lang="en-US"/>
                      <a:t>45,1</a:t>
                    </a:r>
                  </a:p>
                </c:rich>
              </c:tx>
              <c:dLblPos val="bestFit"/>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showLeaderLines val="1"/>
            <c:extLst>
              <c:ext xmlns:c15="http://schemas.microsoft.com/office/drawing/2012/chart" uri="{CE6537A1-D6FC-4f65-9D91-7224C49458BB}"/>
            </c:extLst>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395">
          <a:noFill/>
        </a:ln>
      </c:spPr>
    </c:plotArea>
    <c:legend>
      <c:legendPos val="b"/>
      <c:layout>
        <c:manualLayout>
          <c:xMode val="edge"/>
          <c:yMode val="edge"/>
          <c:x val="9.9719348806891747E-2"/>
          <c:y val="0.77528680709783071"/>
          <c:w val="0.70754670372085826"/>
          <c:h val="0.2029943692935819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январь-июнь 2017 года</a:t>
            </a:r>
          </a:p>
        </c:rich>
      </c:tx>
      <c:layout>
        <c:manualLayout>
          <c:xMode val="edge"/>
          <c:yMode val="edge"/>
          <c:x val="0.24709743589743607"/>
          <c:y val="0"/>
        </c:manualLayout>
      </c:layout>
    </c:title>
    <c:view3D>
      <c:rotX val="30"/>
      <c:perspective val="30"/>
    </c:view3D>
    <c:plotArea>
      <c:layout>
        <c:manualLayout>
          <c:layoutTarget val="inner"/>
          <c:xMode val="edge"/>
          <c:yMode val="edge"/>
          <c:x val="0.26402272500748714"/>
          <c:y val="0.20414624228309491"/>
          <c:w val="0.50267483969569271"/>
          <c:h val="0.42947716042536938"/>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1"/>
          </c:dPt>
          <c:dPt>
            <c:idx val="1"/>
            <c:spPr>
              <a:solidFill>
                <a:schemeClr val="accent2">
                  <a:lumMod val="60000"/>
                  <a:lumOff val="40000"/>
                </a:schemeClr>
              </a:solidFill>
            </c:spPr>
          </c:dPt>
          <c:dLbls>
            <c:dLbl>
              <c:idx val="0"/>
              <c:layout>
                <c:manualLayout>
                  <c:x val="0.13895393990577676"/>
                  <c:y val="0.21407154814309629"/>
                </c:manualLayout>
              </c:layout>
              <c:tx>
                <c:rich>
                  <a:bodyPr/>
                  <a:lstStyle/>
                  <a:p>
                    <a:r>
                      <a:rPr lang="en-US"/>
                      <a:t>46,3</a:t>
                    </a:r>
                  </a:p>
                </c:rich>
              </c:tx>
              <c:dLblPos val="bestFit"/>
              <c:showVal val="1"/>
              <c:extLst>
                <c:ext xmlns:c15="http://schemas.microsoft.com/office/drawing/2012/chart" uri="{CE6537A1-D6FC-4f65-9D91-7224C49458BB}">
                  <c15:layout/>
                </c:ext>
              </c:extLst>
            </c:dLbl>
            <c:dLbl>
              <c:idx val="1"/>
              <c:layout>
                <c:manualLayout>
                  <c:x val="-0.15500327074500359"/>
                  <c:y val="-0.19710753547110971"/>
                </c:manualLayout>
              </c:layout>
              <c:tx>
                <c:rich>
                  <a:bodyPr/>
                  <a:lstStyle/>
                  <a:p>
                    <a:r>
                      <a:rPr lang="en-US"/>
                      <a:t>53,7</a:t>
                    </a:r>
                  </a:p>
                </c:rich>
              </c:tx>
              <c:dLblPos val="bestFit"/>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showLeaderLines val="1"/>
            <c:extLst>
              <c:ext xmlns:c15="http://schemas.microsoft.com/office/drawing/2012/chart" uri="{CE6537A1-D6FC-4f65-9D91-7224C49458BB}"/>
            </c:extLst>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395">
          <a:noFill/>
        </a:ln>
      </c:spPr>
    </c:plotArea>
    <c:legend>
      <c:legendPos val="b"/>
      <c:layout>
        <c:manualLayout>
          <c:xMode val="edge"/>
          <c:yMode val="edge"/>
          <c:x val="9.9719348806891747E-2"/>
          <c:y val="0.77528680709783071"/>
          <c:w val="0.7742133483314585"/>
          <c:h val="0.2029943692935819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200"/>
            </a:pPr>
            <a:r>
              <a:rPr lang="ru-RU" sz="1200"/>
              <a:t>Динамика основных составляющих инфляции,%</a:t>
            </a:r>
          </a:p>
        </c:rich>
      </c:tx>
      <c:layout>
        <c:manualLayout>
          <c:xMode val="edge"/>
          <c:yMode val="edge"/>
          <c:x val="0.26733190308049021"/>
          <c:y val="2.2917149576129345E-3"/>
        </c:manualLayout>
      </c:layout>
    </c:title>
    <c:plotArea>
      <c:layout>
        <c:manualLayout>
          <c:layoutTarget val="inner"/>
          <c:xMode val="edge"/>
          <c:yMode val="edge"/>
          <c:x val="0.1932941783916374"/>
          <c:y val="0.17474636109146649"/>
          <c:w val="0.8067058216083941"/>
          <c:h val="0.43476561803496028"/>
        </c:manualLayout>
      </c:layout>
      <c:barChart>
        <c:barDir val="col"/>
        <c:grouping val="clustered"/>
        <c:ser>
          <c:idx val="0"/>
          <c:order val="0"/>
          <c:tx>
            <c:strRef>
              <c:f>Лист1!$B$1</c:f>
              <c:strCache>
                <c:ptCount val="1"/>
                <c:pt idx="0">
                  <c:v>январь-июнь 2016 г. </c:v>
                </c:pt>
              </c:strCache>
            </c:strRef>
          </c:tx>
          <c:spPr>
            <a:solidFill>
              <a:schemeClr val="accent6">
                <a:lumMod val="75000"/>
              </a:schemeClr>
            </a:solidFill>
          </c:spPr>
          <c:dLbls>
            <c:dLbl>
              <c:idx val="0"/>
              <c:layout>
                <c:manualLayout>
                  <c:x val="2.5966155620178802E-3"/>
                  <c:y val="1.9057999283397669E-2"/>
                </c:manualLayout>
              </c:layout>
              <c:tx>
                <c:rich>
                  <a:bodyPr/>
                  <a:lstStyle/>
                  <a:p>
                    <a:r>
                      <a:rPr lang="en-US" b="1"/>
                      <a:t>+3,75*</a:t>
                    </a:r>
                  </a:p>
                </c:rich>
              </c:tx>
              <c:dLblPos val="outEnd"/>
              <c:showVal val="1"/>
              <c:extLst>
                <c:ext xmlns:c15="http://schemas.microsoft.com/office/drawing/2012/chart" uri="{CE6537A1-D6FC-4f65-9D91-7224C49458BB}">
                  <c15:layout/>
                </c:ext>
              </c:extLst>
            </c:dLbl>
            <c:dLbl>
              <c:idx val="1"/>
              <c:layout>
                <c:manualLayout>
                  <c:x val="3.6304437779571044E-4"/>
                  <c:y val="1.7404855643045031E-2"/>
                </c:manualLayout>
              </c:layout>
              <c:tx>
                <c:rich>
                  <a:bodyPr/>
                  <a:lstStyle/>
                  <a:p>
                    <a:r>
                      <a:rPr lang="en-US" b="1"/>
                      <a:t>+4,64*</a:t>
                    </a:r>
                  </a:p>
                </c:rich>
              </c:tx>
              <c:dLblPos val="outEnd"/>
              <c:showVal val="1"/>
              <c:extLst>
                <c:ext xmlns:c15="http://schemas.microsoft.com/office/drawing/2012/chart" uri="{CE6537A1-D6FC-4f65-9D91-7224C49458BB}">
                  <c15:layout/>
                </c:ext>
              </c:extLst>
            </c:dLbl>
            <c:dLbl>
              <c:idx val="2"/>
              <c:layout>
                <c:manualLayout>
                  <c:x val="3.3172477021710619E-3"/>
                  <c:y val="1.9060971695086255E-2"/>
                </c:manualLayout>
              </c:layout>
              <c:tx>
                <c:rich>
                  <a:bodyPr/>
                  <a:lstStyle/>
                  <a:p>
                    <a:r>
                      <a:rPr lang="en-US" b="1"/>
                      <a:t>+3,48*</a:t>
                    </a:r>
                  </a:p>
                </c:rich>
              </c:tx>
              <c:dLblPos val="outEnd"/>
              <c:showVal val="1"/>
              <c:extLst>
                <c:ext xmlns:c15="http://schemas.microsoft.com/office/drawing/2012/chart" uri="{CE6537A1-D6FC-4f65-9D91-7224C49458BB}">
                  <c15:layout/>
                </c:ext>
              </c:extLst>
            </c:dLbl>
            <c:dLbl>
              <c:idx val="3"/>
              <c:layout>
                <c:manualLayout>
                  <c:x val="5.7719775941959504E-3"/>
                  <c:y val="2.1991345670358306E-2"/>
                </c:manualLayout>
              </c:layout>
              <c:tx>
                <c:rich>
                  <a:bodyPr/>
                  <a:lstStyle/>
                  <a:p>
                    <a:r>
                      <a:rPr lang="en-US" b="1"/>
                      <a:t>+2,53*</a:t>
                    </a:r>
                  </a:p>
                </c:rich>
              </c:tx>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showLeaderLines val="0"/>
              </c:ext>
            </c:extLst>
          </c:dLbls>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Лист1!$B$2:$B$5</c:f>
              <c:numCache>
                <c:formatCode>0.00</c:formatCode>
                <c:ptCount val="4"/>
                <c:pt idx="0">
                  <c:v>103.75</c:v>
                </c:pt>
                <c:pt idx="1">
                  <c:v>104.64</c:v>
                </c:pt>
                <c:pt idx="2">
                  <c:v>103.48</c:v>
                </c:pt>
                <c:pt idx="3">
                  <c:v>102.53</c:v>
                </c:pt>
              </c:numCache>
            </c:numRef>
          </c:val>
        </c:ser>
        <c:ser>
          <c:idx val="1"/>
          <c:order val="1"/>
          <c:tx>
            <c:strRef>
              <c:f>Лист1!$C$1</c:f>
              <c:strCache>
                <c:ptCount val="1"/>
                <c:pt idx="0">
                  <c:v>январь-июнь 2017 г. </c:v>
                </c:pt>
              </c:strCache>
            </c:strRef>
          </c:tx>
          <c:spPr>
            <a:solidFill>
              <a:schemeClr val="accent5">
                <a:lumMod val="40000"/>
                <a:lumOff val="60000"/>
              </a:schemeClr>
            </a:solidFill>
          </c:spPr>
          <c:dLbls>
            <c:dLbl>
              <c:idx val="0"/>
              <c:layout>
                <c:manualLayout>
                  <c:x val="3.586779236655365E-3"/>
                  <c:y val="2.7515739454136889E-2"/>
                </c:manualLayout>
              </c:layout>
              <c:tx>
                <c:rich>
                  <a:bodyPr/>
                  <a:lstStyle/>
                  <a:p>
                    <a:r>
                      <a:rPr lang="en-US" b="1"/>
                      <a:t>+6,28*</a:t>
                    </a:r>
                  </a:p>
                </c:rich>
              </c:tx>
              <c:dLblPos val="outEnd"/>
              <c:showVal val="1"/>
              <c:extLst>
                <c:ext xmlns:c15="http://schemas.microsoft.com/office/drawing/2012/chart" uri="{CE6537A1-D6FC-4f65-9D91-7224C49458BB}">
                  <c15:layout/>
                </c:ext>
              </c:extLst>
            </c:dLbl>
            <c:dLbl>
              <c:idx val="1"/>
              <c:layout>
                <c:manualLayout>
                  <c:x val="3.3731773565667173E-3"/>
                  <c:y val="2.5444736074657442E-2"/>
                </c:manualLayout>
              </c:layout>
              <c:tx>
                <c:rich>
                  <a:bodyPr/>
                  <a:lstStyle/>
                  <a:p>
                    <a:r>
                      <a:rPr lang="en-US" b="1"/>
                      <a:t>+10,99*</a:t>
                    </a:r>
                  </a:p>
                </c:rich>
              </c:tx>
              <c:dLblPos val="outEnd"/>
              <c:showVal val="1"/>
              <c:extLst>
                <c:ext xmlns:c15="http://schemas.microsoft.com/office/drawing/2012/chart" uri="{CE6537A1-D6FC-4f65-9D91-7224C49458BB}">
                  <c15:layout/>
                </c:ext>
              </c:extLst>
            </c:dLbl>
            <c:dLbl>
              <c:idx val="2"/>
              <c:layout>
                <c:manualLayout>
                  <c:x val="1.7374699420057713E-3"/>
                  <c:y val="2.2474854233824802E-2"/>
                </c:manualLayout>
              </c:layout>
              <c:tx>
                <c:rich>
                  <a:bodyPr/>
                  <a:lstStyle/>
                  <a:p>
                    <a:r>
                      <a:rPr lang="en-US" b="1"/>
                      <a:t>+4,76*</a:t>
                    </a:r>
                  </a:p>
                </c:rich>
              </c:tx>
              <c:dLblPos val="outEnd"/>
              <c:showVal val="1"/>
              <c:extLst>
                <c:ext xmlns:c15="http://schemas.microsoft.com/office/drawing/2012/chart" uri="{CE6537A1-D6FC-4f65-9D91-7224C49458BB}">
                  <c15:layout/>
                </c:ext>
              </c:extLst>
            </c:dLbl>
            <c:dLbl>
              <c:idx val="3"/>
              <c:layout>
                <c:manualLayout>
                  <c:x val="2.1035095164003851E-3"/>
                  <c:y val="2.1990875301661206E-2"/>
                </c:manualLayout>
              </c:layout>
              <c:tx>
                <c:rich>
                  <a:bodyPr/>
                  <a:lstStyle/>
                  <a:p>
                    <a:r>
                      <a:rPr lang="en-US" b="1"/>
                      <a:t>+0,59*</a:t>
                    </a:r>
                  </a:p>
                </c:rich>
              </c:tx>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showLeaderLines val="0"/>
              </c:ext>
            </c:extLst>
          </c:dLbls>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Лист1!$C$2:$C$5</c:f>
              <c:numCache>
                <c:formatCode>0.00</c:formatCode>
                <c:ptCount val="4"/>
                <c:pt idx="0">
                  <c:v>106.28</c:v>
                </c:pt>
                <c:pt idx="1">
                  <c:v>110.99000000000002</c:v>
                </c:pt>
                <c:pt idx="2">
                  <c:v>104.76</c:v>
                </c:pt>
                <c:pt idx="3">
                  <c:v>100.59</c:v>
                </c:pt>
              </c:numCache>
            </c:numRef>
          </c:val>
        </c:ser>
        <c:axId val="104873984"/>
        <c:axId val="104875520"/>
      </c:barChart>
      <c:catAx>
        <c:axId val="104873984"/>
        <c:scaling>
          <c:orientation val="minMax"/>
        </c:scaling>
        <c:axPos val="b"/>
        <c:numFmt formatCode="General" sourceLinked="0"/>
        <c:tickLblPos val="nextTo"/>
        <c:crossAx val="104875520"/>
        <c:crosses val="autoZero"/>
        <c:auto val="1"/>
        <c:lblAlgn val="ctr"/>
        <c:lblOffset val="100"/>
      </c:catAx>
      <c:valAx>
        <c:axId val="104875520"/>
        <c:scaling>
          <c:orientation val="minMax"/>
        </c:scaling>
        <c:axPos val="l"/>
        <c:title>
          <c:tx>
            <c:rich>
              <a:bodyPr rot="0" vert="horz"/>
              <a:lstStyle/>
              <a:p>
                <a:pPr>
                  <a:defRPr/>
                </a:pPr>
                <a:r>
                  <a:rPr lang="ru-RU"/>
                  <a:t>* - прирост (снижение)  индекса цен,%</a:t>
                </a:r>
              </a:p>
            </c:rich>
          </c:tx>
          <c:layout>
            <c:manualLayout>
              <c:xMode val="edge"/>
              <c:yMode val="edge"/>
              <c:x val="5.6698142032930784E-5"/>
              <c:y val="0.6667835555212156"/>
            </c:manualLayout>
          </c:layout>
        </c:title>
        <c:numFmt formatCode="0.00" sourceLinked="1"/>
        <c:tickLblPos val="nextTo"/>
        <c:crossAx val="104873984"/>
        <c:crosses val="autoZero"/>
        <c:crossBetween val="between"/>
        <c:minorUnit val="4"/>
      </c:valAx>
      <c:dTable>
        <c:showHorzBorder val="1"/>
        <c:showVertBorder val="1"/>
        <c:showOutline val="1"/>
        <c:showKeys val="1"/>
        <c:txPr>
          <a:bodyPr/>
          <a:lstStyle/>
          <a:p>
            <a:pPr rtl="0">
              <a:defRPr b="1"/>
            </a:pPr>
            <a:endParaRPr lang="ru-RU"/>
          </a:p>
        </c:txPr>
      </c:dTable>
      <c:spPr>
        <a:noFill/>
        <a:ln w="25400">
          <a:noFill/>
        </a:ln>
      </c:spPr>
    </c:plotArea>
    <c:plotVisOnly val="1"/>
    <c:dispBlanksAs val="gap"/>
  </c:chart>
  <c:spPr>
    <a:no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200"/>
            </a:pPr>
            <a:endParaRPr lang="ru-RU" sz="1200"/>
          </a:p>
          <a:p>
            <a:pPr>
              <a:defRPr sz="1200"/>
            </a:pPr>
            <a:r>
              <a:rPr lang="ru-RU" sz="1200"/>
              <a:t>Сводный индекс потребительских цен (инфляция) в ПМР </a:t>
            </a:r>
          </a:p>
          <a:p>
            <a:pPr>
              <a:defRPr sz="1200"/>
            </a:pPr>
            <a:r>
              <a:rPr lang="ru-RU" sz="1200"/>
              <a:t>в январе-июне, %</a:t>
            </a:r>
          </a:p>
        </c:rich>
      </c:tx>
      <c:layout>
        <c:manualLayout>
          <c:xMode val="edge"/>
          <c:yMode val="edge"/>
          <c:x val="0.20372481466722644"/>
          <c:y val="3.0393336249635462E-3"/>
        </c:manualLayout>
      </c:layout>
      <c:spPr>
        <a:ln>
          <a:noFill/>
        </a:ln>
      </c:spPr>
    </c:title>
    <c:view3D>
      <c:rotX val="10"/>
      <c:rotY val="10"/>
      <c:perspective val="0"/>
    </c:view3D>
    <c:sideWall>
      <c:spPr>
        <a:noFill/>
        <a:ln w="25400">
          <a:noFill/>
        </a:ln>
      </c:spPr>
    </c:sideWall>
    <c:backWall>
      <c:spPr>
        <a:noFill/>
        <a:ln w="25400">
          <a:noFill/>
        </a:ln>
      </c:spPr>
    </c:backWall>
    <c:plotArea>
      <c:layout>
        <c:manualLayout>
          <c:layoutTarget val="inner"/>
          <c:xMode val="edge"/>
          <c:yMode val="edge"/>
          <c:x val="9.0689728806320688E-2"/>
          <c:y val="2.9624887314617591E-2"/>
          <c:w val="0.90861868228012665"/>
          <c:h val="0.69044764733128083"/>
        </c:manualLayout>
      </c:layout>
      <c:bar3DChart>
        <c:barDir val="col"/>
        <c:grouping val="standard"/>
        <c:ser>
          <c:idx val="0"/>
          <c:order val="0"/>
          <c:tx>
            <c:strRef>
              <c:f>Лист1!$B$1</c:f>
              <c:strCache>
                <c:ptCount val="1"/>
                <c:pt idx="0">
                  <c:v>Столбец3</c:v>
                </c:pt>
              </c:strCache>
            </c:strRef>
          </c:tx>
          <c:spPr>
            <a:solidFill>
              <a:schemeClr val="accent2">
                <a:lumMod val="60000"/>
                <a:lumOff val="40000"/>
              </a:schemeClr>
            </a:solidFill>
          </c:spPr>
          <c:dLbls>
            <c:dLbl>
              <c:idx val="0"/>
              <c:layout>
                <c:manualLayout>
                  <c:x val="5.9348523138644934E-3"/>
                  <c:y val="9.228774650902773E-3"/>
                </c:manualLayout>
              </c:layout>
              <c:showVal val="1"/>
              <c:extLst>
                <c:ext xmlns:c15="http://schemas.microsoft.com/office/drawing/2012/chart" uri="{CE6537A1-D6FC-4f65-9D91-7224C49458BB}">
                  <c15:layout/>
                </c:ext>
              </c:extLst>
            </c:dLbl>
            <c:dLbl>
              <c:idx val="1"/>
              <c:layout>
                <c:manualLayout>
                  <c:x val="8.2864641919760066E-3"/>
                  <c:y val="9.6474919801691466E-3"/>
                </c:manualLayout>
              </c:layout>
              <c:showVal val="1"/>
              <c:extLst>
                <c:ext xmlns:c15="http://schemas.microsoft.com/office/drawing/2012/chart" uri="{CE6537A1-D6FC-4f65-9D91-7224C49458BB}">
                  <c15:layout/>
                </c:ext>
              </c:extLst>
            </c:dLbl>
            <c:dLbl>
              <c:idx val="2"/>
              <c:layout>
                <c:manualLayout>
                  <c:x val="1.0374600035982061E-2"/>
                  <c:y val="1.51141222188216E-2"/>
                </c:manualLayout>
              </c:layout>
              <c:showVal val="1"/>
              <c:extLst>
                <c:ext xmlns:c15="http://schemas.microsoft.com/office/drawing/2012/chart" uri="{CE6537A1-D6FC-4f65-9D91-7224C49458BB}">
                  <c15:layout/>
                </c:ext>
              </c:extLst>
            </c:dLbl>
            <c:dLbl>
              <c:idx val="3"/>
              <c:layout>
                <c:manualLayout>
                  <c:x val="6.0791167920154114E-3"/>
                  <c:y val="1.5642771216098739E-2"/>
                </c:manualLayout>
              </c:layout>
              <c:showVal val="1"/>
              <c:extLst>
                <c:ext xmlns:c15="http://schemas.microsoft.com/office/drawing/2012/chart" uri="{CE6537A1-D6FC-4f65-9D91-7224C49458BB}">
                  <c15:layout/>
                </c:ext>
              </c:extLst>
            </c:dLbl>
            <c:dLbl>
              <c:idx val="4"/>
              <c:layout>
                <c:manualLayout>
                  <c:x val="6.1399836231234104E-3"/>
                  <c:y val="1.8877021037023003E-2"/>
                </c:manualLayout>
              </c:layout>
              <c:showVal val="1"/>
              <c:extLst>
                <c:ext xmlns:c15="http://schemas.microsoft.com/office/drawing/2012/chart" uri="{CE6537A1-D6FC-4f65-9D91-7224C49458BB}">
                  <c15:layout/>
                </c:ext>
              </c:extLst>
            </c:dLbl>
            <c:dLbl>
              <c:idx val="5"/>
              <c:layout>
                <c:manualLayout>
                  <c:x val="1.7732088421682781E-3"/>
                  <c:y val="1.4260056616790025E-2"/>
                </c:manualLayout>
              </c:layout>
              <c:showVal val="1"/>
              <c:extLst>
                <c:ext xmlns:c15="http://schemas.microsoft.com/office/drawing/2012/chart" uri="{CE6537A1-D6FC-4f65-9D91-7224C49458BB}">
                  <c15:layout/>
                </c:ext>
              </c:extLst>
            </c:dLbl>
            <c:dLbl>
              <c:idx val="6"/>
              <c:layout>
                <c:manualLayout>
                  <c:x val="8.2383760325923389E-3"/>
                  <c:y val="1.4080452934319766E-2"/>
                </c:manualLayout>
              </c:layout>
              <c:showVal val="1"/>
              <c:extLst>
                <c:ext xmlns:c15="http://schemas.microsoft.com/office/drawing/2012/chart" uri="{CE6537A1-D6FC-4f65-9D91-7224C49458BB}">
                  <c15:layout/>
                </c:ext>
              </c:extLst>
            </c:dLbl>
            <c:dLbl>
              <c:idx val="7"/>
              <c:layout>
                <c:manualLayout>
                  <c:x val="5.9815953499087124E-3"/>
                  <c:y val="9.2248098897003503E-3"/>
                </c:manualLayout>
              </c:layout>
              <c:showVal val="1"/>
              <c:extLst>
                <c:ext xmlns:c15="http://schemas.microsoft.com/office/drawing/2012/chart" uri="{CE6537A1-D6FC-4f65-9D91-7224C49458BB}">
                  <c15:layout/>
                </c:ext>
              </c:extLst>
            </c:dLbl>
            <c:dLbl>
              <c:idx val="8"/>
              <c:layout>
                <c:manualLayout>
                  <c:x val="3.9677775704048315E-3"/>
                  <c:y val="8.4425625044605226E-3"/>
                </c:manualLayout>
              </c:layout>
              <c:showVal val="1"/>
              <c:extLst>
                <c:ext xmlns:c15="http://schemas.microsoft.com/office/drawing/2012/chart" uri="{CE6537A1-D6FC-4f65-9D91-7224C49458BB}">
                  <c15:layout/>
                </c:ext>
              </c:extLst>
            </c:dLbl>
            <c:dLbl>
              <c:idx val="9"/>
              <c:layout>
                <c:manualLayout>
                  <c:x val="6.0675151032129953E-3"/>
                  <c:y val="9.2335323643457246E-3"/>
                </c:manualLayout>
              </c:layout>
              <c:showVal val="1"/>
              <c:extLst>
                <c:ext xmlns:c15="http://schemas.microsoft.com/office/drawing/2012/chart" uri="{CE6537A1-D6FC-4f65-9D91-7224C49458BB}">
                  <c15:layout/>
                </c:ext>
              </c:extLst>
            </c:dLbl>
            <c:dLbl>
              <c:idx val="10"/>
              <c:layout>
                <c:manualLayout>
                  <c:x val="7.8651043059079495E-3"/>
                  <c:y val="9.4678497514100266E-3"/>
                </c:manualLayout>
              </c:layout>
              <c:showVal val="1"/>
              <c:extLst>
                <c:ext xmlns:c15="http://schemas.microsoft.com/office/drawing/2012/chart" uri="{CE6537A1-D6FC-4f65-9D91-7224C49458BB}">
                  <c15:layout/>
                </c:ext>
              </c:extLst>
            </c:dLbl>
            <c:dLbl>
              <c:idx val="11"/>
              <c:layout>
                <c:manualLayout>
                  <c:x val="4.1520594679028393E-3"/>
                  <c:y val="1.007049345417925E-2"/>
                </c:manualLayout>
              </c:layout>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Лист1!$A$2:$A$15</c:f>
              <c:strCache>
                <c:ptCount val="12"/>
                <c:pt idx="0">
                  <c:v>2006 г.</c:v>
                </c:pt>
                <c:pt idx="1">
                  <c:v>2007 г.</c:v>
                </c:pt>
                <c:pt idx="2">
                  <c:v>2008 г.</c:v>
                </c:pt>
                <c:pt idx="3">
                  <c:v>2009 г.</c:v>
                </c:pt>
                <c:pt idx="4">
                  <c:v>2010 г.</c:v>
                </c:pt>
                <c:pt idx="5">
                  <c:v>2011 г.</c:v>
                </c:pt>
                <c:pt idx="6">
                  <c:v>2012 г.</c:v>
                </c:pt>
                <c:pt idx="7">
                  <c:v>2013 г.</c:v>
                </c:pt>
                <c:pt idx="8">
                  <c:v>2014 г.</c:v>
                </c:pt>
                <c:pt idx="9">
                  <c:v>2015 г.</c:v>
                </c:pt>
                <c:pt idx="10">
                  <c:v>2016 г.</c:v>
                </c:pt>
                <c:pt idx="11">
                  <c:v>2017 г.</c:v>
                </c:pt>
              </c:strCache>
            </c:strRef>
          </c:cat>
          <c:val>
            <c:numRef>
              <c:f>Лист1!$B$2:$B$15</c:f>
              <c:numCache>
                <c:formatCode>#,##0.00</c:formatCode>
                <c:ptCount val="12"/>
                <c:pt idx="0">
                  <c:v>103.67999999999998</c:v>
                </c:pt>
                <c:pt idx="1">
                  <c:v>110.93</c:v>
                </c:pt>
                <c:pt idx="2">
                  <c:v>120.44000000000032</c:v>
                </c:pt>
                <c:pt idx="3">
                  <c:v>100.49000000000002</c:v>
                </c:pt>
                <c:pt idx="4">
                  <c:v>107.3</c:v>
                </c:pt>
                <c:pt idx="5">
                  <c:v>111.35</c:v>
                </c:pt>
                <c:pt idx="6">
                  <c:v>107.75</c:v>
                </c:pt>
                <c:pt idx="7">
                  <c:v>103.42</c:v>
                </c:pt>
                <c:pt idx="8">
                  <c:v>101.96000000000002</c:v>
                </c:pt>
                <c:pt idx="9">
                  <c:v>100.22</c:v>
                </c:pt>
                <c:pt idx="10">
                  <c:v>103.75</c:v>
                </c:pt>
                <c:pt idx="11">
                  <c:v>106.28</c:v>
                </c:pt>
              </c:numCache>
            </c:numRef>
          </c:val>
        </c:ser>
        <c:ser>
          <c:idx val="1"/>
          <c:order val="1"/>
          <c:tx>
            <c:strRef>
              <c:f>Лист1!$C$1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Лист1!$A$2:$A$15</c:f>
              <c:strCache>
                <c:ptCount val="12"/>
                <c:pt idx="0">
                  <c:v>2006 г.</c:v>
                </c:pt>
                <c:pt idx="1">
                  <c:v>2007 г.</c:v>
                </c:pt>
                <c:pt idx="2">
                  <c:v>2008 г.</c:v>
                </c:pt>
                <c:pt idx="3">
                  <c:v>2009 г.</c:v>
                </c:pt>
                <c:pt idx="4">
                  <c:v>2010 г.</c:v>
                </c:pt>
                <c:pt idx="5">
                  <c:v>2011 г.</c:v>
                </c:pt>
                <c:pt idx="6">
                  <c:v>2012 г.</c:v>
                </c:pt>
                <c:pt idx="7">
                  <c:v>2013 г.</c:v>
                </c:pt>
                <c:pt idx="8">
                  <c:v>2014 г.</c:v>
                </c:pt>
                <c:pt idx="9">
                  <c:v>2015 г.</c:v>
                </c:pt>
                <c:pt idx="10">
                  <c:v>2016 г.</c:v>
                </c:pt>
                <c:pt idx="11">
                  <c:v>2017 г.</c:v>
                </c:pt>
              </c:strCache>
            </c:strRef>
          </c:cat>
          <c:val>
            <c:numRef>
              <c:f>Лист1!$C$2:$C$15</c:f>
            </c:numRef>
          </c:val>
          <c:shape val="box"/>
        </c:ser>
        <c:ser>
          <c:idx val="2"/>
          <c:order val="2"/>
          <c:tx>
            <c:strRef>
              <c:f>Лист1!$D$1</c:f>
              <c:strCache>
                <c:ptCount val="1"/>
                <c:pt idx="0">
                  <c:v>Столбец2</c:v>
                </c:pt>
              </c:strCache>
            </c:strRef>
          </c:tx>
          <c:dLbls>
            <c:spPr>
              <a:noFill/>
              <a:ln>
                <a:noFill/>
              </a:ln>
              <a:effectLst/>
            </c:spPr>
            <c:showVal val="1"/>
            <c:extLst>
              <c:ext xmlns:c15="http://schemas.microsoft.com/office/drawing/2012/chart" uri="{CE6537A1-D6FC-4f65-9D91-7224C49458BB}">
                <c15:showLeaderLines val="0"/>
              </c:ext>
            </c:extLst>
          </c:dLbls>
          <c:cat>
            <c:strRef>
              <c:f>Лист1!$A$2:$A$15</c:f>
              <c:strCache>
                <c:ptCount val="12"/>
                <c:pt idx="0">
                  <c:v>2006 г.</c:v>
                </c:pt>
                <c:pt idx="1">
                  <c:v>2007 г.</c:v>
                </c:pt>
                <c:pt idx="2">
                  <c:v>2008 г.</c:v>
                </c:pt>
                <c:pt idx="3">
                  <c:v>2009 г.</c:v>
                </c:pt>
                <c:pt idx="4">
                  <c:v>2010 г.</c:v>
                </c:pt>
                <c:pt idx="5">
                  <c:v>2011 г.</c:v>
                </c:pt>
                <c:pt idx="6">
                  <c:v>2012 г.</c:v>
                </c:pt>
                <c:pt idx="7">
                  <c:v>2013 г.</c:v>
                </c:pt>
                <c:pt idx="8">
                  <c:v>2014 г.</c:v>
                </c:pt>
                <c:pt idx="9">
                  <c:v>2015 г.</c:v>
                </c:pt>
                <c:pt idx="10">
                  <c:v>2016 г.</c:v>
                </c:pt>
                <c:pt idx="11">
                  <c:v>2017 г.</c:v>
                </c:pt>
              </c:strCache>
            </c:strRef>
          </c:cat>
          <c:val>
            <c:numRef>
              <c:f>Лист1!$D$2:$D$15</c:f>
            </c:numRef>
          </c:val>
          <c:shape val="box"/>
        </c:ser>
        <c:dLbls>
          <c:showVal val="1"/>
        </c:dLbls>
        <c:shape val="cylinder"/>
        <c:axId val="104806272"/>
        <c:axId val="104807808"/>
        <c:axId val="103828544"/>
      </c:bar3DChart>
      <c:catAx>
        <c:axId val="104806272"/>
        <c:scaling>
          <c:orientation val="minMax"/>
        </c:scaling>
        <c:axPos val="b"/>
        <c:numFmt formatCode="General" sourceLinked="1"/>
        <c:tickLblPos val="nextTo"/>
        <c:txPr>
          <a:bodyPr rot="-5400000" vert="horz"/>
          <a:lstStyle/>
          <a:p>
            <a:pPr>
              <a:defRPr b="1"/>
            </a:pPr>
            <a:endParaRPr lang="ru-RU"/>
          </a:p>
        </c:txPr>
        <c:crossAx val="104807808"/>
        <c:crossesAt val="0"/>
        <c:auto val="1"/>
        <c:lblAlgn val="ctr"/>
        <c:lblOffset val="100"/>
      </c:catAx>
      <c:valAx>
        <c:axId val="104807808"/>
        <c:scaling>
          <c:orientation val="minMax"/>
          <c:max val="140"/>
          <c:min val="80"/>
        </c:scaling>
        <c:axPos val="l"/>
        <c:numFmt formatCode="#,##0.00" sourceLinked="1"/>
        <c:tickLblPos val="nextTo"/>
        <c:txPr>
          <a:bodyPr/>
          <a:lstStyle/>
          <a:p>
            <a:pPr>
              <a:defRPr b="1"/>
            </a:pPr>
            <a:endParaRPr lang="ru-RU"/>
          </a:p>
        </c:txPr>
        <c:crossAx val="104806272"/>
        <c:crosses val="autoZero"/>
        <c:crossBetween val="between"/>
        <c:majorUnit val="20"/>
        <c:minorUnit val="20"/>
      </c:valAx>
      <c:serAx>
        <c:axId val="103828544"/>
        <c:scaling>
          <c:orientation val="minMax"/>
        </c:scaling>
        <c:delete val="1"/>
        <c:axPos val="b"/>
        <c:tickLblPos val="none"/>
        <c:crossAx val="104807808"/>
        <c:crosses val="autoZero"/>
      </c:ser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pPr>
            <a:r>
              <a:rPr lang="ru-RU" sz="1050"/>
              <a:t>Величина среднемесячной заработной платы</a:t>
            </a:r>
          </a:p>
        </c:rich>
      </c:tx>
      <c:layout>
        <c:manualLayout>
          <c:xMode val="edge"/>
          <c:yMode val="edge"/>
          <c:x val="0.28869518344186401"/>
          <c:y val="0"/>
        </c:manualLayout>
      </c:layout>
      <c:overlay val="1"/>
      <c:spPr>
        <a:noFill/>
      </c:spPr>
    </c:title>
    <c:plotArea>
      <c:layout>
        <c:manualLayout>
          <c:layoutTarget val="inner"/>
          <c:xMode val="edge"/>
          <c:yMode val="edge"/>
          <c:x val="0.36019231392372247"/>
          <c:y val="0.13126079447322991"/>
          <c:w val="0.61359612758685544"/>
          <c:h val="0.43989773299063401"/>
        </c:manualLayout>
      </c:layout>
      <c:barChart>
        <c:barDir val="col"/>
        <c:grouping val="clustered"/>
        <c:ser>
          <c:idx val="0"/>
          <c:order val="0"/>
          <c:tx>
            <c:strRef>
              <c:f>Лист1!$B$2</c:f>
              <c:strCache>
                <c:ptCount val="1"/>
                <c:pt idx="0">
                  <c:v>Среднемесячная номинальная заработная плата в целом по республике</c:v>
                </c:pt>
              </c:strCache>
            </c:strRef>
          </c:tx>
          <c:spPr>
            <a:gradFill>
              <a:gsLst>
                <a:gs pos="0">
                  <a:srgbClr val="03D4A8"/>
                </a:gs>
                <a:gs pos="25000">
                  <a:srgbClr val="21D6E0"/>
                </a:gs>
                <a:gs pos="75000">
                  <a:srgbClr val="0087E6"/>
                </a:gs>
                <a:gs pos="100000">
                  <a:srgbClr val="005CBF"/>
                </a:gs>
              </a:gsLst>
              <a:lin ang="5400000" scaled="0"/>
            </a:gradFill>
          </c:spPr>
          <c:dLbls>
            <c:dLbl>
              <c:idx val="0"/>
              <c:layout>
                <c:manualLayout>
                  <c:x val="-1.6557019157652071E-2"/>
                  <c:y val="9.8830276273270245E-3"/>
                </c:manualLayout>
              </c:layout>
              <c:tx>
                <c:rich>
                  <a:bodyPr/>
                  <a:lstStyle/>
                  <a:p>
                    <a:r>
                      <a:rPr lang="en-US" b="1"/>
                      <a:t>-1,5*</a:t>
                    </a:r>
                  </a:p>
                </c:rich>
              </c:tx>
              <c:showVal val="1"/>
              <c:extLst>
                <c:ext xmlns:c15="http://schemas.microsoft.com/office/drawing/2012/chart" uri="{CE6537A1-D6FC-4f65-9D91-7224C49458BB}">
                  <c15:layout/>
                </c:ext>
              </c:extLst>
            </c:dLbl>
            <c:dLbl>
              <c:idx val="1"/>
              <c:layout>
                <c:manualLayout>
                  <c:x val="-1.8518518518518989E-2"/>
                  <c:y val="1.407211961301707E-2"/>
                </c:manualLayout>
              </c:layout>
              <c:tx>
                <c:rich>
                  <a:bodyPr/>
                  <a:lstStyle/>
                  <a:p>
                    <a:r>
                      <a:rPr lang="en-US" b="1"/>
                      <a:t>-2,3**</a:t>
                    </a:r>
                  </a:p>
                </c:rich>
              </c:tx>
              <c:showVal val="1"/>
              <c:extLst>
                <c:ext xmlns:c15="http://schemas.microsoft.com/office/drawing/2012/chart" uri="{CE6537A1-D6FC-4f65-9D91-7224C49458BB}">
                  <c15:layout/>
                </c:ext>
              </c:extLst>
            </c:dLbl>
            <c:dLbl>
              <c:idx val="2"/>
              <c:layout>
                <c:manualLayout>
                  <c:x val="-1.2345679012346025E-2"/>
                  <c:y val="0"/>
                </c:manualLayout>
              </c:layout>
              <c:tx>
                <c:rich>
                  <a:bodyPr/>
                  <a:lstStyle/>
                  <a:p>
                    <a:r>
                      <a:rPr lang="en-US" b="1"/>
                      <a:t>-3,8*</a:t>
                    </a:r>
                  </a:p>
                </c:rich>
              </c:tx>
              <c:showVal val="1"/>
              <c:extLst>
                <c:ext xmlns:c15="http://schemas.microsoft.com/office/drawing/2012/chart" uri="{CE6537A1-D6FC-4f65-9D91-7224C49458BB}">
                  <c15:layout/>
                </c:ext>
              </c:extLst>
            </c:dLbl>
            <c:dLbl>
              <c:idx val="3"/>
              <c:layout>
                <c:manualLayout>
                  <c:x val="-6.1728395061728504E-3"/>
                  <c:y val="1.7590149516271109E-2"/>
                </c:manualLayout>
              </c:layout>
              <c:tx>
                <c:rich>
                  <a:bodyPr/>
                  <a:lstStyle/>
                  <a:p>
                    <a:r>
                      <a:rPr lang="en-US" b="1"/>
                      <a:t>-1,8**</a:t>
                    </a:r>
                  </a:p>
                </c:rich>
              </c:tx>
              <c:showVal val="1"/>
              <c:extLst>
                <c:ext xmlns:c15="http://schemas.microsoft.com/office/drawing/2012/chart" uri="{CE6537A1-D6FC-4f65-9D91-7224C49458BB}">
                  <c15:layout/>
                </c:ext>
              </c:extLst>
            </c:dLbl>
            <c:spPr>
              <a:noFill/>
            </c:spPr>
            <c:txPr>
              <a:bodyPr/>
              <a:lstStyle/>
              <a:p>
                <a:pPr>
                  <a:defRPr b="1"/>
                </a:pPr>
                <a:endParaRPr lang="ru-RU"/>
              </a:p>
            </c:txPr>
            <c:showVal val="1"/>
            <c:extLst>
              <c:ext xmlns:c15="http://schemas.microsoft.com/office/drawing/2012/chart" uri="{CE6537A1-D6FC-4f65-9D91-7224C49458BB}">
                <c15:showLeaderLines val="0"/>
              </c:ext>
            </c:extLst>
          </c:dLbls>
          <c:cat>
            <c:strRef>
              <c:f>Лист1!$A$3:$A$6</c:f>
              <c:strCache>
                <c:ptCount val="4"/>
                <c:pt idx="0">
                  <c:v>I полуг. 2016 года руб. ПМР </c:v>
                </c:pt>
                <c:pt idx="1">
                  <c:v>дол. США</c:v>
                </c:pt>
                <c:pt idx="2">
                  <c:v>I полуг. 2017 года руб. ПМР </c:v>
                </c:pt>
                <c:pt idx="3">
                  <c:v>дол. США</c:v>
                </c:pt>
              </c:strCache>
            </c:strRef>
          </c:cat>
          <c:val>
            <c:numRef>
              <c:f>Лист1!$B$3:$B$6</c:f>
              <c:numCache>
                <c:formatCode>General</c:formatCode>
                <c:ptCount val="4"/>
                <c:pt idx="0">
                  <c:v>3791</c:v>
                </c:pt>
                <c:pt idx="1">
                  <c:v>338</c:v>
                </c:pt>
                <c:pt idx="2">
                  <c:v>3845</c:v>
                </c:pt>
                <c:pt idx="3" formatCode="0">
                  <c:v>331.86031658352181</c:v>
                </c:pt>
              </c:numCache>
            </c:numRef>
          </c:val>
        </c:ser>
        <c:ser>
          <c:idx val="1"/>
          <c:order val="1"/>
          <c:tx>
            <c:strRef>
              <c:f>Лист1!$C$2</c:f>
              <c:strCache>
                <c:ptCount val="1"/>
                <c:pt idx="0">
                  <c:v>Среднемесячная номинальная заработная плата во внебюджетном секторе экономики</c:v>
                </c:pt>
              </c:strCache>
            </c:strRef>
          </c:tx>
          <c:spPr>
            <a:gradFill>
              <a:gsLst>
                <a:gs pos="0">
                  <a:srgbClr val="4BACC6">
                    <a:lumMod val="75000"/>
                  </a:srgbClr>
                </a:gs>
                <a:gs pos="50000">
                  <a:srgbClr val="4F81BD">
                    <a:tint val="44500"/>
                    <a:satMod val="160000"/>
                  </a:srgbClr>
                </a:gs>
                <a:gs pos="100000">
                  <a:srgbClr val="4F81BD">
                    <a:tint val="23500"/>
                    <a:satMod val="160000"/>
                  </a:srgbClr>
                </a:gs>
              </a:gsLst>
              <a:lin ang="5400000" scaled="0"/>
            </a:gradFill>
          </c:spPr>
          <c:dLbls>
            <c:dLbl>
              <c:idx val="0"/>
              <c:layout>
                <c:manualLayout>
                  <c:x val="2.0575465449996452E-3"/>
                  <c:y val="6.364753538755632E-3"/>
                </c:manualLayout>
              </c:layout>
              <c:tx>
                <c:rich>
                  <a:bodyPr/>
                  <a:lstStyle/>
                  <a:p>
                    <a:r>
                      <a:rPr lang="en-US" b="1"/>
                      <a:t>-1,4*</a:t>
                    </a:r>
                  </a:p>
                </c:rich>
              </c:tx>
              <c:showVal val="1"/>
              <c:extLst>
                <c:ext xmlns:c15="http://schemas.microsoft.com/office/drawing/2012/chart" uri="{CE6537A1-D6FC-4f65-9D91-7224C49458BB}">
                  <c15:layout/>
                </c:ext>
              </c:extLst>
            </c:dLbl>
            <c:dLbl>
              <c:idx val="1"/>
              <c:layout>
                <c:manualLayout>
                  <c:x val="-6.1728395061728504E-3"/>
                  <c:y val="-2.1108179419526349E-2"/>
                </c:manualLayout>
              </c:layout>
              <c:tx>
                <c:rich>
                  <a:bodyPr/>
                  <a:lstStyle/>
                  <a:p>
                    <a:r>
                      <a:rPr lang="en-US" b="1"/>
                      <a:t>-2,3**</a:t>
                    </a:r>
                  </a:p>
                </c:rich>
              </c:tx>
              <c:showVal val="1"/>
              <c:extLst>
                <c:ext xmlns:c15="http://schemas.microsoft.com/office/drawing/2012/chart" uri="{CE6537A1-D6FC-4f65-9D91-7224C49458BB}">
                  <c15:layout/>
                </c:ext>
              </c:extLst>
            </c:dLbl>
            <c:dLbl>
              <c:idx val="2"/>
              <c:tx>
                <c:rich>
                  <a:bodyPr/>
                  <a:lstStyle/>
                  <a:p>
                    <a:r>
                      <a:rPr lang="en-US" b="1"/>
                      <a:t>-3,7*</a:t>
                    </a:r>
                  </a:p>
                </c:rich>
              </c:tx>
              <c:showVal val="1"/>
              <c:extLst>
                <c:ext xmlns:c15="http://schemas.microsoft.com/office/drawing/2012/chart" uri="{CE6537A1-D6FC-4f65-9D91-7224C49458BB}">
                  <c15:layout/>
                </c:ext>
              </c:extLst>
            </c:dLbl>
            <c:dLbl>
              <c:idx val="3"/>
              <c:layout>
                <c:manualLayout>
                  <c:x val="4.1152263374485704E-3"/>
                  <c:y val="-1.0554089709763174E-2"/>
                </c:manualLayout>
              </c:layout>
              <c:tx>
                <c:rich>
                  <a:bodyPr/>
                  <a:lstStyle/>
                  <a:p>
                    <a:r>
                      <a:rPr lang="en-US" b="1"/>
                      <a:t>-1,8**</a:t>
                    </a:r>
                  </a:p>
                </c:rich>
              </c:tx>
              <c:showVal val="1"/>
              <c:extLst>
                <c:ext xmlns:c15="http://schemas.microsoft.com/office/drawing/2012/chart" uri="{CE6537A1-D6FC-4f65-9D91-7224C49458BB}">
                  <c15:layout/>
                </c:ext>
              </c:extLst>
            </c:dLbl>
            <c:spPr>
              <a:noFill/>
            </c:spPr>
            <c:txPr>
              <a:bodyPr/>
              <a:lstStyle/>
              <a:p>
                <a:pPr>
                  <a:defRPr b="1"/>
                </a:pPr>
                <a:endParaRPr lang="ru-RU"/>
              </a:p>
            </c:txPr>
            <c:showVal val="1"/>
            <c:extLst>
              <c:ext xmlns:c15="http://schemas.microsoft.com/office/drawing/2012/chart" uri="{CE6537A1-D6FC-4f65-9D91-7224C49458BB}">
                <c15:showLeaderLines val="0"/>
              </c:ext>
            </c:extLst>
          </c:dLbls>
          <c:cat>
            <c:strRef>
              <c:f>Лист1!$A$3:$A$6</c:f>
              <c:strCache>
                <c:ptCount val="4"/>
                <c:pt idx="0">
                  <c:v>I полуг. 2016 года руб. ПМР </c:v>
                </c:pt>
                <c:pt idx="1">
                  <c:v>дол. США</c:v>
                </c:pt>
                <c:pt idx="2">
                  <c:v>I полуг. 2017 года руб. ПМР </c:v>
                </c:pt>
                <c:pt idx="3">
                  <c:v>дол. США</c:v>
                </c:pt>
              </c:strCache>
            </c:strRef>
          </c:cat>
          <c:val>
            <c:numRef>
              <c:f>Лист1!$C$3:$C$6</c:f>
              <c:numCache>
                <c:formatCode>General</c:formatCode>
                <c:ptCount val="4"/>
                <c:pt idx="0">
                  <c:v>4777</c:v>
                </c:pt>
                <c:pt idx="1">
                  <c:v>426</c:v>
                </c:pt>
                <c:pt idx="2">
                  <c:v>4848</c:v>
                </c:pt>
                <c:pt idx="3" formatCode="0">
                  <c:v>418.42882049334571</c:v>
                </c:pt>
              </c:numCache>
            </c:numRef>
          </c:val>
        </c:ser>
        <c:ser>
          <c:idx val="2"/>
          <c:order val="2"/>
          <c:tx>
            <c:strRef>
              <c:f>Лист1!$D$2</c:f>
              <c:strCache>
                <c:ptCount val="1"/>
                <c:pt idx="0">
                  <c:v>Среднемесячная номинальная заработная плата в бюджетном секторе экономики</c:v>
                </c:pt>
              </c:strCache>
            </c:strRef>
          </c:tx>
          <c:spPr>
            <a:gradFill flip="none" rotWithShape="1">
              <a:gsLst>
                <a:gs pos="0">
                  <a:sysClr val="window" lastClr="FFFFFF"/>
                </a:gs>
                <a:gs pos="17999">
                  <a:srgbClr val="99CCFF"/>
                </a:gs>
                <a:gs pos="36000">
                  <a:srgbClr val="9966FF"/>
                </a:gs>
                <a:gs pos="61000">
                  <a:srgbClr val="CC99FF"/>
                </a:gs>
                <a:gs pos="82001">
                  <a:srgbClr val="99CCFF"/>
                </a:gs>
                <a:gs pos="100000">
                  <a:srgbClr val="CCCCFF"/>
                </a:gs>
              </a:gsLst>
              <a:lin ang="5400000" scaled="0"/>
              <a:tileRect/>
            </a:gradFill>
          </c:spPr>
          <c:dLbls>
            <c:dLbl>
              <c:idx val="0"/>
              <c:layout>
                <c:manualLayout>
                  <c:x val="1.4403292181069918E-2"/>
                  <c:y val="1.05540553828466E-2"/>
                </c:manualLayout>
              </c:layout>
              <c:tx>
                <c:rich>
                  <a:bodyPr/>
                  <a:lstStyle/>
                  <a:p>
                    <a:r>
                      <a:rPr lang="en-US" b="1"/>
                      <a:t>+0,2*</a:t>
                    </a:r>
                  </a:p>
                </c:rich>
              </c:tx>
              <c:showVal val="1"/>
              <c:extLst>
                <c:ext xmlns:c15="http://schemas.microsoft.com/office/drawing/2012/chart" uri="{CE6537A1-D6FC-4f65-9D91-7224C49458BB}">
                  <c15:layout/>
                </c:ext>
              </c:extLst>
            </c:dLbl>
            <c:dLbl>
              <c:idx val="1"/>
              <c:layout>
                <c:manualLayout>
                  <c:x val="1.0288065843621401E-2"/>
                  <c:y val="0"/>
                </c:manualLayout>
              </c:layout>
              <c:tx>
                <c:rich>
                  <a:bodyPr/>
                  <a:lstStyle/>
                  <a:p>
                    <a:r>
                      <a:rPr lang="en-US" b="1"/>
                      <a:t>-0,8**</a:t>
                    </a:r>
                  </a:p>
                </c:rich>
              </c:tx>
              <c:showVal val="1"/>
              <c:extLst>
                <c:ext xmlns:c15="http://schemas.microsoft.com/office/drawing/2012/chart" uri="{CE6537A1-D6FC-4f65-9D91-7224C49458BB}">
                  <c15:layout/>
                </c:ext>
              </c:extLst>
            </c:dLbl>
            <c:dLbl>
              <c:idx val="2"/>
              <c:layout>
                <c:manualLayout>
                  <c:x val="1.23456063319188E-2"/>
                  <c:y val="-1.4743070410996329E-2"/>
                </c:manualLayout>
              </c:layout>
              <c:tx>
                <c:rich>
                  <a:bodyPr/>
                  <a:lstStyle/>
                  <a:p>
                    <a:r>
                      <a:rPr lang="en-US" b="1"/>
                      <a:t>-4,4*</a:t>
                    </a:r>
                  </a:p>
                </c:rich>
              </c:tx>
              <c:showVal val="1"/>
              <c:extLst>
                <c:ext xmlns:c15="http://schemas.microsoft.com/office/drawing/2012/chart" uri="{CE6537A1-D6FC-4f65-9D91-7224C49458BB}">
                  <c15:layout/>
                </c:ext>
              </c:extLst>
            </c:dLbl>
            <c:dLbl>
              <c:idx val="3"/>
              <c:layout>
                <c:manualLayout>
                  <c:x val="2.4691358024692092E-2"/>
                  <c:y val="1.0554089709763174E-2"/>
                </c:manualLayout>
              </c:layout>
              <c:tx>
                <c:rich>
                  <a:bodyPr/>
                  <a:lstStyle/>
                  <a:p>
                    <a:r>
                      <a:rPr lang="en-US" b="1"/>
                      <a:t>-2,3**</a:t>
                    </a:r>
                  </a:p>
                </c:rich>
              </c:tx>
              <c:showVal val="1"/>
              <c:extLst>
                <c:ext xmlns:c15="http://schemas.microsoft.com/office/drawing/2012/chart" uri="{CE6537A1-D6FC-4f65-9D91-7224C49458BB}">
                  <c15:layout/>
                </c:ext>
              </c:extLst>
            </c:dLbl>
            <c:spPr>
              <a:noFill/>
            </c:spPr>
            <c:txPr>
              <a:bodyPr/>
              <a:lstStyle/>
              <a:p>
                <a:pPr>
                  <a:defRPr b="1"/>
                </a:pPr>
                <a:endParaRPr lang="ru-RU"/>
              </a:p>
            </c:txPr>
            <c:showVal val="1"/>
            <c:extLst>
              <c:ext xmlns:c15="http://schemas.microsoft.com/office/drawing/2012/chart" uri="{CE6537A1-D6FC-4f65-9D91-7224C49458BB}">
                <c15:showLeaderLines val="0"/>
              </c:ext>
            </c:extLst>
          </c:dLbls>
          <c:cat>
            <c:strRef>
              <c:f>Лист1!$A$3:$A$6</c:f>
              <c:strCache>
                <c:ptCount val="4"/>
                <c:pt idx="0">
                  <c:v>I полуг. 2016 года руб. ПМР </c:v>
                </c:pt>
                <c:pt idx="1">
                  <c:v>дол. США</c:v>
                </c:pt>
                <c:pt idx="2">
                  <c:v>I полуг. 2017 года руб. ПМР </c:v>
                </c:pt>
                <c:pt idx="3">
                  <c:v>дол. США</c:v>
                </c:pt>
              </c:strCache>
            </c:strRef>
          </c:cat>
          <c:val>
            <c:numRef>
              <c:f>Лист1!$D$3:$D$6</c:f>
              <c:numCache>
                <c:formatCode>General</c:formatCode>
                <c:ptCount val="4"/>
                <c:pt idx="0">
                  <c:v>2694</c:v>
                </c:pt>
                <c:pt idx="1">
                  <c:v>240</c:v>
                </c:pt>
                <c:pt idx="2">
                  <c:v>2716</c:v>
                </c:pt>
                <c:pt idx="3" formatCode="0">
                  <c:v>234.41680620048001</c:v>
                </c:pt>
              </c:numCache>
            </c:numRef>
          </c:val>
        </c:ser>
        <c:axId val="105216640"/>
        <c:axId val="105243392"/>
      </c:barChart>
      <c:catAx>
        <c:axId val="105216640"/>
        <c:scaling>
          <c:orientation val="minMax"/>
        </c:scaling>
        <c:axPos val="b"/>
        <c:title>
          <c:tx>
            <c:rich>
              <a:bodyPr/>
              <a:lstStyle/>
              <a:p>
                <a:pPr>
                  <a:defRPr b="0"/>
                </a:pPr>
                <a:r>
                  <a:rPr lang="ru-RU" sz="800" b="0"/>
                  <a:t>темпы пересчитаны с учетом уточненных данных ГСС</a:t>
                </a:r>
              </a:p>
            </c:rich>
          </c:tx>
          <c:layout>
            <c:manualLayout>
              <c:xMode val="edge"/>
              <c:yMode val="edge"/>
              <c:x val="4.7246547452596474E-2"/>
              <c:y val="0.93306601125726285"/>
            </c:manualLayout>
          </c:layout>
        </c:title>
        <c:numFmt formatCode="General" sourceLinked="1"/>
        <c:tickLblPos val="nextTo"/>
        <c:crossAx val="105243392"/>
        <c:crosses val="autoZero"/>
        <c:auto val="1"/>
        <c:lblAlgn val="ctr"/>
        <c:lblOffset val="100"/>
      </c:catAx>
      <c:valAx>
        <c:axId val="105243392"/>
        <c:scaling>
          <c:orientation val="minMax"/>
        </c:scaling>
        <c:axPos val="l"/>
        <c:title>
          <c:tx>
            <c:rich>
              <a:bodyPr rot="0" vert="horz"/>
              <a:lstStyle/>
              <a:p>
                <a:pPr>
                  <a:defRPr sz="900"/>
                </a:pPr>
                <a:r>
                  <a:rPr lang="ru-RU" sz="900"/>
                  <a:t>* - Прирост/спад реальной заработной платы</a:t>
                </a:r>
              </a:p>
              <a:p>
                <a:pPr>
                  <a:defRPr sz="900"/>
                </a:pPr>
                <a:r>
                  <a:rPr lang="ru-RU" sz="900"/>
                  <a:t>** - прирост/спад заработной платы в долларовом эквиваленте</a:t>
                </a:r>
              </a:p>
              <a:p>
                <a:pPr>
                  <a:defRPr sz="900"/>
                </a:pPr>
                <a:endParaRPr lang="ru-RU" sz="900"/>
              </a:p>
            </c:rich>
          </c:tx>
          <c:layout>
            <c:manualLayout>
              <c:xMode val="edge"/>
              <c:yMode val="edge"/>
              <c:x val="3.9248411705546202E-2"/>
              <c:y val="0.17392138121463141"/>
            </c:manualLayout>
          </c:layout>
        </c:title>
        <c:numFmt formatCode="General" sourceLinked="1"/>
        <c:tickLblPos val="nextTo"/>
        <c:txPr>
          <a:bodyPr/>
          <a:lstStyle/>
          <a:p>
            <a:pPr>
              <a:defRPr sz="950" b="1"/>
            </a:pPr>
            <a:endParaRPr lang="ru-RU"/>
          </a:p>
        </c:txPr>
        <c:crossAx val="105216640"/>
        <c:crosses val="autoZero"/>
        <c:crossBetween val="between"/>
      </c:valAx>
      <c:dTable>
        <c:showHorzBorder val="1"/>
        <c:showVertBorder val="1"/>
        <c:showOutline val="1"/>
        <c:showKeys val="1"/>
        <c:txPr>
          <a:bodyPr/>
          <a:lstStyle/>
          <a:p>
            <a:pPr rtl="0">
              <a:defRPr sz="850" b="1"/>
            </a:pPr>
            <a:endParaRPr lang="ru-RU"/>
          </a:p>
        </c:txPr>
      </c:dTable>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ВДС  отраслей рыночных услуг, %</a:t>
            </a:r>
          </a:p>
        </c:rich>
      </c:tx>
      <c:layout>
        <c:manualLayout>
          <c:xMode val="edge"/>
          <c:yMode val="edge"/>
          <c:x val="0.28814061139224978"/>
          <c:y val="0"/>
        </c:manualLayout>
      </c:layout>
    </c:title>
    <c:plotArea>
      <c:layout>
        <c:manualLayout>
          <c:layoutTarget val="inner"/>
          <c:xMode val="edge"/>
          <c:yMode val="edge"/>
          <c:x val="8.0106837606837608E-2"/>
          <c:y val="0.11407494623919674"/>
          <c:w val="0.90976944058463283"/>
          <c:h val="0.34103629569668281"/>
        </c:manualLayout>
      </c:layout>
      <c:barChart>
        <c:barDir val="col"/>
        <c:grouping val="clustered"/>
        <c:ser>
          <c:idx val="0"/>
          <c:order val="0"/>
          <c:tx>
            <c:strRef>
              <c:f>Лист1!$B$1</c:f>
              <c:strCache>
                <c:ptCount val="1"/>
                <c:pt idx="0">
                  <c:v>январь-июнь 2016 года</c:v>
                </c:pt>
              </c:strCache>
            </c:strRef>
          </c:tx>
          <c:dLbls>
            <c:dLbl>
              <c:idx val="0"/>
              <c:layout>
                <c:manualLayout>
                  <c:x val="-6.2689279224712414E-3"/>
                  <c:y val="1.1035723338321033E-2"/>
                </c:manualLayout>
              </c:layout>
              <c:showVal val="1"/>
              <c:extLst>
                <c:ext xmlns:c15="http://schemas.microsoft.com/office/drawing/2012/chart" uri="{CE6537A1-D6FC-4f65-9D91-7224C49458BB}">
                  <c15:layout/>
                </c:ext>
              </c:extLst>
            </c:dLbl>
            <c:dLbl>
              <c:idx val="1"/>
              <c:layout>
                <c:manualLayout>
                  <c:x val="-6.1730015229577804E-3"/>
                  <c:y val="7.7294685990340331E-3"/>
                </c:manualLayout>
              </c:layout>
              <c:showVal val="1"/>
              <c:extLst>
                <c:ext xmlns:c15="http://schemas.microsoft.com/office/drawing/2012/chart" uri="{CE6537A1-D6FC-4f65-9D91-7224C49458BB}">
                  <c15:layout/>
                </c:ext>
              </c:extLst>
            </c:dLbl>
            <c:dLbl>
              <c:idx val="2"/>
              <c:layout>
                <c:manualLayout>
                  <c:x val="-6.5145130181149613E-3"/>
                  <c:y val="1.1204541292804005E-2"/>
                </c:manualLayout>
              </c:layout>
              <c:showVal val="1"/>
              <c:extLst>
                <c:ext xmlns:c15="http://schemas.microsoft.com/office/drawing/2012/chart" uri="{CE6537A1-D6FC-4f65-9D91-7224C49458BB}">
                  <c15:layout/>
                </c:ext>
              </c:extLst>
            </c:dLbl>
            <c:dLbl>
              <c:idx val="3"/>
              <c:layout>
                <c:manualLayout>
                  <c:x val="-1.0893496677426279E-2"/>
                  <c:y val="1.8300942344990835E-2"/>
                </c:manualLayout>
              </c:layout>
              <c:showVal val="1"/>
              <c:extLst>
                <c:ext xmlns:c15="http://schemas.microsoft.com/office/drawing/2012/chart" uri="{CE6537A1-D6FC-4f65-9D91-7224C49458BB}">
                  <c15:layout/>
                </c:ext>
              </c:extLst>
            </c:dLbl>
            <c:dLbl>
              <c:idx val="4"/>
              <c:layout>
                <c:manualLayout>
                  <c:x val="0"/>
                  <c:y val="9.3023255813953227E-3"/>
                </c:manualLayout>
              </c:layout>
              <c:showVal val="1"/>
              <c:extLst>
                <c:ext xmlns:c15="http://schemas.microsoft.com/office/drawing/2012/chart" uri="{CE6537A1-D6FC-4f65-9D91-7224C49458BB}">
                  <c15:layout/>
                </c:ext>
              </c:extLst>
            </c:dLbl>
            <c:dLbl>
              <c:idx val="5"/>
              <c:layout>
                <c:manualLayout>
                  <c:x val="-2.4122853162862929E-3"/>
                  <c:y val="1.7237190527960255E-2"/>
                </c:manualLayout>
              </c:layout>
              <c:showVal val="1"/>
              <c:extLst>
                <c:ext xmlns:c15="http://schemas.microsoft.com/office/drawing/2012/chart" uri="{CE6537A1-D6FC-4f65-9D91-7224C49458BB}">
                  <c15:layout/>
                </c:ext>
              </c:extLst>
            </c:dLbl>
            <c:dLbl>
              <c:idx val="6"/>
              <c:layout>
                <c:manualLayout>
                  <c:x val="-8.5515766969535226E-3"/>
                  <c:y val="8.6185952639801205E-3"/>
                </c:manualLayout>
              </c:layout>
              <c:showVal val="1"/>
              <c:extLst>
                <c:ext xmlns:c15="http://schemas.microsoft.com/office/drawing/2012/chart" uri="{CE6537A1-D6FC-4f65-9D91-7224C49458BB}">
                  <c15:layout/>
                </c:ext>
              </c:extLst>
            </c:dLbl>
            <c:dLbl>
              <c:idx val="7"/>
              <c:layout>
                <c:manualLayout>
                  <c:x val="-8.7254232337161067E-3"/>
                  <c:y val="6.8356222913998647E-3"/>
                </c:manualLayout>
              </c:layout>
              <c:showVal val="1"/>
              <c:extLst>
                <c:ext xmlns:c15="http://schemas.microsoft.com/office/drawing/2012/chart" uri="{CE6537A1-D6FC-4f65-9D91-7224C49458BB}">
                  <c15:layout/>
                </c:ext>
              </c:extLst>
            </c:dLbl>
            <c:dLbl>
              <c:idx val="8"/>
              <c:layout>
                <c:manualLayout>
                  <c:x val="-8.5515766969535226E-3"/>
                  <c:y val="1.2402972940325389E-2"/>
                </c:manualLayout>
              </c:layout>
              <c:showVal val="1"/>
              <c:extLst>
                <c:ext xmlns:c15="http://schemas.microsoft.com/office/drawing/2012/chart" uri="{CE6537A1-D6FC-4f65-9D91-7224C49458BB}">
                  <c15:layout/>
                </c:ext>
              </c:extLst>
            </c:dLbl>
            <c:dLbl>
              <c:idx val="9"/>
              <c:layout>
                <c:manualLayout>
                  <c:x val="-4.3643342016774665E-3"/>
                  <c:y val="1.6747559308829523E-2"/>
                </c:manualLayout>
              </c:layout>
              <c:showVal val="1"/>
              <c:extLst>
                <c:ext xmlns:c15="http://schemas.microsoft.com/office/drawing/2012/chart" uri="{CE6537A1-D6FC-4f65-9D91-7224C49458BB}">
                  <c15:layout/>
                </c:ext>
              </c:extLst>
            </c:dLbl>
            <c:dLbl>
              <c:idx val="10"/>
              <c:layout>
                <c:manualLayout>
                  <c:x val="1.0653332817849487E-5"/>
                  <c:y val="9.3023255813953504E-3"/>
                </c:manualLayout>
              </c:layout>
              <c:showVal val="1"/>
              <c:extLst>
                <c:ext xmlns:c15="http://schemas.microsoft.com/office/drawing/2012/chart" uri="{CE6537A1-D6FC-4f65-9D91-7224C49458BB}">
                  <c15:layout/>
                </c:ext>
              </c:extLst>
            </c:dLbl>
            <c:spPr>
              <a:noFill/>
              <a:ln>
                <a:noFill/>
              </a:ln>
              <a:effectLst/>
            </c:spPr>
            <c:txPr>
              <a:bodyPr rot="-5400000" vert="horz"/>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Лист1!$B$2:$B$12</c:f>
              <c:numCache>
                <c:formatCode>0.00</c:formatCode>
                <c:ptCount val="11"/>
                <c:pt idx="0">
                  <c:v>3.22</c:v>
                </c:pt>
                <c:pt idx="1">
                  <c:v>4.8499999999999996</c:v>
                </c:pt>
                <c:pt idx="2">
                  <c:v>14.47</c:v>
                </c:pt>
                <c:pt idx="3">
                  <c:v>2.08</c:v>
                </c:pt>
                <c:pt idx="4">
                  <c:v>0.31000000000000105</c:v>
                </c:pt>
                <c:pt idx="5">
                  <c:v>4.3599999999999985</c:v>
                </c:pt>
                <c:pt idx="6">
                  <c:v>0.51</c:v>
                </c:pt>
                <c:pt idx="7">
                  <c:v>5.2</c:v>
                </c:pt>
                <c:pt idx="8">
                  <c:v>0.54</c:v>
                </c:pt>
                <c:pt idx="9">
                  <c:v>0.37000000000000038</c:v>
                </c:pt>
                <c:pt idx="10">
                  <c:v>1.28</c:v>
                </c:pt>
              </c:numCache>
            </c:numRef>
          </c:val>
        </c:ser>
        <c:ser>
          <c:idx val="1"/>
          <c:order val="1"/>
          <c:tx>
            <c:strRef>
              <c:f>Лист1!$C$1</c:f>
              <c:strCache>
                <c:ptCount val="1"/>
                <c:pt idx="0">
                  <c:v>январь-июнь 2017 года</c:v>
                </c:pt>
              </c:strCache>
            </c:strRef>
          </c:tx>
          <c:dLbls>
            <c:dLbl>
              <c:idx val="0"/>
              <c:layout>
                <c:manualLayout>
                  <c:x val="-2.0985597954101889E-3"/>
                  <c:y val="9.2558523642488708E-3"/>
                </c:manualLayout>
              </c:layout>
              <c:showVal val="1"/>
              <c:extLst>
                <c:ext xmlns:c15="http://schemas.microsoft.com/office/drawing/2012/chart" uri="{CE6537A1-D6FC-4f65-9D91-7224C49458BB}">
                  <c15:layout/>
                </c:ext>
              </c:extLst>
            </c:dLbl>
            <c:dLbl>
              <c:idx val="1"/>
              <c:layout>
                <c:manualLayout>
                  <c:x val="-1.8853893263342152E-3"/>
                  <c:y val="3.9832871358370069E-3"/>
                </c:manualLayout>
              </c:layout>
              <c:showVal val="1"/>
              <c:extLst>
                <c:ext xmlns:c15="http://schemas.microsoft.com/office/drawing/2012/chart" uri="{CE6537A1-D6FC-4f65-9D91-7224C49458BB}">
                  <c15:layout/>
                </c:ext>
              </c:extLst>
            </c:dLbl>
            <c:dLbl>
              <c:idx val="2"/>
              <c:layout>
                <c:manualLayout>
                  <c:x val="4.4616057608184104E-3"/>
                  <c:y val="7.4697672136777565E-3"/>
                </c:manualLayout>
              </c:layout>
              <c:showVal val="1"/>
              <c:extLst>
                <c:ext xmlns:c15="http://schemas.microsoft.com/office/drawing/2012/chart" uri="{CE6537A1-D6FC-4f65-9D91-7224C49458BB}">
                  <c15:layout/>
                </c:ext>
              </c:extLst>
            </c:dLbl>
            <c:dLbl>
              <c:idx val="3"/>
              <c:layout>
                <c:manualLayout>
                  <c:x val="1.3241133319873559E-4"/>
                  <c:y val="6.7325696437478709E-3"/>
                </c:manualLayout>
              </c:layout>
              <c:showVal val="1"/>
              <c:extLst>
                <c:ext xmlns:c15="http://schemas.microsoft.com/office/drawing/2012/chart" uri="{CE6537A1-D6FC-4f65-9D91-7224C49458BB}">
                  <c15:layout/>
                </c:ext>
              </c:extLst>
            </c:dLbl>
            <c:dLbl>
              <c:idx val="4"/>
              <c:layout>
                <c:manualLayout>
                  <c:x val="1.1135230223426775E-2"/>
                  <c:y val="1.8386110353308161E-2"/>
                </c:manualLayout>
              </c:layout>
              <c:showVal val="1"/>
              <c:extLst>
                <c:ext xmlns:c15="http://schemas.microsoft.com/office/drawing/2012/chart" uri="{CE6537A1-D6FC-4f65-9D91-7224C49458BB}">
                  <c15:layout/>
                </c:ext>
              </c:extLst>
            </c:dLbl>
            <c:dLbl>
              <c:idx val="5"/>
              <c:layout>
                <c:manualLayout>
                  <c:x val="2.5136281041792844E-4"/>
                  <c:y val="9.8668040326735304E-3"/>
                </c:manualLayout>
              </c:layout>
              <c:showVal val="1"/>
              <c:extLst>
                <c:ext xmlns:c15="http://schemas.microsoft.com/office/drawing/2012/chart" uri="{CE6537A1-D6FC-4f65-9D91-7224C49458BB}">
                  <c15:layout/>
                </c:ext>
              </c:extLst>
            </c:dLbl>
            <c:dLbl>
              <c:idx val="6"/>
              <c:layout>
                <c:manualLayout>
                  <c:x val="-1.3197388787939981E-3"/>
                  <c:y val="7.885135853345434E-3"/>
                </c:manualLayout>
              </c:layout>
              <c:showVal val="1"/>
              <c:extLst>
                <c:ext xmlns:c15="http://schemas.microsoft.com/office/drawing/2012/chart" uri="{CE6537A1-D6FC-4f65-9D91-7224C49458BB}">
                  <c15:layout/>
                </c:ext>
              </c:extLst>
            </c:dLbl>
            <c:dLbl>
              <c:idx val="7"/>
              <c:layout>
                <c:manualLayout>
                  <c:x val="1.5697557036139779E-4"/>
                  <c:y val="1.4135616225541851E-3"/>
                </c:manualLayout>
              </c:layout>
              <c:showVal val="1"/>
              <c:extLst>
                <c:ext xmlns:c15="http://schemas.microsoft.com/office/drawing/2012/chart" uri="{CE6537A1-D6FC-4f65-9D91-7224C49458BB}">
                  <c15:layout/>
                </c:ext>
              </c:extLst>
            </c:dLbl>
            <c:dLbl>
              <c:idx val="8"/>
              <c:layout>
                <c:manualLayout>
                  <c:x val="-3.6264216972878485E-3"/>
                  <c:y val="1.2115354739536063E-2"/>
                </c:manualLayout>
              </c:layout>
              <c:showVal val="1"/>
              <c:extLst>
                <c:ext xmlns:c15="http://schemas.microsoft.com/office/drawing/2012/chart" uri="{CE6537A1-D6FC-4f65-9D91-7224C49458BB}">
                  <c15:layout/>
                </c:ext>
              </c:extLst>
            </c:dLbl>
            <c:dLbl>
              <c:idx val="9"/>
              <c:layout>
                <c:manualLayout>
                  <c:x val="-6.1624268120331113E-3"/>
                  <c:y val="1.412645849175396E-2"/>
                </c:manualLayout>
              </c:layout>
              <c:showVal val="1"/>
              <c:extLst>
                <c:ext xmlns:c15="http://schemas.microsoft.com/office/drawing/2012/chart" uri="{CE6537A1-D6FC-4f65-9D91-7224C49458BB}">
                  <c15:layout/>
                </c:ext>
              </c:extLst>
            </c:dLbl>
            <c:dLbl>
              <c:idx val="10"/>
              <c:layout>
                <c:manualLayout>
                  <c:x val="-9.5262130695201552E-4"/>
                  <c:y val="8.5686952682316707E-3"/>
                </c:manualLayout>
              </c:layout>
              <c:showVal val="1"/>
              <c:extLst>
                <c:ext xmlns:c15="http://schemas.microsoft.com/office/drawing/2012/chart" uri="{CE6537A1-D6FC-4f65-9D91-7224C49458BB}">
                  <c15:layout/>
                </c:ext>
              </c:extLst>
            </c:dLbl>
            <c:spPr>
              <a:noFill/>
              <a:ln>
                <a:noFill/>
              </a:ln>
              <a:effectLst/>
            </c:spPr>
            <c:txPr>
              <a:bodyPr rot="-5400000" vert="horz"/>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Лист1!$C$2:$C$12</c:f>
              <c:numCache>
                <c:formatCode>0.00</c:formatCode>
                <c:ptCount val="11"/>
                <c:pt idx="0">
                  <c:v>3.4899999999999998</c:v>
                </c:pt>
                <c:pt idx="1">
                  <c:v>4.9700000000000024</c:v>
                </c:pt>
                <c:pt idx="2">
                  <c:v>21.34</c:v>
                </c:pt>
                <c:pt idx="3">
                  <c:v>2.14</c:v>
                </c:pt>
                <c:pt idx="4">
                  <c:v>0.38000000000000117</c:v>
                </c:pt>
                <c:pt idx="5">
                  <c:v>4.76</c:v>
                </c:pt>
                <c:pt idx="6">
                  <c:v>0.52</c:v>
                </c:pt>
                <c:pt idx="7">
                  <c:v>4.99</c:v>
                </c:pt>
                <c:pt idx="8">
                  <c:v>0.66000000000000281</c:v>
                </c:pt>
                <c:pt idx="9">
                  <c:v>0.39000000000000118</c:v>
                </c:pt>
                <c:pt idx="10">
                  <c:v>1.37</c:v>
                </c:pt>
              </c:numCache>
            </c:numRef>
          </c:val>
        </c:ser>
        <c:dLbls>
          <c:showVal val="1"/>
        </c:dLbls>
        <c:axId val="96493568"/>
        <c:axId val="96495104"/>
      </c:barChart>
      <c:catAx>
        <c:axId val="96493568"/>
        <c:scaling>
          <c:orientation val="minMax"/>
        </c:scaling>
        <c:axPos val="b"/>
        <c:numFmt formatCode="General" sourceLinked="0"/>
        <c:tickLblPos val="nextTo"/>
        <c:txPr>
          <a:bodyPr rot="5400000" vert="horz"/>
          <a:lstStyle/>
          <a:p>
            <a:pPr>
              <a:defRPr b="1">
                <a:latin typeface="Times New Roman" pitchFamily="18" charset="0"/>
                <a:cs typeface="Times New Roman" pitchFamily="18" charset="0"/>
              </a:defRPr>
            </a:pPr>
            <a:endParaRPr lang="ru-RU"/>
          </a:p>
        </c:txPr>
        <c:crossAx val="96495104"/>
        <c:crosses val="autoZero"/>
        <c:auto val="1"/>
        <c:lblAlgn val="ctr"/>
        <c:lblOffset val="100"/>
      </c:catAx>
      <c:valAx>
        <c:axId val="96495104"/>
        <c:scaling>
          <c:orientation val="minMax"/>
        </c:scaling>
        <c:axPos val="l"/>
        <c:numFmt formatCode="0.00" sourceLinked="1"/>
        <c:tickLblPos val="nextTo"/>
        <c:txPr>
          <a:bodyPr/>
          <a:lstStyle/>
          <a:p>
            <a:pPr>
              <a:defRPr b="1">
                <a:latin typeface="Times New Roman" pitchFamily="18" charset="0"/>
                <a:cs typeface="Times New Roman" pitchFamily="18" charset="0"/>
              </a:defRPr>
            </a:pPr>
            <a:endParaRPr lang="ru-RU"/>
          </a:p>
        </c:txPr>
        <c:crossAx val="96493568"/>
        <c:crosses val="autoZero"/>
        <c:crossBetween val="between"/>
      </c:valAx>
    </c:plotArea>
    <c:legend>
      <c:legendPos val="b"/>
      <c:layout>
        <c:manualLayout>
          <c:xMode val="edge"/>
          <c:yMode val="edge"/>
          <c:x val="0.19781965415767341"/>
          <c:y val="0.94450103317484979"/>
          <c:w val="0.58855104650380263"/>
          <c:h val="5.549895705852053E-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50"/>
            </a:pPr>
            <a:r>
              <a:rPr lang="ru-RU" sz="1050" b="1"/>
              <a:t>Динамика оплаты труда в разрезе отраслей экономики, руб. ПМР</a:t>
            </a:r>
            <a:endParaRPr lang="ru-RU" sz="1050" b="1">
              <a:solidFill>
                <a:srgbClr val="FF0000"/>
              </a:solidFill>
            </a:endParaRPr>
          </a:p>
        </c:rich>
      </c:tx>
      <c:layout>
        <c:manualLayout>
          <c:xMode val="edge"/>
          <c:yMode val="edge"/>
          <c:x val="0.19312119761058943"/>
          <c:y val="1.4078357230749598E-2"/>
        </c:manualLayout>
      </c:layout>
      <c:spPr>
        <a:noFill/>
        <a:ln w="25176">
          <a:noFill/>
        </a:ln>
      </c:spPr>
    </c:title>
    <c:plotArea>
      <c:layout>
        <c:manualLayout>
          <c:layoutTarget val="inner"/>
          <c:xMode val="edge"/>
          <c:yMode val="edge"/>
          <c:x val="8.3313773544045511E-2"/>
          <c:y val="6.2631522388623712E-2"/>
          <c:w val="0.91585760517799353"/>
          <c:h val="0.3942412383356913"/>
        </c:manualLayout>
      </c:layout>
      <c:lineChart>
        <c:grouping val="standard"/>
        <c:ser>
          <c:idx val="0"/>
          <c:order val="0"/>
          <c:tx>
            <c:strRef>
              <c:f>Sheet1!$A$2</c:f>
              <c:strCache>
                <c:ptCount val="1"/>
                <c:pt idx="0">
                  <c:v>I полугодие 2016 год</c:v>
                </c:pt>
              </c:strCache>
            </c:strRef>
          </c:tx>
          <c:spPr>
            <a:ln w="24130">
              <a:gradFill>
                <a:gsLst>
                  <a:gs pos="0">
                    <a:srgbClr val="FBEAC7"/>
                  </a:gs>
                  <a:gs pos="17999">
                    <a:srgbClr val="FEE7F2"/>
                  </a:gs>
                  <a:gs pos="36000">
                    <a:srgbClr val="FAC77D"/>
                  </a:gs>
                  <a:gs pos="61000">
                    <a:srgbClr val="FBA97D"/>
                  </a:gs>
                  <a:gs pos="82001">
                    <a:srgbClr val="FBD49C"/>
                  </a:gs>
                  <a:gs pos="100000">
                    <a:srgbClr val="FEE7F2"/>
                  </a:gs>
                </a:gsLst>
                <a:lin ang="5400000" scaled="0"/>
              </a:gradFill>
              <a:prstDash val="solid"/>
            </a:ln>
          </c:spPr>
          <c:marker>
            <c:symbol val="diamond"/>
            <c:size val="2"/>
            <c:spPr>
              <a:solidFill>
                <a:srgbClr val="000080"/>
              </a:solidFill>
              <a:ln>
                <a:solidFill>
                  <a:srgbClr val="000080"/>
                </a:solidFill>
                <a:prstDash val="solid"/>
              </a:ln>
            </c:spPr>
          </c:marker>
          <c:dLbls>
            <c:dLbl>
              <c:idx val="0"/>
              <c:layout>
                <c:manualLayout>
                  <c:x val="3.2710454218342962E-2"/>
                  <c:y val="3.5006009762798343E-2"/>
                </c:manualLayout>
              </c:layout>
              <c:dLblPos val="t"/>
              <c:showVal val="1"/>
              <c:extLst>
                <c:ext xmlns:c15="http://schemas.microsoft.com/office/drawing/2012/chart" uri="{CE6537A1-D6FC-4f65-9D91-7224C49458BB}">
                  <c15:layout/>
                </c:ext>
              </c:extLst>
            </c:dLbl>
            <c:dLbl>
              <c:idx val="1"/>
              <c:layout>
                <c:manualLayout>
                  <c:x val="-2.5431008724124141E-2"/>
                  <c:y val="4.4684009990755336E-2"/>
                </c:manualLayout>
              </c:layout>
              <c:dLblPos val="t"/>
              <c:showVal val="1"/>
              <c:extLst>
                <c:ext xmlns:c15="http://schemas.microsoft.com/office/drawing/2012/chart" uri="{CE6537A1-D6FC-4f65-9D91-7224C49458BB}">
                  <c15:layout/>
                </c:ext>
              </c:extLst>
            </c:dLbl>
            <c:dLbl>
              <c:idx val="2"/>
              <c:layout>
                <c:manualLayout>
                  <c:x val="2.1402509079737602E-3"/>
                  <c:y val="4.4886795692594503E-2"/>
                </c:manualLayout>
              </c:layout>
              <c:dLblPos val="t"/>
              <c:showVal val="1"/>
              <c:extLst>
                <c:ext xmlns:c15="http://schemas.microsoft.com/office/drawing/2012/chart" uri="{CE6537A1-D6FC-4f65-9D91-7224C49458BB}">
                  <c15:layout/>
                </c:ext>
              </c:extLst>
            </c:dLbl>
            <c:dLbl>
              <c:idx val="3"/>
              <c:layout>
                <c:manualLayout>
                  <c:x val="3.2063530807980911E-2"/>
                  <c:y val="2.5730124855888329E-2"/>
                </c:manualLayout>
              </c:layout>
              <c:dLblPos val="t"/>
              <c:showVal val="1"/>
              <c:extLst>
                <c:ext xmlns:c15="http://schemas.microsoft.com/office/drawing/2012/chart" uri="{CE6537A1-D6FC-4f65-9D91-7224C49458BB}">
                  <c15:layout/>
                </c:ext>
              </c:extLst>
            </c:dLbl>
            <c:dLbl>
              <c:idx val="4"/>
              <c:layout>
                <c:manualLayout>
                  <c:x val="-2.994651056111345E-2"/>
                  <c:y val="3.5614638015696115E-2"/>
                </c:manualLayout>
              </c:layout>
              <c:dLblPos val="t"/>
              <c:showVal val="1"/>
              <c:extLst>
                <c:ext xmlns:c15="http://schemas.microsoft.com/office/drawing/2012/chart" uri="{CE6537A1-D6FC-4f65-9D91-7224C49458BB}">
                  <c15:layout/>
                </c:ext>
              </c:extLst>
            </c:dLbl>
            <c:dLbl>
              <c:idx val="5"/>
              <c:layout>
                <c:manualLayout>
                  <c:x val="2.0328006834527769E-2"/>
                  <c:y val="2.2049942355336492E-2"/>
                </c:manualLayout>
              </c:layout>
              <c:dLblPos val="t"/>
              <c:showVal val="1"/>
              <c:extLst>
                <c:ext xmlns:c15="http://schemas.microsoft.com/office/drawing/2012/chart" uri="{CE6537A1-D6FC-4f65-9D91-7224C49458BB}">
                  <c15:layout/>
                </c:ext>
              </c:extLst>
            </c:dLbl>
            <c:dLbl>
              <c:idx val="6"/>
              <c:layout>
                <c:manualLayout>
                  <c:x val="5.9792018247853043E-3"/>
                  <c:y val="5.088159540805063E-2"/>
                </c:manualLayout>
              </c:layout>
              <c:dLblPos val="t"/>
              <c:showVal val="1"/>
              <c:extLst>
                <c:ext xmlns:c15="http://schemas.microsoft.com/office/drawing/2012/chart" uri="{CE6537A1-D6FC-4f65-9D91-7224C49458BB}">
                  <c15:layout/>
                </c:ext>
              </c:extLst>
            </c:dLbl>
            <c:dLbl>
              <c:idx val="7"/>
              <c:layout>
                <c:manualLayout>
                  <c:x val="-2.8235353531102601E-2"/>
                  <c:y val="2.5503225648195852E-2"/>
                </c:manualLayout>
              </c:layout>
              <c:dLblPos val="t"/>
              <c:showVal val="1"/>
              <c:extLst>
                <c:ext xmlns:c15="http://schemas.microsoft.com/office/drawing/2012/chart" uri="{CE6537A1-D6FC-4f65-9D91-7224C49458BB}">
                  <c15:layout/>
                </c:ext>
              </c:extLst>
            </c:dLbl>
            <c:dLbl>
              <c:idx val="8"/>
              <c:layout>
                <c:manualLayout>
                  <c:x val="2.129982282412477E-3"/>
                  <c:y val="1.6238624377560285E-2"/>
                </c:manualLayout>
              </c:layout>
              <c:dLblPos val="t"/>
              <c:showVal val="1"/>
              <c:extLst>
                <c:ext xmlns:c15="http://schemas.microsoft.com/office/drawing/2012/chart" uri="{CE6537A1-D6FC-4f65-9D91-7224C49458BB}">
                  <c15:layout/>
                </c:ext>
              </c:extLst>
            </c:dLbl>
            <c:dLbl>
              <c:idx val="9"/>
              <c:layout>
                <c:manualLayout>
                  <c:x val="4.2734316147414134E-3"/>
                  <c:y val="1.3979305870647819E-2"/>
                </c:manualLayout>
              </c:layout>
              <c:dLblPos val="t"/>
              <c:showVal val="1"/>
              <c:extLst>
                <c:ext xmlns:c15="http://schemas.microsoft.com/office/drawing/2012/chart" uri="{CE6537A1-D6FC-4f65-9D91-7224C49458BB}">
                  <c15:layout/>
                </c:ext>
              </c:extLst>
            </c:dLbl>
            <c:dLbl>
              <c:idx val="10"/>
              <c:layout>
                <c:manualLayout>
                  <c:x val="6.1828909547717564E-3"/>
                  <c:y val="-1.6135599872445861E-3"/>
                </c:manualLayout>
              </c:layout>
              <c:dLblPos val="t"/>
              <c:showVal val="1"/>
              <c:extLst>
                <c:ext xmlns:c15="http://schemas.microsoft.com/office/drawing/2012/chart" uri="{CE6537A1-D6FC-4f65-9D91-7224C49458BB}">
                  <c15:layout/>
                </c:ext>
              </c:extLst>
            </c:dLbl>
            <c:dLbl>
              <c:idx val="11"/>
              <c:layout>
                <c:manualLayout>
                  <c:x val="-2.5654898428984614E-2"/>
                  <c:y val="4.4613044864719023E-2"/>
                </c:manualLayout>
              </c:layout>
              <c:dLblPos val="t"/>
              <c:showVal val="1"/>
              <c:extLst>
                <c:ext xmlns:c15="http://schemas.microsoft.com/office/drawing/2012/chart" uri="{CE6537A1-D6FC-4f65-9D91-7224C49458BB}">
                  <c15:layout/>
                </c:ext>
              </c:extLst>
            </c:dLbl>
            <c:dLbl>
              <c:idx val="12"/>
              <c:layout>
                <c:manualLayout>
                  <c:x val="-1.64545466023054E-2"/>
                  <c:y val="4.9208918978585633E-2"/>
                </c:manualLayout>
              </c:layout>
              <c:dLblPos val="t"/>
              <c:showVal val="1"/>
              <c:extLst>
                <c:ext xmlns:c15="http://schemas.microsoft.com/office/drawing/2012/chart" uri="{CE6537A1-D6FC-4f65-9D91-7224C49458BB}">
                  <c15:layout/>
                </c:ext>
              </c:extLst>
            </c:dLbl>
            <c:dLbl>
              <c:idx val="13"/>
              <c:layout>
                <c:manualLayout>
                  <c:x val="-6.4150292277067814E-3"/>
                  <c:y val="6.1662864571835063E-2"/>
                </c:manualLayout>
              </c:layout>
              <c:dLblPos val="t"/>
              <c:showVal val="1"/>
              <c:extLst>
                <c:ext xmlns:c15="http://schemas.microsoft.com/office/drawing/2012/chart" uri="{CE6537A1-D6FC-4f65-9D91-7224C49458BB}">
                  <c15:layout/>
                </c:ext>
              </c:extLst>
            </c:dLbl>
            <c:dLbl>
              <c:idx val="14"/>
              <c:layout>
                <c:manualLayout>
                  <c:x val="1.0691827604927338E-2"/>
                  <c:y val="5.5389408099688474E-2"/>
                </c:manualLayout>
              </c:layout>
              <c:dLblPos val="t"/>
              <c:showVal val="1"/>
              <c:extLst>
                <c:ext xmlns:c15="http://schemas.microsoft.com/office/drawing/2012/chart" uri="{CE6537A1-D6FC-4f65-9D91-7224C49458BB}">
                  <c15:layout/>
                </c:ext>
              </c:extLst>
            </c:dLbl>
            <c:dLbl>
              <c:idx val="15"/>
              <c:layout>
                <c:manualLayout>
                  <c:x val="-1.8179675696604263E-2"/>
                  <c:y val="2.1726396349988727E-2"/>
                </c:manualLayout>
              </c:layout>
              <c:dLblPos val="t"/>
              <c:showVal val="1"/>
              <c:extLst>
                <c:ext xmlns:c15="http://schemas.microsoft.com/office/drawing/2012/chart" uri="{CE6537A1-D6FC-4f65-9D91-7224C49458BB}">
                  <c15:layout/>
                </c:ext>
              </c:extLst>
            </c:dLbl>
            <c:dLbl>
              <c:idx val="16"/>
              <c:layout>
                <c:manualLayout>
                  <c:x val="-4.403725322683189E-4"/>
                  <c:y val="7.5133073319106194E-2"/>
                </c:manualLayout>
              </c:layout>
              <c:dLblPos val="t"/>
              <c:showVal val="1"/>
              <c:extLst>
                <c:ext xmlns:c15="http://schemas.microsoft.com/office/drawing/2012/chart" uri="{CE6537A1-D6FC-4f65-9D91-7224C49458BB}">
                  <c15:layout/>
                </c:ext>
              </c:extLst>
            </c:dLbl>
            <c:dLbl>
              <c:idx val="17"/>
              <c:layout>
                <c:manualLayout>
                  <c:x val="-2.4767251501365644E-2"/>
                  <c:y val="3.8320210667346692E-2"/>
                </c:manualLayout>
              </c:layout>
              <c:dLblPos val="t"/>
              <c:showVal val="1"/>
              <c:extLst>
                <c:ext xmlns:c15="http://schemas.microsoft.com/office/drawing/2012/chart" uri="{CE6537A1-D6FC-4f65-9D91-7224C49458BB}"/>
              </c:extLst>
            </c:dLbl>
            <c:dLbl>
              <c:idx val="18"/>
              <c:layout>
                <c:manualLayout>
                  <c:x val="-1.7094017094017103E-2"/>
                  <c:y val="4.7144169871847781E-2"/>
                </c:manualLayout>
              </c:layout>
              <c:dLblPos val="t"/>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Sheet1!$B$2:$R$2</c:f>
              <c:numCache>
                <c:formatCode>0</c:formatCode>
                <c:ptCount val="17"/>
                <c:pt idx="0" formatCode="General">
                  <c:v>4972</c:v>
                </c:pt>
                <c:pt idx="1">
                  <c:v>2866</c:v>
                </c:pt>
                <c:pt idx="2" formatCode="General">
                  <c:v>2825</c:v>
                </c:pt>
                <c:pt idx="3" formatCode="General">
                  <c:v>3922</c:v>
                </c:pt>
                <c:pt idx="4" formatCode="General">
                  <c:v>6926</c:v>
                </c:pt>
                <c:pt idx="5" formatCode="General">
                  <c:v>4196</c:v>
                </c:pt>
                <c:pt idx="6" formatCode="General">
                  <c:v>2016</c:v>
                </c:pt>
                <c:pt idx="7">
                  <c:v>3866</c:v>
                </c:pt>
                <c:pt idx="8">
                  <c:v>4127</c:v>
                </c:pt>
                <c:pt idx="9">
                  <c:v>4431</c:v>
                </c:pt>
                <c:pt idx="10">
                  <c:v>4133</c:v>
                </c:pt>
                <c:pt idx="11">
                  <c:v>2690</c:v>
                </c:pt>
                <c:pt idx="12">
                  <c:v>2660</c:v>
                </c:pt>
                <c:pt idx="13">
                  <c:v>2421</c:v>
                </c:pt>
                <c:pt idx="14">
                  <c:v>3243</c:v>
                </c:pt>
                <c:pt idx="15">
                  <c:v>6972</c:v>
                </c:pt>
                <c:pt idx="16">
                  <c:v>6535</c:v>
                </c:pt>
              </c:numCache>
            </c:numRef>
          </c:val>
        </c:ser>
        <c:ser>
          <c:idx val="1"/>
          <c:order val="1"/>
          <c:tx>
            <c:strRef>
              <c:f>Sheet1!$A$3</c:f>
              <c:strCache>
                <c:ptCount val="1"/>
                <c:pt idx="0">
                  <c:v>I полугодие 2017 год</c:v>
                </c:pt>
              </c:strCache>
            </c:strRef>
          </c:tx>
          <c:spPr>
            <a:ln w="24130">
              <a:gradFill>
                <a:gsLst>
                  <a:gs pos="0">
                    <a:srgbClr val="03D4A8"/>
                  </a:gs>
                  <a:gs pos="25000">
                    <a:srgbClr val="21D6E0"/>
                  </a:gs>
                  <a:gs pos="75000">
                    <a:srgbClr val="0087E6"/>
                  </a:gs>
                  <a:gs pos="100000">
                    <a:srgbClr val="005CBF"/>
                  </a:gs>
                </a:gsLst>
                <a:lin ang="5400000" scaled="0"/>
              </a:gradFill>
              <a:prstDash val="solid"/>
            </a:ln>
          </c:spPr>
          <c:marker>
            <c:symbol val="circle"/>
            <c:size val="2"/>
            <c:spPr>
              <a:solidFill>
                <a:srgbClr val="FF9900"/>
              </a:solidFill>
              <a:ln>
                <a:solidFill>
                  <a:srgbClr val="FF9900"/>
                </a:solidFill>
                <a:prstDash val="solid"/>
              </a:ln>
            </c:spPr>
          </c:marker>
          <c:dLbls>
            <c:dLbl>
              <c:idx val="0"/>
              <c:layout>
                <c:manualLayout>
                  <c:x val="1.3008328528682727E-2"/>
                  <c:y val="6.4314273799887505E-3"/>
                </c:manualLayout>
              </c:layout>
              <c:dLblPos val="t"/>
              <c:showVal val="1"/>
              <c:extLst>
                <c:ext xmlns:c15="http://schemas.microsoft.com/office/drawing/2012/chart" uri="{CE6537A1-D6FC-4f65-9D91-7224C49458BB}">
                  <c15:layout/>
                </c:ext>
              </c:extLst>
            </c:dLbl>
            <c:dLbl>
              <c:idx val="1"/>
              <c:layout>
                <c:manualLayout>
                  <c:x val="1.6882630451524935E-2"/>
                  <c:y val="2.4968724703804547E-2"/>
                </c:manualLayout>
              </c:layout>
              <c:dLblPos val="t"/>
              <c:showVal val="1"/>
              <c:extLst>
                <c:ext xmlns:c15="http://schemas.microsoft.com/office/drawing/2012/chart" uri="{CE6537A1-D6FC-4f65-9D91-7224C49458BB}">
                  <c15:layout/>
                </c:ext>
              </c:extLst>
            </c:dLbl>
            <c:dLbl>
              <c:idx val="2"/>
              <c:layout>
                <c:manualLayout>
                  <c:x val="6.4160392564505094E-3"/>
                  <c:y val="5.2147815635195105E-2"/>
                </c:manualLayout>
              </c:layout>
              <c:dLblPos val="t"/>
              <c:showVal val="1"/>
              <c:extLst>
                <c:ext xmlns:c15="http://schemas.microsoft.com/office/drawing/2012/chart" uri="{CE6537A1-D6FC-4f65-9D91-7224C49458BB}">
                  <c15:layout/>
                </c:ext>
              </c:extLst>
            </c:dLbl>
            <c:dLbl>
              <c:idx val="3"/>
              <c:layout>
                <c:manualLayout>
                  <c:x val="-1.6669514386596921E-2"/>
                  <c:y val="-1.1825741408492232E-3"/>
                </c:manualLayout>
              </c:layout>
              <c:dLblPos val="t"/>
              <c:showVal val="1"/>
              <c:extLst>
                <c:ext xmlns:c15="http://schemas.microsoft.com/office/drawing/2012/chart" uri="{CE6537A1-D6FC-4f65-9D91-7224C49458BB}">
                  <c15:layout/>
                </c:ext>
              </c:extLst>
            </c:dLbl>
            <c:dLbl>
              <c:idx val="4"/>
              <c:layout>
                <c:manualLayout>
                  <c:x val="2.5662641982686425E-2"/>
                  <c:y val="1.6611987056589762E-2"/>
                </c:manualLayout>
              </c:layout>
              <c:dLblPos val="t"/>
              <c:showVal val="1"/>
              <c:extLst>
                <c:ext xmlns:c15="http://schemas.microsoft.com/office/drawing/2012/chart" uri="{CE6537A1-D6FC-4f65-9D91-7224C49458BB}">
                  <c15:layout/>
                </c:ext>
              </c:extLst>
            </c:dLbl>
            <c:dLbl>
              <c:idx val="5"/>
              <c:layout>
                <c:manualLayout>
                  <c:x val="-3.4212198622152454E-2"/>
                  <c:y val="2.5156867073858759E-2"/>
                </c:manualLayout>
              </c:layout>
              <c:dLblPos val="t"/>
              <c:showVal val="1"/>
              <c:extLst>
                <c:ext xmlns:c15="http://schemas.microsoft.com/office/drawing/2012/chart" uri="{CE6537A1-D6FC-4f65-9D91-7224C49458BB}">
                  <c15:layout/>
                </c:ext>
              </c:extLst>
            </c:dLbl>
            <c:dLbl>
              <c:idx val="6"/>
              <c:layout>
                <c:manualLayout>
                  <c:x val="-3.2051282051282055E-2"/>
                  <c:y val="1.8642103699302543E-2"/>
                </c:manualLayout>
              </c:layout>
              <c:dLblPos val="t"/>
              <c:showVal val="1"/>
              <c:extLst>
                <c:ext xmlns:c15="http://schemas.microsoft.com/office/drawing/2012/chart" uri="{CE6537A1-D6FC-4f65-9D91-7224C49458BB}">
                  <c15:layout/>
                </c:ext>
              </c:extLst>
            </c:dLbl>
            <c:dLbl>
              <c:idx val="7"/>
              <c:layout>
                <c:manualLayout>
                  <c:x val="-8.9860573948834267E-3"/>
                  <c:y val="4.2926877131013135E-5"/>
                </c:manualLayout>
              </c:layout>
              <c:dLblPos val="t"/>
              <c:showVal val="1"/>
              <c:extLst>
                <c:ext xmlns:c15="http://schemas.microsoft.com/office/drawing/2012/chart" uri="{CE6537A1-D6FC-4f65-9D91-7224C49458BB}">
                  <c15:layout/>
                </c:ext>
              </c:extLst>
            </c:dLbl>
            <c:dLbl>
              <c:idx val="8"/>
              <c:layout>
                <c:manualLayout>
                  <c:x val="-2.1390725411060772E-3"/>
                  <c:y val="-1.2219687492334486E-2"/>
                </c:manualLayout>
              </c:layout>
              <c:dLblPos val="t"/>
              <c:showVal val="1"/>
              <c:extLst>
                <c:ext xmlns:c15="http://schemas.microsoft.com/office/drawing/2012/chart" uri="{CE6537A1-D6FC-4f65-9D91-7224C49458BB}">
                  <c15:layout/>
                </c:ext>
              </c:extLst>
            </c:dLbl>
            <c:dLbl>
              <c:idx val="9"/>
              <c:layout>
                <c:manualLayout>
                  <c:x val="-1.6813572453718998E-7"/>
                  <c:y val="6.0608055606071687E-2"/>
                </c:manualLayout>
              </c:layout>
              <c:dLblPos val="t"/>
              <c:showVal val="1"/>
              <c:extLst>
                <c:ext xmlns:c15="http://schemas.microsoft.com/office/drawing/2012/chart" uri="{CE6537A1-D6FC-4f65-9D91-7224C49458BB}">
                  <c15:layout/>
                </c:ext>
              </c:extLst>
            </c:dLbl>
            <c:dLbl>
              <c:idx val="10"/>
              <c:layout>
                <c:manualLayout>
                  <c:x val="2.1180471094239883E-2"/>
                  <c:y val="1.9085044276007636E-2"/>
                </c:manualLayout>
              </c:layout>
              <c:dLblPos val="t"/>
              <c:showVal val="1"/>
              <c:extLst>
                <c:ext xmlns:c15="http://schemas.microsoft.com/office/drawing/2012/chart" uri="{CE6537A1-D6FC-4f65-9D91-7224C49458BB}">
                  <c15:layout/>
                </c:ext>
              </c:extLst>
            </c:dLbl>
            <c:dLbl>
              <c:idx val="11"/>
              <c:layout>
                <c:manualLayout>
                  <c:x val="2.3569020735048378E-3"/>
                  <c:y val="1.2228027571319938E-2"/>
                </c:manualLayout>
              </c:layout>
              <c:dLblPos val="t"/>
              <c:showVal val="1"/>
              <c:extLst>
                <c:ext xmlns:c15="http://schemas.microsoft.com/office/drawing/2012/chart" uri="{CE6537A1-D6FC-4f65-9D91-7224C49458BB}">
                  <c15:layout/>
                </c:ext>
              </c:extLst>
            </c:dLbl>
            <c:dLbl>
              <c:idx val="12"/>
              <c:layout>
                <c:manualLayout>
                  <c:x val="3.8239688237794436E-3"/>
                  <c:y val="5.5939245073439786E-3"/>
                </c:manualLayout>
              </c:layout>
              <c:dLblPos val="t"/>
              <c:showVal val="1"/>
              <c:extLst>
                <c:ext xmlns:c15="http://schemas.microsoft.com/office/drawing/2012/chart" uri="{CE6537A1-D6FC-4f65-9D91-7224C49458BB}">
                  <c15:layout/>
                </c:ext>
              </c:extLst>
            </c:dLbl>
            <c:dLbl>
              <c:idx val="13"/>
              <c:layout>
                <c:manualLayout>
                  <c:x val="5.5551580905407441E-6"/>
                  <c:y val="1.1240709397306835E-2"/>
                </c:manualLayout>
              </c:layout>
              <c:dLblPos val="t"/>
              <c:showVal val="1"/>
              <c:extLst>
                <c:ext xmlns:c15="http://schemas.microsoft.com/office/drawing/2012/chart" uri="{CE6537A1-D6FC-4f65-9D91-7224C49458BB}">
                  <c15:layout/>
                </c:ext>
              </c:extLst>
            </c:dLbl>
            <c:dLbl>
              <c:idx val="14"/>
              <c:layout>
                <c:manualLayout>
                  <c:x val="1.1783668676904663E-6"/>
                  <c:y val="8.3589554542856728E-3"/>
                </c:manualLayout>
              </c:layout>
              <c:dLblPos val="t"/>
              <c:showVal val="1"/>
              <c:extLst>
                <c:ext xmlns:c15="http://schemas.microsoft.com/office/drawing/2012/chart" uri="{CE6537A1-D6FC-4f65-9D91-7224C49458BB}">
                  <c15:layout/>
                </c:ext>
              </c:extLst>
            </c:dLbl>
            <c:dLbl>
              <c:idx val="15"/>
              <c:layout>
                <c:manualLayout>
                  <c:x val="1.0683747374977381E-2"/>
                  <c:y val="6.2775529227070914E-2"/>
                </c:manualLayout>
              </c:layout>
              <c:dLblPos val="t"/>
              <c:showVal val="1"/>
              <c:extLst>
                <c:ext xmlns:c15="http://schemas.microsoft.com/office/drawing/2012/chart" uri="{CE6537A1-D6FC-4f65-9D91-7224C49458BB}">
                  <c15:layout/>
                </c:ext>
              </c:extLst>
            </c:dLbl>
            <c:dLbl>
              <c:idx val="16"/>
              <c:layout>
                <c:manualLayout>
                  <c:x val="-1.4830588720504021E-3"/>
                  <c:y val="1.3109377682929841E-2"/>
                </c:manualLayout>
              </c:layout>
              <c:dLblPos val="t"/>
              <c:showVal val="1"/>
              <c:extLst>
                <c:ext xmlns:c15="http://schemas.microsoft.com/office/drawing/2012/chart" uri="{CE6537A1-D6FC-4f65-9D91-7224C49458BB}">
                  <c15:layout/>
                </c:ext>
              </c:extLst>
            </c:dLbl>
            <c:dLbl>
              <c:idx val="17"/>
              <c:layout>
                <c:manualLayout>
                  <c:x val="7.0281166751537125E-3"/>
                  <c:y val="8.3750312156053615E-3"/>
                </c:manualLayout>
              </c:layout>
              <c:dLblPos val="t"/>
              <c:showVal val="1"/>
              <c:extLst>
                <c:ext xmlns:c15="http://schemas.microsoft.com/office/drawing/2012/chart" uri="{CE6537A1-D6FC-4f65-9D91-7224C49458BB}"/>
              </c:extLst>
            </c:dLbl>
            <c:dLbl>
              <c:idx val="18"/>
              <c:layout>
                <c:manualLayout>
                  <c:x val="5.7439935392691434E-3"/>
                  <c:y val="4.8113482670014723E-4"/>
                </c:manualLayout>
              </c:layout>
              <c:dLblPos val="t"/>
              <c:showVal val="1"/>
              <c:extLst>
                <c:ext xmlns:c15="http://schemas.microsoft.com/office/drawing/2012/chart" uri="{CE6537A1-D6FC-4f65-9D91-7224C49458BB}"/>
              </c:extLst>
            </c:dLbl>
            <c:spPr>
              <a:noFill/>
              <a:ln>
                <a:noFill/>
              </a:ln>
              <a:effectLst/>
            </c:spPr>
            <c:txPr>
              <a:bodyPr/>
              <a:lstStyle/>
              <a:p>
                <a:pPr>
                  <a:defRPr b="1"/>
                </a:pPr>
                <a:endParaRPr lang="ru-RU"/>
              </a:p>
            </c:txPr>
            <c:dLblPos val="t"/>
            <c:showVal val="1"/>
            <c:extLst>
              <c:ext xmlns:c15="http://schemas.microsoft.com/office/drawing/2012/chart" uri="{CE6537A1-D6FC-4f65-9D91-7224C49458BB}">
                <c15:showLeaderLines val="0"/>
              </c:ext>
            </c:extLst>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Sheet1!$B$3:$R$3</c:f>
              <c:numCache>
                <c:formatCode>0</c:formatCode>
                <c:ptCount val="17"/>
                <c:pt idx="0" formatCode="General">
                  <c:v>5079</c:v>
                </c:pt>
                <c:pt idx="1">
                  <c:v>3131</c:v>
                </c:pt>
                <c:pt idx="2" formatCode="General">
                  <c:v>2192</c:v>
                </c:pt>
                <c:pt idx="3" formatCode="General">
                  <c:v>3953</c:v>
                </c:pt>
                <c:pt idx="4" formatCode="General">
                  <c:v>7131</c:v>
                </c:pt>
                <c:pt idx="5" formatCode="General">
                  <c:v>4401</c:v>
                </c:pt>
                <c:pt idx="6" formatCode="General">
                  <c:v>2048</c:v>
                </c:pt>
                <c:pt idx="7">
                  <c:v>3917</c:v>
                </c:pt>
                <c:pt idx="8">
                  <c:v>4128</c:v>
                </c:pt>
                <c:pt idx="9">
                  <c:v>3825</c:v>
                </c:pt>
                <c:pt idx="10">
                  <c:v>4094</c:v>
                </c:pt>
                <c:pt idx="11">
                  <c:v>2734</c:v>
                </c:pt>
                <c:pt idx="12">
                  <c:v>2688</c:v>
                </c:pt>
                <c:pt idx="13">
                  <c:v>2462</c:v>
                </c:pt>
                <c:pt idx="14">
                  <c:v>3537</c:v>
                </c:pt>
                <c:pt idx="15">
                  <c:v>6736</c:v>
                </c:pt>
                <c:pt idx="16">
                  <c:v>6577</c:v>
                </c:pt>
              </c:numCache>
            </c:numRef>
          </c:val>
        </c:ser>
        <c:ser>
          <c:idx val="2"/>
          <c:order val="2"/>
          <c:tx>
            <c:strRef>
              <c:f>Sheet1!$A$4</c:f>
              <c:strCache>
                <c:ptCount val="1"/>
                <c:pt idx="0">
                  <c:v>средняя заработная плата в целом по республике за I полуг. 2017 г.</c:v>
                </c:pt>
              </c:strCache>
            </c:strRef>
          </c:tx>
          <c:spPr>
            <a:ln w="28575">
              <a:gradFill>
                <a:gsLst>
                  <a:gs pos="0">
                    <a:srgbClr val="000000"/>
                  </a:gs>
                  <a:gs pos="20000">
                    <a:srgbClr val="000040"/>
                  </a:gs>
                  <a:gs pos="50000">
                    <a:srgbClr val="400040"/>
                  </a:gs>
                  <a:gs pos="75000">
                    <a:srgbClr val="8F0040"/>
                  </a:gs>
                  <a:gs pos="89999">
                    <a:srgbClr val="F27300"/>
                  </a:gs>
                  <a:gs pos="100000">
                    <a:srgbClr val="FFBF00"/>
                  </a:gs>
                </a:gsLst>
                <a:lin ang="5400000" scaled="0"/>
              </a:gradFill>
              <a:prstDash val="solid"/>
            </a:ln>
          </c:spPr>
          <c:marker>
            <c:symbol val="triangle"/>
            <c:size val="2"/>
            <c:spPr>
              <a:solidFill>
                <a:srgbClr val="008080"/>
              </a:solidFill>
              <a:ln>
                <a:solidFill>
                  <a:srgbClr val="008080"/>
                </a:solidFill>
                <a:prstDash val="solid"/>
              </a:ln>
            </c:spPr>
          </c:marker>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Sheet1!$B$4:$R$4</c:f>
              <c:numCache>
                <c:formatCode>General</c:formatCode>
                <c:ptCount val="17"/>
                <c:pt idx="0">
                  <c:v>3796</c:v>
                </c:pt>
                <c:pt idx="1">
                  <c:v>3796</c:v>
                </c:pt>
                <c:pt idx="2">
                  <c:v>3796</c:v>
                </c:pt>
                <c:pt idx="3">
                  <c:v>3796</c:v>
                </c:pt>
                <c:pt idx="4">
                  <c:v>3796</c:v>
                </c:pt>
                <c:pt idx="5">
                  <c:v>3796</c:v>
                </c:pt>
                <c:pt idx="6">
                  <c:v>3796</c:v>
                </c:pt>
                <c:pt idx="7">
                  <c:v>3796</c:v>
                </c:pt>
                <c:pt idx="8">
                  <c:v>3796</c:v>
                </c:pt>
                <c:pt idx="9">
                  <c:v>3796</c:v>
                </c:pt>
                <c:pt idx="10">
                  <c:v>3796</c:v>
                </c:pt>
                <c:pt idx="11">
                  <c:v>3796</c:v>
                </c:pt>
                <c:pt idx="12">
                  <c:v>3796</c:v>
                </c:pt>
                <c:pt idx="13">
                  <c:v>3796</c:v>
                </c:pt>
                <c:pt idx="14">
                  <c:v>3796</c:v>
                </c:pt>
                <c:pt idx="15">
                  <c:v>3796</c:v>
                </c:pt>
                <c:pt idx="16">
                  <c:v>3796</c:v>
                </c:pt>
              </c:numCache>
            </c:numRef>
          </c:val>
        </c:ser>
        <c:marker val="1"/>
        <c:axId val="105361408"/>
        <c:axId val="105363328"/>
      </c:lineChart>
      <c:catAx>
        <c:axId val="105361408"/>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05363328"/>
        <c:crosses val="autoZero"/>
        <c:auto val="1"/>
        <c:lblAlgn val="ctr"/>
        <c:lblOffset val="200"/>
        <c:tickLblSkip val="1"/>
        <c:tickMarkSkip val="1"/>
      </c:catAx>
      <c:valAx>
        <c:axId val="105363328"/>
        <c:scaling>
          <c:orientation val="minMax"/>
          <c:max val="8000"/>
          <c:min val="1000"/>
        </c:scaling>
        <c:axPos val="l"/>
        <c:numFmt formatCode="General" sourceLinked="0"/>
        <c:tickLblPos val="nextTo"/>
        <c:spPr>
          <a:ln w="3016">
            <a:solidFill>
              <a:srgbClr val="000000"/>
            </a:solidFill>
            <a:prstDash val="solid"/>
          </a:ln>
        </c:spPr>
        <c:txPr>
          <a:bodyPr rot="0" vert="horz"/>
          <a:lstStyle/>
          <a:p>
            <a:pPr>
              <a:defRPr sz="950"/>
            </a:pPr>
            <a:endParaRPr lang="ru-RU"/>
          </a:p>
        </c:txPr>
        <c:crossAx val="105361408"/>
        <c:crosses val="autoZero"/>
        <c:crossBetween val="between"/>
        <c:majorUnit val="1000"/>
      </c:valAx>
    </c:plotArea>
    <c:legend>
      <c:legendPos val="r"/>
      <c:layout>
        <c:manualLayout>
          <c:xMode val="edge"/>
          <c:yMode val="edge"/>
          <c:x val="0"/>
          <c:y val="0.90066413639831233"/>
          <c:w val="1"/>
          <c:h val="9.9240506179633411E-2"/>
        </c:manualLayout>
      </c:layout>
      <c:spPr>
        <a:solidFill>
          <a:srgbClr val="FFFFFF"/>
        </a:solidFill>
        <a:ln w="3016">
          <a:noFill/>
          <a:prstDash val="solid"/>
        </a:ln>
      </c:spPr>
      <c:txPr>
        <a:bodyPr/>
        <a:lstStyle/>
        <a:p>
          <a:pPr>
            <a:defRPr sz="900"/>
          </a:pPr>
          <a:endParaRPr lang="ru-RU"/>
        </a:p>
      </c:tx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sz="1200"/>
              <a:t>Динамика оплаты труда в организациях внебюджетного сектора, руб. ПМР</a:t>
            </a:r>
            <a:endParaRPr lang="ru-RU" sz="1200">
              <a:solidFill>
                <a:srgbClr val="FF0000"/>
              </a:solidFill>
            </a:endParaRPr>
          </a:p>
        </c:rich>
      </c:tx>
      <c:layout>
        <c:manualLayout>
          <c:xMode val="edge"/>
          <c:yMode val="edge"/>
          <c:x val="0.20669997981021604"/>
          <c:y val="5.695178513644702E-4"/>
        </c:manualLayout>
      </c:layout>
      <c:spPr>
        <a:noFill/>
        <a:ln w="23940">
          <a:noFill/>
        </a:ln>
      </c:spPr>
    </c:title>
    <c:plotArea>
      <c:layout>
        <c:manualLayout>
          <c:layoutTarget val="inner"/>
          <c:xMode val="edge"/>
          <c:yMode val="edge"/>
          <c:x val="8.2768860623191345E-2"/>
          <c:y val="0.12144321000970765"/>
          <c:w val="0.88247863247865665"/>
          <c:h val="0.31059816153117847"/>
        </c:manualLayout>
      </c:layout>
      <c:lineChart>
        <c:grouping val="standard"/>
        <c:ser>
          <c:idx val="0"/>
          <c:order val="0"/>
          <c:tx>
            <c:strRef>
              <c:f>Sheet1!$A$2</c:f>
              <c:strCache>
                <c:ptCount val="1"/>
                <c:pt idx="0">
                  <c:v>I полугодие 2016 года</c:v>
                </c:pt>
              </c:strCache>
            </c:strRef>
          </c:tx>
          <c:spPr>
            <a:ln w="22946">
              <a:gradFill>
                <a:gsLst>
                  <a:gs pos="0">
                    <a:srgbClr val="5E9EFF"/>
                  </a:gs>
                  <a:gs pos="39999">
                    <a:srgbClr val="85C2FF"/>
                  </a:gs>
                  <a:gs pos="70000">
                    <a:srgbClr val="C4D6EB"/>
                  </a:gs>
                  <a:gs pos="100000">
                    <a:srgbClr val="FFEBFA"/>
                  </a:gs>
                </a:gsLst>
                <a:lin ang="5400000" scaled="0"/>
              </a:gradFill>
              <a:prstDash val="solid"/>
            </a:ln>
          </c:spPr>
          <c:marker>
            <c:symbol val="diamond"/>
            <c:size val="2"/>
            <c:spPr>
              <a:solidFill>
                <a:srgbClr val="000080"/>
              </a:solidFill>
              <a:ln>
                <a:solidFill>
                  <a:srgbClr val="000080"/>
                </a:solidFill>
                <a:prstDash val="solid"/>
              </a:ln>
            </c:spPr>
          </c:marker>
          <c:dLbls>
            <c:dLbl>
              <c:idx val="0"/>
              <c:layout>
                <c:manualLayout>
                  <c:x val="-3.1804966686856805E-2"/>
                  <c:y val="-3.7947722288138641E-2"/>
                </c:manualLayout>
              </c:layout>
              <c:dLblPos val="r"/>
              <c:showVal val="1"/>
              <c:extLst>
                <c:ext xmlns:c15="http://schemas.microsoft.com/office/drawing/2012/chart" uri="{CE6537A1-D6FC-4f65-9D91-7224C49458BB}">
                  <c15:layout/>
                </c:ext>
              </c:extLst>
            </c:dLbl>
            <c:dLbl>
              <c:idx val="1"/>
              <c:layout>
                <c:manualLayout>
                  <c:x val="-2.3504441752473248E-2"/>
                  <c:y val="-1.9967401335107382E-2"/>
                </c:manualLayout>
              </c:layout>
              <c:dLblPos val="b"/>
              <c:showVal val="1"/>
              <c:extLst>
                <c:ext xmlns:c15="http://schemas.microsoft.com/office/drawing/2012/chart" uri="{CE6537A1-D6FC-4f65-9D91-7224C49458BB}">
                  <c15:layout/>
                </c:ext>
              </c:extLst>
            </c:dLbl>
            <c:dLbl>
              <c:idx val="2"/>
              <c:layout>
                <c:manualLayout>
                  <c:x val="-8.5470085470085496E-3"/>
                  <c:y val="-4.6926497201548761E-2"/>
                </c:manualLayout>
              </c:layout>
              <c:dLblPos val="b"/>
              <c:showVal val="1"/>
              <c:extLst>
                <c:ext xmlns:c15="http://schemas.microsoft.com/office/drawing/2012/chart" uri="{CE6537A1-D6FC-4f65-9D91-7224C49458BB}">
                  <c15:layout/>
                </c:ext>
              </c:extLst>
            </c:dLbl>
            <c:dLbl>
              <c:idx val="3"/>
              <c:layout>
                <c:manualLayout>
                  <c:x val="-2.3911938892253851E-2"/>
                  <c:y val="2.6744088495787341E-2"/>
                </c:manualLayout>
              </c:layout>
              <c:dLblPos val="r"/>
              <c:showVal val="1"/>
              <c:extLst>
                <c:ext xmlns:c15="http://schemas.microsoft.com/office/drawing/2012/chart" uri="{CE6537A1-D6FC-4f65-9D91-7224C49458BB}">
                  <c15:layout/>
                </c:ext>
              </c:extLst>
            </c:dLbl>
            <c:dLbl>
              <c:idx val="4"/>
              <c:layout>
                <c:manualLayout>
                  <c:x val="-4.3932969917222717E-3"/>
                  <c:y val="5.6719279953020953E-3"/>
                </c:manualLayout>
              </c:layout>
              <c:dLblPos val="r"/>
              <c:showVal val="1"/>
              <c:extLst>
                <c:ext xmlns:c15="http://schemas.microsoft.com/office/drawing/2012/chart" uri="{CE6537A1-D6FC-4f65-9D91-7224C49458BB}">
                  <c15:layout/>
                </c:ext>
              </c:extLst>
            </c:dLbl>
            <c:dLbl>
              <c:idx val="5"/>
              <c:layout>
                <c:manualLayout>
                  <c:x val="-4.2735042735042384E-3"/>
                  <c:y val="-5.1853449825621459E-3"/>
                </c:manualLayout>
              </c:layout>
              <c:dLblPos val="b"/>
              <c:showVal val="1"/>
              <c:extLst>
                <c:ext xmlns:c15="http://schemas.microsoft.com/office/drawing/2012/chart" uri="{CE6537A1-D6FC-4f65-9D91-7224C49458BB}">
                  <c15:layout/>
                </c:ext>
              </c:extLst>
            </c:dLbl>
            <c:dLbl>
              <c:idx val="6"/>
              <c:layout>
                <c:manualLayout>
                  <c:x val="-3.4188034188034191E-2"/>
                  <c:y val="2.1146226584690616E-2"/>
                </c:manualLayout>
              </c:layout>
              <c:dLblPos val="r"/>
              <c:showVal val="1"/>
              <c:extLst>
                <c:ext xmlns:c15="http://schemas.microsoft.com/office/drawing/2012/chart" uri="{CE6537A1-D6FC-4f65-9D91-7224C49458BB}">
                  <c15:layout/>
                </c:ext>
              </c:extLst>
            </c:dLbl>
            <c:dLbl>
              <c:idx val="7"/>
              <c:layout>
                <c:manualLayout>
                  <c:x val="0"/>
                  <c:y val="-1.4124570045182911E-2"/>
                </c:manualLayout>
              </c:layout>
              <c:dLblPos val="b"/>
              <c:showVal val="1"/>
              <c:extLst>
                <c:ext xmlns:c15="http://schemas.microsoft.com/office/drawing/2012/chart" uri="{CE6537A1-D6FC-4f65-9D91-7224C49458BB}">
                  <c15:layout/>
                </c:ext>
              </c:extLst>
            </c:dLbl>
            <c:dLbl>
              <c:idx val="8"/>
              <c:layout>
                <c:manualLayout>
                  <c:x val="-3.1541490006056212E-3"/>
                  <c:y val="-8.1966466520452998E-3"/>
                </c:manualLayout>
              </c:layout>
              <c:dLblPos val="r"/>
              <c:showVal val="1"/>
              <c:extLst>
                <c:ext xmlns:c15="http://schemas.microsoft.com/office/drawing/2012/chart" uri="{CE6537A1-D6FC-4f65-9D91-7224C49458BB}">
                  <c15:layout/>
                </c:ext>
              </c:extLst>
            </c:dLbl>
            <c:dLbl>
              <c:idx val="9"/>
              <c:layout>
                <c:manualLayout>
                  <c:x val="-1.7357662023016352E-2"/>
                  <c:y val="1.2332841956399278E-2"/>
                </c:manualLayout>
              </c:layout>
              <c:dLblPos val="r"/>
              <c:showVal val="1"/>
              <c:extLst>
                <c:ext xmlns:c15="http://schemas.microsoft.com/office/drawing/2012/chart" uri="{CE6537A1-D6FC-4f65-9D91-7224C49458BB}">
                  <c15:layout/>
                </c:ext>
              </c:extLst>
            </c:dLbl>
            <c:dLbl>
              <c:idx val="10"/>
              <c:layout>
                <c:manualLayout>
                  <c:x val="1.4957096709065219E-2"/>
                  <c:y val="-1.0835220939848272E-2"/>
                </c:manualLayout>
              </c:layout>
              <c:dLblPos val="b"/>
              <c:showVal val="1"/>
              <c:extLst>
                <c:ext xmlns:c15="http://schemas.microsoft.com/office/drawing/2012/chart" uri="{CE6537A1-D6FC-4f65-9D91-7224C49458BB}">
                  <c15:layout/>
                </c:ext>
              </c:extLst>
            </c:dLbl>
            <c:dLbl>
              <c:idx val="11"/>
              <c:layout>
                <c:manualLayout>
                  <c:x val="-2.3504273504273893E-2"/>
                  <c:y val="-3.282781433142775E-2"/>
                </c:manualLayout>
              </c:layout>
              <c:dLblPos val="b"/>
              <c:showVal val="1"/>
              <c:extLst>
                <c:ext xmlns:c15="http://schemas.microsoft.com/office/drawing/2012/chart" uri="{CE6537A1-D6FC-4f65-9D91-7224C49458BB}">
                  <c15:layout/>
                </c:ext>
              </c:extLst>
            </c:dLbl>
            <c:dLbl>
              <c:idx val="12"/>
              <c:layout>
                <c:manualLayout>
                  <c:x val="-1.9230937478968983E-2"/>
                  <c:y val="-2.0625367034600248E-2"/>
                </c:manualLayout>
              </c:layout>
              <c:dLblPos val="b"/>
              <c:showVal val="1"/>
              <c:extLst>
                <c:ext xmlns:c15="http://schemas.microsoft.com/office/drawing/2012/chart" uri="{CE6537A1-D6FC-4f65-9D91-7224C49458BB}">
                  <c15:layout/>
                </c:ext>
              </c:extLst>
            </c:dLbl>
            <c:dLbl>
              <c:idx val="13"/>
              <c:layout>
                <c:manualLayout>
                  <c:x val="-1.1935190793458575E-2"/>
                  <c:y val="1.4134876975994403E-2"/>
                </c:manualLayout>
              </c:layout>
              <c:dLblPos val="r"/>
              <c:showVal val="1"/>
              <c:extLst>
                <c:ext xmlns:c15="http://schemas.microsoft.com/office/drawing/2012/chart" uri="{CE6537A1-D6FC-4f65-9D91-7224C49458BB}">
                  <c15:layout/>
                </c:ext>
              </c:extLst>
            </c:dLbl>
            <c:dLbl>
              <c:idx val="14"/>
              <c:layout>
                <c:manualLayout>
                  <c:x val="-2.4080355340197861E-2"/>
                  <c:y val="-2.4849291098886613E-2"/>
                </c:manualLayout>
              </c:layout>
              <c:dLblPos val="r"/>
              <c:showVal val="1"/>
              <c:extLst>
                <c:ext xmlns:c15="http://schemas.microsoft.com/office/drawing/2012/chart" uri="{CE6537A1-D6FC-4f65-9D91-7224C49458BB}">
                  <c15:layout/>
                </c:ext>
              </c:extLst>
            </c:dLbl>
            <c:dLbl>
              <c:idx val="15"/>
              <c:layout>
                <c:manualLayout>
                  <c:x val="-1.282051282051282E-2"/>
                  <c:y val="-1.0203142415417261E-2"/>
                </c:manualLayout>
              </c:layout>
              <c:dLblPos val="b"/>
              <c:showVal val="1"/>
              <c:extLst>
                <c:ext xmlns:c15="http://schemas.microsoft.com/office/drawing/2012/chart" uri="{CE6537A1-D6FC-4f65-9D91-7224C49458BB}">
                  <c15:layout/>
                </c:ext>
              </c:extLst>
            </c:dLbl>
            <c:dLbl>
              <c:idx val="16"/>
              <c:layout>
                <c:manualLayout>
                  <c:x val="-3.2731004778248876E-2"/>
                  <c:y val="1.4115221898632541E-2"/>
                </c:manualLayout>
              </c:layout>
              <c:dLblPos val="r"/>
              <c:showVal val="1"/>
              <c:extLst>
                <c:ext xmlns:c15="http://schemas.microsoft.com/office/drawing/2012/chart" uri="{CE6537A1-D6FC-4f65-9D91-7224C49458BB}"/>
              </c:extLst>
            </c:dLbl>
            <c:dLbl>
              <c:idx val="17"/>
              <c:layout>
                <c:manualLayout>
                  <c:x val="-5.4680833165085117E-2"/>
                  <c:y val="-9.0422171804795479E-3"/>
                </c:manualLayout>
              </c:layout>
              <c:dLblPos val="r"/>
              <c:showVal val="1"/>
              <c:extLst>
                <c:ext xmlns:c15="http://schemas.microsoft.com/office/drawing/2012/chart" uri="{CE6537A1-D6FC-4f65-9D91-7224C49458BB}"/>
              </c:extLst>
            </c:dLbl>
            <c:dLbl>
              <c:idx val="18"/>
              <c:layout>
                <c:manualLayout>
                  <c:x val="-5.5555555555555455E-2"/>
                  <c:y val="-7.768361581921188E-3"/>
                </c:manualLayout>
              </c:layout>
              <c:dLblPos val="r"/>
              <c:showVal val="1"/>
              <c:extLst>
                <c:ext xmlns:c15="http://schemas.microsoft.com/office/drawing/2012/chart" uri="{CE6537A1-D6FC-4f65-9D91-7224C49458BB}"/>
              </c:extLst>
            </c:dLbl>
            <c:spPr>
              <a:noFill/>
              <a:ln>
                <a:noFill/>
              </a:ln>
              <a:effectLst/>
            </c:spPr>
            <c:txPr>
              <a:bodyPr/>
              <a:lstStyle/>
              <a:p>
                <a:pPr>
                  <a:defRPr sz="800" b="0">
                    <a:solidFill>
                      <a:schemeClr val="accent1">
                        <a:lumMod val="75000"/>
                      </a:schemeClr>
                    </a:solidFill>
                    <a:latin typeface="Times New Roman" pitchFamily="18" charset="0"/>
                    <a:cs typeface="Times New Roman" pitchFamily="18" charset="0"/>
                  </a:defRPr>
                </a:pPr>
                <a:endParaRPr lang="ru-RU"/>
              </a:p>
            </c:txPr>
            <c:dLblPos val="b"/>
            <c:showVal val="1"/>
            <c:extLst>
              <c:ext xmlns:c15="http://schemas.microsoft.com/office/drawing/2012/chart" uri="{CE6537A1-D6FC-4f65-9D91-7224C49458BB}">
                <c15:showLeaderLines val="0"/>
              </c:ext>
            </c:extLst>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Sheet1!$B$2:$Q$2</c:f>
              <c:numCache>
                <c:formatCode>0</c:formatCode>
                <c:ptCount val="16"/>
                <c:pt idx="0" formatCode="General">
                  <c:v>4972</c:v>
                </c:pt>
                <c:pt idx="1">
                  <c:v>2981</c:v>
                </c:pt>
                <c:pt idx="2" formatCode="General">
                  <c:v>2825</c:v>
                </c:pt>
                <c:pt idx="3" formatCode="General">
                  <c:v>3922</c:v>
                </c:pt>
                <c:pt idx="4" formatCode="General">
                  <c:v>6926</c:v>
                </c:pt>
                <c:pt idx="5" formatCode="General">
                  <c:v>4196</c:v>
                </c:pt>
                <c:pt idx="6">
                  <c:v>3964</c:v>
                </c:pt>
                <c:pt idx="7">
                  <c:v>4431</c:v>
                </c:pt>
                <c:pt idx="8">
                  <c:v>4159</c:v>
                </c:pt>
                <c:pt idx="9">
                  <c:v>2399</c:v>
                </c:pt>
                <c:pt idx="10">
                  <c:v>4267</c:v>
                </c:pt>
                <c:pt idx="11">
                  <c:v>5525</c:v>
                </c:pt>
                <c:pt idx="12">
                  <c:v>2681</c:v>
                </c:pt>
                <c:pt idx="13">
                  <c:v>5908</c:v>
                </c:pt>
                <c:pt idx="14">
                  <c:v>6972</c:v>
                </c:pt>
                <c:pt idx="15">
                  <c:v>6535</c:v>
                </c:pt>
              </c:numCache>
            </c:numRef>
          </c:val>
        </c:ser>
        <c:ser>
          <c:idx val="1"/>
          <c:order val="1"/>
          <c:tx>
            <c:strRef>
              <c:f>Sheet1!$A$3</c:f>
              <c:strCache>
                <c:ptCount val="1"/>
                <c:pt idx="0">
                  <c:v>I полугодие 2017 года</c:v>
                </c:pt>
              </c:strCache>
            </c:strRef>
          </c:tx>
          <c:spPr>
            <a:ln w="22946">
              <a:gradFill>
                <a:gsLst>
                  <a:gs pos="0">
                    <a:srgbClr val="000000"/>
                  </a:gs>
                  <a:gs pos="39999">
                    <a:srgbClr val="0A128C"/>
                  </a:gs>
                  <a:gs pos="70000">
                    <a:srgbClr val="181CC7"/>
                  </a:gs>
                  <a:gs pos="88000">
                    <a:srgbClr val="7005D4"/>
                  </a:gs>
                  <a:gs pos="100000">
                    <a:srgbClr val="8C3D91"/>
                  </a:gs>
                </a:gsLst>
                <a:lin ang="5400000" scaled="0"/>
              </a:gradFill>
              <a:prstDash val="solid"/>
            </a:ln>
          </c:spPr>
          <c:marker>
            <c:symbol val="circle"/>
            <c:size val="2"/>
            <c:spPr>
              <a:solidFill>
                <a:srgbClr val="FF9900"/>
              </a:solidFill>
              <a:ln>
                <a:solidFill>
                  <a:srgbClr val="FF9900"/>
                </a:solidFill>
                <a:prstDash val="solid"/>
              </a:ln>
            </c:spPr>
          </c:marker>
          <c:dLbls>
            <c:dLbl>
              <c:idx val="0"/>
              <c:layout>
                <c:manualLayout>
                  <c:x val="-1.4804495591897181E-2"/>
                  <c:y val="-1.2525797289037627E-2"/>
                </c:manualLayout>
              </c:layout>
              <c:dLblPos val="r"/>
              <c:showVal val="1"/>
              <c:extLst>
                <c:ext xmlns:c15="http://schemas.microsoft.com/office/drawing/2012/chart" uri="{CE6537A1-D6FC-4f65-9D91-7224C49458BB}">
                  <c15:layout/>
                </c:ext>
              </c:extLst>
            </c:dLbl>
            <c:dLbl>
              <c:idx val="1"/>
              <c:layout>
                <c:manualLayout>
                  <c:x val="-2.4222356820782037E-2"/>
                  <c:y val="-2.6083246443510077E-2"/>
                </c:manualLayout>
              </c:layout>
              <c:dLblPos val="r"/>
              <c:showVal val="1"/>
              <c:extLst>
                <c:ext xmlns:c15="http://schemas.microsoft.com/office/drawing/2012/chart" uri="{CE6537A1-D6FC-4f65-9D91-7224C49458BB}">
                  <c15:layout/>
                </c:ext>
              </c:extLst>
            </c:dLbl>
            <c:dLbl>
              <c:idx val="2"/>
              <c:layout>
                <c:manualLayout>
                  <c:x val="-1.2820512820512841E-2"/>
                  <c:y val="3.8889967521183413E-2"/>
                </c:manualLayout>
              </c:layout>
              <c:dLblPos val="t"/>
              <c:showVal val="1"/>
              <c:extLst>
                <c:ext xmlns:c15="http://schemas.microsoft.com/office/drawing/2012/chart" uri="{CE6537A1-D6FC-4f65-9D91-7224C49458BB}">
                  <c15:layout/>
                </c:ext>
              </c:extLst>
            </c:dLbl>
            <c:dLbl>
              <c:idx val="3"/>
              <c:layout>
                <c:manualLayout>
                  <c:x val="-5.7296587926509587E-2"/>
                  <c:y val="-8.9231654262395283E-3"/>
                </c:manualLayout>
              </c:layout>
              <c:dLblPos val="r"/>
              <c:showVal val="1"/>
              <c:extLst>
                <c:ext xmlns:c15="http://schemas.microsoft.com/office/drawing/2012/chart" uri="{CE6537A1-D6FC-4f65-9D91-7224C49458BB}">
                  <c15:layout/>
                </c:ext>
              </c:extLst>
            </c:dLbl>
            <c:dLbl>
              <c:idx val="4"/>
              <c:layout>
                <c:manualLayout>
                  <c:x val="-5.6513392556699703E-2"/>
                  <c:y val="2.1275422763935492E-3"/>
                </c:manualLayout>
              </c:layout>
              <c:dLblPos val="r"/>
              <c:showVal val="1"/>
              <c:extLst>
                <c:ext xmlns:c15="http://schemas.microsoft.com/office/drawing/2012/chart" uri="{CE6537A1-D6FC-4f65-9D91-7224C49458BB}">
                  <c15:layout/>
                </c:ext>
              </c:extLst>
            </c:dLbl>
            <c:dLbl>
              <c:idx val="5"/>
              <c:layout>
                <c:manualLayout>
                  <c:x val="-5.6327983040581779E-2"/>
                  <c:y val="2.6246719160105117E-3"/>
                </c:manualLayout>
              </c:layout>
              <c:dLblPos val="r"/>
              <c:showVal val="1"/>
              <c:extLst>
                <c:ext xmlns:c15="http://schemas.microsoft.com/office/drawing/2012/chart" uri="{CE6537A1-D6FC-4f65-9D91-7224C49458BB}">
                  <c15:layout/>
                </c:ext>
              </c:extLst>
            </c:dLbl>
            <c:dLbl>
              <c:idx val="6"/>
              <c:layout>
                <c:manualLayout>
                  <c:x val="-3.2491587590012812E-2"/>
                  <c:y val="-1.9284986636944355E-2"/>
                </c:manualLayout>
              </c:layout>
              <c:dLblPos val="r"/>
              <c:showVal val="1"/>
              <c:extLst>
                <c:ext xmlns:c15="http://schemas.microsoft.com/office/drawing/2012/chart" uri="{CE6537A1-D6FC-4f65-9D91-7224C49458BB}">
                  <c15:layout/>
                </c:ext>
              </c:extLst>
            </c:dLbl>
            <c:dLbl>
              <c:idx val="7"/>
              <c:layout>
                <c:manualLayout>
                  <c:x val="-2.136752136752137E-3"/>
                  <c:y val="5.1092654514076505E-2"/>
                </c:manualLayout>
              </c:layout>
              <c:dLblPos val="t"/>
              <c:showVal val="1"/>
              <c:extLst>
                <c:ext xmlns:c15="http://schemas.microsoft.com/office/drawing/2012/chart" uri="{CE6537A1-D6FC-4f65-9D91-7224C49458BB}">
                  <c15:layout/>
                </c:ext>
              </c:extLst>
            </c:dLbl>
            <c:dLbl>
              <c:idx val="8"/>
              <c:layout>
                <c:manualLayout>
                  <c:x val="-8.5470085470085496E-3"/>
                  <c:y val="5.3672263569793495E-2"/>
                </c:manualLayout>
              </c:layout>
              <c:dLblPos val="t"/>
              <c:showVal val="1"/>
              <c:extLst>
                <c:ext xmlns:c15="http://schemas.microsoft.com/office/drawing/2012/chart" uri="{CE6537A1-D6FC-4f65-9D91-7224C49458BB}">
                  <c15:layout/>
                </c:ext>
              </c:extLst>
            </c:dLbl>
            <c:dLbl>
              <c:idx val="9"/>
              <c:layout>
                <c:manualLayout>
                  <c:x val="-6.2380543778181502E-2"/>
                  <c:y val="-8.8016395210873701E-4"/>
                </c:manualLayout>
              </c:layout>
              <c:dLblPos val="r"/>
              <c:showVal val="1"/>
              <c:extLst>
                <c:ext xmlns:c15="http://schemas.microsoft.com/office/drawing/2012/chart" uri="{CE6537A1-D6FC-4f65-9D91-7224C49458BB}">
                  <c15:layout/>
                </c:ext>
              </c:extLst>
            </c:dLbl>
            <c:dLbl>
              <c:idx val="10"/>
              <c:layout>
                <c:manualLayout>
                  <c:x val="-2.3504441752473248E-2"/>
                  <c:y val="2.3697791200757438E-2"/>
                </c:manualLayout>
              </c:layout>
              <c:dLblPos val="t"/>
              <c:showVal val="1"/>
              <c:extLst>
                <c:ext xmlns:c15="http://schemas.microsoft.com/office/drawing/2012/chart" uri="{CE6537A1-D6FC-4f65-9D91-7224C49458BB}">
                  <c15:layout/>
                </c:ext>
              </c:extLst>
            </c:dLbl>
            <c:dLbl>
              <c:idx val="11"/>
              <c:layout>
                <c:manualLayout>
                  <c:x val="2.350427350427365E-2"/>
                  <c:y val="1.6948908783662415E-2"/>
                </c:manualLayout>
              </c:layout>
              <c:dLblPos val="t"/>
              <c:showVal val="1"/>
              <c:extLst>
                <c:ext xmlns:c15="http://schemas.microsoft.com/office/drawing/2012/chart" uri="{CE6537A1-D6FC-4f65-9D91-7224C49458BB}">
                  <c15:layout/>
                </c:ext>
              </c:extLst>
            </c:dLbl>
            <c:dLbl>
              <c:idx val="12"/>
              <c:layout>
                <c:manualLayout>
                  <c:x val="1.4301096978262361E-5"/>
                  <c:y val="-8.8912858495428047E-3"/>
                </c:manualLayout>
              </c:layout>
              <c:dLblPos val="r"/>
              <c:showVal val="1"/>
              <c:extLst>
                <c:ext xmlns:c15="http://schemas.microsoft.com/office/drawing/2012/chart" uri="{CE6537A1-D6FC-4f65-9D91-7224C49458BB}">
                  <c15:layout/>
                </c:ext>
              </c:extLst>
            </c:dLbl>
            <c:dLbl>
              <c:idx val="13"/>
              <c:layout>
                <c:manualLayout>
                  <c:x val="-6.4102564102564309E-3"/>
                  <c:y val="1.0863505075564259E-2"/>
                </c:manualLayout>
              </c:layout>
              <c:dLblPos val="t"/>
              <c:showVal val="1"/>
              <c:extLst>
                <c:ext xmlns:c15="http://schemas.microsoft.com/office/drawing/2012/chart" uri="{CE6537A1-D6FC-4f65-9D91-7224C49458BB}">
                  <c15:layout/>
                </c:ext>
              </c:extLst>
            </c:dLbl>
            <c:dLbl>
              <c:idx val="14"/>
              <c:layout>
                <c:manualLayout>
                  <c:x val="-4.2735042735042739E-3"/>
                  <c:y val="5.2575893766703796E-2"/>
                </c:manualLayout>
              </c:layout>
              <c:dLblPos val="t"/>
              <c:showVal val="1"/>
              <c:extLst>
                <c:ext xmlns:c15="http://schemas.microsoft.com/office/drawing/2012/chart" uri="{CE6537A1-D6FC-4f65-9D91-7224C49458BB}">
                  <c15:layout/>
                </c:ext>
              </c:extLst>
            </c:dLbl>
            <c:dLbl>
              <c:idx val="15"/>
              <c:layout>
                <c:manualLayout>
                  <c:x val="-2.345531327814801E-2"/>
                  <c:y val="-1.5454883208092181E-2"/>
                </c:manualLayout>
              </c:layout>
              <c:dLblPos val="r"/>
              <c:showVal val="1"/>
              <c:extLst>
                <c:ext xmlns:c15="http://schemas.microsoft.com/office/drawing/2012/chart" uri="{CE6537A1-D6FC-4f65-9D91-7224C49458BB}">
                  <c15:layout/>
                </c:ext>
              </c:extLst>
            </c:dLbl>
            <c:dLbl>
              <c:idx val="16"/>
              <c:layout>
                <c:manualLayout>
                  <c:x val="0"/>
                  <c:y val="5.4305540574551472E-3"/>
                </c:manualLayout>
              </c:layout>
              <c:dLblPos val="t"/>
              <c:showVal val="1"/>
              <c:extLst>
                <c:ext xmlns:c15="http://schemas.microsoft.com/office/drawing/2012/chart" uri="{CE6537A1-D6FC-4f65-9D91-7224C49458BB}"/>
              </c:extLst>
            </c:dLbl>
            <c:dLbl>
              <c:idx val="17"/>
              <c:layout>
                <c:manualLayout>
                  <c:x val="-5.0789925297799313E-2"/>
                  <c:y val="3.1765203078430292E-3"/>
                </c:manualLayout>
              </c:layout>
              <c:dLblPos val="r"/>
              <c:showVal val="1"/>
              <c:extLst>
                <c:ext xmlns:c15="http://schemas.microsoft.com/office/drawing/2012/chart" uri="{CE6537A1-D6FC-4f65-9D91-7224C49458BB}"/>
              </c:extLst>
            </c:dLbl>
            <c:dLbl>
              <c:idx val="18"/>
              <c:layout>
                <c:manualLayout>
                  <c:x val="-3.4188034188034191E-2"/>
                  <c:y val="-3.4193691890208593E-2"/>
                </c:manualLayout>
              </c:layout>
              <c:dLblPos val="r"/>
              <c:showVal val="1"/>
              <c:extLst>
                <c:ext xmlns:c15="http://schemas.microsoft.com/office/drawing/2012/chart" uri="{CE6537A1-D6FC-4f65-9D91-7224C49458BB}"/>
              </c:extLst>
            </c:dLbl>
            <c:spPr>
              <a:noFill/>
              <a:ln>
                <a:noFill/>
              </a:ln>
              <a:effectLst/>
            </c:spPr>
            <c:txPr>
              <a:bodyPr/>
              <a:lstStyle/>
              <a:p>
                <a:pPr>
                  <a:defRPr sz="800">
                    <a:solidFill>
                      <a:schemeClr val="tx1">
                        <a:lumMod val="95000"/>
                        <a:lumOff val="5000"/>
                      </a:schemeClr>
                    </a:solidFill>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Sheet1!$B$3:$Q$3</c:f>
              <c:numCache>
                <c:formatCode>0</c:formatCode>
                <c:ptCount val="16"/>
                <c:pt idx="0" formatCode="General">
                  <c:v>5079</c:v>
                </c:pt>
                <c:pt idx="1">
                  <c:v>3285</c:v>
                </c:pt>
                <c:pt idx="2" formatCode="General">
                  <c:v>2192</c:v>
                </c:pt>
                <c:pt idx="3" formatCode="General">
                  <c:v>3953</c:v>
                </c:pt>
                <c:pt idx="4" formatCode="General">
                  <c:v>7131</c:v>
                </c:pt>
                <c:pt idx="5" formatCode="General">
                  <c:v>4401</c:v>
                </c:pt>
                <c:pt idx="6">
                  <c:v>4016</c:v>
                </c:pt>
                <c:pt idx="7">
                  <c:v>3825</c:v>
                </c:pt>
                <c:pt idx="8">
                  <c:v>4122</c:v>
                </c:pt>
                <c:pt idx="9">
                  <c:v>2539</c:v>
                </c:pt>
                <c:pt idx="10">
                  <c:v>4367</c:v>
                </c:pt>
                <c:pt idx="11">
                  <c:v>5627</c:v>
                </c:pt>
                <c:pt idx="12">
                  <c:v>2780</c:v>
                </c:pt>
                <c:pt idx="13">
                  <c:v>6752</c:v>
                </c:pt>
                <c:pt idx="14">
                  <c:v>6736</c:v>
                </c:pt>
                <c:pt idx="15">
                  <c:v>6577</c:v>
                </c:pt>
              </c:numCache>
            </c:numRef>
          </c:val>
        </c:ser>
        <c:ser>
          <c:idx val="2"/>
          <c:order val="2"/>
          <c:tx>
            <c:strRef>
              <c:f>Sheet1!$A$4</c:f>
              <c:strCache>
                <c:ptCount val="1"/>
                <c:pt idx="0">
                  <c:v>средняя зарплата во внебюджетном секторе республики  республике за I полуг. 2017 года</c:v>
                </c:pt>
              </c:strCache>
            </c:strRef>
          </c:tx>
          <c:spPr>
            <a:ln w="28575">
              <a:gradFill>
                <a:gsLst>
                  <a:gs pos="0">
                    <a:srgbClr val="D6B19C"/>
                  </a:gs>
                  <a:gs pos="30000">
                    <a:srgbClr val="D49E6C"/>
                  </a:gs>
                  <a:gs pos="70000">
                    <a:srgbClr val="A65528"/>
                  </a:gs>
                  <a:gs pos="100000">
                    <a:srgbClr val="663012"/>
                  </a:gs>
                </a:gsLst>
                <a:lin ang="5400000" scaled="0"/>
              </a:gradFill>
              <a:prstDash val="solid"/>
            </a:ln>
          </c:spPr>
          <c:marker>
            <c:symbol val="triangle"/>
            <c:size val="2"/>
            <c:spPr>
              <a:solidFill>
                <a:srgbClr val="008080"/>
              </a:solidFill>
              <a:ln>
                <a:solidFill>
                  <a:srgbClr val="008080"/>
                </a:solidFill>
                <a:prstDash val="solid"/>
              </a:ln>
            </c:spPr>
          </c:marker>
          <c:dLbls>
            <c:delete val="1"/>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Sheet1!$B$4:$Q$4</c:f>
              <c:numCache>
                <c:formatCode>General</c:formatCode>
                <c:ptCount val="16"/>
                <c:pt idx="0">
                  <c:v>4848</c:v>
                </c:pt>
                <c:pt idx="1">
                  <c:v>4848</c:v>
                </c:pt>
                <c:pt idx="2">
                  <c:v>4848</c:v>
                </c:pt>
                <c:pt idx="3">
                  <c:v>4848</c:v>
                </c:pt>
                <c:pt idx="4">
                  <c:v>4848</c:v>
                </c:pt>
                <c:pt idx="5">
                  <c:v>4848</c:v>
                </c:pt>
                <c:pt idx="6">
                  <c:v>4848</c:v>
                </c:pt>
                <c:pt idx="7">
                  <c:v>4848</c:v>
                </c:pt>
                <c:pt idx="8">
                  <c:v>4848</c:v>
                </c:pt>
                <c:pt idx="9">
                  <c:v>4848</c:v>
                </c:pt>
                <c:pt idx="10">
                  <c:v>4848</c:v>
                </c:pt>
                <c:pt idx="11">
                  <c:v>4848</c:v>
                </c:pt>
                <c:pt idx="12">
                  <c:v>4848</c:v>
                </c:pt>
                <c:pt idx="13">
                  <c:v>4848</c:v>
                </c:pt>
                <c:pt idx="14">
                  <c:v>4848</c:v>
                </c:pt>
                <c:pt idx="15">
                  <c:v>4848</c:v>
                </c:pt>
              </c:numCache>
            </c:numRef>
          </c:val>
        </c:ser>
        <c:dLbls>
          <c:showVal val="1"/>
        </c:dLbls>
        <c:marker val="1"/>
        <c:axId val="105618816"/>
        <c:axId val="105625088"/>
      </c:lineChart>
      <c:catAx>
        <c:axId val="105618816"/>
        <c:scaling>
          <c:orientation val="minMax"/>
        </c:scaling>
        <c:axPos val="b"/>
        <c:numFmt formatCode="General" sourceLinked="1"/>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05625088"/>
        <c:crosses val="autoZero"/>
        <c:auto val="1"/>
        <c:lblAlgn val="ctr"/>
        <c:lblOffset val="200"/>
        <c:tickLblSkip val="1"/>
        <c:tickMarkSkip val="1"/>
      </c:catAx>
      <c:valAx>
        <c:axId val="105625088"/>
        <c:scaling>
          <c:orientation val="minMax"/>
          <c:max val="8500"/>
          <c:min val="1500"/>
        </c:scaling>
        <c:axPos val="l"/>
        <c:numFmt formatCode="General" sourceLinked="0"/>
        <c:tickLblPos val="nextTo"/>
        <c:spPr>
          <a:ln w="28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5618816"/>
        <c:crosses val="autoZero"/>
        <c:crossBetween val="between"/>
        <c:majorUnit val="1000"/>
        <c:minorUnit val="500"/>
      </c:valAx>
      <c:spPr>
        <a:solidFill>
          <a:srgbClr val="FFFFFF"/>
        </a:solidFill>
        <a:ln w="2868">
          <a:noFill/>
          <a:prstDash val="solid"/>
        </a:ln>
      </c:spPr>
    </c:plotArea>
    <c:legend>
      <c:legendPos val="r"/>
      <c:layout>
        <c:manualLayout>
          <c:xMode val="edge"/>
          <c:yMode val="edge"/>
          <c:x val="1.4099703883168448E-2"/>
          <c:y val="0.89859849710566997"/>
          <c:w val="0.95616090653341879"/>
          <c:h val="0.10140150289432998"/>
        </c:manualLayout>
      </c:layout>
      <c:spPr>
        <a:solidFill>
          <a:srgbClr val="FFFFFF"/>
        </a:solidFill>
        <a:ln w="2868">
          <a:no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style val="39"/>
  <c:clrMapOvr bg1="lt1" tx1="dk1" bg2="lt2" tx2="dk2" accent1="accent1" accent2="accent2" accent3="accent3" accent4="accent4" accent5="accent5" accent6="accent6" hlink="hlink" folHlink="folHlink"/>
  <c:chart>
    <c:title>
      <c:tx>
        <c:rich>
          <a:bodyPr/>
          <a:lstStyle/>
          <a:p>
            <a:pPr>
              <a:defRPr sz="1200"/>
            </a:pPr>
            <a:r>
              <a:rPr lang="ru-RU" sz="1200"/>
              <a:t>Динамика среднемесячной номинальной заработной платы в разрезе подотраслей промышленности, %</a:t>
            </a:r>
            <a:endParaRPr lang="ru-RU" sz="1200">
              <a:solidFill>
                <a:srgbClr val="FF0000"/>
              </a:solidFill>
            </a:endParaRPr>
          </a:p>
        </c:rich>
      </c:tx>
      <c:layout>
        <c:manualLayout>
          <c:xMode val="edge"/>
          <c:yMode val="edge"/>
          <c:x val="0.15525052391706851"/>
          <c:y val="0"/>
        </c:manualLayout>
      </c:layout>
      <c:spPr>
        <a:noFill/>
      </c:spPr>
    </c:title>
    <c:view3D>
      <c:rotX val="10"/>
      <c:rotY val="0"/>
      <c:perspective val="20"/>
    </c:view3D>
    <c:plotArea>
      <c:layout>
        <c:manualLayout>
          <c:layoutTarget val="inner"/>
          <c:xMode val="edge"/>
          <c:yMode val="edge"/>
          <c:x val="9.8163869051255764E-2"/>
          <c:y val="0.11311794090254847"/>
          <c:w val="0.89139381014873265"/>
          <c:h val="0.36235170603674538"/>
        </c:manualLayout>
      </c:layout>
      <c:bar3DChart>
        <c:barDir val="col"/>
        <c:grouping val="clustered"/>
        <c:ser>
          <c:idx val="0"/>
          <c:order val="0"/>
          <c:tx>
            <c:strRef>
              <c:f>Лист1!$B$1</c:f>
              <c:strCache>
                <c:ptCount val="1"/>
                <c:pt idx="0">
                  <c:v>I полугодие 2016 года</c:v>
                </c:pt>
              </c:strCache>
            </c:strRef>
          </c:tx>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path path="circle">
                <a:fillToRect l="50000" t="50000" r="50000" b="50000"/>
              </a:path>
              <a:tileRect/>
            </a:gradFill>
          </c:spPr>
          <c:dLbls>
            <c:delete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Лист1!$B$2:$B$12</c:f>
              <c:numCache>
                <c:formatCode>#,##0</c:formatCode>
                <c:ptCount val="11"/>
                <c:pt idx="0">
                  <c:v>6393</c:v>
                </c:pt>
                <c:pt idx="1">
                  <c:v>5474</c:v>
                </c:pt>
                <c:pt idx="2">
                  <c:v>4186</c:v>
                </c:pt>
                <c:pt idx="3">
                  <c:v>5069</c:v>
                </c:pt>
                <c:pt idx="4">
                  <c:v>4171</c:v>
                </c:pt>
                <c:pt idx="5">
                  <c:v>2877</c:v>
                </c:pt>
                <c:pt idx="6">
                  <c:v>3920</c:v>
                </c:pt>
                <c:pt idx="7">
                  <c:v>3837</c:v>
                </c:pt>
                <c:pt idx="8">
                  <c:v>4478</c:v>
                </c:pt>
                <c:pt idx="9">
                  <c:v>3849</c:v>
                </c:pt>
                <c:pt idx="10">
                  <c:v>4192</c:v>
                </c:pt>
              </c:numCache>
            </c:numRef>
          </c:val>
        </c:ser>
        <c:ser>
          <c:idx val="1"/>
          <c:order val="1"/>
          <c:tx>
            <c:strRef>
              <c:f>Лист1!$C$1</c:f>
              <c:strCache>
                <c:ptCount val="1"/>
                <c:pt idx="0">
                  <c:v>I полугодие 2017 года</c:v>
                </c:pt>
              </c:strCache>
            </c:strRef>
          </c:tx>
          <c:spPr>
            <a:gradFill flip="none"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path path="circle">
                <a:fillToRect r="100000" b="100000"/>
              </a:path>
              <a:tileRect l="-100000" t="-100000"/>
            </a:gradFill>
          </c:spPr>
          <c:dLbls>
            <c:dLbl>
              <c:idx val="0"/>
              <c:layout>
                <c:manualLayout>
                  <c:x val="-3.0005086573480651E-3"/>
                  <c:y val="7.0127846922360508E-3"/>
                </c:manualLayout>
              </c:layout>
              <c:tx>
                <c:rich>
                  <a:bodyPr/>
                  <a:lstStyle/>
                  <a:p>
                    <a:r>
                      <a:rPr lang="en-US" sz="800" b="1"/>
                      <a:t>97,3*</a:t>
                    </a:r>
                  </a:p>
                </c:rich>
              </c:tx>
              <c:showVal val="1"/>
              <c:extLst>
                <c:ext xmlns:c15="http://schemas.microsoft.com/office/drawing/2012/chart" uri="{CE6537A1-D6FC-4f65-9D91-7224C49458BB}">
                  <c15:layout/>
                </c:ext>
              </c:extLst>
            </c:dLbl>
            <c:dLbl>
              <c:idx val="1"/>
              <c:layout>
                <c:manualLayout>
                  <c:x val="1.5105088608110406E-4"/>
                  <c:y val="-1.5305586801649793E-2"/>
                </c:manualLayout>
              </c:layout>
              <c:tx>
                <c:rich>
                  <a:bodyPr/>
                  <a:lstStyle/>
                  <a:p>
                    <a:r>
                      <a:rPr lang="en-US" sz="800" b="1"/>
                      <a:t>109,4*</a:t>
                    </a:r>
                  </a:p>
                </c:rich>
              </c:tx>
              <c:showVal val="1"/>
              <c:extLst>
                <c:ext xmlns:c15="http://schemas.microsoft.com/office/drawing/2012/chart" uri="{CE6537A1-D6FC-4f65-9D91-7224C49458BB}">
                  <c15:layout/>
                </c:ext>
              </c:extLst>
            </c:dLbl>
            <c:dLbl>
              <c:idx val="2"/>
              <c:layout>
                <c:manualLayout>
                  <c:x val="4.9498463854814097E-4"/>
                  <c:y val="-3.3633053932774692E-3"/>
                </c:manualLayout>
              </c:layout>
              <c:tx>
                <c:rich>
                  <a:bodyPr/>
                  <a:lstStyle/>
                  <a:p>
                    <a:r>
                      <a:rPr lang="en-US" sz="800" b="1"/>
                      <a:t>102,1*</a:t>
                    </a:r>
                  </a:p>
                </c:rich>
              </c:tx>
              <c:showVal val="1"/>
              <c:extLst>
                <c:ext xmlns:c15="http://schemas.microsoft.com/office/drawing/2012/chart" uri="{CE6537A1-D6FC-4f65-9D91-7224C49458BB}">
                  <c15:layout/>
                </c:ext>
              </c:extLst>
            </c:dLbl>
            <c:dLbl>
              <c:idx val="3"/>
              <c:layout>
                <c:manualLayout>
                  <c:x val="-1.8550936946835261E-3"/>
                  <c:y val="-1.2537465074930151E-3"/>
                </c:manualLayout>
              </c:layout>
              <c:tx>
                <c:rich>
                  <a:bodyPr/>
                  <a:lstStyle/>
                  <a:p>
                    <a:r>
                      <a:rPr lang="en-US" sz="800" b="1"/>
                      <a:t>105,6*</a:t>
                    </a:r>
                  </a:p>
                </c:rich>
              </c:tx>
              <c:showVal val="1"/>
              <c:extLst>
                <c:ext xmlns:c15="http://schemas.microsoft.com/office/drawing/2012/chart" uri="{CE6537A1-D6FC-4f65-9D91-7224C49458BB}">
                  <c15:layout/>
                </c:ext>
              </c:extLst>
            </c:dLbl>
            <c:dLbl>
              <c:idx val="4"/>
              <c:layout>
                <c:manualLayout>
                  <c:x val="-1.4877210116177341E-4"/>
                  <c:y val="-3.9888239776480006E-3"/>
                </c:manualLayout>
              </c:layout>
              <c:tx>
                <c:rich>
                  <a:bodyPr/>
                  <a:lstStyle/>
                  <a:p>
                    <a:r>
                      <a:rPr lang="en-US" sz="800" b="1"/>
                      <a:t>101,6*</a:t>
                    </a:r>
                  </a:p>
                </c:rich>
              </c:tx>
              <c:showVal val="1"/>
              <c:extLst>
                <c:ext xmlns:c15="http://schemas.microsoft.com/office/drawing/2012/chart" uri="{CE6537A1-D6FC-4f65-9D91-7224C49458BB}">
                  <c15:layout/>
                </c:ext>
              </c:extLst>
            </c:dLbl>
            <c:dLbl>
              <c:idx val="5"/>
              <c:layout>
                <c:manualLayout>
                  <c:x val="-3.8929784939673241E-3"/>
                  <c:y val="3.8946744560196452E-5"/>
                </c:manualLayout>
              </c:layout>
              <c:tx>
                <c:rich>
                  <a:bodyPr/>
                  <a:lstStyle/>
                  <a:p>
                    <a:r>
                      <a:rPr lang="en-US" sz="800" b="1"/>
                      <a:t>103,2*</a:t>
                    </a:r>
                  </a:p>
                </c:rich>
              </c:tx>
              <c:showVal val="1"/>
              <c:extLst>
                <c:ext xmlns:c15="http://schemas.microsoft.com/office/drawing/2012/chart" uri="{CE6537A1-D6FC-4f65-9D91-7224C49458BB}">
                  <c15:layout/>
                </c:ext>
              </c:extLst>
            </c:dLbl>
            <c:dLbl>
              <c:idx val="6"/>
              <c:layout>
                <c:manualLayout>
                  <c:x val="-1.5723615943355961E-3"/>
                  <c:y val="-1.6863040634772671E-2"/>
                </c:manualLayout>
              </c:layout>
              <c:tx>
                <c:rich>
                  <a:bodyPr/>
                  <a:lstStyle/>
                  <a:p>
                    <a:r>
                      <a:rPr lang="en-US" sz="800" b="1"/>
                      <a:t>102,7*</a:t>
                    </a:r>
                  </a:p>
                </c:rich>
              </c:tx>
              <c:showVal val="1"/>
              <c:extLst>
                <c:ext xmlns:c15="http://schemas.microsoft.com/office/drawing/2012/chart" uri="{CE6537A1-D6FC-4f65-9D91-7224C49458BB}">
                  <c15:layout/>
                </c:ext>
              </c:extLst>
            </c:dLbl>
            <c:dLbl>
              <c:idx val="7"/>
              <c:layout>
                <c:manualLayout>
                  <c:x val="-3.8347067081731692E-3"/>
                  <c:y val="-8.5881344039915684E-3"/>
                </c:manualLayout>
              </c:layout>
              <c:tx>
                <c:rich>
                  <a:bodyPr/>
                  <a:lstStyle/>
                  <a:p>
                    <a:r>
                      <a:rPr lang="en-US" sz="800" b="1"/>
                      <a:t>106,5*</a:t>
                    </a:r>
                  </a:p>
                </c:rich>
              </c:tx>
              <c:showVal val="1"/>
              <c:extLst>
                <c:ext xmlns:c15="http://schemas.microsoft.com/office/drawing/2012/chart" uri="{CE6537A1-D6FC-4f65-9D91-7224C49458BB}">
                  <c15:layout/>
                </c:ext>
              </c:extLst>
            </c:dLbl>
            <c:dLbl>
              <c:idx val="8"/>
              <c:layout>
                <c:manualLayout>
                  <c:x val="-8.1810006307351107E-3"/>
                  <c:y val="-5.6034579835937534E-3"/>
                </c:manualLayout>
              </c:layout>
              <c:tx>
                <c:rich>
                  <a:bodyPr/>
                  <a:lstStyle/>
                  <a:p>
                    <a:r>
                      <a:rPr lang="en-US" sz="800" b="1"/>
                      <a:t>103,0*</a:t>
                    </a:r>
                  </a:p>
                </c:rich>
              </c:tx>
              <c:showVal val="1"/>
              <c:extLst>
                <c:ext xmlns:c15="http://schemas.microsoft.com/office/drawing/2012/chart" uri="{CE6537A1-D6FC-4f65-9D91-7224C49458BB}">
                  <c15:layout/>
                </c:ext>
              </c:extLst>
            </c:dLbl>
            <c:dLbl>
              <c:idx val="9"/>
              <c:layout>
                <c:manualLayout>
                  <c:x val="-1.0513988077071754E-2"/>
                  <c:y val="-8.2895605791215247E-3"/>
                </c:manualLayout>
              </c:layout>
              <c:tx>
                <c:rich>
                  <a:bodyPr/>
                  <a:lstStyle/>
                  <a:p>
                    <a:r>
                      <a:rPr lang="en-US" sz="800" b="1"/>
                      <a:t>106,4*</a:t>
                    </a:r>
                  </a:p>
                </c:rich>
              </c:tx>
              <c:showVal val="1"/>
              <c:extLst>
                <c:ext xmlns:c15="http://schemas.microsoft.com/office/drawing/2012/chart" uri="{CE6537A1-D6FC-4f65-9D91-7224C49458BB}">
                  <c15:layout/>
                </c:ext>
              </c:extLst>
            </c:dLbl>
            <c:dLbl>
              <c:idx val="10"/>
              <c:layout>
                <c:manualLayout>
                  <c:x val="-1.1978758469144845E-2"/>
                  <c:y val="-2.5806451612903236E-2"/>
                </c:manualLayout>
              </c:layout>
              <c:tx>
                <c:rich>
                  <a:bodyPr/>
                  <a:lstStyle/>
                  <a:p>
                    <a:r>
                      <a:rPr lang="en-US" sz="800" b="1"/>
                      <a:t>91,0*</a:t>
                    </a:r>
                  </a:p>
                </c:rich>
              </c:tx>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Лист1!$C$2:$C$12</c:f>
              <c:numCache>
                <c:formatCode>#,##0</c:formatCode>
                <c:ptCount val="11"/>
                <c:pt idx="0">
                  <c:v>6221</c:v>
                </c:pt>
                <c:pt idx="1">
                  <c:v>5988</c:v>
                </c:pt>
                <c:pt idx="2">
                  <c:v>4272</c:v>
                </c:pt>
                <c:pt idx="3">
                  <c:v>5352</c:v>
                </c:pt>
                <c:pt idx="4">
                  <c:v>4236</c:v>
                </c:pt>
                <c:pt idx="5">
                  <c:v>2969</c:v>
                </c:pt>
                <c:pt idx="6">
                  <c:v>4024</c:v>
                </c:pt>
                <c:pt idx="7">
                  <c:v>4086</c:v>
                </c:pt>
                <c:pt idx="8">
                  <c:v>4614</c:v>
                </c:pt>
                <c:pt idx="9">
                  <c:v>4096</c:v>
                </c:pt>
                <c:pt idx="10">
                  <c:v>3816</c:v>
                </c:pt>
              </c:numCache>
            </c:numRef>
          </c:val>
        </c:ser>
        <c:dLbls>
          <c:showVal val="1"/>
        </c:dLbls>
        <c:shape val="cylinder"/>
        <c:axId val="105593088"/>
        <c:axId val="105779200"/>
        <c:axId val="0"/>
      </c:bar3DChart>
      <c:catAx>
        <c:axId val="105593088"/>
        <c:scaling>
          <c:orientation val="minMax"/>
        </c:scaling>
        <c:axPos val="b"/>
        <c:numFmt formatCode="General" sourceLinked="0"/>
        <c:tickLblPos val="nextTo"/>
        <c:txPr>
          <a:bodyPr rot="-5400000" vert="horz"/>
          <a:lstStyle/>
          <a:p>
            <a:pPr>
              <a:defRPr sz="900" b="0"/>
            </a:pPr>
            <a:endParaRPr lang="ru-RU"/>
          </a:p>
        </c:txPr>
        <c:crossAx val="105779200"/>
        <c:crosses val="autoZero"/>
        <c:auto val="1"/>
        <c:lblAlgn val="ctr"/>
        <c:lblOffset val="100"/>
      </c:catAx>
      <c:valAx>
        <c:axId val="105779200"/>
        <c:scaling>
          <c:orientation val="minMax"/>
          <c:max val="8000"/>
          <c:min val="0"/>
        </c:scaling>
        <c:axPos val="l"/>
        <c:title>
          <c:tx>
            <c:rich>
              <a:bodyPr rot="0" vert="horz"/>
              <a:lstStyle/>
              <a:p>
                <a:pPr>
                  <a:defRPr sz="900"/>
                </a:pPr>
                <a:r>
                  <a:rPr lang="ru-RU" sz="900"/>
                  <a:t>* - темп роста                       </a:t>
                </a:r>
                <a:r>
                  <a:rPr lang="ru-RU" sz="900" baseline="0"/>
                  <a:t> </a:t>
                </a:r>
                <a:r>
                  <a:rPr lang="en-US" sz="900" baseline="0"/>
                  <a:t>I</a:t>
                </a:r>
                <a:r>
                  <a:rPr lang="ru-RU" sz="900" baseline="0"/>
                  <a:t> полуг. </a:t>
                </a:r>
                <a:r>
                  <a:rPr lang="ru-RU" sz="900"/>
                  <a:t>2017г. к                       </a:t>
                </a:r>
                <a:r>
                  <a:rPr lang="en-US" sz="900"/>
                  <a:t>I</a:t>
                </a:r>
                <a:r>
                  <a:rPr lang="ru-RU" sz="900" baseline="0"/>
                  <a:t> полуг.  2016г., %</a:t>
                </a:r>
                <a:endParaRPr lang="ru-RU" sz="900"/>
              </a:p>
            </c:rich>
          </c:tx>
          <c:layout>
            <c:manualLayout>
              <c:xMode val="edge"/>
              <c:yMode val="edge"/>
              <c:x val="0"/>
              <c:y val="0.83316157171529959"/>
            </c:manualLayout>
          </c:layout>
        </c:title>
        <c:numFmt formatCode="#,##0" sourceLinked="1"/>
        <c:tickLblPos val="nextTo"/>
        <c:txPr>
          <a:bodyPr/>
          <a:lstStyle/>
          <a:p>
            <a:pPr>
              <a:defRPr b="1"/>
            </a:pPr>
            <a:endParaRPr lang="ru-RU"/>
          </a:p>
        </c:txPr>
        <c:crossAx val="105593088"/>
        <c:crosses val="autoZero"/>
        <c:crossBetween val="between"/>
        <c:majorUnit val="2000"/>
      </c:valAx>
      <c:spPr>
        <a:noFill/>
      </c:spPr>
    </c:plotArea>
    <c:legend>
      <c:legendPos val="b"/>
      <c:layout>
        <c:manualLayout>
          <c:xMode val="edge"/>
          <c:yMode val="edge"/>
          <c:x val="0.36901324543734382"/>
          <c:y val="0.90789753553533081"/>
          <c:w val="0.52298488270361554"/>
          <c:h val="9.0280192248696225E-2"/>
        </c:manualLayout>
      </c:layout>
    </c:legend>
    <c:plotVisOnly val="1"/>
    <c:dispBlanksAs val="gap"/>
  </c:chart>
  <c:spPr>
    <a:noFill/>
    <a:ln>
      <a:noFill/>
    </a:ln>
    <a:effectLst>
      <a:outerShdw blurRad="50800" dist="50800" dir="5400000" algn="ctr" rotWithShape="0">
        <a:sysClr val="window" lastClr="FFFFFF"/>
      </a:outerShdw>
    </a:effectLst>
  </c:spPr>
  <c:txPr>
    <a:bodyPr/>
    <a:lstStyle/>
    <a:p>
      <a:pPr>
        <a:defRPr>
          <a:latin typeface="Times New Roman" pitchFamily="18" charset="0"/>
          <a:cs typeface="Times New Roman" pitchFamily="18" charset="0"/>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Динамика оплаты труда в организациях бюджетного сектора,</a:t>
            </a:r>
          </a:p>
          <a:p>
            <a:pPr>
              <a:defRPr sz="1200"/>
            </a:pPr>
            <a:r>
              <a:rPr lang="ru-RU" sz="1200"/>
              <a:t> руб. ПМР</a:t>
            </a:r>
          </a:p>
        </c:rich>
      </c:tx>
      <c:layout>
        <c:manualLayout>
          <c:xMode val="edge"/>
          <c:yMode val="edge"/>
          <c:x val="0.17442713861394291"/>
          <c:y val="1.4262930737476431E-2"/>
        </c:manualLayout>
      </c:layout>
      <c:spPr>
        <a:noFill/>
      </c:spPr>
    </c:title>
    <c:plotArea>
      <c:layout>
        <c:manualLayout>
          <c:layoutTarget val="inner"/>
          <c:xMode val="edge"/>
          <c:yMode val="edge"/>
          <c:x val="7.4790419161677113E-2"/>
          <c:y val="0.11795567790354362"/>
          <c:w val="0.92520958083832339"/>
          <c:h val="0.4076382337649323"/>
        </c:manualLayout>
      </c:layout>
      <c:barChart>
        <c:barDir val="col"/>
        <c:grouping val="clustered"/>
        <c:ser>
          <c:idx val="0"/>
          <c:order val="0"/>
          <c:tx>
            <c:strRef>
              <c:f>Лист1!$B$1</c:f>
              <c:strCache>
                <c:ptCount val="1"/>
                <c:pt idx="0">
                  <c:v>I полугодие 2016 года</c:v>
                </c:pt>
              </c:strCache>
            </c:strRef>
          </c:tx>
          <c:spPr>
            <a:blipFill>
              <a:blip xmlns:r="http://schemas.openxmlformats.org/officeDocument/2006/relationships" r:embed="rId1"/>
              <a:tile tx="0" ty="0" sx="100000" sy="100000" flip="none" algn="tl"/>
            </a:blipFill>
          </c:spPr>
          <c:dLbls>
            <c:dLbl>
              <c:idx val="0"/>
              <c:layout>
                <c:manualLayout>
                  <c:x val="-1.8786534633463968E-4"/>
                  <c:y val="1.7644324310207585E-2"/>
                </c:manualLayout>
              </c:layout>
              <c:showVal val="1"/>
              <c:extLst>
                <c:ext xmlns:c15="http://schemas.microsoft.com/office/drawing/2012/chart" uri="{CE6537A1-D6FC-4f65-9D91-7224C49458BB}">
                  <c15:layout/>
                </c:ext>
              </c:extLst>
            </c:dLbl>
            <c:dLbl>
              <c:idx val="1"/>
              <c:layout>
                <c:manualLayout>
                  <c:x val="-1.4161949692151655E-2"/>
                  <c:y val="1.709849701623118E-2"/>
                </c:manualLayout>
              </c:layout>
              <c:showVal val="1"/>
              <c:extLst>
                <c:ext xmlns:c15="http://schemas.microsoft.com/office/drawing/2012/chart" uri="{CE6537A1-D6FC-4f65-9D91-7224C49458BB}">
                  <c15:layout/>
                </c:ext>
              </c:extLst>
            </c:dLbl>
            <c:dLbl>
              <c:idx val="2"/>
              <c:layout>
                <c:manualLayout>
                  <c:x val="-1.3619564256766203E-2"/>
                  <c:y val="1.6984108329742464E-2"/>
                </c:manualLayout>
              </c:layout>
              <c:showVal val="1"/>
              <c:extLst>
                <c:ext xmlns:c15="http://schemas.microsoft.com/office/drawing/2012/chart" uri="{CE6537A1-D6FC-4f65-9D91-7224C49458BB}">
                  <c15:layout/>
                </c:ext>
              </c:extLst>
            </c:dLbl>
            <c:dLbl>
              <c:idx val="3"/>
              <c:layout>
                <c:manualLayout>
                  <c:x val="-5.9881811180788726E-3"/>
                  <c:y val="6.8438832841208217E-3"/>
                </c:manualLayout>
              </c:layout>
              <c:showVal val="1"/>
              <c:extLst>
                <c:ext xmlns:c15="http://schemas.microsoft.com/office/drawing/2012/chart" uri="{CE6537A1-D6FC-4f65-9D91-7224C49458BB}">
                  <c15:layout/>
                </c:ext>
              </c:extLst>
            </c:dLbl>
            <c:dLbl>
              <c:idx val="4"/>
              <c:layout>
                <c:manualLayout>
                  <c:x val="-9.2041114621150989E-3"/>
                  <c:y val="1.776728592519685E-2"/>
                </c:manualLayout>
              </c:layout>
              <c:showVal val="1"/>
              <c:extLst>
                <c:ext xmlns:c15="http://schemas.microsoft.com/office/drawing/2012/chart" uri="{CE6537A1-D6FC-4f65-9D91-7224C49458BB}">
                  <c15:layout/>
                </c:ext>
              </c:extLst>
            </c:dLbl>
            <c:dLbl>
              <c:idx val="5"/>
              <c:layout>
                <c:manualLayout>
                  <c:x val="-2.3591242711427929E-2"/>
                  <c:y val="2.1503598671260206E-2"/>
                </c:manualLayout>
              </c:layout>
              <c:showVal val="1"/>
              <c:extLst>
                <c:ext xmlns:c15="http://schemas.microsoft.com/office/drawing/2012/chart" uri="{CE6537A1-D6FC-4f65-9D91-7224C49458BB}">
                  <c15:layout/>
                </c:ext>
              </c:extLst>
            </c:dLbl>
            <c:dLbl>
              <c:idx val="6"/>
              <c:layout>
                <c:manualLayout>
                  <c:x val="-1.0733070445296427E-2"/>
                  <c:y val="1.7002911949439155E-2"/>
                </c:manualLayout>
              </c:layout>
              <c:showVal val="1"/>
              <c:extLst>
                <c:ext xmlns:c15="http://schemas.microsoft.com/office/drawing/2012/chart" uri="{CE6537A1-D6FC-4f65-9D91-7224C49458BB}">
                  <c15:layout/>
                </c:ext>
              </c:extLst>
            </c:dLbl>
            <c:dLbl>
              <c:idx val="7"/>
              <c:layout>
                <c:manualLayout>
                  <c:x val="-2.9178650572870012E-2"/>
                  <c:y val="4.6902169455380567E-2"/>
                </c:manualLayout>
              </c:layout>
              <c:showVal val="1"/>
              <c:extLst>
                <c:ext xmlns:c15="http://schemas.microsoft.com/office/drawing/2012/chart" uri="{CE6537A1-D6FC-4f65-9D91-7224C49458BB}">
                  <c15:layout/>
                </c:ext>
              </c:extLst>
            </c:dLbl>
            <c:dLbl>
              <c:idx val="8"/>
              <c:layout>
                <c:manualLayout>
                  <c:x val="-5.7297247250827563E-3"/>
                  <c:y val="9.8162729658792768E-3"/>
                </c:manualLayout>
              </c:layout>
              <c:showVal val="1"/>
              <c:extLst>
                <c:ext xmlns:c15="http://schemas.microsoft.com/office/drawing/2012/chart" uri="{CE6537A1-D6FC-4f65-9D91-7224C49458BB}">
                  <c15:layout/>
                </c:ext>
              </c:extLst>
            </c:dLbl>
            <c:dLbl>
              <c:idx val="9"/>
              <c:layout>
                <c:manualLayout>
                  <c:x val="-1.5874285089029824E-2"/>
                  <c:y val="1.4912315065094502E-2"/>
                </c:manualLayout>
              </c:layout>
              <c:showVal val="1"/>
              <c:extLst>
                <c:ext xmlns:c15="http://schemas.microsoft.com/office/drawing/2012/chart" uri="{CE6537A1-D6FC-4f65-9D91-7224C49458BB}">
                  <c15:layout/>
                </c:ext>
              </c:extLst>
            </c:dLbl>
            <c:dLbl>
              <c:idx val="10"/>
              <c:layout>
                <c:manualLayout>
                  <c:x val="-8.0778600279755447E-3"/>
                  <c:y val="1.4523868110236223E-2"/>
                </c:manualLayout>
              </c:layout>
              <c:showVal val="1"/>
              <c:extLst>
                <c:ext xmlns:c15="http://schemas.microsoft.com/office/drawing/2012/chart" uri="{CE6537A1-D6FC-4f65-9D91-7224C49458BB}">
                  <c15:layout/>
                </c:ext>
              </c:extLst>
            </c:dLbl>
            <c:dLbl>
              <c:idx val="11"/>
              <c:layout>
                <c:manualLayout>
                  <c:x val="-5.9880239520958998E-3"/>
                  <c:y val="1.7733452263779526E-2"/>
                </c:manualLayout>
              </c:layout>
              <c:showVal val="1"/>
              <c:extLst>
                <c:ext xmlns:c15="http://schemas.microsoft.com/office/drawing/2012/chart" uri="{CE6537A1-D6FC-4f65-9D91-7224C49458BB}">
                  <c15:layout/>
                </c:ext>
              </c:extLst>
            </c:dLbl>
            <c:dLbl>
              <c:idx val="12"/>
              <c:layout>
                <c:manualLayout>
                  <c:x val="-1.5803246400720488E-2"/>
                  <c:y val="1.2006111176401459E-2"/>
                </c:manualLayout>
              </c:layout>
              <c:showVal val="1"/>
              <c:extLst>
                <c:ext xmlns:c15="http://schemas.microsoft.com/office/drawing/2012/chart" uri="{CE6537A1-D6FC-4f65-9D91-7224C49458BB}">
                  <c15:layout/>
                </c:ext>
              </c:extLst>
            </c:dLbl>
            <c:dLbl>
              <c:idx val="13"/>
              <c:layout>
                <c:manualLayout>
                  <c:x val="1.0449320794148381E-2"/>
                  <c:y val="6.790381606099713E-2"/>
                </c:manualLayout>
              </c:layout>
              <c:showVal val="1"/>
              <c:extLst>
                <c:ext xmlns:c15="http://schemas.microsoft.com/office/drawing/2012/chart" uri="{CE6537A1-D6FC-4f65-9D91-7224C49458BB}"/>
              </c:extLst>
            </c:dLbl>
            <c:spPr>
              <a:noFill/>
              <a:ln>
                <a:noFill/>
              </a:ln>
              <a:effectLst/>
            </c:spPr>
            <c:txPr>
              <a:bodyPr/>
              <a:lstStyle/>
              <a:p>
                <a:pPr>
                  <a:defRPr sz="800" b="0" i="0"/>
                </a:pPr>
                <a:endParaRPr lang="ru-RU"/>
              </a:p>
            </c:txPr>
            <c:showVal val="1"/>
            <c:extLst>
              <c:ext xmlns:c15="http://schemas.microsoft.com/office/drawing/2012/chart" uri="{CE6537A1-D6FC-4f65-9D91-7224C49458BB}">
                <c15:showLeaderLines val="0"/>
              </c:ext>
            </c:extLst>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Лист1!$B$2:$B$14</c:f>
              <c:numCache>
                <c:formatCode>#,##0</c:formatCode>
                <c:ptCount val="13"/>
                <c:pt idx="0">
                  <c:v>2248</c:v>
                </c:pt>
                <c:pt idx="1">
                  <c:v>1724</c:v>
                </c:pt>
                <c:pt idx="2">
                  <c:v>2016</c:v>
                </c:pt>
                <c:pt idx="3">
                  <c:v>2345</c:v>
                </c:pt>
                <c:pt idx="4">
                  <c:v>2105</c:v>
                </c:pt>
                <c:pt idx="5">
                  <c:v>2646</c:v>
                </c:pt>
                <c:pt idx="6">
                  <c:v>2632</c:v>
                </c:pt>
                <c:pt idx="7">
                  <c:v>3608</c:v>
                </c:pt>
                <c:pt idx="8">
                  <c:v>3115</c:v>
                </c:pt>
                <c:pt idx="9">
                  <c:v>2451</c:v>
                </c:pt>
                <c:pt idx="10">
                  <c:v>2403</c:v>
                </c:pt>
                <c:pt idx="11">
                  <c:v>2330</c:v>
                </c:pt>
                <c:pt idx="12">
                  <c:v>3064</c:v>
                </c:pt>
              </c:numCache>
            </c:numRef>
          </c:val>
        </c:ser>
        <c:ser>
          <c:idx val="1"/>
          <c:order val="1"/>
          <c:tx>
            <c:strRef>
              <c:f>Лист1!$C$1</c:f>
              <c:strCache>
                <c:ptCount val="1"/>
                <c:pt idx="0">
                  <c:v>I полугодие 2017 года</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a:ln>
              <a:gradFill>
                <a:gsLst>
                  <a:gs pos="0">
                    <a:srgbClr val="CCCCFF"/>
                  </a:gs>
                  <a:gs pos="17999">
                    <a:srgbClr val="99CCFF"/>
                  </a:gs>
                  <a:gs pos="36000">
                    <a:srgbClr val="9966FF"/>
                  </a:gs>
                  <a:gs pos="61000">
                    <a:srgbClr val="CC99FF"/>
                  </a:gs>
                  <a:gs pos="82001">
                    <a:srgbClr val="99CCFF"/>
                  </a:gs>
                  <a:gs pos="100000">
                    <a:srgbClr val="CCCCFF"/>
                  </a:gs>
                </a:gsLst>
                <a:lin ang="5400000" scaled="0"/>
              </a:gradFill>
            </a:ln>
          </c:spPr>
          <c:dLbls>
            <c:dLbl>
              <c:idx val="0"/>
              <c:layout>
                <c:manualLayout>
                  <c:x val="2.4045923900231029E-2"/>
                  <c:y val="2.8443343996063897E-3"/>
                </c:manualLayout>
              </c:layout>
              <c:showVal val="1"/>
              <c:extLst>
                <c:ext xmlns:c15="http://schemas.microsoft.com/office/drawing/2012/chart" uri="{CE6537A1-D6FC-4f65-9D91-7224C49458BB}">
                  <c15:layout/>
                </c:ext>
              </c:extLst>
            </c:dLbl>
            <c:dLbl>
              <c:idx val="1"/>
              <c:layout>
                <c:manualLayout>
                  <c:x val="1.2582433075074576E-2"/>
                  <c:y val="1.0050795889319805E-2"/>
                </c:manualLayout>
              </c:layout>
              <c:showVal val="1"/>
              <c:extLst>
                <c:ext xmlns:c15="http://schemas.microsoft.com/office/drawing/2012/chart" uri="{CE6537A1-D6FC-4f65-9D91-7224C49458BB}">
                  <c15:layout/>
                </c:ext>
              </c:extLst>
            </c:dLbl>
            <c:dLbl>
              <c:idx val="2"/>
              <c:layout>
                <c:manualLayout>
                  <c:x val="1.2655828497119386E-2"/>
                  <c:y val="2.0589963567987212E-3"/>
                </c:manualLayout>
              </c:layout>
              <c:showVal val="1"/>
              <c:extLst>
                <c:ext xmlns:c15="http://schemas.microsoft.com/office/drawing/2012/chart" uri="{CE6537A1-D6FC-4f65-9D91-7224C49458BB}">
                  <c15:layout/>
                </c:ext>
              </c:extLst>
            </c:dLbl>
            <c:dLbl>
              <c:idx val="3"/>
              <c:layout>
                <c:manualLayout>
                  <c:x val="1.8284533295613879E-2"/>
                  <c:y val="1.3283300524934413E-2"/>
                </c:manualLayout>
              </c:layout>
              <c:showVal val="1"/>
              <c:extLst>
                <c:ext xmlns:c15="http://schemas.microsoft.com/office/drawing/2012/chart" uri="{CE6537A1-D6FC-4f65-9D91-7224C49458BB}">
                  <c15:layout/>
                </c:ext>
              </c:extLst>
            </c:dLbl>
            <c:dLbl>
              <c:idx val="4"/>
              <c:layout>
                <c:manualLayout>
                  <c:x val="1.4105489807786043E-2"/>
                  <c:y val="6.3812335958006857E-3"/>
                </c:manualLayout>
              </c:layout>
              <c:showVal val="1"/>
              <c:extLst>
                <c:ext xmlns:c15="http://schemas.microsoft.com/office/drawing/2012/chart" uri="{CE6537A1-D6FC-4f65-9D91-7224C49458BB}">
                  <c15:layout/>
                </c:ext>
              </c:extLst>
            </c:dLbl>
            <c:dLbl>
              <c:idx val="5"/>
              <c:layout>
                <c:manualLayout>
                  <c:x val="2.2742480546425616E-4"/>
                  <c:y val="7.485146446246458E-3"/>
                </c:manualLayout>
              </c:layout>
              <c:showVal val="1"/>
              <c:extLst>
                <c:ext xmlns:c15="http://schemas.microsoft.com/office/drawing/2012/chart" uri="{CE6537A1-D6FC-4f65-9D91-7224C49458BB}">
                  <c15:layout/>
                </c:ext>
              </c:extLst>
            </c:dLbl>
            <c:dLbl>
              <c:idx val="6"/>
              <c:layout>
                <c:manualLayout>
                  <c:x val="1.6061813759116621E-2"/>
                  <c:y val="4.4123215941291602E-3"/>
                </c:manualLayout>
              </c:layout>
              <c:showVal val="1"/>
              <c:extLst>
                <c:ext xmlns:c15="http://schemas.microsoft.com/office/drawing/2012/chart" uri="{CE6537A1-D6FC-4f65-9D91-7224C49458BB}">
                  <c15:layout/>
                </c:ext>
              </c:extLst>
            </c:dLbl>
            <c:dLbl>
              <c:idx val="7"/>
              <c:layout>
                <c:manualLayout>
                  <c:x val="3.0490747715862538E-2"/>
                  <c:y val="3.9474282132643881E-2"/>
                </c:manualLayout>
              </c:layout>
              <c:showVal val="1"/>
              <c:extLst>
                <c:ext xmlns:c15="http://schemas.microsoft.com/office/drawing/2012/chart" uri="{CE6537A1-D6FC-4f65-9D91-7224C49458BB}">
                  <c15:layout/>
                </c:ext>
              </c:extLst>
            </c:dLbl>
            <c:dLbl>
              <c:idx val="8"/>
              <c:layout>
                <c:manualLayout>
                  <c:x val="2.3204928725226812E-2"/>
                  <c:y val="1.757633079068242E-2"/>
                </c:manualLayout>
              </c:layout>
              <c:showVal val="1"/>
              <c:extLst>
                <c:ext xmlns:c15="http://schemas.microsoft.com/office/drawing/2012/chart" uri="{CE6537A1-D6FC-4f65-9D91-7224C49458BB}">
                  <c15:layout/>
                </c:ext>
              </c:extLst>
            </c:dLbl>
            <c:dLbl>
              <c:idx val="9"/>
              <c:layout>
                <c:manualLayout>
                  <c:x val="6.5281524470050542E-3"/>
                  <c:y val="1.3671798487875583E-3"/>
                </c:manualLayout>
              </c:layout>
              <c:showVal val="1"/>
              <c:extLst>
                <c:ext xmlns:c15="http://schemas.microsoft.com/office/drawing/2012/chart" uri="{CE6537A1-D6FC-4f65-9D91-7224C49458BB}">
                  <c15:layout/>
                </c:ext>
              </c:extLst>
            </c:dLbl>
            <c:dLbl>
              <c:idx val="10"/>
              <c:layout>
                <c:manualLayout>
                  <c:x val="1.5694836648892967E-2"/>
                  <c:y val="-1.875922226139644E-3"/>
                </c:manualLayout>
              </c:layout>
              <c:showVal val="1"/>
              <c:extLst>
                <c:ext xmlns:c15="http://schemas.microsoft.com/office/drawing/2012/chart" uri="{CE6537A1-D6FC-4f65-9D91-7224C49458BB}">
                  <c15:layout/>
                </c:ext>
              </c:extLst>
            </c:dLbl>
            <c:dLbl>
              <c:idx val="11"/>
              <c:layout>
                <c:manualLayout>
                  <c:x val="1.6374754331550365E-2"/>
                  <c:y val="1.0901398519214961E-2"/>
                </c:manualLayout>
              </c:layout>
              <c:showVal val="1"/>
              <c:extLst>
                <c:ext xmlns:c15="http://schemas.microsoft.com/office/drawing/2012/chart" uri="{CE6537A1-D6FC-4f65-9D91-7224C49458BB}">
                  <c15:layout/>
                </c:ext>
              </c:extLst>
            </c:dLbl>
            <c:dLbl>
              <c:idx val="12"/>
              <c:layout>
                <c:manualLayout>
                  <c:x val="9.7259034496690044E-3"/>
                  <c:y val="1.6779618965539755E-2"/>
                </c:manualLayout>
              </c:layout>
              <c:showVal val="1"/>
              <c:extLst>
                <c:ext xmlns:c15="http://schemas.microsoft.com/office/drawing/2012/chart" uri="{CE6537A1-D6FC-4f65-9D91-7224C49458BB}">
                  <c15:layout/>
                </c:ext>
              </c:extLst>
            </c:dLbl>
            <c:dLbl>
              <c:idx val="13"/>
              <c:layout>
                <c:manualLayout>
                  <c:x val="1.2539184952978056E-2"/>
                  <c:y val="9.5011876484560574E-3"/>
                </c:manualLayout>
              </c:layout>
              <c:showVal val="1"/>
              <c:extLst>
                <c:ext xmlns:c15="http://schemas.microsoft.com/office/drawing/2012/chart" uri="{CE6537A1-D6FC-4f65-9D91-7224C49458BB}"/>
              </c:extLst>
            </c:dLbl>
            <c:spPr>
              <a:noFill/>
              <a:ln>
                <a:noFill/>
              </a:ln>
              <a:effectLst/>
            </c:spPr>
            <c:txPr>
              <a:bodyPr/>
              <a:lstStyle/>
              <a:p>
                <a:pPr>
                  <a:defRPr sz="800" b="1" i="0">
                    <a:solidFill>
                      <a:schemeClr val="tx1"/>
                    </a:solidFill>
                  </a:defRPr>
                </a:pPr>
                <a:endParaRPr lang="ru-RU"/>
              </a:p>
            </c:txPr>
            <c:showVal val="1"/>
            <c:extLst>
              <c:ext xmlns:c15="http://schemas.microsoft.com/office/drawing/2012/chart" uri="{CE6537A1-D6FC-4f65-9D91-7224C49458BB}">
                <c15:showLeaderLines val="0"/>
              </c:ext>
            </c:extLst>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Лист1!$C$2:$C$14</c:f>
              <c:numCache>
                <c:formatCode>#,##0</c:formatCode>
                <c:ptCount val="13"/>
                <c:pt idx="0">
                  <c:v>2273</c:v>
                </c:pt>
                <c:pt idx="1">
                  <c:v>1737</c:v>
                </c:pt>
                <c:pt idx="2">
                  <c:v>2048</c:v>
                </c:pt>
                <c:pt idx="3">
                  <c:v>2271</c:v>
                </c:pt>
                <c:pt idx="4">
                  <c:v>2124</c:v>
                </c:pt>
                <c:pt idx="5">
                  <c:v>2683</c:v>
                </c:pt>
                <c:pt idx="6">
                  <c:v>2660</c:v>
                </c:pt>
                <c:pt idx="7">
                  <c:v>3719</c:v>
                </c:pt>
                <c:pt idx="8">
                  <c:v>3077</c:v>
                </c:pt>
                <c:pt idx="9">
                  <c:v>2481</c:v>
                </c:pt>
                <c:pt idx="10">
                  <c:v>2441</c:v>
                </c:pt>
                <c:pt idx="11">
                  <c:v>2430</c:v>
                </c:pt>
                <c:pt idx="12">
                  <c:v>2921</c:v>
                </c:pt>
              </c:numCache>
            </c:numRef>
          </c:val>
        </c:ser>
        <c:ser>
          <c:idx val="2"/>
          <c:order val="2"/>
          <c:tx>
            <c:strRef>
              <c:f>Лист1!$D$1</c:f>
              <c:strCache>
                <c:ptCount val="1"/>
                <c:pt idx="0">
                  <c:v>Средняя по республике</c:v>
                </c:pt>
              </c:strCache>
            </c:strRef>
          </c:tx>
          <c:spPr>
            <a:noFill/>
          </c:spPr>
          <c:dLbls>
            <c:delete val="1"/>
          </c:dLbls>
          <c:trendline>
            <c:spPr>
              <a:ln w="31750" cmpd="sng">
                <a:solidFill>
                  <a:srgbClr val="00B0F0">
                    <a:alpha val="91000"/>
                  </a:srgbClr>
                </a:solidFill>
              </a:ln>
              <a:effectLst>
                <a:outerShdw blurRad="50800" dist="38100" dir="6120000" sx="106000" sy="106000" algn="ctr" rotWithShape="0">
                  <a:schemeClr val="tx1">
                    <a:lumMod val="75000"/>
                    <a:lumOff val="25000"/>
                    <a:alpha val="92000"/>
                  </a:schemeClr>
                </a:outerShdw>
              </a:effectLst>
            </c:spPr>
            <c:trendlineType val="linear"/>
            <c:dispEq val="1"/>
            <c:trendlineLbl>
              <c:layout>
                <c:manualLayout>
                  <c:x val="-1.1886354932517554E-3"/>
                  <c:y val="-4.1670388216398305E-2"/>
                </c:manualLayout>
              </c:layout>
              <c:tx>
                <c:rich>
                  <a:bodyPr/>
                  <a:lstStyle/>
                  <a:p>
                    <a:pPr>
                      <a:defRPr sz="900" b="0" i="0"/>
                    </a:pPr>
                    <a:r>
                      <a:rPr lang="ru-RU"/>
                      <a:t>3845</a:t>
                    </a:r>
                    <a:endParaRPr lang="en-US"/>
                  </a:p>
                </c:rich>
              </c:tx>
              <c:numFmt formatCode="General" sourceLinked="0"/>
            </c:trendlineLbl>
          </c:trendline>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Лист1!$D$2:$D$14</c:f>
              <c:numCache>
                <c:formatCode>#,##0</c:formatCode>
                <c:ptCount val="13"/>
                <c:pt idx="0">
                  <c:v>3845</c:v>
                </c:pt>
                <c:pt idx="1">
                  <c:v>3845</c:v>
                </c:pt>
                <c:pt idx="2">
                  <c:v>3845</c:v>
                </c:pt>
                <c:pt idx="3">
                  <c:v>3845</c:v>
                </c:pt>
                <c:pt idx="4">
                  <c:v>3845</c:v>
                </c:pt>
                <c:pt idx="5">
                  <c:v>3845</c:v>
                </c:pt>
                <c:pt idx="6">
                  <c:v>3845</c:v>
                </c:pt>
                <c:pt idx="7">
                  <c:v>3845</c:v>
                </c:pt>
                <c:pt idx="8">
                  <c:v>3845</c:v>
                </c:pt>
                <c:pt idx="9">
                  <c:v>3845</c:v>
                </c:pt>
                <c:pt idx="10">
                  <c:v>3845</c:v>
                </c:pt>
                <c:pt idx="11">
                  <c:v>3845</c:v>
                </c:pt>
                <c:pt idx="12">
                  <c:v>3845</c:v>
                </c:pt>
              </c:numCache>
            </c:numRef>
          </c:val>
        </c:ser>
        <c:dLbls>
          <c:showVal val="1"/>
        </c:dLbls>
        <c:axId val="105601664"/>
        <c:axId val="105959808"/>
      </c:barChart>
      <c:catAx>
        <c:axId val="105601664"/>
        <c:scaling>
          <c:orientation val="minMax"/>
        </c:scaling>
        <c:axPos val="b"/>
        <c:numFmt formatCode="General" sourceLinked="1"/>
        <c:tickLblPos val="nextTo"/>
        <c:txPr>
          <a:bodyPr rot="-5400000" vert="horz"/>
          <a:lstStyle/>
          <a:p>
            <a:pPr>
              <a:defRPr b="0" i="0"/>
            </a:pPr>
            <a:endParaRPr lang="ru-RU"/>
          </a:p>
        </c:txPr>
        <c:crossAx val="105959808"/>
        <c:crosses val="autoZero"/>
        <c:auto val="1"/>
        <c:lblAlgn val="ctr"/>
        <c:lblOffset val="100"/>
      </c:catAx>
      <c:valAx>
        <c:axId val="105959808"/>
        <c:scaling>
          <c:orientation val="minMax"/>
          <c:max val="4000"/>
        </c:scaling>
        <c:axPos val="l"/>
        <c:numFmt formatCode="#,##0" sourceLinked="1"/>
        <c:tickLblPos val="nextTo"/>
        <c:txPr>
          <a:bodyPr/>
          <a:lstStyle/>
          <a:p>
            <a:pPr>
              <a:defRPr b="1"/>
            </a:pPr>
            <a:endParaRPr lang="ru-RU"/>
          </a:p>
        </c:txPr>
        <c:crossAx val="105601664"/>
        <c:crosses val="autoZero"/>
        <c:crossBetween val="between"/>
      </c:valAx>
    </c:plotArea>
    <c:legend>
      <c:legendPos val="b"/>
      <c:legendEntry>
        <c:idx val="2"/>
        <c:delete val="1"/>
      </c:legendEntry>
      <c:layout>
        <c:manualLayout>
          <c:xMode val="edge"/>
          <c:yMode val="edge"/>
          <c:x val="5.2089781880714024E-2"/>
          <c:y val="0.95578284649735945"/>
          <c:w val="0.895264564404055"/>
          <c:h val="4.4217153502640404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Динамика среднегодовой назначенной месячной пенсии и величины прожиточного минимума пенсионера</a:t>
            </a:r>
            <a:endParaRPr lang="ru-RU" sz="1050" b="0">
              <a:solidFill>
                <a:srgbClr val="FF0000"/>
              </a:solidFill>
              <a:latin typeface="Times New Roman" pitchFamily="18" charset="0"/>
              <a:cs typeface="Times New Roman" pitchFamily="18" charset="0"/>
            </a:endParaRPr>
          </a:p>
        </c:rich>
      </c:tx>
      <c:layout>
        <c:manualLayout>
          <c:xMode val="edge"/>
          <c:yMode val="edge"/>
          <c:x val="0.16721241305511061"/>
          <c:y val="0"/>
        </c:manualLayout>
      </c:layout>
      <c:spPr>
        <a:noFill/>
      </c:spPr>
    </c:title>
    <c:plotArea>
      <c:layout/>
      <c:barChart>
        <c:barDir val="col"/>
        <c:grouping val="clustered"/>
        <c:ser>
          <c:idx val="0"/>
          <c:order val="0"/>
          <c:tx>
            <c:strRef>
              <c:f>Лист1!$B$1</c:f>
              <c:strCache>
                <c:ptCount val="1"/>
                <c:pt idx="0">
                  <c:v>Среднегодовой размер назначенных пенсий, руб. ПМР</c:v>
                </c:pt>
              </c:strCache>
            </c:strRef>
          </c:tx>
          <c:dLbls>
            <c:dLbl>
              <c:idx val="0"/>
              <c:layout>
                <c:manualLayout>
                  <c:x val="2.3148148148148147E-3"/>
                  <c:y val="-1.1904761904761921E-2"/>
                </c:manualLayout>
              </c:layout>
              <c:tx>
                <c:rich>
                  <a:bodyPr/>
                  <a:lstStyle/>
                  <a:p>
                    <a:r>
                      <a:rPr lang="en-US" b="1">
                        <a:latin typeface="Times New Roman" pitchFamily="18" charset="0"/>
                        <a:cs typeface="Times New Roman" pitchFamily="18" charset="0"/>
                      </a:rPr>
                      <a:t>+0,7%</a:t>
                    </a:r>
                    <a:r>
                      <a:rPr lang="en-US"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tx>
                <c:rich>
                  <a:bodyPr/>
                  <a:lstStyle/>
                  <a:p>
                    <a:r>
                      <a:rPr lang="en-US" b="1">
                        <a:latin typeface="Times New Roman" pitchFamily="18" charset="0"/>
                        <a:cs typeface="Times New Roman" pitchFamily="18" charset="0"/>
                      </a:rPr>
                      <a:t>-0,4%*</a:t>
                    </a:r>
                  </a:p>
                </c:rich>
              </c:tx>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Лист1!$B$2:$B$3</c:f>
              <c:numCache>
                <c:formatCode>#,##0.00</c:formatCode>
                <c:ptCount val="2"/>
                <c:pt idx="0">
                  <c:v>1355.93</c:v>
                </c:pt>
                <c:pt idx="1">
                  <c:v>1350.6699999999998</c:v>
                </c:pt>
              </c:numCache>
            </c:numRef>
          </c:val>
        </c:ser>
        <c:ser>
          <c:idx val="1"/>
          <c:order val="1"/>
          <c:tx>
            <c:strRef>
              <c:f>Лист1!$C$1</c:f>
              <c:strCache>
                <c:ptCount val="1"/>
                <c:pt idx="0">
                  <c:v>Прожиточный минимум пенсионера, руб. ПМР</c:v>
                </c:pt>
              </c:strCache>
            </c:strRef>
          </c:tx>
          <c:dLbls>
            <c:dLbl>
              <c:idx val="0"/>
              <c:layout>
                <c:manualLayout>
                  <c:x val="6.9444444444446418E-3"/>
                  <c:y val="0"/>
                </c:manualLayout>
              </c:layout>
              <c:tx>
                <c:rich>
                  <a:bodyPr/>
                  <a:lstStyle/>
                  <a:p>
                    <a:r>
                      <a:rPr lang="en-US"/>
                      <a:t>-2,9%*</a:t>
                    </a:r>
                  </a:p>
                </c:rich>
              </c:tx>
              <c:showVal val="1"/>
              <c:extLst>
                <c:ext xmlns:c15="http://schemas.microsoft.com/office/drawing/2012/chart" uri="{CE6537A1-D6FC-4f65-9D91-7224C49458BB}">
                  <c15:layout/>
                </c:ext>
              </c:extLst>
            </c:dLbl>
            <c:dLbl>
              <c:idx val="1"/>
              <c:tx>
                <c:rich>
                  <a:bodyPr/>
                  <a:lstStyle/>
                  <a:p>
                    <a:r>
                      <a:rPr lang="en-US"/>
                      <a:t>+3,9%*</a:t>
                    </a:r>
                  </a:p>
                </c:rich>
              </c:tx>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Лист1!$C$2:$C$3</c:f>
              <c:numCache>
                <c:formatCode>#,##0.00</c:formatCode>
                <c:ptCount val="2"/>
                <c:pt idx="0">
                  <c:v>1078.43</c:v>
                </c:pt>
                <c:pt idx="1">
                  <c:v>1120.33</c:v>
                </c:pt>
              </c:numCache>
            </c:numRef>
          </c:val>
        </c:ser>
        <c:axId val="106006400"/>
        <c:axId val="106007936"/>
      </c:barChart>
      <c:catAx>
        <c:axId val="106006400"/>
        <c:scaling>
          <c:orientation val="minMax"/>
        </c:scaling>
        <c:axPos val="b"/>
        <c:numFmt formatCode="General" sourceLinked="1"/>
        <c:tickLblPos val="nextTo"/>
        <c:crossAx val="106007936"/>
        <c:crosses val="autoZero"/>
        <c:auto val="1"/>
        <c:lblAlgn val="ctr"/>
        <c:lblOffset val="100"/>
      </c:catAx>
      <c:valAx>
        <c:axId val="106007936"/>
        <c:scaling>
          <c:orientation val="minMax"/>
          <c:max val="1500"/>
          <c:min val="0"/>
        </c:scaling>
        <c:axPos val="l"/>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baseline="0">
                    <a:latin typeface="Times New Roman" pitchFamily="18" charset="0"/>
                    <a:cs typeface="Times New Roman" pitchFamily="18" charset="0"/>
                  </a:rPr>
                  <a:t> темп прироста</a:t>
                </a:r>
                <a:endParaRPr lang="ru-RU">
                  <a:latin typeface="Times New Roman" pitchFamily="18" charset="0"/>
                  <a:cs typeface="Times New Roman" pitchFamily="18" charset="0"/>
                </a:endParaRPr>
              </a:p>
            </c:rich>
          </c:tx>
          <c:layout>
            <c:manualLayout>
              <c:xMode val="edge"/>
              <c:yMode val="edge"/>
              <c:x val="3.9351851851851853E-2"/>
              <c:y val="0.50191326830414851"/>
            </c:manualLayout>
          </c:layout>
        </c:title>
        <c:numFmt formatCode="#,##0.00" sourceLinked="1"/>
        <c:tickLblPos val="nextTo"/>
        <c:txPr>
          <a:bodyPr/>
          <a:lstStyle/>
          <a:p>
            <a:pPr>
              <a:defRPr b="1">
                <a:latin typeface="Times New Roman" pitchFamily="18" charset="0"/>
                <a:cs typeface="Times New Roman" pitchFamily="18" charset="0"/>
              </a:defRPr>
            </a:pPr>
            <a:endParaRPr lang="ru-RU"/>
          </a:p>
        </c:txPr>
        <c:crossAx val="106006400"/>
        <c:crosses val="autoZero"/>
        <c:crossBetween val="between"/>
        <c:majorUnit val="3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050"/>
            </a:pPr>
            <a:r>
              <a:rPr lang="ru-RU" sz="1050"/>
              <a:t>Структура прожиточного минимума, руб.</a:t>
            </a:r>
          </a:p>
        </c:rich>
      </c:tx>
      <c:layout>
        <c:manualLayout>
          <c:xMode val="edge"/>
          <c:yMode val="edge"/>
          <c:x val="0.25523731408573486"/>
          <c:y val="0"/>
        </c:manualLayout>
      </c:layout>
      <c:overlay val="1"/>
      <c:spPr>
        <a:solidFill>
          <a:schemeClr val="bg1"/>
        </a:solidFill>
      </c:spPr>
    </c:title>
    <c:plotArea>
      <c:layout>
        <c:manualLayout>
          <c:layoutTarget val="inner"/>
          <c:xMode val="edge"/>
          <c:yMode val="edge"/>
          <c:x val="9.8694043452903557E-2"/>
          <c:y val="0.16549831271091278"/>
          <c:w val="0.57758019830854479"/>
          <c:h val="0.6904472655203816"/>
        </c:manualLayout>
      </c:layout>
      <c:barChart>
        <c:barDir val="col"/>
        <c:grouping val="percentStacked"/>
        <c:ser>
          <c:idx val="0"/>
          <c:order val="0"/>
          <c:tx>
            <c:strRef>
              <c:f>Лист1!$B$1</c:f>
              <c:strCache>
                <c:ptCount val="1"/>
                <c:pt idx="0">
                  <c:v>питание</c:v>
                </c:pt>
              </c:strCache>
            </c:strRef>
          </c:tx>
          <c:spPr>
            <a:solidFill>
              <a:schemeClr val="accent5">
                <a:lumMod val="75000"/>
              </a:schemeClr>
            </a:solidFill>
          </c:spPr>
          <c:dLbls>
            <c:dLbl>
              <c:idx val="0"/>
              <c:tx>
                <c:rich>
                  <a:bodyPr/>
                  <a:lstStyle/>
                  <a:p>
                    <a:r>
                      <a:rPr lang="en-US" b="1"/>
                      <a:t>563,7;</a:t>
                    </a:r>
                  </a:p>
                  <a:p>
                    <a:r>
                      <a:rPr lang="en-US" b="1"/>
                      <a:t>44,0%</a:t>
                    </a:r>
                  </a:p>
                </c:rich>
              </c:tx>
              <c:showVal val="1"/>
              <c:extLst>
                <c:ext xmlns:c15="http://schemas.microsoft.com/office/drawing/2012/chart" uri="{CE6537A1-D6FC-4f65-9D91-7224C49458BB}">
                  <c15:layout/>
                </c:ext>
              </c:extLst>
            </c:dLbl>
            <c:dLbl>
              <c:idx val="1"/>
              <c:tx>
                <c:rich>
                  <a:bodyPr/>
                  <a:lstStyle/>
                  <a:p>
                    <a:r>
                      <a:rPr lang="en-US" b="1"/>
                      <a:t>601,0;</a:t>
                    </a:r>
                  </a:p>
                  <a:p>
                    <a:r>
                      <a:rPr lang="en-US" b="1"/>
                      <a:t>45,3%</a:t>
                    </a:r>
                  </a:p>
                </c:rich>
              </c:tx>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Лист1!$B$2:$B$3</c:f>
              <c:numCache>
                <c:formatCode>0.0</c:formatCode>
                <c:ptCount val="2"/>
                <c:pt idx="0">
                  <c:v>44</c:v>
                </c:pt>
                <c:pt idx="1">
                  <c:v>45.3</c:v>
                </c:pt>
              </c:numCache>
            </c:numRef>
          </c:val>
        </c:ser>
        <c:ser>
          <c:idx val="1"/>
          <c:order val="1"/>
          <c:tx>
            <c:strRef>
              <c:f>Лист1!$C$1</c:f>
              <c:strCache>
                <c:ptCount val="1"/>
                <c:pt idx="0">
                  <c:v>непродовольственные товары</c:v>
                </c:pt>
              </c:strCache>
            </c:strRef>
          </c:tx>
          <c:spPr>
            <a:solidFill>
              <a:schemeClr val="accent5">
                <a:lumMod val="60000"/>
                <a:lumOff val="40000"/>
              </a:schemeClr>
            </a:solidFill>
          </c:spPr>
          <c:dLbls>
            <c:dLbl>
              <c:idx val="0"/>
              <c:tx>
                <c:rich>
                  <a:bodyPr/>
                  <a:lstStyle/>
                  <a:p>
                    <a:r>
                      <a:rPr lang="en-US" b="1"/>
                      <a:t>268,8;</a:t>
                    </a:r>
                  </a:p>
                  <a:p>
                    <a:r>
                      <a:rPr lang="en-US" b="1"/>
                      <a:t>21,0%</a:t>
                    </a:r>
                  </a:p>
                </c:rich>
              </c:tx>
              <c:showVal val="1"/>
              <c:extLst>
                <c:ext xmlns:c15="http://schemas.microsoft.com/office/drawing/2012/chart" uri="{CE6537A1-D6FC-4f65-9D91-7224C49458BB}">
                  <c15:layout/>
                </c:ext>
              </c:extLst>
            </c:dLbl>
            <c:dLbl>
              <c:idx val="1"/>
              <c:tx>
                <c:rich>
                  <a:bodyPr/>
                  <a:lstStyle/>
                  <a:p>
                    <a:r>
                      <a:rPr lang="en-US" b="1"/>
                      <a:t>281,0;</a:t>
                    </a:r>
                  </a:p>
                  <a:p>
                    <a:r>
                      <a:rPr lang="en-US" b="1"/>
                      <a:t>21,2%</a:t>
                    </a:r>
                  </a:p>
                </c:rich>
              </c:tx>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Лист1!$C$2:$C$3</c:f>
              <c:numCache>
                <c:formatCode>0.0</c:formatCode>
                <c:ptCount val="2"/>
                <c:pt idx="0">
                  <c:v>21</c:v>
                </c:pt>
                <c:pt idx="1">
                  <c:v>21.2</c:v>
                </c:pt>
              </c:numCache>
            </c:numRef>
          </c:val>
        </c:ser>
        <c:ser>
          <c:idx val="2"/>
          <c:order val="2"/>
          <c:tx>
            <c:strRef>
              <c:f>Лист1!$D$1</c:f>
              <c:strCache>
                <c:ptCount val="1"/>
                <c:pt idx="0">
                  <c:v>услуги</c:v>
                </c:pt>
              </c:strCache>
            </c:strRef>
          </c:tx>
          <c:spPr>
            <a:solidFill>
              <a:schemeClr val="accent5">
                <a:lumMod val="40000"/>
                <a:lumOff val="60000"/>
              </a:schemeClr>
            </a:solidFill>
          </c:spPr>
          <c:dLbls>
            <c:dLbl>
              <c:idx val="0"/>
              <c:layout>
                <c:manualLayout>
                  <c:x val="2.3148148148148147E-3"/>
                  <c:y val="2.1030494216614092E-2"/>
                </c:manualLayout>
              </c:layout>
              <c:tx>
                <c:rich>
                  <a:bodyPr/>
                  <a:lstStyle/>
                  <a:p>
                    <a:r>
                      <a:rPr lang="en-US" b="1"/>
                      <a:t>424,4;</a:t>
                    </a:r>
                  </a:p>
                  <a:p>
                    <a:r>
                      <a:rPr lang="en-US" b="1"/>
                      <a:t>33,1%</a:t>
                    </a:r>
                  </a:p>
                </c:rich>
              </c:tx>
              <c:showVal val="1"/>
              <c:extLst>
                <c:ext xmlns:c15="http://schemas.microsoft.com/office/drawing/2012/chart" uri="{CE6537A1-D6FC-4f65-9D91-7224C49458BB}">
                  <c15:layout/>
                </c:ext>
              </c:extLst>
            </c:dLbl>
            <c:dLbl>
              <c:idx val="1"/>
              <c:layout>
                <c:manualLayout>
                  <c:x val="0"/>
                  <c:y val="2.0278833967046894E-2"/>
                </c:manualLayout>
              </c:layout>
              <c:tx>
                <c:rich>
                  <a:bodyPr/>
                  <a:lstStyle/>
                  <a:p>
                    <a:r>
                      <a:rPr lang="en-US" b="1"/>
                      <a:t>423,0;</a:t>
                    </a:r>
                  </a:p>
                  <a:p>
                    <a:r>
                      <a:rPr lang="en-US" b="1"/>
                      <a:t>31,9%</a:t>
                    </a:r>
                  </a:p>
                </c:rich>
              </c:tx>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Лист1!$D$2:$D$3</c:f>
              <c:numCache>
                <c:formatCode>0.0</c:formatCode>
                <c:ptCount val="2"/>
                <c:pt idx="0">
                  <c:v>33.1</c:v>
                </c:pt>
                <c:pt idx="1">
                  <c:v>31.9</c:v>
                </c:pt>
              </c:numCache>
            </c:numRef>
          </c:val>
        </c:ser>
        <c:ser>
          <c:idx val="3"/>
          <c:order val="3"/>
          <c:tx>
            <c:strRef>
              <c:f>Лист1!$E$1</c:f>
              <c:strCache>
                <c:ptCount val="1"/>
                <c:pt idx="0">
                  <c:v>обязательные платежи и сборы</c:v>
                </c:pt>
              </c:strCache>
            </c:strRef>
          </c:tx>
          <c:spPr>
            <a:solidFill>
              <a:schemeClr val="accent6">
                <a:lumMod val="20000"/>
                <a:lumOff val="80000"/>
              </a:schemeClr>
            </a:solidFill>
          </c:spPr>
          <c:dLbls>
            <c:dLbl>
              <c:idx val="0"/>
              <c:layout>
                <c:manualLayout>
                  <c:x val="2.3146325459317612E-3"/>
                  <c:y val="-2.5236593059936911E-2"/>
                </c:manualLayout>
              </c:layout>
              <c:tx>
                <c:rich>
                  <a:bodyPr/>
                  <a:lstStyle/>
                  <a:p>
                    <a:r>
                      <a:rPr lang="en-US" b="1"/>
                      <a:t>23,5;</a:t>
                    </a:r>
                  </a:p>
                  <a:p>
                    <a:r>
                      <a:rPr lang="en-US" b="1"/>
                      <a:t>1,8%</a:t>
                    </a:r>
                  </a:p>
                </c:rich>
              </c:tx>
              <c:showVal val="1"/>
              <c:extLst>
                <c:ext xmlns:c15="http://schemas.microsoft.com/office/drawing/2012/chart" uri="{CE6537A1-D6FC-4f65-9D91-7224C49458BB}">
                  <c15:layout/>
                </c:ext>
              </c:extLst>
            </c:dLbl>
            <c:dLbl>
              <c:idx val="1"/>
              <c:layout>
                <c:manualLayout>
                  <c:x val="-2.3148148148148147E-3"/>
                  <c:y val="-2.5236593059936911E-2"/>
                </c:manualLayout>
              </c:layout>
              <c:tx>
                <c:rich>
                  <a:bodyPr/>
                  <a:lstStyle/>
                  <a:p>
                    <a:r>
                      <a:rPr lang="en-US" b="1"/>
                      <a:t>23,0;</a:t>
                    </a:r>
                  </a:p>
                  <a:p>
                    <a:r>
                      <a:rPr lang="en-US" b="1"/>
                      <a:t>1,7%</a:t>
                    </a:r>
                  </a:p>
                </c:rich>
              </c:tx>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Лист1!$E$2:$E$3</c:f>
              <c:numCache>
                <c:formatCode>0.0</c:formatCode>
                <c:ptCount val="2"/>
                <c:pt idx="0">
                  <c:v>1.8</c:v>
                </c:pt>
                <c:pt idx="1">
                  <c:v>1.7</c:v>
                </c:pt>
              </c:numCache>
            </c:numRef>
          </c:val>
        </c:ser>
        <c:overlap val="100"/>
        <c:axId val="106255104"/>
        <c:axId val="106256640"/>
      </c:barChart>
      <c:catAx>
        <c:axId val="106255104"/>
        <c:scaling>
          <c:orientation val="minMax"/>
        </c:scaling>
        <c:axPos val="b"/>
        <c:numFmt formatCode="General" sourceLinked="0"/>
        <c:tickLblPos val="nextTo"/>
        <c:txPr>
          <a:bodyPr/>
          <a:lstStyle/>
          <a:p>
            <a:pPr>
              <a:defRPr sz="1000" b="1"/>
            </a:pPr>
            <a:endParaRPr lang="ru-RU"/>
          </a:p>
        </c:txPr>
        <c:crossAx val="106256640"/>
        <c:crosses val="autoZero"/>
        <c:auto val="1"/>
        <c:lblAlgn val="ctr"/>
        <c:lblOffset val="100"/>
      </c:catAx>
      <c:valAx>
        <c:axId val="106256640"/>
        <c:scaling>
          <c:orientation val="minMax"/>
        </c:scaling>
        <c:axPos val="l"/>
        <c:numFmt formatCode="0%" sourceLinked="1"/>
        <c:tickLblPos val="nextTo"/>
        <c:txPr>
          <a:bodyPr/>
          <a:lstStyle/>
          <a:p>
            <a:pPr>
              <a:defRPr sz="1000"/>
            </a:pPr>
            <a:endParaRPr lang="ru-RU"/>
          </a:p>
        </c:txPr>
        <c:crossAx val="106255104"/>
        <c:crosses val="autoZero"/>
        <c:crossBetween val="between"/>
      </c:valAx>
    </c:plotArea>
    <c:legend>
      <c:legendPos val="r"/>
      <c:layout>
        <c:manualLayout>
          <c:xMode val="edge"/>
          <c:yMode val="edge"/>
          <c:x val="0.69016313065033541"/>
          <c:y val="0.26058867641545247"/>
          <c:w val="0.29594798046077581"/>
          <c:h val="0.47882264716910955"/>
        </c:manualLayout>
      </c:layout>
      <c:txPr>
        <a:bodyPr/>
        <a:lstStyle/>
        <a:p>
          <a:pPr>
            <a:defRPr sz="1000" i="1"/>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itchFamily="18" charset="0"/>
                <a:cs typeface="Times New Roman" pitchFamily="18" charset="0"/>
              </a:rPr>
              <a:t>январь-июнь 2017 года</a:t>
            </a:r>
          </a:p>
        </c:rich>
      </c:tx>
      <c:layout>
        <c:manualLayout>
          <c:xMode val="edge"/>
          <c:yMode val="edge"/>
          <c:x val="0.2995655260073623"/>
          <c:y val="0"/>
        </c:manualLayout>
      </c:layout>
    </c:title>
    <c:view3D>
      <c:rotX val="30"/>
      <c:perspective val="30"/>
    </c:view3D>
    <c:plotArea>
      <c:layout>
        <c:manualLayout>
          <c:layoutTarget val="inner"/>
          <c:xMode val="edge"/>
          <c:yMode val="edge"/>
          <c:x val="1.5655838719084887E-2"/>
          <c:y val="0.10126864658941603"/>
          <c:w val="0.59612189955355321"/>
          <c:h val="0.89873135341058497"/>
        </c:manualLayout>
      </c:layout>
      <c:pie3DChart>
        <c:varyColors val="1"/>
        <c:ser>
          <c:idx val="0"/>
          <c:order val="0"/>
          <c:tx>
            <c:strRef>
              <c:f>Лист1!$B$1</c:f>
              <c:strCache>
                <c:ptCount val="1"/>
                <c:pt idx="0">
                  <c:v>Столбец1</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plosion val="25"/>
          <c:dPt>
            <c:idx val="1"/>
            <c:spPr>
              <a:solidFill>
                <a:srgbClr val="F412FA"/>
              </a:solidFill>
            </c:spPr>
          </c:dPt>
          <c:dLbls>
            <c:dLbl>
              <c:idx val="0"/>
              <c:layout>
                <c:manualLayout>
                  <c:x val="0.12012963009848852"/>
                  <c:y val="-1.6962728334872425E-2"/>
                </c:manualLayout>
              </c:layout>
              <c:tx>
                <c:rich>
                  <a:bodyPr/>
                  <a:lstStyle/>
                  <a:p>
                    <a:r>
                      <a:rPr lang="en-US">
                        <a:latin typeface="Times New Roman" pitchFamily="18" charset="0"/>
                        <a:cs typeface="Times New Roman" pitchFamily="18" charset="0"/>
                      </a:rPr>
                      <a:t>95,0%</a:t>
                    </a:r>
                  </a:p>
                </c:rich>
              </c:tx>
              <c:showVal val="1"/>
              <c:extLst>
                <c:ext xmlns:c15="http://schemas.microsoft.com/office/drawing/2012/chart" uri="{CE6537A1-D6FC-4f65-9D91-7224C49458BB}">
                  <c15:layout/>
                </c:ext>
              </c:extLst>
            </c:dLbl>
            <c:dLbl>
              <c:idx val="1"/>
              <c:layout>
                <c:manualLayout>
                  <c:x val="-5.1520334151779416E-2"/>
                  <c:y val="-2.0127484064491927E-2"/>
                </c:manualLayout>
              </c:layout>
              <c:tx>
                <c:rich>
                  <a:bodyPr/>
                  <a:lstStyle/>
                  <a:p>
                    <a:r>
                      <a:rPr lang="en-US" sz="1000">
                        <a:latin typeface="Times New Roman" pitchFamily="18" charset="0"/>
                        <a:cs typeface="Times New Roman" pitchFamily="18" charset="0"/>
                      </a:rPr>
                      <a:t>5,0%</a:t>
                    </a:r>
                  </a:p>
                </c:rich>
              </c:tx>
              <c:showVal val="1"/>
              <c:extLst>
                <c:ext xmlns:c15="http://schemas.microsoft.com/office/drawing/2012/chart" uri="{CE6537A1-D6FC-4f65-9D91-7224C49458BB}">
                  <c15:layout/>
                </c:ext>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131.4</c:v>
                </c:pt>
                <c:pt idx="1">
                  <c:v>6.9</c:v>
                </c:pt>
              </c:numCache>
            </c:numRef>
          </c:val>
        </c:ser>
      </c:pie3DChart>
    </c:plotArea>
    <c:legend>
      <c:legendPos val="r"/>
      <c:layout>
        <c:manualLayout>
          <c:xMode val="edge"/>
          <c:yMode val="edge"/>
          <c:x val="0.66099427735468186"/>
          <c:y val="0.37622475761958474"/>
          <c:w val="0.3251469981346698"/>
          <c:h val="0.39479565054368204"/>
        </c:manualLayout>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январь-июнь 2016 года</a:t>
            </a:r>
          </a:p>
        </c:rich>
      </c:tx>
      <c:layout>
        <c:manualLayout>
          <c:xMode val="edge"/>
          <c:yMode val="edge"/>
          <c:x val="0.36217560079578931"/>
          <c:y val="0"/>
        </c:manualLayout>
      </c:layout>
    </c:title>
    <c:view3D>
      <c:rotX val="30"/>
      <c:perspective val="30"/>
    </c:view3D>
    <c:plotArea>
      <c:layout>
        <c:manualLayout>
          <c:layoutTarget val="inner"/>
          <c:xMode val="edge"/>
          <c:yMode val="edge"/>
          <c:x val="2.8766887626700552E-3"/>
          <c:y val="7.6023998576334323E-2"/>
          <c:w val="0.75819096718341228"/>
          <c:h val="0.92397600142366554"/>
        </c:manualLayout>
      </c:layout>
      <c:pie3DChart>
        <c:varyColors val="1"/>
        <c:ser>
          <c:idx val="0"/>
          <c:order val="0"/>
          <c:tx>
            <c:strRef>
              <c:f>Лист1!$B$1</c:f>
              <c:strCache>
                <c:ptCount val="1"/>
                <c:pt idx="0">
                  <c:v>январь-июнь 2016 года</c:v>
                </c:pt>
              </c:strCache>
            </c:strRef>
          </c:tx>
          <c:spPr>
            <a:ln w="12700"/>
          </c:spPr>
          <c:explosion val="50"/>
          <c:dPt>
            <c:idx val="0"/>
            <c:explosion val="16"/>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w="12700"/>
            </c:spPr>
          </c:dPt>
          <c:dPt>
            <c:idx val="1"/>
            <c:spPr>
              <a:solidFill>
                <a:srgbClr val="F412FA"/>
              </a:solidFill>
              <a:ln w="12700"/>
            </c:spPr>
          </c:dPt>
          <c:dLbls>
            <c:dLbl>
              <c:idx val="0"/>
              <c:layout>
                <c:manualLayout>
                  <c:x val="-0.22940569705075234"/>
                  <c:y val="0.31705550221001488"/>
                </c:manualLayout>
              </c:layout>
              <c:tx>
                <c:rich>
                  <a:bodyPr/>
                  <a:lstStyle/>
                  <a:p>
                    <a:r>
                      <a:rPr lang="en-US">
                        <a:latin typeface="Times New Roman" pitchFamily="18" charset="0"/>
                        <a:cs typeface="Times New Roman" pitchFamily="18" charset="0"/>
                      </a:rPr>
                      <a:t>96,6%</a:t>
                    </a:r>
                  </a:p>
                </c:rich>
              </c:tx>
              <c:dLblPos val="ctr"/>
              <c:showVal val="1"/>
              <c:extLst>
                <c:ext xmlns:c15="http://schemas.microsoft.com/office/drawing/2012/chart" uri="{CE6537A1-D6FC-4f65-9D91-7224C49458BB}">
                  <c15:layout/>
                </c:ext>
              </c:extLst>
            </c:dLbl>
            <c:dLbl>
              <c:idx val="1"/>
              <c:layout>
                <c:manualLayout>
                  <c:x val="-9.0972940951228778E-2"/>
                  <c:y val="7.7264046593609479E-3"/>
                </c:manualLayout>
              </c:layout>
              <c:tx>
                <c:rich>
                  <a:bodyPr/>
                  <a:lstStyle/>
                  <a:p>
                    <a:r>
                      <a:rPr lang="en-US" sz="1000">
                        <a:latin typeface="Times New Roman" pitchFamily="18" charset="0"/>
                        <a:cs typeface="Times New Roman" pitchFamily="18" charset="0"/>
                      </a:rPr>
                      <a:t>3,4%</a:t>
                    </a:r>
                  </a:p>
                </c:rich>
              </c:tx>
              <c:dLblPos val="outEnd"/>
              <c:showVal val="1"/>
              <c:extLst>
                <c:ext xmlns:c15="http://schemas.microsoft.com/office/drawing/2012/chart" uri="{CE6537A1-D6FC-4f65-9D91-7224C49458BB}">
                  <c15:layout/>
                </c:ext>
              </c:extLst>
            </c:dLbl>
            <c:delete val="1"/>
            <c:extLst>
              <c:ext xmlns:c15="http://schemas.microsoft.com/office/drawing/2012/chart" uri="{CE6537A1-D6FC-4f65-9D91-7224C49458BB}"/>
            </c:extLst>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129.9</c:v>
                </c:pt>
                <c:pt idx="1">
                  <c:v>4.5999999999999996</c:v>
                </c:pt>
              </c:numCache>
            </c:numRef>
          </c:val>
        </c:ser>
      </c:pie3DChart>
    </c:plotArea>
    <c:plotVisOnly val="1"/>
    <c:dispBlanksAs val="zero"/>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050"/>
            </a:pPr>
            <a:r>
              <a:rPr lang="ru-RU" sz="1050">
                <a:latin typeface="Times New Roman" pitchFamily="18" charset="0"/>
                <a:cs typeface="Times New Roman" pitchFamily="18" charset="0"/>
              </a:rPr>
              <a:t>Динамика численности граждан зарегистрированных в службе занятости (чел.) </a:t>
            </a:r>
          </a:p>
        </c:rich>
      </c:tx>
      <c:layout>
        <c:manualLayout>
          <c:xMode val="edge"/>
          <c:yMode val="edge"/>
          <c:x val="0.16013649926729884"/>
          <c:y val="2.1645243062566551E-2"/>
        </c:manualLayout>
      </c:layout>
      <c:spPr>
        <a:noFill/>
        <a:ln w="24908">
          <a:noFill/>
        </a:ln>
      </c:spPr>
    </c:title>
    <c:plotArea>
      <c:layout>
        <c:manualLayout>
          <c:layoutTarget val="inner"/>
          <c:xMode val="edge"/>
          <c:yMode val="edge"/>
          <c:x val="7.2514256091239584E-2"/>
          <c:y val="0.27012653269087838"/>
          <c:w val="0.91881281558313554"/>
          <c:h val="0.31570564374640336"/>
        </c:manualLayout>
      </c:layout>
      <c:barChart>
        <c:barDir val="col"/>
        <c:grouping val="clustered"/>
        <c:ser>
          <c:idx val="0"/>
          <c:order val="0"/>
          <c:tx>
            <c:strRef>
              <c:f>Лист1!$B$1</c:f>
              <c:strCache>
                <c:ptCount val="1"/>
                <c:pt idx="0">
                  <c:v>2016 год</c:v>
                </c:pt>
              </c:strCache>
            </c:strRef>
          </c:tx>
          <c:spPr>
            <a:solidFill>
              <a:srgbClr val="F618DC">
                <a:alpha val="69804"/>
              </a:srgbClr>
            </a:solidFill>
          </c:spPr>
          <c:dLbls>
            <c:dLbl>
              <c:idx val="0"/>
              <c:layout>
                <c:manualLayout>
                  <c:x val="-6.2208398133749114E-3"/>
                  <c:y val="1.5564000445890461E-2"/>
                </c:manualLayout>
              </c:layout>
              <c:dLblPos val="outEnd"/>
              <c:showVal val="1"/>
              <c:extLst>
                <c:ext xmlns:c15="http://schemas.microsoft.com/office/drawing/2012/chart" uri="{CE6537A1-D6FC-4f65-9D91-7224C49458BB}">
                  <c15:layout/>
                </c:ext>
              </c:extLst>
            </c:dLbl>
            <c:dLbl>
              <c:idx val="1"/>
              <c:layout>
                <c:manualLayout>
                  <c:x val="-1.0368229632260653E-2"/>
                  <c:y val="1.5358496854559834E-2"/>
                </c:manualLayout>
              </c:layout>
              <c:dLblPos val="outEnd"/>
              <c:showVal val="1"/>
              <c:extLst>
                <c:ext xmlns:c15="http://schemas.microsoft.com/office/drawing/2012/chart" uri="{CE6537A1-D6FC-4f65-9D91-7224C49458BB}">
                  <c15:layout/>
                </c:ext>
              </c:extLst>
            </c:dLbl>
            <c:dLbl>
              <c:idx val="2"/>
              <c:layout>
                <c:manualLayout>
                  <c:x val="-6.9444444444447919E-3"/>
                  <c:y val="0"/>
                </c:manualLayout>
              </c:layout>
              <c:dLblPos val="outEnd"/>
              <c:showVal val="1"/>
              <c:extLst>
                <c:ext xmlns:c15="http://schemas.microsoft.com/office/drawing/2012/chart" uri="{CE6537A1-D6FC-4f65-9D91-7224C49458BB}">
                  <c15:layout/>
                </c:ext>
              </c:extLst>
            </c:dLbl>
            <c:dLbl>
              <c:idx val="3"/>
              <c:layout>
                <c:manualLayout>
                  <c:x val="0"/>
                  <c:y val="1.5564405800626483E-2"/>
                </c:manualLayout>
              </c:layout>
              <c:dLblPos val="outEnd"/>
              <c:showVal val="1"/>
              <c:extLst>
                <c:ext xmlns:c15="http://schemas.microsoft.com/office/drawing/2012/chart" uri="{CE6537A1-D6FC-4f65-9D91-7224C49458BB}">
                  <c15:layout/>
                </c:ext>
              </c:extLst>
            </c:dLbl>
            <c:dLbl>
              <c:idx val="4"/>
              <c:layout>
                <c:manualLayout>
                  <c:x val="-6.4619994040405497E-3"/>
                  <c:y val="1.5358496854559834E-2"/>
                </c:manualLayout>
              </c:layout>
              <c:dLblPos val="outEnd"/>
              <c:showVal val="1"/>
              <c:extLst>
                <c:ext xmlns:c15="http://schemas.microsoft.com/office/drawing/2012/chart" uri="{CE6537A1-D6FC-4f65-9D91-7224C49458BB}">
                  <c15:layout/>
                </c:ext>
              </c:extLst>
            </c:dLbl>
            <c:dLbl>
              <c:idx val="5"/>
              <c:layout>
                <c:manualLayout>
                  <c:x val="-2.073613271125005E-3"/>
                  <c:y val="1.0455720062019461E-2"/>
                </c:manualLayout>
              </c:layout>
              <c:dLblPos val="outEnd"/>
              <c:showVal val="1"/>
              <c:extLst>
                <c:ext xmlns:c15="http://schemas.microsoft.com/office/drawing/2012/chart" uri="{CE6537A1-D6FC-4f65-9D91-7224C49458BB}">
                  <c15:layout/>
                </c:ext>
              </c:extLst>
            </c:dLbl>
            <c:dLbl>
              <c:idx val="6"/>
              <c:layout>
                <c:manualLayout>
                  <c:x val="7.6031608284293148E-17"/>
                  <c:y val="1.5564405800626445E-2"/>
                </c:manualLayout>
              </c:layout>
              <c:dLblPos val="outEnd"/>
              <c:showVal val="1"/>
              <c:extLst>
                <c:ext xmlns:c15="http://schemas.microsoft.com/office/drawing/2012/chart" uri="{CE6537A1-D6FC-4f65-9D91-7224C49458BB}"/>
              </c:extLst>
            </c:dLbl>
            <c:dLbl>
              <c:idx val="7"/>
              <c:layout>
                <c:manualLayout>
                  <c:x val="-2.0737765477605551E-3"/>
                  <c:y val="1.5604535919496823E-2"/>
                </c:manualLayout>
              </c:layout>
              <c:dLblPos val="outEnd"/>
              <c:showVal val="1"/>
              <c:extLst>
                <c:ext xmlns:c15="http://schemas.microsoft.com/office/drawing/2012/chart" uri="{CE6537A1-D6FC-4f65-9D91-7224C49458BB}"/>
              </c:extLst>
            </c:dLbl>
            <c:dLbl>
              <c:idx val="8"/>
              <c:layout>
                <c:manualLayout>
                  <c:x val="-4.1472265422497941E-3"/>
                  <c:y val="1.0273299170936938E-2"/>
                </c:manualLayout>
              </c:layout>
              <c:dLblPos val="outEnd"/>
              <c:showVal val="1"/>
              <c:extLst>
                <c:ext xmlns:c15="http://schemas.microsoft.com/office/drawing/2012/chart" uri="{CE6537A1-D6FC-4f65-9D91-7224C49458BB}"/>
              </c:extLst>
            </c:dLbl>
            <c:dLbl>
              <c:idx val="9"/>
              <c:layout>
                <c:manualLayout>
                  <c:x val="-4.1472265422498704E-3"/>
                  <c:y val="5.3085256234862536E-3"/>
                </c:manualLayout>
              </c:layout>
              <c:dLblPos val="outEnd"/>
              <c:showVal val="1"/>
              <c:extLst>
                <c:ext xmlns:c15="http://schemas.microsoft.com/office/drawing/2012/chart" uri="{CE6537A1-D6FC-4f65-9D91-7224C49458BB}"/>
              </c:extLst>
            </c:dLbl>
            <c:dLbl>
              <c:idx val="10"/>
              <c:layout>
                <c:manualLayout>
                  <c:x val="-3.0384149104224277E-3"/>
                  <c:y val="4.9595151957357534E-3"/>
                </c:manualLayout>
              </c:layout>
              <c:dLblPos val="outEnd"/>
              <c:showVal val="1"/>
              <c:extLst>
                <c:ext xmlns:c15="http://schemas.microsoft.com/office/drawing/2012/chart" uri="{CE6537A1-D6FC-4f65-9D91-7224C49458BB}"/>
              </c:extLst>
            </c:dLbl>
            <c:dLbl>
              <c:idx val="11"/>
              <c:layout>
                <c:manualLayout>
                  <c:x val="-9.6480163929742267E-4"/>
                  <c:y val="-5.3364951002748007E-3"/>
                </c:manualLayout>
              </c:layout>
              <c:dLblPos val="outEnd"/>
              <c:showVal val="1"/>
              <c:extLst>
                <c:ext xmlns:c15="http://schemas.microsoft.com/office/drawing/2012/chart" uri="{CE6537A1-D6FC-4f65-9D91-7224C49458BB}"/>
              </c:extLst>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Лист1!$B$2:$B$7</c:f>
              <c:numCache>
                <c:formatCode>General</c:formatCode>
                <c:ptCount val="6"/>
                <c:pt idx="0">
                  <c:v>791</c:v>
                </c:pt>
                <c:pt idx="1">
                  <c:v>900</c:v>
                </c:pt>
                <c:pt idx="2">
                  <c:v>911</c:v>
                </c:pt>
                <c:pt idx="3">
                  <c:v>578</c:v>
                </c:pt>
                <c:pt idx="4">
                  <c:v>561</c:v>
                </c:pt>
                <c:pt idx="5">
                  <c:v>618</c:v>
                </c:pt>
              </c:numCache>
            </c:numRef>
          </c:val>
        </c:ser>
        <c:ser>
          <c:idx val="1"/>
          <c:order val="1"/>
          <c:tx>
            <c:strRef>
              <c:f>Лист1!$C$1</c:f>
              <c:strCache>
                <c:ptCount val="1"/>
                <c:pt idx="0">
                  <c:v>2017 год</c:v>
                </c:pt>
              </c:strCache>
            </c:strRef>
          </c:tx>
          <c:spPr>
            <a:solidFill>
              <a:srgbClr val="250BC3">
                <a:alpha val="67843"/>
              </a:srgbClr>
            </a:solidFill>
            <a:ln>
              <a:gradFill>
                <a:gsLst>
                  <a:gs pos="0">
                    <a:srgbClr val="03D4A8"/>
                  </a:gs>
                  <a:gs pos="25000">
                    <a:srgbClr val="21D6E0"/>
                  </a:gs>
                  <a:gs pos="75000">
                    <a:srgbClr val="0087E6"/>
                  </a:gs>
                  <a:gs pos="100000">
                    <a:srgbClr val="005CBF"/>
                  </a:gs>
                </a:gsLst>
                <a:lin ang="5400000" scaled="0"/>
              </a:gradFill>
            </a:ln>
          </c:spPr>
          <c:dLbls>
            <c:dLbl>
              <c:idx val="0"/>
              <c:layout>
                <c:manualLayout>
                  <c:x val="3.2795745010879055E-3"/>
                  <c:y val="-1.7094017094017283E-2"/>
                </c:manualLayout>
              </c:layout>
              <c:dLblPos val="outEnd"/>
              <c:showVal val="1"/>
              <c:extLst>
                <c:ext xmlns:c15="http://schemas.microsoft.com/office/drawing/2012/chart" uri="{CE6537A1-D6FC-4f65-9D91-7224C49458BB}">
                  <c15:layout/>
                </c:ext>
              </c:extLst>
            </c:dLbl>
            <c:dLbl>
              <c:idx val="1"/>
              <c:layout>
                <c:manualLayout>
                  <c:x val="6.9444818620067496E-3"/>
                  <c:y val="-5.6984543598716806E-3"/>
                </c:manualLayout>
              </c:layout>
              <c:dLblPos val="outEnd"/>
              <c:showVal val="1"/>
              <c:extLst>
                <c:ext xmlns:c15="http://schemas.microsoft.com/office/drawing/2012/chart" uri="{CE6537A1-D6FC-4f65-9D91-7224C49458BB}">
                  <c15:layout/>
                </c:ext>
              </c:extLst>
            </c:dLbl>
            <c:dLbl>
              <c:idx val="2"/>
              <c:layout>
                <c:manualLayout>
                  <c:x val="6.9444444444447919E-3"/>
                  <c:y val="0"/>
                </c:manualLayout>
              </c:layout>
              <c:dLblPos val="outEnd"/>
              <c:showVal val="1"/>
              <c:extLst>
                <c:ext xmlns:c15="http://schemas.microsoft.com/office/drawing/2012/chart" uri="{CE6537A1-D6FC-4f65-9D91-7224C49458BB}">
                  <c15:layout/>
                </c:ext>
              </c:extLst>
            </c:dLbl>
            <c:dLbl>
              <c:idx val="3"/>
              <c:layout>
                <c:manualLayout>
                  <c:x val="6.9444444444447919E-3"/>
                  <c:y val="1.5564202334630461E-2"/>
                </c:manualLayout>
              </c:layout>
              <c:dLblPos val="outEnd"/>
              <c:showVal val="1"/>
              <c:extLst>
                <c:ext xmlns:c15="http://schemas.microsoft.com/office/drawing/2012/chart" uri="{CE6537A1-D6FC-4f65-9D91-7224C49458BB}">
                  <c15:layout/>
                </c:ext>
              </c:extLst>
            </c:dLbl>
            <c:dLbl>
              <c:idx val="4"/>
              <c:layout>
                <c:manualLayout>
                  <c:x val="6.9444444444447919E-3"/>
                  <c:y val="1.0376134889753573E-2"/>
                </c:manualLayout>
              </c:layout>
              <c:dLblPos val="outEnd"/>
              <c:showVal val="1"/>
              <c:extLst>
                <c:ext xmlns:c15="http://schemas.microsoft.com/office/drawing/2012/chart" uri="{CE6537A1-D6FC-4f65-9D91-7224C49458BB}">
                  <c15:layout/>
                </c:ext>
              </c:extLst>
            </c:dLbl>
            <c:dLbl>
              <c:idx val="5"/>
              <c:layout>
                <c:manualLayout>
                  <c:x val="1.4472840972638917E-3"/>
                  <c:y val="-3.087114110736309E-4"/>
                </c:manualLayout>
              </c:layout>
              <c:dLblPos val="outEnd"/>
              <c:showVal val="1"/>
              <c:extLst>
                <c:ext xmlns:c15="http://schemas.microsoft.com/office/drawing/2012/chart" uri="{CE6537A1-D6FC-4f65-9D91-7224C49458BB}">
                  <c15:layout/>
                </c:ext>
              </c:extLst>
            </c:dLbl>
            <c:dLbl>
              <c:idx val="6"/>
              <c:layout>
                <c:manualLayout>
                  <c:x val="6.9444818620068415E-3"/>
                  <c:y val="1.5255593050868661E-2"/>
                </c:manualLayout>
              </c:layout>
              <c:dLblPos val="outEnd"/>
              <c:showVal val="1"/>
              <c:extLst>
                <c:ext xmlns:c15="http://schemas.microsoft.com/office/drawing/2012/chart" uri="{CE6537A1-D6FC-4f65-9D91-7224C49458BB}"/>
              </c:extLst>
            </c:dLbl>
            <c:dLbl>
              <c:idx val="7"/>
              <c:layout>
                <c:manualLayout>
                  <c:x val="5.3531877722127804E-3"/>
                  <c:y val="1.5564000445890501E-2"/>
                </c:manualLayout>
              </c:layout>
              <c:dLblPos val="outEnd"/>
              <c:showVal val="1"/>
              <c:extLst>
                <c:ext xmlns:c15="http://schemas.microsoft.com/office/drawing/2012/chart" uri="{CE6537A1-D6FC-4f65-9D91-7224C49458BB}"/>
              </c:extLst>
            </c:dLbl>
            <c:dLbl>
              <c:idx val="8"/>
              <c:layout>
                <c:manualLayout>
                  <c:x val="6.9444818620067496E-3"/>
                  <c:y val="1.539861571357634E-2"/>
                </c:manualLayout>
              </c:layout>
              <c:dLblPos val="outEnd"/>
              <c:showVal val="1"/>
              <c:extLst>
                <c:ext xmlns:c15="http://schemas.microsoft.com/office/drawing/2012/chart" uri="{CE6537A1-D6FC-4f65-9D91-7224C49458BB}"/>
              </c:extLst>
            </c:dLbl>
            <c:dLbl>
              <c:idx val="9"/>
              <c:layout>
                <c:manualLayout>
                  <c:x val="6.9444818620067496E-3"/>
                  <c:y val="1.5564405800626501E-2"/>
                </c:manualLayout>
              </c:layout>
              <c:dLblPos val="outEnd"/>
              <c:showVal val="1"/>
              <c:extLst>
                <c:ext xmlns:c15="http://schemas.microsoft.com/office/drawing/2012/chart" uri="{CE6537A1-D6FC-4f65-9D91-7224C49458BB}"/>
              </c:extLst>
            </c:dLbl>
            <c:dLbl>
              <c:idx val="10"/>
              <c:layout>
                <c:manualLayout>
                  <c:x val="7.6681239106387421E-3"/>
                  <c:y val="4.7361647361648575E-3"/>
                </c:manualLayout>
              </c:layout>
              <c:dLblPos val="outEnd"/>
              <c:showVal val="1"/>
              <c:extLst>
                <c:ext xmlns:c15="http://schemas.microsoft.com/office/drawing/2012/chart" uri="{CE6537A1-D6FC-4f65-9D91-7224C49458BB}"/>
              </c:extLst>
            </c:dLbl>
            <c:dLbl>
              <c:idx val="11"/>
              <c:layout>
                <c:manualLayout>
                  <c:x val="6.9444818620067496E-3"/>
                  <c:y val="-5.273665116185002E-3"/>
                </c:manualLayout>
              </c:layout>
              <c:dLblPos val="outEnd"/>
              <c:showVal val="1"/>
              <c:extLst>
                <c:ext xmlns:c15="http://schemas.microsoft.com/office/drawing/2012/chart" uri="{CE6537A1-D6FC-4f65-9D91-7224C49458BB}"/>
              </c:extLst>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Лист1!$C$2:$C$7</c:f>
              <c:numCache>
                <c:formatCode>General</c:formatCode>
                <c:ptCount val="6"/>
                <c:pt idx="0">
                  <c:v>1730</c:v>
                </c:pt>
                <c:pt idx="1">
                  <c:v>1698</c:v>
                </c:pt>
                <c:pt idx="2">
                  <c:v>1389</c:v>
                </c:pt>
                <c:pt idx="3">
                  <c:v>736</c:v>
                </c:pt>
                <c:pt idx="4">
                  <c:v>862</c:v>
                </c:pt>
                <c:pt idx="5">
                  <c:v>754</c:v>
                </c:pt>
              </c:numCache>
            </c:numRef>
          </c:val>
        </c:ser>
        <c:dLbls>
          <c:showVal val="1"/>
        </c:dLbls>
        <c:axId val="106615552"/>
        <c:axId val="106617088"/>
      </c:barChart>
      <c:catAx>
        <c:axId val="106615552"/>
        <c:scaling>
          <c:orientation val="minMax"/>
        </c:scaling>
        <c:axPos val="b"/>
        <c:numFmt formatCode="General" sourceLinked="1"/>
        <c:tickLblPos val="nextTo"/>
        <c:txPr>
          <a:bodyPr rot="-5400000" vert="horz"/>
          <a:lstStyle/>
          <a:p>
            <a:pPr>
              <a:defRPr b="0">
                <a:latin typeface="Times New Roman" pitchFamily="18" charset="0"/>
                <a:cs typeface="Times New Roman" pitchFamily="18" charset="0"/>
              </a:defRPr>
            </a:pPr>
            <a:endParaRPr lang="ru-RU"/>
          </a:p>
        </c:txPr>
        <c:crossAx val="106617088"/>
        <c:crosses val="autoZero"/>
        <c:auto val="1"/>
        <c:lblAlgn val="ctr"/>
        <c:lblOffset val="100"/>
      </c:catAx>
      <c:valAx>
        <c:axId val="10661708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06615552"/>
        <c:crosses val="autoZero"/>
        <c:crossBetween val="between"/>
      </c:valAx>
    </c:plotArea>
    <c:legend>
      <c:legendPos val="r"/>
      <c:layout>
        <c:manualLayout>
          <c:xMode val="edge"/>
          <c:yMode val="edge"/>
          <c:x val="0.16245421110852598"/>
          <c:y val="0.87383251621849789"/>
          <c:w val="0.64974336994811965"/>
          <c:h val="0.10101029038036913"/>
        </c:manualLayout>
      </c:layout>
      <c:txPr>
        <a:bodyPr/>
        <a:lstStyle/>
        <a:p>
          <a:pPr>
            <a:defRPr sz="1050"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Уровень регистрируемой безработицы, %</a:t>
            </a:r>
          </a:p>
        </c:rich>
      </c:tx>
      <c:layout>
        <c:manualLayout>
          <c:xMode val="edge"/>
          <c:yMode val="edge"/>
          <c:x val="0.22968197879858063"/>
          <c:y val="2.0689655172414764E-2"/>
        </c:manualLayout>
      </c:layout>
      <c:spPr>
        <a:noFill/>
        <a:ln w="25399">
          <a:noFill/>
        </a:ln>
      </c:spPr>
    </c:title>
    <c:view3D>
      <c:rotX val="0"/>
      <c:rotY val="40"/>
      <c:depthPercent val="100"/>
      <c:rAngAx val="1"/>
    </c:view3D>
    <c:plotArea>
      <c:layout>
        <c:manualLayout>
          <c:layoutTarget val="inner"/>
          <c:xMode val="edge"/>
          <c:yMode val="edge"/>
          <c:x val="0.26017331022530327"/>
          <c:y val="0.10603363006924058"/>
          <c:w val="0.51600813329876261"/>
          <c:h val="0.85044510385756678"/>
        </c:manualLayout>
      </c:layout>
      <c:bar3DChart>
        <c:barDir val="bar"/>
        <c:grouping val="clustered"/>
        <c:ser>
          <c:idx val="0"/>
          <c:order val="0"/>
          <c:tx>
            <c:strRef>
              <c:f>Лист1!$B$1</c:f>
              <c:strCache>
                <c:ptCount val="1"/>
                <c:pt idx="0">
                  <c:v>на 1.07.2017г.</c:v>
                </c:pt>
              </c:strCache>
            </c:strRef>
          </c:tx>
          <c:spPr>
            <a:solidFill>
              <a:srgbClr val="8064A2">
                <a:lumMod val="60000"/>
                <a:lumOff val="40000"/>
              </a:srgbClr>
            </a:solidFill>
          </c:spPr>
          <c:dLbls>
            <c:dLbl>
              <c:idx val="0"/>
              <c:layout>
                <c:manualLayout>
                  <c:x val="6.9324090121318117E-3"/>
                  <c:y val="7.9129574678536412E-3"/>
                </c:manualLayout>
              </c:layout>
              <c:tx>
                <c:rich>
                  <a:bodyPr/>
                  <a:lstStyle/>
                  <a:p>
                    <a:r>
                      <a:rPr lang="en-US"/>
                      <a:t>4,97</a:t>
                    </a:r>
                  </a:p>
                </c:rich>
              </c:tx>
              <c:showVal val="1"/>
              <c:extLst>
                <c:ext xmlns:c15="http://schemas.microsoft.com/office/drawing/2012/chart" uri="{CE6537A1-D6FC-4f65-9D91-7224C49458BB}">
                  <c15:layout/>
                </c:ext>
              </c:extLst>
            </c:dLbl>
            <c:dLbl>
              <c:idx val="1"/>
              <c:layout>
                <c:manualLayout>
                  <c:x val="0"/>
                  <c:y val="7.9129574678536412E-3"/>
                </c:manualLayout>
              </c:layout>
              <c:tx>
                <c:rich>
                  <a:bodyPr/>
                  <a:lstStyle/>
                  <a:p>
                    <a:r>
                      <a:rPr lang="en-US"/>
                      <a:t>4,08</a:t>
                    </a:r>
                  </a:p>
                </c:rich>
              </c:tx>
              <c:showVal val="1"/>
              <c:extLst>
                <c:ext xmlns:c15="http://schemas.microsoft.com/office/drawing/2012/chart" uri="{CE6537A1-D6FC-4f65-9D91-7224C49458BB}">
                  <c15:layout/>
                </c:ext>
              </c:extLst>
            </c:dLbl>
            <c:dLbl>
              <c:idx val="2"/>
              <c:layout>
                <c:manualLayout>
                  <c:x val="2.3108030040439047E-3"/>
                  <c:y val="1.1869436201780601E-2"/>
                </c:manualLayout>
              </c:layout>
              <c:showVal val="1"/>
              <c:extLst>
                <c:ext xmlns:c15="http://schemas.microsoft.com/office/drawing/2012/chart" uri="{CE6537A1-D6FC-4f65-9D91-7224C49458BB}">
                  <c15:layout/>
                </c:ext>
              </c:extLst>
            </c:dLbl>
            <c:dLbl>
              <c:idx val="3"/>
              <c:layout>
                <c:manualLayout>
                  <c:x val="6.9322270591393176E-3"/>
                  <c:y val="7.9129574678536412E-3"/>
                </c:manualLayout>
              </c:layout>
              <c:showVal val="1"/>
              <c:extLst>
                <c:ext xmlns:c15="http://schemas.microsoft.com/office/drawing/2012/chart" uri="{CE6537A1-D6FC-4f65-9D91-7224C49458BB}">
                  <c15:layout/>
                </c:ext>
              </c:extLst>
            </c:dLbl>
            <c:dLbl>
              <c:idx val="4"/>
              <c:layout>
                <c:manualLayout>
                  <c:x val="-2.3148148148148147E-3"/>
                  <c:y val="1.1904761904761921E-2"/>
                </c:manualLayout>
              </c:layout>
              <c:showVal val="1"/>
              <c:extLst>
                <c:ext xmlns:c15="http://schemas.microsoft.com/office/drawing/2012/chart" uri="{CE6537A1-D6FC-4f65-9D91-7224C49458BB}">
                  <c15:layout/>
                </c:ext>
              </c:extLst>
            </c:dLbl>
            <c:dLbl>
              <c:idx val="5"/>
              <c:layout>
                <c:manualLayout>
                  <c:x val="2.3108030040439047E-3"/>
                  <c:y val="7.9129574678536412E-3"/>
                </c:manualLayout>
              </c:layout>
              <c:showVal val="1"/>
              <c:extLst>
                <c:ext xmlns:c15="http://schemas.microsoft.com/office/drawing/2012/chart" uri="{CE6537A1-D6FC-4f65-9D91-7224C49458BB}">
                  <c15:layout/>
                </c:ext>
              </c:extLst>
            </c:dLbl>
            <c:dLbl>
              <c:idx val="6"/>
              <c:layout>
                <c:manualLayout>
                  <c:x val="2.3108030040439047E-3"/>
                  <c:y val="7.9129574678536412E-3"/>
                </c:manualLayout>
              </c:layout>
              <c:showVal val="1"/>
              <c:extLst>
                <c:ext xmlns:c15="http://schemas.microsoft.com/office/drawing/2012/chart" uri="{CE6537A1-D6FC-4f65-9D91-7224C49458BB}">
                  <c15:layout/>
                </c:ext>
              </c:extLst>
            </c:dLbl>
            <c:dLbl>
              <c:idx val="7"/>
              <c:layout>
                <c:manualLayout>
                  <c:x val="-4.2364232345581114E-17"/>
                  <c:y val="7.9129574678536412E-3"/>
                </c:manualLayout>
              </c:layout>
              <c:showVal val="1"/>
              <c:extLst>
                <c:ext xmlns:c15="http://schemas.microsoft.com/office/drawing/2012/chart" uri="{CE6537A1-D6FC-4f65-9D91-7224C49458BB}">
                  <c15:layout/>
                </c:ext>
              </c:extLst>
            </c:dLbl>
            <c:spPr>
              <a:noFill/>
              <a:ln w="25399">
                <a:noFill/>
              </a:ln>
            </c:spPr>
            <c:txPr>
              <a:bodyPr/>
              <a:lstStyle/>
              <a:p>
                <a:pPr>
                  <a:defRPr sz="900" b="1"/>
                </a:pPr>
                <a:endParaRPr lang="ru-RU"/>
              </a:p>
            </c:txPr>
            <c:showVal val="1"/>
            <c:extLst>
              <c:ext xmlns:c15="http://schemas.microsoft.com/office/drawing/2012/chart" uri="{CE6537A1-D6FC-4f65-9D91-7224C49458BB}">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0.00</c:formatCode>
                <c:ptCount val="8"/>
                <c:pt idx="0">
                  <c:v>4.9700000000000024</c:v>
                </c:pt>
                <c:pt idx="1">
                  <c:v>4.08</c:v>
                </c:pt>
                <c:pt idx="2" formatCode="General">
                  <c:v>8.67</c:v>
                </c:pt>
                <c:pt idx="3">
                  <c:v>11.8</c:v>
                </c:pt>
                <c:pt idx="4" formatCode="General">
                  <c:v>1.1100000000000001</c:v>
                </c:pt>
                <c:pt idx="5" formatCode="General">
                  <c:v>8.49</c:v>
                </c:pt>
                <c:pt idx="6">
                  <c:v>2.77</c:v>
                </c:pt>
                <c:pt idx="7" formatCode="General">
                  <c:v>3.02</c:v>
                </c:pt>
              </c:numCache>
            </c:numRef>
          </c:val>
        </c:ser>
        <c:ser>
          <c:idx val="1"/>
          <c:order val="1"/>
          <c:tx>
            <c:strRef>
              <c:f>Лист1!$C$1</c:f>
              <c:strCache>
                <c:ptCount val="1"/>
                <c:pt idx="0">
                  <c:v>на 1 07.2016г.</c:v>
                </c:pt>
              </c:strCache>
            </c:strRef>
          </c:tx>
          <c:spPr>
            <a:solidFill>
              <a:srgbClr val="F79646">
                <a:lumMod val="60000"/>
                <a:lumOff val="40000"/>
              </a:srgbClr>
            </a:solidFill>
          </c:spPr>
          <c:dLbls>
            <c:dLbl>
              <c:idx val="0"/>
              <c:layout>
                <c:manualLayout>
                  <c:x val="6.9324090121318455E-3"/>
                  <c:y val="-8.1282272950302572E-3"/>
                </c:manualLayout>
              </c:layout>
              <c:tx>
                <c:rich>
                  <a:bodyPr/>
                  <a:lstStyle/>
                  <a:p>
                    <a:r>
                      <a:rPr lang="en-US"/>
                      <a:t>3,41</a:t>
                    </a:r>
                  </a:p>
                </c:rich>
              </c:tx>
              <c:showVal val="1"/>
              <c:extLst>
                <c:ext xmlns:c15="http://schemas.microsoft.com/office/drawing/2012/chart" uri="{CE6537A1-D6FC-4f65-9D91-7224C49458BB}">
                  <c15:layout/>
                </c:ext>
              </c:extLst>
            </c:dLbl>
            <c:dLbl>
              <c:idx val="1"/>
              <c:layout>
                <c:manualLayout>
                  <c:x val="2.3108030040439047E-3"/>
                  <c:y val="-1.2084592145015121E-2"/>
                </c:manualLayout>
              </c:layout>
              <c:showVal val="1"/>
              <c:extLst>
                <c:ext xmlns:c15="http://schemas.microsoft.com/office/drawing/2012/chart" uri="{CE6537A1-D6FC-4f65-9D91-7224C49458BB}">
                  <c15:layout/>
                </c:ext>
              </c:extLst>
            </c:dLbl>
            <c:dLbl>
              <c:idx val="2"/>
              <c:layout>
                <c:manualLayout>
                  <c:x val="2.3108030040439047E-3"/>
                  <c:y val="-8.0562629967990268E-3"/>
                </c:manualLayout>
              </c:layout>
              <c:showVal val="1"/>
              <c:extLst>
                <c:ext xmlns:c15="http://schemas.microsoft.com/office/drawing/2012/chart" uri="{CE6537A1-D6FC-4f65-9D91-7224C49458BB}">
                  <c15:layout/>
                </c:ext>
              </c:extLst>
            </c:dLbl>
            <c:dLbl>
              <c:idx val="3"/>
              <c:layout>
                <c:manualLayout>
                  <c:x val="6.9324090121318455E-3"/>
                  <c:y val="-1.2084706028957063E-2"/>
                </c:manualLayout>
              </c:layout>
              <c:showVal val="1"/>
              <c:extLst>
                <c:ext xmlns:c15="http://schemas.microsoft.com/office/drawing/2012/chart" uri="{CE6537A1-D6FC-4f65-9D91-7224C49458BB}">
                  <c15:layout/>
                </c:ext>
              </c:extLst>
            </c:dLbl>
            <c:dLbl>
              <c:idx val="4"/>
              <c:layout>
                <c:manualLayout>
                  <c:x val="0"/>
                  <c:y val="-8.0563947633434246E-3"/>
                </c:manualLayout>
              </c:layout>
              <c:showVal val="1"/>
              <c:extLst>
                <c:ext xmlns:c15="http://schemas.microsoft.com/office/drawing/2012/chart" uri="{CE6537A1-D6FC-4f65-9D91-7224C49458BB}">
                  <c15:layout/>
                </c:ext>
              </c:extLst>
            </c:dLbl>
            <c:dLbl>
              <c:idx val="5"/>
              <c:layout>
                <c:manualLayout>
                  <c:x val="4.6216060080878103E-3"/>
                  <c:y val="-1.1869436201780584E-2"/>
                </c:manualLayout>
              </c:layout>
              <c:showVal val="1"/>
              <c:extLst>
                <c:ext xmlns:c15="http://schemas.microsoft.com/office/drawing/2012/chart" uri="{CE6537A1-D6FC-4f65-9D91-7224C49458BB}">
                  <c15:layout/>
                </c:ext>
              </c:extLst>
            </c:dLbl>
            <c:dLbl>
              <c:idx val="6"/>
              <c:layout>
                <c:manualLayout>
                  <c:x val="2.3108030040439047E-3"/>
                  <c:y val="-8.0563947633434246E-3"/>
                </c:manualLayout>
              </c:layout>
              <c:showVal val="1"/>
              <c:extLst>
                <c:ext xmlns:c15="http://schemas.microsoft.com/office/drawing/2012/chart" uri="{CE6537A1-D6FC-4f65-9D91-7224C49458BB}">
                  <c15:layout/>
                </c:ext>
              </c:extLst>
            </c:dLbl>
            <c:dLbl>
              <c:idx val="7"/>
              <c:layout>
                <c:manualLayout>
                  <c:x val="-1.2008897501330541E-5"/>
                  <c:y val="-7.7566588164394894E-3"/>
                </c:manualLayout>
              </c:layout>
              <c:showVal val="1"/>
              <c:extLst>
                <c:ext xmlns:c15="http://schemas.microsoft.com/office/drawing/2012/chart" uri="{CE6537A1-D6FC-4f65-9D91-7224C49458BB}">
                  <c15:layout/>
                </c:ext>
              </c:extLst>
            </c:dLbl>
            <c:spPr>
              <a:noFill/>
              <a:ln w="25399">
                <a:noFill/>
              </a:ln>
            </c:spPr>
            <c:txPr>
              <a:bodyPr/>
              <a:lstStyle/>
              <a:p>
                <a:pPr>
                  <a:defRPr sz="900" b="1"/>
                </a:pPr>
                <a:endParaRPr lang="ru-RU"/>
              </a:p>
            </c:txPr>
            <c:showVal val="1"/>
            <c:extLst>
              <c:ext xmlns:c15="http://schemas.microsoft.com/office/drawing/2012/chart" uri="{CE6537A1-D6FC-4f65-9D91-7224C49458BB}">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0.00</c:formatCode>
                <c:ptCount val="8"/>
                <c:pt idx="0">
                  <c:v>3.4099999999999997</c:v>
                </c:pt>
                <c:pt idx="1">
                  <c:v>4.3</c:v>
                </c:pt>
                <c:pt idx="2" formatCode="General">
                  <c:v>6.67</c:v>
                </c:pt>
                <c:pt idx="3">
                  <c:v>8.24</c:v>
                </c:pt>
                <c:pt idx="4">
                  <c:v>0.67000000000000093</c:v>
                </c:pt>
                <c:pt idx="5" formatCode="General">
                  <c:v>6.29</c:v>
                </c:pt>
                <c:pt idx="6">
                  <c:v>2.2000000000000002</c:v>
                </c:pt>
                <c:pt idx="7" formatCode="General">
                  <c:v>1.6400000000000001</c:v>
                </c:pt>
              </c:numCache>
            </c:numRef>
          </c:val>
        </c:ser>
        <c:shape val="cylinder"/>
        <c:axId val="106962944"/>
        <c:axId val="106964480"/>
        <c:axId val="0"/>
      </c:bar3DChart>
      <c:catAx>
        <c:axId val="106962944"/>
        <c:scaling>
          <c:orientation val="minMax"/>
        </c:scaling>
        <c:axPos val="l"/>
        <c:numFmt formatCode="General" sourceLinked="1"/>
        <c:tickLblPos val="nextTo"/>
        <c:txPr>
          <a:bodyPr/>
          <a:lstStyle/>
          <a:p>
            <a:pPr>
              <a:defRPr b="1"/>
            </a:pPr>
            <a:endParaRPr lang="ru-RU"/>
          </a:p>
        </c:txPr>
        <c:crossAx val="106964480"/>
        <c:crosses val="autoZero"/>
        <c:auto val="1"/>
        <c:lblAlgn val="ctr"/>
        <c:lblOffset val="100"/>
      </c:catAx>
      <c:valAx>
        <c:axId val="106964480"/>
        <c:scaling>
          <c:orientation val="minMax"/>
        </c:scaling>
        <c:delete val="1"/>
        <c:axPos val="b"/>
        <c:numFmt formatCode="0.00" sourceLinked="1"/>
        <c:tickLblPos val="nextTo"/>
        <c:crossAx val="106962944"/>
        <c:crosses val="autoZero"/>
        <c:crossBetween val="between"/>
      </c:valAx>
      <c:spPr>
        <a:noFill/>
        <a:ln w="25399">
          <a:noFill/>
        </a:ln>
      </c:spPr>
    </c:plotArea>
    <c:legend>
      <c:legendPos val="r"/>
      <c:layout>
        <c:manualLayout>
          <c:xMode val="edge"/>
          <c:yMode val="edge"/>
          <c:x val="0.50479200498551202"/>
          <c:y val="0.91636938557754233"/>
          <c:w val="0.41900244271892356"/>
          <c:h val="6.5153659590019619E-2"/>
        </c:manualLayout>
      </c:layout>
      <c:txPr>
        <a:bodyPr/>
        <a:lstStyle/>
        <a:p>
          <a:pPr>
            <a:defRPr sz="105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200">
                <a:solidFill>
                  <a:sysClr val="windowText" lastClr="000000"/>
                </a:solidFill>
              </a:rPr>
              <a:t>Структура нерыночных услуг в общем объеме ВВП, %</a:t>
            </a:r>
          </a:p>
        </c:rich>
      </c:tx>
      <c:layout>
        <c:manualLayout>
          <c:xMode val="edge"/>
          <c:yMode val="edge"/>
          <c:x val="0.17456966462837256"/>
          <c:y val="0"/>
        </c:manualLayout>
      </c:layout>
    </c:title>
    <c:plotArea>
      <c:layout>
        <c:manualLayout>
          <c:layoutTarget val="inner"/>
          <c:xMode val="edge"/>
          <c:yMode val="edge"/>
          <c:x val="9.2002153576956694E-2"/>
          <c:y val="0.13503580093278139"/>
          <c:w val="0.88253481335666351"/>
          <c:h val="0.30293504978544711"/>
        </c:manualLayout>
      </c:layout>
      <c:barChart>
        <c:barDir val="col"/>
        <c:grouping val="clustered"/>
        <c:ser>
          <c:idx val="0"/>
          <c:order val="0"/>
          <c:tx>
            <c:strRef>
              <c:f>Лист1!$B$1</c:f>
              <c:strCache>
                <c:ptCount val="1"/>
                <c:pt idx="0">
                  <c:v>январь-июнь 2016 года</c:v>
                </c:pt>
              </c:strCache>
            </c:strRef>
          </c:tx>
          <c:dLbls>
            <c:dLbl>
              <c:idx val="0"/>
              <c:layout>
                <c:manualLayout>
                  <c:x val="0"/>
                  <c:y val="1.2236662840434558E-2"/>
                </c:manualLayout>
              </c:layout>
              <c:dLblPos val="outEnd"/>
              <c:showVal val="1"/>
              <c:extLst>
                <c:ext xmlns:c15="http://schemas.microsoft.com/office/drawing/2012/chart" uri="{CE6537A1-D6FC-4f65-9D91-7224C49458BB}">
                  <c15:layout/>
                </c:ext>
              </c:extLst>
            </c:dLbl>
            <c:dLbl>
              <c:idx val="1"/>
              <c:layout>
                <c:manualLayout>
                  <c:x val="-2.1458375395383292E-3"/>
                  <c:y val="1.1904964125212801E-2"/>
                </c:manualLayout>
              </c:layout>
              <c:dLblPos val="outEnd"/>
              <c:showVal val="1"/>
              <c:extLst>
                <c:ext xmlns:c15="http://schemas.microsoft.com/office/drawing/2012/chart" uri="{CE6537A1-D6FC-4f65-9D91-7224C49458BB}">
                  <c15:layout/>
                </c:ext>
              </c:extLst>
            </c:dLbl>
            <c:dLbl>
              <c:idx val="2"/>
              <c:layout>
                <c:manualLayout>
                  <c:x val="-6.944452627547692E-3"/>
                  <c:y val="1.834050666606819E-2"/>
                </c:manualLayout>
              </c:layout>
              <c:dLblPos val="outEnd"/>
              <c:showVal val="1"/>
              <c:extLst>
                <c:ext xmlns:c15="http://schemas.microsoft.com/office/drawing/2012/chart" uri="{CE6537A1-D6FC-4f65-9D91-7224C49458BB}">
                  <c15:layout/>
                </c:ext>
              </c:extLst>
            </c:dLbl>
            <c:dLbl>
              <c:idx val="3"/>
              <c:layout>
                <c:manualLayout>
                  <c:x val="0"/>
                  <c:y val="1.1904761904761921E-2"/>
                </c:manualLayout>
              </c:layout>
              <c:dLblPos val="outEnd"/>
              <c:showVal val="1"/>
              <c:extLst>
                <c:ext xmlns:c15="http://schemas.microsoft.com/office/drawing/2012/chart" uri="{CE6537A1-D6FC-4f65-9D91-7224C49458BB}">
                  <c15:layout/>
                </c:ext>
              </c:extLst>
            </c:dLbl>
            <c:dLbl>
              <c:idx val="4"/>
              <c:layout>
                <c:manualLayout>
                  <c:x val="-6.9446209656717061E-3"/>
                  <c:y val="1.5274067279660561E-2"/>
                </c:manualLayout>
              </c:layout>
              <c:dLblPos val="outEnd"/>
              <c:showVal val="1"/>
              <c:extLst>
                <c:ext xmlns:c15="http://schemas.microsoft.com/office/drawing/2012/chart" uri="{CE6537A1-D6FC-4f65-9D91-7224C49458BB}">
                  <c15:layout/>
                </c:ext>
              </c:extLst>
            </c:dLbl>
            <c:dLbl>
              <c:idx val="5"/>
              <c:layout>
                <c:manualLayout>
                  <c:x val="-7.1910237200845388E-4"/>
                  <c:y val="7.6047166072390942E-3"/>
                </c:manualLayout>
              </c:layout>
              <c:dLblPos val="outEnd"/>
              <c:showVal val="1"/>
              <c:extLst>
                <c:ext xmlns:c15="http://schemas.microsoft.com/office/drawing/2012/chart" uri="{CE6537A1-D6FC-4f65-9D91-7224C49458BB}">
                  <c15:layout/>
                </c:ext>
              </c:extLst>
            </c:dLbl>
            <c:dLbl>
              <c:idx val="6"/>
              <c:layout>
                <c:manualLayout>
                  <c:x val="-1.4382047440168761E-3"/>
                  <c:y val="7.9364875446188594E-3"/>
                </c:manualLayout>
              </c:layout>
              <c:dLblPos val="outEnd"/>
              <c:showVal val="1"/>
              <c:extLst>
                <c:ext xmlns:c15="http://schemas.microsoft.com/office/drawing/2012/chart" uri="{CE6537A1-D6FC-4f65-9D91-7224C49458BB}">
                  <c15:layout/>
                </c:ext>
              </c:extLst>
            </c:dLbl>
            <c:spPr>
              <a:noFill/>
              <a:ln>
                <a:noFill/>
              </a:ln>
              <a:effectLst/>
            </c:spPr>
            <c:txPr>
              <a:bodyPr rot="-5400000" vert="horz"/>
              <a:lstStyle/>
              <a:p>
                <a:pPr>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Лист1!$B$2:$B$8</c:f>
              <c:numCache>
                <c:formatCode>0.00</c:formatCode>
                <c:ptCount val="7"/>
                <c:pt idx="0">
                  <c:v>10.34</c:v>
                </c:pt>
                <c:pt idx="1">
                  <c:v>12.77</c:v>
                </c:pt>
                <c:pt idx="2">
                  <c:v>1.0900000000000001</c:v>
                </c:pt>
                <c:pt idx="3">
                  <c:v>0.24000000000000021</c:v>
                </c:pt>
                <c:pt idx="4">
                  <c:v>7.58</c:v>
                </c:pt>
                <c:pt idx="5">
                  <c:v>1.57</c:v>
                </c:pt>
                <c:pt idx="6">
                  <c:v>10.43</c:v>
                </c:pt>
              </c:numCache>
            </c:numRef>
          </c:val>
        </c:ser>
        <c:ser>
          <c:idx val="1"/>
          <c:order val="1"/>
          <c:tx>
            <c:strRef>
              <c:f>Лист1!$C$1</c:f>
              <c:strCache>
                <c:ptCount val="1"/>
                <c:pt idx="0">
                  <c:v>январь-июнь 2017 года</c:v>
                </c:pt>
              </c:strCache>
            </c:strRef>
          </c:tx>
          <c:dLbls>
            <c:dLbl>
              <c:idx val="0"/>
              <c:layout>
                <c:manualLayout>
                  <c:x val="6.9441079480449574E-3"/>
                  <c:y val="8.5183694419928464E-3"/>
                </c:manualLayout>
              </c:layout>
              <c:tx>
                <c:rich>
                  <a:bodyPr/>
                  <a:lstStyle/>
                  <a:p>
                    <a:r>
                      <a:rPr lang="en-US"/>
                      <a:t>9,97</a:t>
                    </a:r>
                  </a:p>
                </c:rich>
              </c:tx>
              <c:dLblPos val="outEnd"/>
              <c:showVal val="1"/>
              <c:extLst>
                <c:ext xmlns:c15="http://schemas.microsoft.com/office/drawing/2012/chart" uri="{CE6537A1-D6FC-4f65-9D91-7224C49458BB}">
                  <c15:layout/>
                </c:ext>
              </c:extLst>
            </c:dLbl>
            <c:dLbl>
              <c:idx val="1"/>
              <c:layout>
                <c:manualLayout>
                  <c:x val="0"/>
                  <c:y val="1.8759024087620889E-2"/>
                </c:manualLayout>
              </c:layout>
              <c:dLblPos val="outEnd"/>
              <c:showVal val="1"/>
              <c:extLst>
                <c:ext xmlns:c15="http://schemas.microsoft.com/office/drawing/2012/chart" uri="{CE6537A1-D6FC-4f65-9D91-7224C49458BB}">
                  <c15:layout/>
                </c:ext>
              </c:extLst>
            </c:dLbl>
            <c:dLbl>
              <c:idx val="2"/>
              <c:layout>
                <c:manualLayout>
                  <c:x val="6.944452627547692E-3"/>
                  <c:y val="2.0365423039547245E-2"/>
                </c:manualLayout>
              </c:layout>
              <c:dLblPos val="outEnd"/>
              <c:showVal val="1"/>
              <c:extLst>
                <c:ext xmlns:c15="http://schemas.microsoft.com/office/drawing/2012/chart" uri="{CE6537A1-D6FC-4f65-9D91-7224C49458BB}">
                  <c15:layout/>
                </c:ext>
              </c:extLst>
            </c:dLbl>
            <c:dLbl>
              <c:idx val="3"/>
              <c:layout>
                <c:manualLayout>
                  <c:x val="0"/>
                  <c:y val="7.9365079365079413E-3"/>
                </c:manualLayout>
              </c:layout>
              <c:dLblPos val="outEnd"/>
              <c:showVal val="1"/>
              <c:extLst>
                <c:ext xmlns:c15="http://schemas.microsoft.com/office/drawing/2012/chart" uri="{CE6537A1-D6FC-4f65-9D91-7224C49458BB}">
                  <c15:layout/>
                </c:ext>
              </c:extLst>
            </c:dLbl>
            <c:dLbl>
              <c:idx val="4"/>
              <c:layout>
                <c:manualLayout>
                  <c:x val="6.3508924024796741E-3"/>
                  <c:y val="1.2585270186624246E-2"/>
                </c:manualLayout>
              </c:layout>
              <c:dLblPos val="outEnd"/>
              <c:showVal val="1"/>
              <c:extLst>
                <c:ext xmlns:c15="http://schemas.microsoft.com/office/drawing/2012/chart" uri="{CE6537A1-D6FC-4f65-9D91-7224C49458BB}">
                  <c15:layout/>
                </c:ext>
              </c:extLst>
            </c:dLbl>
            <c:dLbl>
              <c:idx val="5"/>
              <c:layout>
                <c:manualLayout>
                  <c:x val="4.27578834847675E-3"/>
                  <c:y val="6.8071827403841942E-4"/>
                </c:manualLayout>
              </c:layout>
              <c:dLblPos val="outEnd"/>
              <c:showVal val="1"/>
              <c:extLst>
                <c:ext xmlns:c15="http://schemas.microsoft.com/office/drawing/2012/chart" uri="{CE6537A1-D6FC-4f65-9D91-7224C49458BB}">
                  <c15:layout/>
                </c:ext>
              </c:extLst>
            </c:dLbl>
            <c:dLbl>
              <c:idx val="6"/>
              <c:layout>
                <c:manualLayout>
                  <c:x val="1.0375596596804317E-2"/>
                  <c:y val="1.19048919030548E-2"/>
                </c:manualLayout>
              </c:layout>
              <c:dLblPos val="outEnd"/>
              <c:showVal val="1"/>
              <c:extLst>
                <c:ext xmlns:c15="http://schemas.microsoft.com/office/drawing/2012/chart" uri="{CE6537A1-D6FC-4f65-9D91-7224C49458BB}">
                  <c15:layout/>
                </c:ext>
              </c:extLst>
            </c:dLbl>
            <c:spPr>
              <a:noFill/>
              <a:ln>
                <a:noFill/>
              </a:ln>
              <a:effectLst/>
            </c:spPr>
            <c:txPr>
              <a:bodyPr rot="-5400000" vert="horz"/>
              <a:lstStyle/>
              <a:p>
                <a:pPr>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Лист1!$C$2:$C$8</c:f>
              <c:numCache>
                <c:formatCode>#,##0.00</c:formatCode>
                <c:ptCount val="7"/>
                <c:pt idx="0">
                  <c:v>99.97</c:v>
                </c:pt>
                <c:pt idx="1">
                  <c:v>10.860000000000024</c:v>
                </c:pt>
                <c:pt idx="2">
                  <c:v>0.91</c:v>
                </c:pt>
                <c:pt idx="3">
                  <c:v>0.18000000000000024</c:v>
                </c:pt>
                <c:pt idx="4">
                  <c:v>6.4700000000000024</c:v>
                </c:pt>
                <c:pt idx="5">
                  <c:v>1.51</c:v>
                </c:pt>
                <c:pt idx="6">
                  <c:v>12.39</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Лист1!$D$2:$D$8</c:f>
            </c:numRef>
          </c:val>
        </c:ser>
        <c:dLbls>
          <c:showVal val="1"/>
        </c:dLbls>
        <c:axId val="96903168"/>
        <c:axId val="96904704"/>
      </c:barChart>
      <c:catAx>
        <c:axId val="96903168"/>
        <c:scaling>
          <c:orientation val="minMax"/>
        </c:scaling>
        <c:axPos val="b"/>
        <c:numFmt formatCode="General" sourceLinked="0"/>
        <c:tickLblPos val="nextTo"/>
        <c:txPr>
          <a:bodyPr rot="5400000" vert="horz"/>
          <a:lstStyle/>
          <a:p>
            <a:pPr>
              <a:defRPr sz="900"/>
            </a:pPr>
            <a:endParaRPr lang="ru-RU"/>
          </a:p>
        </c:txPr>
        <c:crossAx val="96904704"/>
        <c:crosses val="autoZero"/>
        <c:auto val="1"/>
        <c:lblAlgn val="ctr"/>
        <c:lblOffset val="100"/>
      </c:catAx>
      <c:valAx>
        <c:axId val="96904704"/>
        <c:scaling>
          <c:orientation val="minMax"/>
        </c:scaling>
        <c:axPos val="l"/>
        <c:numFmt formatCode="0.00" sourceLinked="1"/>
        <c:tickLblPos val="nextTo"/>
        <c:crossAx val="96903168"/>
        <c:crosses val="autoZero"/>
        <c:crossBetween val="between"/>
      </c:valAx>
    </c:plotArea>
    <c:legend>
      <c:legendPos val="b"/>
      <c:layout>
        <c:manualLayout>
          <c:xMode val="edge"/>
          <c:yMode val="edge"/>
          <c:x val="0.15474005653139647"/>
          <c:y val="0.90471782070361106"/>
          <c:w val="0.72102967898243564"/>
          <c:h val="9.528217929638888E-2"/>
        </c:manualLayout>
      </c:layout>
      <c:txPr>
        <a:bodyPr/>
        <a:lstStyle/>
        <a:p>
          <a:pPr>
            <a:defRPr sz="1000" b="1"/>
          </a:pPr>
          <a:endParaRPr lang="ru-RU"/>
        </a:p>
      </c:txPr>
    </c:legend>
    <c:plotVisOnly val="1"/>
    <c:dispBlanksAs val="gap"/>
  </c:chart>
  <c:spPr>
    <a:ln>
      <a:noFill/>
    </a:ln>
  </c:spPr>
  <c:txPr>
    <a:bodyPr/>
    <a:lstStyle/>
    <a:p>
      <a:pPr>
        <a:defRPr sz="800" b="1">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sz="1100"/>
            </a:pPr>
            <a:r>
              <a:rPr lang="ru-RU" sz="1100"/>
              <a:t>Динамика численности вакантных рабочих мест (должнотей) и безработных граждан, зарегистрированных в службе занятости</a:t>
            </a:r>
          </a:p>
        </c:rich>
      </c:tx>
      <c:layout>
        <c:manualLayout>
          <c:xMode val="edge"/>
          <c:yMode val="edge"/>
          <c:x val="0.12574078546930575"/>
          <c:y val="4.0874735790769445E-2"/>
        </c:manualLayout>
      </c:layout>
    </c:title>
    <c:plotArea>
      <c:layout>
        <c:manualLayout>
          <c:layoutTarget val="inner"/>
          <c:xMode val="edge"/>
          <c:yMode val="edge"/>
          <c:x val="3.7453067633408096E-2"/>
          <c:y val="0.31300387062512131"/>
          <c:w val="0.96182757214000703"/>
          <c:h val="0.28249997631162532"/>
        </c:manualLayout>
      </c:layout>
      <c:lineChart>
        <c:grouping val="standard"/>
        <c:ser>
          <c:idx val="0"/>
          <c:order val="0"/>
          <c:tx>
            <c:strRef>
              <c:f>Лист1!$B$1</c:f>
              <c:strCache>
                <c:ptCount val="1"/>
                <c:pt idx="0">
                  <c:v>Количество граждан состоявших на учете в службе занятости</c:v>
                </c:pt>
              </c:strCache>
            </c:strRef>
          </c:tx>
          <c:spPr>
            <a:ln>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c:spPr>
          <c:marker>
            <c:spPr>
              <a:ln>
                <a:gradFill>
                  <a:gsLst>
                    <a:gs pos="0">
                      <a:srgbClr val="8488C4"/>
                    </a:gs>
                    <a:gs pos="53000">
                      <a:srgbClr val="D4DEFF"/>
                    </a:gs>
                    <a:gs pos="83000">
                      <a:srgbClr val="D4DEFF"/>
                    </a:gs>
                    <a:gs pos="100000">
                      <a:srgbClr val="96AB94"/>
                    </a:gs>
                  </a:gsLst>
                  <a:lin ang="5400000" scaled="0"/>
                </a:gradFill>
              </a:ln>
            </c:spPr>
          </c:marker>
          <c:dLbls>
            <c:spPr>
              <a:noFill/>
              <a:ln>
                <a:noFill/>
              </a:ln>
              <a:effectLst/>
            </c:spPr>
            <c:txPr>
              <a:bodyPr/>
              <a:lstStyle/>
              <a:p>
                <a:pPr>
                  <a:defRPr sz="950"/>
                </a:pPr>
                <a:endParaRPr lang="ru-RU"/>
              </a:p>
            </c:txPr>
            <c:dLblPos val="t"/>
            <c:showVal val="1"/>
            <c:extLst>
              <c:ext xmlns:c15="http://schemas.microsoft.com/office/drawing/2012/chart" uri="{CE6537A1-D6FC-4f65-9D91-7224C49458BB}">
                <c15:layout/>
                <c15:showLeaderLines val="0"/>
              </c:ext>
            </c:extLst>
          </c:dLbls>
          <c:cat>
            <c:numRef>
              <c:f>Лист1!$A$2:$A$8</c:f>
              <c:numCache>
                <c:formatCode>dd/mm/yyyy</c:formatCode>
                <c:ptCount val="7"/>
                <c:pt idx="0">
                  <c:v>42736</c:v>
                </c:pt>
                <c:pt idx="1">
                  <c:v>42767</c:v>
                </c:pt>
                <c:pt idx="2">
                  <c:v>42795</c:v>
                </c:pt>
                <c:pt idx="3">
                  <c:v>42826</c:v>
                </c:pt>
                <c:pt idx="4">
                  <c:v>42856</c:v>
                </c:pt>
                <c:pt idx="5">
                  <c:v>42887</c:v>
                </c:pt>
                <c:pt idx="6">
                  <c:v>42917</c:v>
                </c:pt>
              </c:numCache>
            </c:numRef>
          </c:cat>
          <c:val>
            <c:numRef>
              <c:f>Лист1!$B$2:$B$8</c:f>
              <c:numCache>
                <c:formatCode>General</c:formatCode>
                <c:ptCount val="7"/>
                <c:pt idx="0">
                  <c:v>4262</c:v>
                </c:pt>
                <c:pt idx="1">
                  <c:v>5413</c:v>
                </c:pt>
                <c:pt idx="2">
                  <c:v>6536</c:v>
                </c:pt>
                <c:pt idx="3">
                  <c:v>7069</c:v>
                </c:pt>
                <c:pt idx="4">
                  <c:v>7015</c:v>
                </c:pt>
                <c:pt idx="5">
                  <c:v>6999</c:v>
                </c:pt>
                <c:pt idx="6">
                  <c:v>6879</c:v>
                </c:pt>
              </c:numCache>
            </c:numRef>
          </c:val>
        </c:ser>
        <c:ser>
          <c:idx val="1"/>
          <c:order val="1"/>
          <c:tx>
            <c:strRef>
              <c:f>Лист1!$C$1</c:f>
              <c:strCache>
                <c:ptCount val="1"/>
                <c:pt idx="0">
                  <c:v>Наличие вакансий в базе данных службы занятости</c:v>
                </c:pt>
              </c:strCache>
            </c:strRef>
          </c:tx>
          <c:spPr>
            <a:ln>
              <a:solidFill>
                <a:schemeClr val="accent2">
                  <a:lumMod val="60000"/>
                  <a:lumOff val="40000"/>
                </a:schemeClr>
              </a:solidFill>
            </a:ln>
          </c:spPr>
          <c:marker>
            <c:spPr>
              <a:ln>
                <a:solidFill>
                  <a:schemeClr val="accent2">
                    <a:lumMod val="60000"/>
                    <a:lumOff val="40000"/>
                  </a:schemeClr>
                </a:solidFill>
                <a:bevel/>
              </a:ln>
            </c:spPr>
          </c:marker>
          <c:dLbls>
            <c:dLbl>
              <c:idx val="0"/>
              <c:layout>
                <c:manualLayout>
                  <c:x val="1.9550342130987301E-3"/>
                  <c:y val="-0.12033694344163817"/>
                </c:manualLayout>
              </c:layout>
              <c:dLblPos val="b"/>
              <c:showVal val="1"/>
              <c:extLst>
                <c:ext xmlns:c15="http://schemas.microsoft.com/office/drawing/2012/chart" uri="{CE6537A1-D6FC-4f65-9D91-7224C49458BB}">
                  <c15:layout/>
                </c:ext>
              </c:extLst>
            </c:dLbl>
            <c:dLbl>
              <c:idx val="1"/>
              <c:layout>
                <c:manualLayout>
                  <c:x val="1.9550342130987483E-3"/>
                  <c:y val="-0.12033694344163817"/>
                </c:manualLayout>
              </c:layout>
              <c:dLblPos val="b"/>
              <c:showVal val="1"/>
              <c:extLst>
                <c:ext xmlns:c15="http://schemas.microsoft.com/office/drawing/2012/chart" uri="{CE6537A1-D6FC-4f65-9D91-7224C49458BB}">
                  <c15:layout/>
                </c:ext>
              </c:extLst>
            </c:dLbl>
            <c:dLbl>
              <c:idx val="2"/>
              <c:layout>
                <c:manualLayout>
                  <c:x val="0"/>
                  <c:y val="-0.12033694344163817"/>
                </c:manualLayout>
              </c:layout>
              <c:dLblPos val="b"/>
              <c:showVal val="1"/>
              <c:extLst>
                <c:ext xmlns:c15="http://schemas.microsoft.com/office/drawing/2012/chart" uri="{CE6537A1-D6FC-4f65-9D91-7224C49458BB}">
                  <c15:layout/>
                </c:ext>
              </c:extLst>
            </c:dLbl>
            <c:dLbl>
              <c:idx val="3"/>
              <c:layout>
                <c:manualLayout>
                  <c:x val="-1.9550342130987301E-3"/>
                  <c:y val="-0.12033694344163817"/>
                </c:manualLayout>
              </c:layout>
              <c:dLblPos val="b"/>
              <c:showVal val="1"/>
              <c:extLst>
                <c:ext xmlns:c15="http://schemas.microsoft.com/office/drawing/2012/chart" uri="{CE6537A1-D6FC-4f65-9D91-7224C49458BB}">
                  <c15:layout/>
                </c:ext>
              </c:extLst>
            </c:dLbl>
            <c:dLbl>
              <c:idx val="4"/>
              <c:layout>
                <c:manualLayout>
                  <c:x val="0"/>
                  <c:y val="-0.12996389891696791"/>
                </c:manualLayout>
              </c:layout>
              <c:dLblPos val="b"/>
              <c:showVal val="1"/>
              <c:extLst>
                <c:ext xmlns:c15="http://schemas.microsoft.com/office/drawing/2012/chart" uri="{CE6537A1-D6FC-4f65-9D91-7224C49458BB}">
                  <c15:layout/>
                </c:ext>
              </c:extLst>
            </c:dLbl>
            <c:dLbl>
              <c:idx val="5"/>
              <c:layout>
                <c:manualLayout>
                  <c:x val="0"/>
                  <c:y val="-0.12515042117930206"/>
                </c:manualLayout>
              </c:layout>
              <c:dLblPos val="b"/>
              <c:showVal val="1"/>
              <c:extLst>
                <c:ext xmlns:c15="http://schemas.microsoft.com/office/drawing/2012/chart" uri="{CE6537A1-D6FC-4f65-9D91-7224C49458BB}">
                  <c15:layout/>
                </c:ext>
              </c:extLst>
            </c:dLbl>
            <c:dLbl>
              <c:idx val="6"/>
              <c:layout>
                <c:manualLayout>
                  <c:x val="0"/>
                  <c:y val="-0.12996389891696791"/>
                </c:manualLayout>
              </c:layout>
              <c:dLblPos val="b"/>
              <c:showVal val="1"/>
              <c:extLst>
                <c:ext xmlns:c15="http://schemas.microsoft.com/office/drawing/2012/chart" uri="{CE6537A1-D6FC-4f65-9D91-7224C49458BB}">
                  <c15:layout/>
                </c:ext>
              </c:extLst>
            </c:dLbl>
            <c:dLbl>
              <c:idx val="7"/>
              <c:layout>
                <c:manualLayout>
                  <c:x val="3.9100684261974585E-3"/>
                  <c:y val="-0.12515042117930206"/>
                </c:manualLayout>
              </c:layout>
              <c:dLblPos val="b"/>
              <c:showVal val="1"/>
              <c:extLst>
                <c:ext xmlns:c15="http://schemas.microsoft.com/office/drawing/2012/chart" uri="{CE6537A1-D6FC-4f65-9D91-7224C49458BB}"/>
              </c:extLst>
            </c:dLbl>
            <c:dLbl>
              <c:idx val="8"/>
              <c:layout>
                <c:manualLayout>
                  <c:x val="-1.9550342130987301E-3"/>
                  <c:y val="-0.11552346570397112"/>
                </c:manualLayout>
              </c:layout>
              <c:dLblPos val="b"/>
              <c:showVal val="1"/>
              <c:extLst>
                <c:ext xmlns:c15="http://schemas.microsoft.com/office/drawing/2012/chart" uri="{CE6537A1-D6FC-4f65-9D91-7224C49458BB}"/>
              </c:extLst>
            </c:dLbl>
            <c:dLbl>
              <c:idx val="9"/>
              <c:layout>
                <c:manualLayout>
                  <c:x val="3.9100684261974585E-3"/>
                  <c:y val="-0.12515042117930206"/>
                </c:manualLayout>
              </c:layout>
              <c:dLblPos val="b"/>
              <c:showVal val="1"/>
              <c:extLst>
                <c:ext xmlns:c15="http://schemas.microsoft.com/office/drawing/2012/chart" uri="{CE6537A1-D6FC-4f65-9D91-7224C49458BB}"/>
              </c:extLst>
            </c:dLbl>
            <c:dLbl>
              <c:idx val="10"/>
              <c:layout>
                <c:manualLayout>
                  <c:x val="0"/>
                  <c:y val="-0.12033694344163817"/>
                </c:manualLayout>
              </c:layout>
              <c:dLblPos val="b"/>
              <c:showVal val="1"/>
              <c:extLst>
                <c:ext xmlns:c15="http://schemas.microsoft.com/office/drawing/2012/chart" uri="{CE6537A1-D6FC-4f65-9D91-7224C49458BB}"/>
              </c:extLst>
            </c:dLbl>
            <c:dLbl>
              <c:idx val="11"/>
              <c:layout>
                <c:manualLayout>
                  <c:x val="3.9100684261974585E-3"/>
                  <c:y val="-0.12996389891696791"/>
                </c:manualLayout>
              </c:layout>
              <c:dLblPos val="b"/>
              <c:showVal val="1"/>
              <c:extLst>
                <c:ext xmlns:c15="http://schemas.microsoft.com/office/drawing/2012/chart" uri="{CE6537A1-D6FC-4f65-9D91-7224C49458BB}"/>
              </c:extLst>
            </c:dLbl>
            <c:dLbl>
              <c:idx val="12"/>
              <c:layout>
                <c:manualLayout>
                  <c:x val="0"/>
                  <c:y val="-0.12515042117930206"/>
                </c:manualLayout>
              </c:layout>
              <c:dLblPos val="b"/>
              <c:showVal val="1"/>
              <c:extLst>
                <c:ext xmlns:c15="http://schemas.microsoft.com/office/drawing/2012/chart" uri="{CE6537A1-D6FC-4f65-9D91-7224C49458BB}"/>
              </c:extLst>
            </c:dLbl>
            <c:spPr>
              <a:noFill/>
              <a:ln>
                <a:noFill/>
              </a:ln>
              <a:effectLst/>
            </c:spPr>
            <c:txPr>
              <a:bodyPr/>
              <a:lstStyle/>
              <a:p>
                <a:pPr>
                  <a:defRPr sz="950"/>
                </a:pPr>
                <a:endParaRPr lang="ru-RU"/>
              </a:p>
            </c:txPr>
            <c:dLblPos val="b"/>
            <c:showVal val="1"/>
            <c:extLst>
              <c:ext xmlns:c15="http://schemas.microsoft.com/office/drawing/2012/chart" uri="{CE6537A1-D6FC-4f65-9D91-7224C49458BB}">
                <c15:showLeaderLines val="0"/>
              </c:ext>
            </c:extLst>
          </c:dLbls>
          <c:cat>
            <c:numRef>
              <c:f>Лист1!$A$2:$A$8</c:f>
              <c:numCache>
                <c:formatCode>dd/mm/yyyy</c:formatCode>
                <c:ptCount val="7"/>
                <c:pt idx="0">
                  <c:v>42736</c:v>
                </c:pt>
                <c:pt idx="1">
                  <c:v>42767</c:v>
                </c:pt>
                <c:pt idx="2">
                  <c:v>42795</c:v>
                </c:pt>
                <c:pt idx="3">
                  <c:v>42826</c:v>
                </c:pt>
                <c:pt idx="4">
                  <c:v>42856</c:v>
                </c:pt>
                <c:pt idx="5">
                  <c:v>42887</c:v>
                </c:pt>
                <c:pt idx="6">
                  <c:v>42917</c:v>
                </c:pt>
              </c:numCache>
            </c:numRef>
          </c:cat>
          <c:val>
            <c:numRef>
              <c:f>Лист1!$C$2:$C$8</c:f>
              <c:numCache>
                <c:formatCode>General</c:formatCode>
                <c:ptCount val="7"/>
                <c:pt idx="0">
                  <c:v>166</c:v>
                </c:pt>
                <c:pt idx="1">
                  <c:v>224</c:v>
                </c:pt>
                <c:pt idx="2">
                  <c:v>354</c:v>
                </c:pt>
                <c:pt idx="3">
                  <c:v>553</c:v>
                </c:pt>
                <c:pt idx="4">
                  <c:v>900</c:v>
                </c:pt>
                <c:pt idx="5">
                  <c:v>1442</c:v>
                </c:pt>
                <c:pt idx="6">
                  <c:v>1876</c:v>
                </c:pt>
              </c:numCache>
            </c:numRef>
          </c:val>
        </c:ser>
        <c:marker val="1"/>
        <c:axId val="107113088"/>
        <c:axId val="107131264"/>
      </c:lineChart>
      <c:dateAx>
        <c:axId val="107113088"/>
        <c:scaling>
          <c:orientation val="minMax"/>
        </c:scaling>
        <c:axPos val="b"/>
        <c:numFmt formatCode="dd/mm/yyyy" sourceLinked="1"/>
        <c:tickLblPos val="nextTo"/>
        <c:txPr>
          <a:bodyPr/>
          <a:lstStyle/>
          <a:p>
            <a:pPr>
              <a:defRPr sz="950"/>
            </a:pPr>
            <a:endParaRPr lang="ru-RU"/>
          </a:p>
        </c:txPr>
        <c:crossAx val="107131264"/>
        <c:crosses val="autoZero"/>
        <c:auto val="1"/>
        <c:lblOffset val="100"/>
        <c:baseTimeUnit val="months"/>
      </c:dateAx>
      <c:valAx>
        <c:axId val="107131264"/>
        <c:scaling>
          <c:orientation val="minMax"/>
        </c:scaling>
        <c:delete val="1"/>
        <c:axPos val="l"/>
        <c:numFmt formatCode="General" sourceLinked="1"/>
        <c:tickLblPos val="nextTo"/>
        <c:crossAx val="107113088"/>
        <c:crosses val="autoZero"/>
        <c:crossBetween val="between"/>
      </c:valAx>
    </c:plotArea>
    <c:legend>
      <c:legendPos val="b"/>
      <c:layout>
        <c:manualLayout>
          <c:xMode val="edge"/>
          <c:yMode val="edge"/>
          <c:x val="3.3711563180702134E-2"/>
          <c:y val="0.79624169722467408"/>
          <c:w val="0.92424066783320002"/>
          <c:h val="0.17969091408700291"/>
        </c:manualLayout>
      </c:layout>
      <c:txPr>
        <a:bodyPr/>
        <a:lstStyle/>
        <a:p>
          <a:pPr>
            <a:defRPr sz="105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sz="1200"/>
            </a:pPr>
            <a:r>
              <a:rPr lang="ru-RU" sz="1050"/>
              <a:t>Динамика доходов консолидированного бюджета, млн руб. </a:t>
            </a:r>
          </a:p>
        </c:rich>
      </c:tx>
      <c:layout>
        <c:manualLayout>
          <c:xMode val="edge"/>
          <c:yMode val="edge"/>
          <c:x val="0.26714890929090446"/>
          <c:y val="0"/>
        </c:manualLayout>
      </c:layout>
      <c:spPr>
        <a:noFill/>
      </c:spPr>
    </c:title>
    <c:view3D>
      <c:rotX val="0"/>
      <c:rotY val="0"/>
      <c:perspective val="30"/>
    </c:view3D>
    <c:plotArea>
      <c:layout>
        <c:manualLayout>
          <c:layoutTarget val="inner"/>
          <c:xMode val="edge"/>
          <c:yMode val="edge"/>
          <c:x val="0.23784798684396902"/>
          <c:y val="0.22294911052785163"/>
          <c:w val="0.76215199344426265"/>
          <c:h val="0.45194868498581536"/>
        </c:manualLayout>
      </c:layout>
      <c:bar3DChart>
        <c:barDir val="col"/>
        <c:grouping val="stacked"/>
        <c:ser>
          <c:idx val="0"/>
          <c:order val="0"/>
          <c:tx>
            <c:strRef>
              <c:f>Лист1!$B$1</c:f>
              <c:strCache>
                <c:ptCount val="1"/>
                <c:pt idx="0">
                  <c:v>Республиканский бюджет</c:v>
                </c:pt>
              </c:strCache>
            </c:strRef>
          </c:tx>
          <c:spPr>
            <a:gradFill>
              <a:gsLst>
                <a:gs pos="0">
                  <a:srgbClr val="03D4A8"/>
                </a:gs>
                <a:gs pos="25000">
                  <a:srgbClr val="21D6E0"/>
                </a:gs>
                <a:gs pos="75000">
                  <a:srgbClr val="0087E6"/>
                </a:gs>
                <a:gs pos="100000">
                  <a:srgbClr val="005CBF"/>
                </a:gs>
              </a:gsLst>
              <a:lin ang="5400000" scaled="0"/>
            </a:gradFill>
          </c:spPr>
          <c:dLbls>
            <c:dLbl>
              <c:idx val="0"/>
              <c:layout>
                <c:manualLayout>
                  <c:x val="1.6597510373443983E-2"/>
                  <c:y val="0"/>
                </c:manualLayout>
              </c:layout>
              <c:tx>
                <c:rich>
                  <a:bodyPr/>
                  <a:lstStyle/>
                  <a:p>
                    <a:r>
                      <a:rPr lang="en-US" b="1"/>
                      <a:t>67,1%</a:t>
                    </a:r>
                  </a:p>
                </c:rich>
              </c:tx>
              <c:showVal val="1"/>
              <c:extLst>
                <c:ext xmlns:c15="http://schemas.microsoft.com/office/drawing/2012/chart" uri="{CE6537A1-D6FC-4f65-9D91-7224C49458BB}">
                  <c15:layout/>
                </c:ext>
              </c:extLst>
            </c:dLbl>
            <c:dLbl>
              <c:idx val="1"/>
              <c:tx>
                <c:rich>
                  <a:bodyPr/>
                  <a:lstStyle/>
                  <a:p>
                    <a:r>
                      <a:rPr lang="en-US" b="1"/>
                      <a:t>69,2%</a:t>
                    </a:r>
                  </a:p>
                </c:rich>
              </c:tx>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Лист1!$B$2:$B$3</c:f>
              <c:numCache>
                <c:formatCode>#,##0.00</c:formatCode>
                <c:ptCount val="2"/>
                <c:pt idx="0">
                  <c:v>69.2</c:v>
                </c:pt>
                <c:pt idx="1">
                  <c:v>67.099999999999994</c:v>
                </c:pt>
              </c:numCache>
            </c:numRef>
          </c:val>
        </c:ser>
        <c:ser>
          <c:idx val="1"/>
          <c:order val="1"/>
          <c:tx>
            <c:strRef>
              <c:f>Лист1!$C$1</c:f>
              <c:strCache>
                <c:ptCount val="1"/>
                <c:pt idx="0">
                  <c:v>Местный бюджет</c:v>
                </c:pt>
              </c:strCache>
            </c:strRef>
          </c:tx>
          <c:spPr>
            <a:solidFill>
              <a:schemeClr val="accent3">
                <a:lumMod val="40000"/>
                <a:lumOff val="60000"/>
              </a:schemeClr>
            </a:solidFill>
          </c:spPr>
          <c:dLbls>
            <c:dLbl>
              <c:idx val="0"/>
              <c:layout>
                <c:manualLayout>
                  <c:x val="1.6597510373443983E-2"/>
                  <c:y val="0"/>
                </c:manualLayout>
              </c:layout>
              <c:tx>
                <c:rich>
                  <a:bodyPr/>
                  <a:lstStyle/>
                  <a:p>
                    <a:r>
                      <a:rPr lang="en-US" b="1"/>
                      <a:t>32,9%</a:t>
                    </a:r>
                  </a:p>
                </c:rich>
              </c:tx>
              <c:showVal val="1"/>
              <c:extLst>
                <c:ext xmlns:c15="http://schemas.microsoft.com/office/drawing/2012/chart" uri="{CE6537A1-D6FC-4f65-9D91-7224C49458BB}">
                  <c15:layout/>
                </c:ext>
              </c:extLst>
            </c:dLbl>
            <c:dLbl>
              <c:idx val="1"/>
              <c:tx>
                <c:rich>
                  <a:bodyPr/>
                  <a:lstStyle/>
                  <a:p>
                    <a:r>
                      <a:rPr lang="en-US" b="1"/>
                      <a:t>30,8%</a:t>
                    </a:r>
                  </a:p>
                </c:rich>
              </c:tx>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Лист1!$C$2:$C$3</c:f>
              <c:numCache>
                <c:formatCode>#,##0.00</c:formatCode>
                <c:ptCount val="2"/>
                <c:pt idx="0">
                  <c:v>30.8</c:v>
                </c:pt>
                <c:pt idx="1">
                  <c:v>32.9</c:v>
                </c:pt>
              </c:numCache>
            </c:numRef>
          </c:val>
        </c:ser>
        <c:shape val="cylinder"/>
        <c:axId val="107202432"/>
        <c:axId val="107203968"/>
        <c:axId val="0"/>
      </c:bar3DChart>
      <c:catAx>
        <c:axId val="107202432"/>
        <c:scaling>
          <c:orientation val="minMax"/>
        </c:scaling>
        <c:axPos val="b"/>
        <c:numFmt formatCode="General" sourceLinked="0"/>
        <c:tickLblPos val="nextTo"/>
        <c:txPr>
          <a:bodyPr/>
          <a:lstStyle/>
          <a:p>
            <a:pPr>
              <a:defRPr sz="1000" b="1"/>
            </a:pPr>
            <a:endParaRPr lang="ru-RU"/>
          </a:p>
        </c:txPr>
        <c:crossAx val="107203968"/>
        <c:crosses val="autoZero"/>
        <c:auto val="1"/>
        <c:lblAlgn val="ctr"/>
        <c:lblOffset val="100"/>
      </c:catAx>
      <c:valAx>
        <c:axId val="107203968"/>
        <c:scaling>
          <c:orientation val="minMax"/>
          <c:max val="100"/>
          <c:min val="0"/>
        </c:scaling>
        <c:axPos val="l"/>
        <c:numFmt formatCode="#,##0.00" sourceLinked="1"/>
        <c:tickLblPos val="nextTo"/>
        <c:txPr>
          <a:bodyPr/>
          <a:lstStyle/>
          <a:p>
            <a:pPr>
              <a:defRPr sz="1000" b="1"/>
            </a:pPr>
            <a:endParaRPr lang="ru-RU"/>
          </a:p>
        </c:txPr>
        <c:crossAx val="107202432"/>
        <c:crosses val="autoZero"/>
        <c:crossBetween val="between"/>
        <c:majorUnit val="20"/>
      </c:valAx>
    </c:plotArea>
    <c:legend>
      <c:legendPos val="b"/>
      <c:layout>
        <c:manualLayout>
          <c:xMode val="edge"/>
          <c:yMode val="edge"/>
          <c:x val="2.9390226636608178E-2"/>
          <c:y val="0.84182378244386402"/>
          <c:w val="0.8450733492338357"/>
          <c:h val="0.15817621755613942"/>
        </c:manualLayout>
      </c:layout>
      <c:txPr>
        <a:bodyPr/>
        <a:lstStyle/>
        <a:p>
          <a:pPr>
            <a:defRPr sz="11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Динамика поступлений в доходную часть Консолидированного бюджета (%) </a:t>
            </a:r>
            <a:endParaRPr lang="ru-RU" sz="1100">
              <a:solidFill>
                <a:srgbClr val="FF0000"/>
              </a:solidFill>
              <a:latin typeface="Times New Roman" pitchFamily="18" charset="0"/>
              <a:cs typeface="Times New Roman" pitchFamily="18" charset="0"/>
            </a:endParaRPr>
          </a:p>
        </c:rich>
      </c:tx>
      <c:layout>
        <c:manualLayout>
          <c:xMode val="edge"/>
          <c:yMode val="edge"/>
          <c:x val="0.13278094381848679"/>
          <c:y val="0"/>
        </c:manualLayout>
      </c:layout>
      <c:spPr>
        <a:solidFill>
          <a:schemeClr val="bg1"/>
        </a:solidFill>
      </c:spPr>
    </c:title>
    <c:plotArea>
      <c:layout>
        <c:manualLayout>
          <c:layoutTarget val="inner"/>
          <c:xMode val="edge"/>
          <c:yMode val="edge"/>
          <c:x val="7.4905913003968483E-2"/>
          <c:y val="0.11904603620049224"/>
          <c:w val="0.57293281784507721"/>
          <c:h val="0.75598579589316062"/>
        </c:manualLayout>
      </c:layout>
      <c:barChart>
        <c:barDir val="col"/>
        <c:grouping val="stacked"/>
        <c:ser>
          <c:idx val="0"/>
          <c:order val="0"/>
          <c:tx>
            <c:strRef>
              <c:f>Лист1!$B$1</c:f>
              <c:strCache>
                <c:ptCount val="1"/>
                <c:pt idx="0">
                  <c:v>Налоговые доходы</c:v>
                </c:pt>
              </c:strCache>
            </c:strRef>
          </c:tx>
          <c:spPr>
            <a:solidFill>
              <a:schemeClr val="accent5">
                <a:lumMod val="75000"/>
              </a:schemeClr>
            </a:solidFill>
          </c:spPr>
          <c:dLbls>
            <c:dLbl>
              <c:idx val="0"/>
              <c:layout>
                <c:manualLayout>
                  <c:x val="-9.6118299445471372E-2"/>
                  <c:y val="-5.4200542005420054E-3"/>
                </c:manualLayout>
              </c:layout>
              <c:showVal val="1"/>
              <c:extLst>
                <c:ext xmlns:c15="http://schemas.microsoft.com/office/drawing/2012/chart" uri="{CE6537A1-D6FC-4f65-9D91-7224C49458BB}">
                  <c15:layout/>
                </c:ext>
              </c:extLst>
            </c:dLbl>
            <c:dLbl>
              <c:idx val="1"/>
              <c:layout>
                <c:manualLayout>
                  <c:x val="-0.10351201478743063"/>
                  <c:y val="0"/>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Лист1!$B$2:$B$3</c:f>
              <c:numCache>
                <c:formatCode>General</c:formatCode>
                <c:ptCount val="2"/>
                <c:pt idx="0">
                  <c:v>65.400000000000006</c:v>
                </c:pt>
                <c:pt idx="1">
                  <c:v>65.5</c:v>
                </c:pt>
              </c:numCache>
            </c:numRef>
          </c:val>
        </c:ser>
        <c:ser>
          <c:idx val="1"/>
          <c:order val="1"/>
          <c:tx>
            <c:strRef>
              <c:f>Лист1!$C$1</c:f>
              <c:strCache>
                <c:ptCount val="1"/>
                <c:pt idx="0">
                  <c:v>Неналоговые доходы</c:v>
                </c:pt>
              </c:strCache>
            </c:strRef>
          </c:tx>
          <c:spPr>
            <a:solidFill>
              <a:srgbClr val="FFFF00"/>
            </a:solidFill>
          </c:spPr>
          <c:dLbls>
            <c:dLbl>
              <c:idx val="0"/>
              <c:layout>
                <c:manualLayout>
                  <c:x val="8.8724584103513568E-2"/>
                  <c:y val="5.4200542005420054E-3"/>
                </c:manualLayout>
              </c:layout>
              <c:showVal val="1"/>
              <c:extLst>
                <c:ext xmlns:c15="http://schemas.microsoft.com/office/drawing/2012/chart" uri="{CE6537A1-D6FC-4f65-9D91-7224C49458BB}">
                  <c15:layout/>
                </c:ext>
              </c:extLst>
            </c:dLbl>
            <c:dLbl>
              <c:idx val="1"/>
              <c:layout>
                <c:manualLayout>
                  <c:x val="9.118915588416511E-2"/>
                  <c:y val="0"/>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Лист1!$C$2:$C$3</c:f>
              <c:numCache>
                <c:formatCode>0.0</c:formatCode>
                <c:ptCount val="2"/>
                <c:pt idx="0">
                  <c:v>2.4</c:v>
                </c:pt>
                <c:pt idx="1">
                  <c:v>16.600000000000001</c:v>
                </c:pt>
              </c:numCache>
            </c:numRef>
          </c:val>
        </c:ser>
        <c:ser>
          <c:idx val="2"/>
          <c:order val="2"/>
          <c:tx>
            <c:strRef>
              <c:f>Лист1!$D$1</c:f>
              <c:strCache>
                <c:ptCount val="1"/>
                <c:pt idx="0">
                  <c:v>Доходы целевых бюджетных фондов</c:v>
                </c:pt>
              </c:strCache>
            </c:strRef>
          </c:tx>
          <c:spPr>
            <a:solidFill>
              <a:schemeClr val="accent6">
                <a:lumMod val="50000"/>
              </a:schemeClr>
            </a:solidFill>
          </c:spPr>
          <c:dLbls>
            <c:dLbl>
              <c:idx val="0"/>
              <c:layout>
                <c:manualLayout>
                  <c:x val="-9.118915588416511E-2"/>
                  <c:y val="0"/>
                </c:manualLayout>
              </c:layout>
              <c:showVal val="1"/>
              <c:extLst>
                <c:ext xmlns:c15="http://schemas.microsoft.com/office/drawing/2012/chart" uri="{CE6537A1-D6FC-4f65-9D91-7224C49458BB}">
                  <c15:layout/>
                </c:ext>
              </c:extLst>
            </c:dLbl>
            <c:dLbl>
              <c:idx val="1"/>
              <c:layout>
                <c:manualLayout>
                  <c:x val="-9.6118299445471331E-2"/>
                  <c:y val="0"/>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Лист1!$D$2:$D$3</c:f>
              <c:numCache>
                <c:formatCode>General</c:formatCode>
                <c:ptCount val="2"/>
                <c:pt idx="0">
                  <c:v>7.8</c:v>
                </c:pt>
                <c:pt idx="1">
                  <c:v>7.9</c:v>
                </c:pt>
              </c:numCache>
            </c:numRef>
          </c:val>
        </c:ser>
        <c:ser>
          <c:idx val="3"/>
          <c:order val="3"/>
          <c:tx>
            <c:strRef>
              <c:f>Лист1!$E$1</c:f>
              <c:strCache>
                <c:ptCount val="1"/>
                <c:pt idx="0">
                  <c:v>Доходы от предприн. и иной принос. доход деятельности</c:v>
                </c:pt>
              </c:strCache>
            </c:strRef>
          </c:tx>
          <c:spPr>
            <a:solidFill>
              <a:schemeClr val="accent2">
                <a:lumMod val="40000"/>
                <a:lumOff val="60000"/>
              </a:schemeClr>
            </a:solidFill>
          </c:spPr>
          <c:dLbls>
            <c:dLbl>
              <c:idx val="0"/>
              <c:layout>
                <c:manualLayout>
                  <c:x val="9.1747594050743661E-2"/>
                  <c:y val="5.420186113099499E-3"/>
                </c:manualLayout>
              </c:layout>
              <c:showVal val="1"/>
              <c:extLst>
                <c:ext xmlns:c15="http://schemas.microsoft.com/office/drawing/2012/chart" uri="{CE6537A1-D6FC-4f65-9D91-7224C49458BB}">
                  <c15:layout/>
                </c:ext>
              </c:extLst>
            </c:dLbl>
            <c:dLbl>
              <c:idx val="1"/>
              <c:layout>
                <c:manualLayout>
                  <c:x val="8.8724584103513568E-2"/>
                  <c:y val="-1.6260162601626063E-2"/>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Лист1!$E$2:$E$3</c:f>
              <c:numCache>
                <c:formatCode>General</c:formatCode>
                <c:ptCount val="2"/>
                <c:pt idx="0">
                  <c:v>9.8000000000000007</c:v>
                </c:pt>
                <c:pt idx="1">
                  <c:v>8.8000000000000007</c:v>
                </c:pt>
              </c:numCache>
            </c:numRef>
          </c:val>
        </c:ser>
        <c:ser>
          <c:idx val="4"/>
          <c:order val="4"/>
          <c:tx>
            <c:strRef>
              <c:f>Лист1!$F$1</c:f>
              <c:strCache>
                <c:ptCount val="1"/>
                <c:pt idx="0">
                  <c:v>Безвозмездные перечисления</c:v>
                </c:pt>
              </c:strCache>
            </c:strRef>
          </c:tx>
          <c:dLbls>
            <c:dLbl>
              <c:idx val="0"/>
              <c:layout>
                <c:manualLayout>
                  <c:x val="-9.119821348298314E-2"/>
                  <c:y val="-1.4015548436673553E-3"/>
                </c:manualLayout>
              </c:layout>
              <c:showVal val="1"/>
              <c:extLst>
                <c:ext xmlns:c15="http://schemas.microsoft.com/office/drawing/2012/chart" uri="{CE6537A1-D6FC-4f65-9D91-7224C49458BB}">
                  <c15:layout/>
                </c:ext>
              </c:extLst>
            </c:dLbl>
            <c:dLbl>
              <c:idx val="1"/>
              <c:layout>
                <c:manualLayout>
                  <c:x val="-8.3795440542210692E-2"/>
                  <c:y val="-3.2520325203252036E-2"/>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Лист1!$F$2:$F$3</c:f>
              <c:numCache>
                <c:formatCode>General</c:formatCode>
                <c:ptCount val="2"/>
                <c:pt idx="0">
                  <c:v>0.1</c:v>
                </c:pt>
                <c:pt idx="1">
                  <c:v>1.2</c:v>
                </c:pt>
              </c:numCache>
            </c:numRef>
          </c:val>
        </c:ser>
        <c:ser>
          <c:idx val="5"/>
          <c:order val="5"/>
          <c:tx>
            <c:strRef>
              <c:f>Лист1!$G$1</c:f>
              <c:strCache>
                <c:ptCount val="1"/>
                <c:pt idx="0">
                  <c:v>ССФ</c:v>
                </c:pt>
              </c:strCache>
            </c:strRef>
          </c:tx>
          <c:dLbls>
            <c:dLbl>
              <c:idx val="0"/>
              <c:layout>
                <c:manualLayout>
                  <c:x val="8.8397790055248698E-2"/>
                  <c:y val="-1.5209125475285214E-2"/>
                </c:manualLayout>
              </c:layou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1"/>
              <c:layout>
                <c:manualLayout>
                  <c:x val="9.3750000000000805E-2"/>
                  <c:y val="-2.4242424242424229E-2"/>
                </c:manualLayout>
              </c:layou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Лист1!$G$2:$G$3</c:f>
              <c:numCache>
                <c:formatCode>General</c:formatCode>
                <c:ptCount val="2"/>
                <c:pt idx="0">
                  <c:v>14.5</c:v>
                </c:pt>
              </c:numCache>
            </c:numRef>
          </c:val>
        </c:ser>
        <c:overlap val="100"/>
        <c:axId val="107555072"/>
        <c:axId val="107565056"/>
      </c:barChart>
      <c:catAx>
        <c:axId val="107555072"/>
        <c:scaling>
          <c:orientation val="minMax"/>
        </c:scaling>
        <c:axPos val="b"/>
        <c:numFmt formatCode="General" sourceLinked="0"/>
        <c:tickLblPos val="nextTo"/>
        <c:txPr>
          <a:bodyPr/>
          <a:lstStyle/>
          <a:p>
            <a:pPr>
              <a:defRPr b="1">
                <a:latin typeface="Times New Roman" pitchFamily="18" charset="0"/>
                <a:cs typeface="Times New Roman" pitchFamily="18" charset="0"/>
              </a:defRPr>
            </a:pPr>
            <a:endParaRPr lang="ru-RU"/>
          </a:p>
        </c:txPr>
        <c:crossAx val="107565056"/>
        <c:crosses val="autoZero"/>
        <c:auto val="1"/>
        <c:lblAlgn val="ctr"/>
        <c:lblOffset val="100"/>
      </c:catAx>
      <c:valAx>
        <c:axId val="107565056"/>
        <c:scaling>
          <c:orientation val="minMax"/>
          <c:max val="110"/>
          <c:min val="0"/>
        </c:scaling>
        <c:axPos val="l"/>
        <c:majorGridlines>
          <c:spPr>
            <a:ln>
              <a:noFill/>
            </a:ln>
          </c:spPr>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107555072"/>
        <c:crosses val="autoZero"/>
        <c:crossBetween val="between"/>
      </c:valAx>
    </c:plotArea>
    <c:legend>
      <c:legendPos val="b"/>
      <c:layout>
        <c:manualLayout>
          <c:xMode val="edge"/>
          <c:yMode val="edge"/>
          <c:x val="0.63597298956414983"/>
          <c:y val="0.15612945720188021"/>
          <c:w val="0.36063050129783752"/>
          <c:h val="0.81381475604522824"/>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8.4032421479230027E-2"/>
          <c:y val="2.5247971454548612E-2"/>
          <c:w val="0.59981762917933057"/>
          <c:h val="0.8026945412311266"/>
        </c:manualLayout>
      </c:layout>
      <c:barChart>
        <c:barDir val="col"/>
        <c:grouping val="clustered"/>
        <c:ser>
          <c:idx val="0"/>
          <c:order val="0"/>
          <c:tx>
            <c:strRef>
              <c:f>Лист1!$B$1</c:f>
              <c:strCache>
                <c:ptCount val="1"/>
                <c:pt idx="0">
                  <c:v>Налог на доходы организаций по отрасли( подотрасли, виду деятельности)</c:v>
                </c:pt>
              </c:strCache>
            </c:strRef>
          </c:tx>
          <c:dLbls>
            <c:dLbl>
              <c:idx val="0"/>
              <c:layout>
                <c:manualLayout>
                  <c:x val="0.17708094998763454"/>
                  <c:y val="0.46088072324293028"/>
                </c:manualLayout>
              </c:layout>
              <c:tx>
                <c:rich>
                  <a:bodyPr/>
                  <a:lstStyle/>
                  <a:p>
                    <a:r>
                      <a:rPr lang="en-US" sz="800" b="1"/>
                      <a:t>88,2%*</a:t>
                    </a:r>
                  </a:p>
                </c:rich>
              </c:tx>
              <c:showVal val="1"/>
              <c:extLst>
                <c:ext xmlns:c15="http://schemas.microsoft.com/office/drawing/2012/chart" uri="{CE6537A1-D6FC-4f65-9D91-7224C49458BB}">
                  <c15:layout/>
                </c:ext>
              </c:extLst>
            </c:dLbl>
            <c:dLbl>
              <c:idx val="1"/>
              <c:layout>
                <c:manualLayout>
                  <c:x val="0.18237066111416925"/>
                  <c:y val="0.4671459694989108"/>
                </c:manualLayout>
              </c:layout>
              <c:tx>
                <c:rich>
                  <a:bodyPr/>
                  <a:lstStyle/>
                  <a:p>
                    <a:r>
                      <a:rPr lang="en-US" sz="800" b="1"/>
                      <a:t>101,8%*</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Лист1!$B$2:$B$3</c:f>
              <c:numCache>
                <c:formatCode>0.0</c:formatCode>
                <c:ptCount val="2"/>
                <c:pt idx="0">
                  <c:v>320.7</c:v>
                </c:pt>
                <c:pt idx="1">
                  <c:v>324.60000000000002</c:v>
                </c:pt>
              </c:numCache>
            </c:numRef>
          </c:val>
        </c:ser>
        <c:ser>
          <c:idx val="1"/>
          <c:order val="1"/>
          <c:tx>
            <c:strRef>
              <c:f>Лист1!$C$1</c:f>
              <c:strCache>
                <c:ptCount val="1"/>
                <c:pt idx="0">
                  <c:v>Подоходный налог с физических лиц</c:v>
                </c:pt>
              </c:strCache>
            </c:strRef>
          </c:tx>
          <c:dLbls>
            <c:dLbl>
              <c:idx val="0"/>
              <c:layout>
                <c:manualLayout>
                  <c:x val="1.4184397163120564E-2"/>
                  <c:y val="1.7543101229993321E-2"/>
                </c:manualLayout>
              </c:layout>
              <c:tx>
                <c:rich>
                  <a:bodyPr/>
                  <a:lstStyle/>
                  <a:p>
                    <a:r>
                      <a:rPr lang="en-US" sz="800" b="1"/>
                      <a:t>102,2%*</a:t>
                    </a:r>
                  </a:p>
                </c:rich>
              </c:tx>
              <c:showVal val="1"/>
              <c:extLst>
                <c:ext xmlns:c15="http://schemas.microsoft.com/office/drawing/2012/chart" uri="{CE6537A1-D6FC-4f65-9D91-7224C49458BB}">
                  <c15:layout/>
                </c:ext>
              </c:extLst>
            </c:dLbl>
            <c:dLbl>
              <c:idx val="1"/>
              <c:layout>
                <c:manualLayout>
                  <c:x val="2.2289766970618092E-2"/>
                  <c:y val="-1.7309110870945053E-3"/>
                </c:manualLayout>
              </c:layout>
              <c:tx>
                <c:rich>
                  <a:bodyPr/>
                  <a:lstStyle/>
                  <a:p>
                    <a:r>
                      <a:rPr lang="en-US" sz="800" b="1"/>
                      <a:t>92,3%*</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Лист1!$C$2:$C$3</c:f>
              <c:numCache>
                <c:formatCode>General</c:formatCode>
                <c:ptCount val="2"/>
                <c:pt idx="0">
                  <c:v>171.5</c:v>
                </c:pt>
                <c:pt idx="1">
                  <c:v>158.19999999999999</c:v>
                </c:pt>
              </c:numCache>
            </c:numRef>
          </c:val>
        </c:ser>
        <c:ser>
          <c:idx val="2"/>
          <c:order val="2"/>
          <c:tx>
            <c:strRef>
              <c:f>Лист1!$D$1</c:f>
              <c:strCache>
                <c:ptCount val="1"/>
                <c:pt idx="0">
                  <c:v>Налоги на товары и услуги, лицензионные и регистрационные сборы</c:v>
                </c:pt>
              </c:strCache>
            </c:strRef>
          </c:tx>
          <c:dLbls>
            <c:dLbl>
              <c:idx val="0"/>
              <c:layout>
                <c:manualLayout>
                  <c:x val="1.4184237608596799E-2"/>
                  <c:y val="1.4746195941193625E-2"/>
                </c:manualLayout>
              </c:layout>
              <c:tx>
                <c:rich>
                  <a:bodyPr/>
                  <a:lstStyle/>
                  <a:p>
                    <a:r>
                      <a:rPr lang="en-US" sz="800" b="1"/>
                      <a:t>72,6%*</a:t>
                    </a:r>
                  </a:p>
                </c:rich>
              </c:tx>
              <c:showVal val="1"/>
              <c:extLst>
                <c:ext xmlns:c15="http://schemas.microsoft.com/office/drawing/2012/chart" uri="{CE6537A1-D6FC-4f65-9D91-7224C49458BB}">
                  <c15:layout/>
                </c:ext>
              </c:extLst>
            </c:dLbl>
            <c:dLbl>
              <c:idx val="1"/>
              <c:layout>
                <c:manualLayout>
                  <c:x val="1.6210739614994949E-2"/>
                  <c:y val="2.2446262844595416E-2"/>
                </c:manualLayout>
              </c:layout>
              <c:tx>
                <c:rich>
                  <a:bodyPr/>
                  <a:lstStyle/>
                  <a:p>
                    <a:r>
                      <a:rPr lang="en-US" sz="800" b="1"/>
                      <a:t>128,5%*</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Лист1!$D$2:$D$3</c:f>
              <c:numCache>
                <c:formatCode>0.0</c:formatCode>
                <c:ptCount val="2"/>
                <c:pt idx="0">
                  <c:v>46.2</c:v>
                </c:pt>
                <c:pt idx="1">
                  <c:v>59.4</c:v>
                </c:pt>
              </c:numCache>
            </c:numRef>
          </c:val>
        </c:ser>
        <c:ser>
          <c:idx val="3"/>
          <c:order val="3"/>
          <c:tx>
            <c:strRef>
              <c:f>Лист1!$E$1</c:f>
              <c:strCache>
                <c:ptCount val="1"/>
                <c:pt idx="0">
                  <c:v>Налог на игорную деятельность</c:v>
                </c:pt>
              </c:strCache>
            </c:strRef>
          </c:tx>
          <c:dLbls>
            <c:dLbl>
              <c:idx val="0"/>
              <c:layout>
                <c:manualLayout>
                  <c:x val="1.0131552704848064E-2"/>
                  <c:y val="1.4628171478565334E-2"/>
                </c:manualLayout>
              </c:layout>
              <c:tx>
                <c:rich>
                  <a:bodyPr/>
                  <a:lstStyle/>
                  <a:p>
                    <a:r>
                      <a:rPr lang="en-US" sz="800" b="1"/>
                      <a:t>94,6%*</a:t>
                    </a:r>
                  </a:p>
                </c:rich>
              </c:tx>
              <c:showVal val="1"/>
              <c:extLst>
                <c:ext xmlns:c15="http://schemas.microsoft.com/office/drawing/2012/chart" uri="{CE6537A1-D6FC-4f65-9D91-7224C49458BB}">
                  <c15:layout/>
                </c:ext>
              </c:extLst>
            </c:dLbl>
            <c:dLbl>
              <c:idx val="1"/>
              <c:layout>
                <c:manualLayout>
                  <c:x val="1.2158054711246199E-2"/>
                  <c:y val="2.2175561388159851E-2"/>
                </c:manualLayout>
              </c:layout>
              <c:tx>
                <c:rich>
                  <a:bodyPr/>
                  <a:lstStyle/>
                  <a:p>
                    <a:r>
                      <a:rPr lang="en-US" sz="800" b="1"/>
                      <a:t>70,7%*</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Лист1!$E$2:$E$3</c:f>
              <c:numCache>
                <c:formatCode>General</c:formatCode>
                <c:ptCount val="2"/>
                <c:pt idx="0">
                  <c:v>4.8</c:v>
                </c:pt>
                <c:pt idx="1">
                  <c:v>3.4</c:v>
                </c:pt>
              </c:numCache>
            </c:numRef>
          </c:val>
        </c:ser>
        <c:ser>
          <c:idx val="4"/>
          <c:order val="4"/>
          <c:tx>
            <c:strRef>
              <c:f>Лист1!$F$1</c:f>
              <c:strCache>
                <c:ptCount val="1"/>
                <c:pt idx="0">
                  <c:v>Платежи за пользование природными ресурсами</c:v>
                </c:pt>
              </c:strCache>
            </c:strRef>
          </c:tx>
          <c:dLbls>
            <c:dLbl>
              <c:idx val="0"/>
              <c:layout>
                <c:manualLayout>
                  <c:x val="4.0526849037487338E-3"/>
                  <c:y val="1.1629183606951142E-2"/>
                </c:manualLayout>
              </c:layout>
              <c:tx>
                <c:rich>
                  <a:bodyPr/>
                  <a:lstStyle/>
                  <a:p>
                    <a:r>
                      <a:rPr lang="en-US" sz="800" b="1"/>
                      <a:t>105,0%*</a:t>
                    </a:r>
                  </a:p>
                </c:rich>
              </c:tx>
              <c:showVal val="1"/>
              <c:extLst>
                <c:ext xmlns:c15="http://schemas.microsoft.com/office/drawing/2012/chart" uri="{CE6537A1-D6FC-4f65-9D91-7224C49458BB}">
                  <c15:layout/>
                </c:ext>
              </c:extLst>
            </c:dLbl>
            <c:dLbl>
              <c:idx val="1"/>
              <c:layout>
                <c:manualLayout>
                  <c:x val="6.0790273556231489E-3"/>
                  <c:y val="-1.0865455543547316E-2"/>
                </c:manualLayout>
              </c:layout>
              <c:tx>
                <c:rich>
                  <a:bodyPr/>
                  <a:lstStyle/>
                  <a:p>
                    <a:r>
                      <a:rPr lang="en-US" sz="800" b="1"/>
                      <a:t>184,4%*</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Лист1!$F$2:$F$3</c:f>
              <c:numCache>
                <c:formatCode>General</c:formatCode>
                <c:ptCount val="2"/>
                <c:pt idx="0">
                  <c:v>32.4</c:v>
                </c:pt>
                <c:pt idx="1">
                  <c:v>59.8</c:v>
                </c:pt>
              </c:numCache>
            </c:numRef>
          </c:val>
        </c:ser>
        <c:ser>
          <c:idx val="5"/>
          <c:order val="5"/>
          <c:tx>
            <c:strRef>
              <c:f>Лист1!$G$1</c:f>
              <c:strCache>
                <c:ptCount val="1"/>
                <c:pt idx="0">
                  <c:v>Налоги на внешнюю торговлю и внешнеэкономические операции</c:v>
                </c:pt>
              </c:strCache>
            </c:strRef>
          </c:tx>
          <c:dLbls>
            <c:dLbl>
              <c:idx val="0"/>
              <c:layout>
                <c:manualLayout>
                  <c:x val="-0.17426545086119699"/>
                  <c:y val="-0.45052064570360206"/>
                </c:manualLayout>
              </c:layout>
              <c:tx>
                <c:rich>
                  <a:bodyPr/>
                  <a:lstStyle/>
                  <a:p>
                    <a:r>
                      <a:rPr lang="en-US" sz="800" b="1"/>
                      <a:t>87,0%*</a:t>
                    </a:r>
                  </a:p>
                </c:rich>
              </c:tx>
              <c:showVal val="1"/>
              <c:extLst>
                <c:ext xmlns:c15="http://schemas.microsoft.com/office/drawing/2012/chart" uri="{CE6537A1-D6FC-4f65-9D91-7224C49458BB}">
                  <c15:layout/>
                </c:ext>
              </c:extLst>
            </c:dLbl>
            <c:dLbl>
              <c:idx val="1"/>
              <c:layout>
                <c:manualLayout>
                  <c:x val="-0.17831813576494501"/>
                  <c:y val="-0.4518549397011648"/>
                </c:manualLayout>
              </c:layout>
              <c:tx>
                <c:rich>
                  <a:bodyPr/>
                  <a:lstStyle/>
                  <a:p>
                    <a:r>
                      <a:rPr lang="en-US" sz="800" b="1"/>
                      <a:t>101,2%*</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Лист1!$G$2:$G$3</c:f>
              <c:numCache>
                <c:formatCode>General</c:formatCode>
                <c:ptCount val="2"/>
                <c:pt idx="0">
                  <c:v>120.5</c:v>
                </c:pt>
                <c:pt idx="1">
                  <c:v>122.6</c:v>
                </c:pt>
              </c:numCache>
            </c:numRef>
          </c:val>
        </c:ser>
        <c:ser>
          <c:idx val="6"/>
          <c:order val="6"/>
          <c:tx>
            <c:strRef>
              <c:f>Лист1!$H$1</c:f>
              <c:strCache>
                <c:ptCount val="1"/>
                <c:pt idx="0">
                  <c:v>Прочие налоги, пошлины и сборы</c:v>
                </c:pt>
              </c:strCache>
            </c:strRef>
          </c:tx>
          <c:dLbls>
            <c:dLbl>
              <c:idx val="0"/>
              <c:layout>
                <c:manualLayout>
                  <c:x val="1.2158054711246237E-2"/>
                  <c:y val="2.4434837802137482E-2"/>
                </c:manualLayout>
              </c:layout>
              <c:tx>
                <c:rich>
                  <a:bodyPr/>
                  <a:lstStyle/>
                  <a:p>
                    <a:r>
                      <a:rPr lang="en-US" sz="800" b="1"/>
                      <a:t>88,3%*</a:t>
                    </a:r>
                  </a:p>
                </c:rich>
              </c:tx>
              <c:showVal val="1"/>
              <c:extLst>
                <c:ext xmlns:c15="http://schemas.microsoft.com/office/drawing/2012/chart" uri="{CE6537A1-D6FC-4f65-9D91-7224C49458BB}">
                  <c15:layout/>
                </c:ext>
              </c:extLst>
            </c:dLbl>
            <c:dLbl>
              <c:idx val="1"/>
              <c:layout>
                <c:manualLayout>
                  <c:x val="1.0131712259371834E-2"/>
                  <c:y val="1.3012540099154203E-2"/>
                </c:manualLayout>
              </c:layout>
              <c:tx>
                <c:rich>
                  <a:bodyPr/>
                  <a:lstStyle/>
                  <a:p>
                    <a:r>
                      <a:rPr lang="en-US" sz="800" b="1"/>
                      <a:t>94,1%*</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Лист1!$H$2:$H$3</c:f>
              <c:numCache>
                <c:formatCode>0.0</c:formatCode>
                <c:ptCount val="2"/>
                <c:pt idx="0" formatCode="General">
                  <c:v>42.5</c:v>
                </c:pt>
                <c:pt idx="1">
                  <c:v>40</c:v>
                </c:pt>
              </c:numCache>
            </c:numRef>
          </c:val>
        </c:ser>
        <c:axId val="107793408"/>
        <c:axId val="107696896"/>
      </c:barChart>
      <c:catAx>
        <c:axId val="107793408"/>
        <c:scaling>
          <c:orientation val="minMax"/>
        </c:scaling>
        <c:axPos val="b"/>
        <c:numFmt formatCode="General" sourceLinked="0"/>
        <c:tickLblPos val="nextTo"/>
        <c:txPr>
          <a:bodyPr/>
          <a:lstStyle/>
          <a:p>
            <a:pPr>
              <a:defRPr b="1"/>
            </a:pPr>
            <a:endParaRPr lang="ru-RU"/>
          </a:p>
        </c:txPr>
        <c:crossAx val="107696896"/>
        <c:crosses val="autoZero"/>
        <c:auto val="1"/>
        <c:lblAlgn val="ctr"/>
        <c:lblOffset val="100"/>
      </c:catAx>
      <c:valAx>
        <c:axId val="107696896"/>
        <c:scaling>
          <c:orientation val="minMax"/>
          <c:max val="350"/>
        </c:scaling>
        <c:axPos val="l"/>
        <c:numFmt formatCode="0.0" sourceLinked="1"/>
        <c:tickLblPos val="nextTo"/>
        <c:txPr>
          <a:bodyPr/>
          <a:lstStyle/>
          <a:p>
            <a:pPr>
              <a:defRPr b="1"/>
            </a:pPr>
            <a:endParaRPr lang="ru-RU"/>
          </a:p>
        </c:txPr>
        <c:crossAx val="107793408"/>
        <c:crosses val="autoZero"/>
        <c:crossBetween val="between"/>
        <c:majorUnit val="50"/>
      </c:valAx>
    </c:plotArea>
    <c:legend>
      <c:legendPos val="r"/>
      <c:layout>
        <c:manualLayout>
          <c:xMode val="edge"/>
          <c:yMode val="edge"/>
          <c:x val="0.67933130699088828"/>
          <c:y val="0"/>
          <c:w val="0.31772539070914302"/>
          <c:h val="0.92282958199356913"/>
        </c:manualLayout>
      </c:layout>
      <c:spPr>
        <a:solidFill>
          <a:schemeClr val="bg1"/>
        </a:solidFill>
      </c:sp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b="1" i="0" u="none" strike="noStrike" baseline="0"/>
              <a:t>1 полугодие </a:t>
            </a:r>
            <a:r>
              <a:rPr lang="ru-RU"/>
              <a:t>2016 года</a:t>
            </a:r>
          </a:p>
        </c:rich>
      </c:tx>
      <c:layout>
        <c:manualLayout>
          <c:xMode val="edge"/>
          <c:yMode val="edge"/>
          <c:x val="0.44587570621469275"/>
          <c:y val="0"/>
        </c:manualLayout>
      </c:layout>
      <c:spPr>
        <a:solidFill>
          <a:schemeClr val="bg1"/>
        </a:solidFill>
      </c:spPr>
    </c:title>
    <c:view3D>
      <c:rotX val="30"/>
      <c:perspective val="30"/>
    </c:view3D>
    <c:plotArea>
      <c:layout>
        <c:manualLayout>
          <c:layoutTarget val="inner"/>
          <c:xMode val="edge"/>
          <c:yMode val="edge"/>
          <c:x val="0.24286169313581571"/>
          <c:y val="4.8696040654492813E-4"/>
          <c:w val="0.42186609724632007"/>
          <c:h val="0.5818330332026882"/>
        </c:manualLayout>
      </c:layout>
      <c:pie3DChart>
        <c:varyColors val="1"/>
        <c:ser>
          <c:idx val="0"/>
          <c:order val="0"/>
          <c:tx>
            <c:strRef>
              <c:f>Лист1!$B$1</c:f>
              <c:strCache>
                <c:ptCount val="1"/>
                <c:pt idx="0">
                  <c:v>2016 год</c:v>
                </c:pt>
              </c:strCache>
            </c:strRef>
          </c:tx>
          <c:explosion val="25"/>
          <c:dPt>
            <c:idx val="0"/>
            <c:explosion val="13"/>
            <c:spPr>
              <a:blipFill>
                <a:blip xmlns:r="http://schemas.openxmlformats.org/officeDocument/2006/relationships" r:embed="rId2"/>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3"/>
                <a:tile tx="0" ty="0" sx="100000" sy="100000" flip="none" algn="tl"/>
              </a:blipFill>
            </c:spPr>
          </c:dPt>
          <c:dPt>
            <c:idx val="3"/>
            <c:explosion val="18"/>
            <c:spPr>
              <a:blipFill>
                <a:blip xmlns:r="http://schemas.openxmlformats.org/officeDocument/2006/relationships" r:embed="rId4"/>
                <a:tile tx="0" ty="0" sx="100000" sy="100000" flip="none" algn="tl"/>
              </a:blipFill>
            </c:spPr>
          </c:dPt>
          <c:dLbls>
            <c:dLbl>
              <c:idx val="0"/>
              <c:layout>
                <c:manualLayout>
                  <c:x val="1.0689087592864455E-2"/>
                  <c:y val="-6.0507070124087882E-2"/>
                </c:manualLayout>
              </c:layout>
              <c:showVal val="1"/>
              <c:extLst>
                <c:ext xmlns:c15="http://schemas.microsoft.com/office/drawing/2012/chart" uri="{CE6537A1-D6FC-4f65-9D91-7224C49458BB}">
                  <c15:layout/>
                </c:ext>
              </c:extLst>
            </c:dLbl>
            <c:dLbl>
              <c:idx val="1"/>
              <c:layout>
                <c:manualLayout>
                  <c:x val="5.4554384091819029E-2"/>
                  <c:y val="3.1138228140330626E-2"/>
                </c:manualLayout>
              </c:layout>
              <c:showVal val="1"/>
              <c:extLst>
                <c:ext xmlns:c15="http://schemas.microsoft.com/office/drawing/2012/chart" uri="{CE6537A1-D6FC-4f65-9D91-7224C49458BB}">
                  <c15:layout/>
                </c:ext>
              </c:extLst>
            </c:dLbl>
            <c:dLbl>
              <c:idx val="2"/>
              <c:layout>
                <c:manualLayout>
                  <c:x val="-7.4547800169046732E-2"/>
                  <c:y val="2.038904711379165E-2"/>
                </c:manualLayout>
              </c:layout>
              <c:showVal val="1"/>
              <c:extLst>
                <c:ext xmlns:c15="http://schemas.microsoft.com/office/drawing/2012/chart" uri="{CE6537A1-D6FC-4f65-9D91-7224C49458BB}">
                  <c15:layout/>
                </c:ext>
              </c:extLst>
            </c:dLbl>
            <c:dLbl>
              <c:idx val="3"/>
              <c:layout>
                <c:manualLayout>
                  <c:x val="3.0623994581323168E-2"/>
                  <c:y val="-7.6132169525320967E-2"/>
                </c:manualLayout>
              </c:layout>
              <c:showVal val="1"/>
              <c:extLst>
                <c:ext xmlns:c15="http://schemas.microsoft.com/office/drawing/2012/chart" uri="{CE6537A1-D6FC-4f65-9D91-7224C49458BB}">
                  <c15:layout/>
                </c:ext>
              </c:extLst>
            </c:dLbl>
            <c:dLbl>
              <c:idx val="4"/>
              <c:layout>
                <c:manualLayout>
                  <c:x val="7.6163463438037982E-2"/>
                  <c:y val="-3.369102118049197E-2"/>
                </c:manualLayout>
              </c:layout>
              <c:tx>
                <c:rich>
                  <a:bodyPr/>
                  <a:lstStyle/>
                  <a:p>
                    <a:r>
                      <a:rPr lang="en-US" sz="1050"/>
                      <a:t>0,0</a:t>
                    </a:r>
                    <a:r>
                      <a:rPr lang="ru-RU" sz="1050"/>
                      <a:t>06</a:t>
                    </a:r>
                    <a:endParaRPr lang="en-US" sz="1050"/>
                  </a:p>
                </c:rich>
              </c:tx>
              <c:showVal val="1"/>
              <c:extLst>
                <c:ext xmlns:c15="http://schemas.microsoft.com/office/drawing/2012/chart" uri="{CE6537A1-D6FC-4f65-9D91-7224C49458BB}"/>
              </c:extLst>
            </c:dLbl>
            <c:spPr>
              <a:noFill/>
              <a:ln>
                <a:noFill/>
              </a:ln>
              <a:effectLst/>
            </c:spPr>
            <c:txPr>
              <a:bodyPr/>
              <a:lstStyle/>
              <a:p>
                <a:pPr>
                  <a:defRPr sz="1050"/>
                </a:pPr>
                <a:endParaRPr lang="ru-RU"/>
              </a:p>
            </c:txPr>
            <c:showVal val="1"/>
            <c:showLeaderLines val="1"/>
            <c:extLst>
              <c:ext xmlns:c15="http://schemas.microsoft.com/office/drawing/2012/chart" uri="{CE6537A1-D6FC-4f65-9D91-7224C49458BB}"/>
            </c:extLst>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48.68</c:v>
                </c:pt>
                <c:pt idx="1">
                  <c:v>5.07</c:v>
                </c:pt>
                <c:pt idx="2">
                  <c:v>14.370000000000006</c:v>
                </c:pt>
                <c:pt idx="3" formatCode="0.00">
                  <c:v>31.7</c:v>
                </c:pt>
              </c:numCache>
            </c:numRef>
          </c:val>
        </c:ser>
      </c:pie3DChart>
    </c:plotArea>
    <c:legend>
      <c:legendPos val="b"/>
      <c:layout>
        <c:manualLayout>
          <c:xMode val="edge"/>
          <c:yMode val="edge"/>
          <c:x val="0"/>
          <c:y val="0.55474830220213722"/>
          <c:w val="0.8836473819150984"/>
          <c:h val="0.44525169779786594"/>
        </c:manualLayout>
      </c:layout>
      <c:txPr>
        <a:bodyPr/>
        <a:lstStyle/>
        <a:p>
          <a:pPr>
            <a:defRPr sz="800"/>
          </a:pPr>
          <a:endParaRPr lang="ru-RU"/>
        </a:p>
      </c:txPr>
    </c:legend>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5"/>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en-US"/>
              <a:t>I</a:t>
            </a:r>
            <a:r>
              <a:rPr lang="ru-RU"/>
              <a:t> полугодие 2017 года </a:t>
            </a:r>
          </a:p>
        </c:rich>
      </c:tx>
      <c:layout>
        <c:manualLayout>
          <c:xMode val="edge"/>
          <c:yMode val="edge"/>
          <c:x val="0.48560451977401276"/>
          <c:y val="0"/>
        </c:manualLayout>
      </c:layout>
      <c:spPr>
        <a:solidFill>
          <a:schemeClr val="bg1"/>
        </a:solidFill>
      </c:spPr>
    </c:title>
    <c:view3D>
      <c:rotX val="30"/>
      <c:perspective val="30"/>
    </c:view3D>
    <c:plotArea>
      <c:layout>
        <c:manualLayout>
          <c:layoutTarget val="inner"/>
          <c:xMode val="edge"/>
          <c:yMode val="edge"/>
          <c:x val="0.11178824680813212"/>
          <c:y val="4.2814857566887896E-2"/>
          <c:w val="0.46254406334801484"/>
          <c:h val="0.63564469239551968"/>
        </c:manualLayout>
      </c:layout>
      <c:pie3DChart>
        <c:varyColors val="1"/>
        <c:ser>
          <c:idx val="0"/>
          <c:order val="0"/>
          <c:tx>
            <c:strRef>
              <c:f>Лист1!$B$1</c:f>
              <c:strCache>
                <c:ptCount val="1"/>
                <c:pt idx="0">
                  <c:v>2017 год</c:v>
                </c:pt>
              </c:strCache>
            </c:strRef>
          </c:tx>
          <c:explosion val="25"/>
          <c:dPt>
            <c:idx val="0"/>
            <c:explosion val="13"/>
            <c:spPr>
              <a:blipFill>
                <a:blip xmlns:r="http://schemas.openxmlformats.org/officeDocument/2006/relationships" r:embed="rId2"/>
                <a:tile tx="0" ty="0" sx="100000" sy="100000" flip="none" algn="tl"/>
              </a:blipFill>
            </c:spPr>
          </c:dPt>
          <c:dPt>
            <c:idx val="1"/>
            <c:explosion val="20"/>
            <c:spPr>
              <a:solidFill>
                <a:srgbClr val="C00000"/>
              </a:solidFill>
            </c:spPr>
          </c:dPt>
          <c:dPt>
            <c:idx val="2"/>
            <c:explosion val="17"/>
            <c:spPr>
              <a:blipFill>
                <a:blip xmlns:r="http://schemas.openxmlformats.org/officeDocument/2006/relationships" r:embed="rId3"/>
                <a:tile tx="0" ty="0" sx="100000" sy="100000" flip="none" algn="tl"/>
              </a:blipFill>
            </c:spPr>
          </c:dPt>
          <c:dPt>
            <c:idx val="3"/>
            <c:explosion val="18"/>
            <c:spPr>
              <a:blipFill>
                <a:blip xmlns:r="http://schemas.openxmlformats.org/officeDocument/2006/relationships" r:embed="rId4"/>
                <a:tile tx="0" ty="0" sx="100000" sy="100000" flip="none" algn="tl"/>
              </a:blipFill>
            </c:spPr>
          </c:dPt>
          <c:dLbls>
            <c:dLbl>
              <c:idx val="0"/>
              <c:layout>
                <c:manualLayout>
                  <c:x val="0.17340059611192737"/>
                  <c:y val="-0.11483970262879444"/>
                </c:manualLayout>
              </c:layout>
              <c:showVal val="1"/>
              <c:extLst>
                <c:ext xmlns:c15="http://schemas.microsoft.com/office/drawing/2012/chart" uri="{CE6537A1-D6FC-4f65-9D91-7224C49458BB}">
                  <c15:layout/>
                </c:ext>
              </c:extLst>
            </c:dLbl>
            <c:dLbl>
              <c:idx val="1"/>
              <c:layout>
                <c:manualLayout>
                  <c:x val="-0.12623657636015817"/>
                  <c:y val="8.5738032745906828E-2"/>
                </c:manualLayout>
              </c:layout>
              <c:showVal val="1"/>
              <c:extLst>
                <c:ext xmlns:c15="http://schemas.microsoft.com/office/drawing/2012/chart" uri="{CE6537A1-D6FC-4f65-9D91-7224C49458BB}">
                  <c15:layout/>
                </c:ext>
              </c:extLst>
            </c:dLbl>
            <c:dLbl>
              <c:idx val="2"/>
              <c:layout>
                <c:manualLayout>
                  <c:x val="-1.579109390987141E-2"/>
                  <c:y val="-2.3284000494702559E-2"/>
                </c:manualLayout>
              </c:layout>
              <c:showVal val="1"/>
              <c:extLst>
                <c:ext xmlns:c15="http://schemas.microsoft.com/office/drawing/2012/chart" uri="{CE6537A1-D6FC-4f65-9D91-7224C49458BB}">
                  <c15:layout/>
                </c:ext>
              </c:extLst>
            </c:dLbl>
            <c:dLbl>
              <c:idx val="3"/>
              <c:layout>
                <c:manualLayout>
                  <c:x val="0.11198007028782424"/>
                  <c:y val="6.6119745503016311E-3"/>
                </c:manualLayout>
              </c:layout>
              <c:showVal val="1"/>
              <c:extLst>
                <c:ext xmlns:c15="http://schemas.microsoft.com/office/drawing/2012/chart" uri="{CE6537A1-D6FC-4f65-9D91-7224C49458BB}">
                  <c15:layout/>
                </c:ext>
              </c:extLst>
            </c:dLbl>
            <c:dLbl>
              <c:idx val="4"/>
              <c:layout>
                <c:manualLayout>
                  <c:x val="7.6163463438037982E-2"/>
                  <c:y val="-3.369102118049197E-2"/>
                </c:manualLayout>
              </c:layout>
              <c:tx>
                <c:rich>
                  <a:bodyPr/>
                  <a:lstStyle/>
                  <a:p>
                    <a:r>
                      <a:rPr lang="en-US" sz="1050"/>
                      <a:t>0,0</a:t>
                    </a:r>
                    <a:r>
                      <a:rPr lang="ru-RU" sz="1050"/>
                      <a:t>06</a:t>
                    </a:r>
                    <a:endParaRPr lang="en-US" sz="1050"/>
                  </a:p>
                </c:rich>
              </c:tx>
              <c:showVal val="1"/>
              <c:extLst>
                <c:ext xmlns:c15="http://schemas.microsoft.com/office/drawing/2012/chart" uri="{CE6537A1-D6FC-4f65-9D91-7224C49458BB}"/>
              </c:extLst>
            </c:dLbl>
            <c:spPr>
              <a:noFill/>
              <a:ln>
                <a:noFill/>
              </a:ln>
              <a:effectLst/>
            </c:spPr>
            <c:txPr>
              <a:bodyPr/>
              <a:lstStyle/>
              <a:p>
                <a:pPr>
                  <a:defRPr sz="1050"/>
                </a:pPr>
                <a:endParaRPr lang="ru-RU"/>
              </a:p>
            </c:txPr>
            <c:showVal val="1"/>
            <c:showLeaderLines val="1"/>
            <c:extLst>
              <c:ext xmlns:c15="http://schemas.microsoft.com/office/drawing/2012/chart" uri="{CE6537A1-D6FC-4f65-9D91-7224C49458BB}"/>
            </c:extLst>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93.460000000000022</c:v>
                </c:pt>
                <c:pt idx="1">
                  <c:v>1.53</c:v>
                </c:pt>
                <c:pt idx="2" formatCode="0.00">
                  <c:v>1.33</c:v>
                </c:pt>
                <c:pt idx="3">
                  <c:v>3.68</c:v>
                </c:pt>
              </c:numCache>
            </c:numRef>
          </c:val>
        </c:ser>
      </c:pie3DChart>
    </c:plotArea>
    <c:legend>
      <c:legendPos val="b"/>
      <c:layout>
        <c:manualLayout>
          <c:xMode val="edge"/>
          <c:yMode val="edge"/>
          <c:x val="0"/>
          <c:y val="0.56213106869494711"/>
          <c:w val="0.8836473819150984"/>
          <c:h val="0.43786871932488608"/>
        </c:manualLayout>
      </c:layout>
      <c:txPr>
        <a:bodyPr/>
        <a:lstStyle/>
        <a:p>
          <a:pPr>
            <a:defRPr sz="800"/>
          </a:pPr>
          <a:endParaRPr lang="ru-RU"/>
        </a:p>
      </c:txPr>
    </c:legend>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5"/>
</c:chartSpace>
</file>

<file path=word/charts/chart56.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sz="1100"/>
            </a:pPr>
            <a:r>
              <a:rPr lang="ru-RU" sz="1100"/>
              <a:t>Динамика расходов консолидированного бюджета за </a:t>
            </a:r>
            <a:r>
              <a:rPr lang="en-US" sz="1100"/>
              <a:t>I</a:t>
            </a:r>
            <a:r>
              <a:rPr lang="ru-RU" sz="1100"/>
              <a:t> полугодие 2016 - 2017 года, млн руб.</a:t>
            </a:r>
            <a:endParaRPr lang="ru-RU" sz="1100">
              <a:solidFill>
                <a:srgbClr val="FF0000"/>
              </a:solidFill>
            </a:endParaRPr>
          </a:p>
        </c:rich>
      </c:tx>
      <c:layout>
        <c:manualLayout>
          <c:xMode val="edge"/>
          <c:yMode val="edge"/>
          <c:x val="0.15053050186908454"/>
          <c:y val="2.4377259446342791E-2"/>
        </c:manualLayout>
      </c:layout>
      <c:spPr>
        <a:noFill/>
      </c:spPr>
    </c:title>
    <c:plotArea>
      <c:layout>
        <c:manualLayout>
          <c:layoutTarget val="inner"/>
          <c:xMode val="edge"/>
          <c:yMode val="edge"/>
          <c:x val="0.17724193566713503"/>
          <c:y val="0.26330560095082695"/>
          <c:w val="0.76215199344426265"/>
          <c:h val="0.48968454414896517"/>
        </c:manualLayout>
      </c:layout>
      <c:barChart>
        <c:barDir val="col"/>
        <c:grouping val="stacked"/>
        <c:ser>
          <c:idx val="0"/>
          <c:order val="0"/>
          <c:tx>
            <c:strRef>
              <c:f>Лист1!$B$1</c:f>
              <c:strCache>
                <c:ptCount val="1"/>
                <c:pt idx="0">
                  <c:v>Республиканский бюджет</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dLbls>
            <c:dLbl>
              <c:idx val="0"/>
              <c:tx>
                <c:rich>
                  <a:bodyPr/>
                  <a:lstStyle/>
                  <a:p>
                    <a:r>
                      <a:rPr lang="en-US" b="1"/>
                      <a:t>70,8%</a:t>
                    </a:r>
                  </a:p>
                </c:rich>
              </c:tx>
              <c:showVal val="1"/>
              <c:extLst>
                <c:ext xmlns:c15="http://schemas.microsoft.com/office/drawing/2012/chart" uri="{CE6537A1-D6FC-4f65-9D91-7224C49458BB}">
                  <c15:layout/>
                </c:ext>
              </c:extLst>
            </c:dLbl>
            <c:dLbl>
              <c:idx val="1"/>
              <c:tx>
                <c:rich>
                  <a:bodyPr/>
                  <a:lstStyle/>
                  <a:p>
                    <a:r>
                      <a:rPr lang="en-US" b="1"/>
                      <a:t>71,0%</a:t>
                    </a:r>
                  </a:p>
                </c:rich>
              </c:tx>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Лист1!$B$2:$B$3</c:f>
              <c:numCache>
                <c:formatCode>#,##0.0</c:formatCode>
                <c:ptCount val="2"/>
                <c:pt idx="0">
                  <c:v>70.8</c:v>
                </c:pt>
                <c:pt idx="1">
                  <c:v>71</c:v>
                </c:pt>
              </c:numCache>
            </c:numRef>
          </c:val>
        </c:ser>
        <c:ser>
          <c:idx val="1"/>
          <c:order val="1"/>
          <c:tx>
            <c:strRef>
              <c:f>Лист1!$C$1</c:f>
              <c:strCache>
                <c:ptCount val="1"/>
                <c:pt idx="0">
                  <c:v>Местный бюджет</c:v>
                </c:pt>
              </c:strCache>
            </c:strRef>
          </c:tx>
          <c:spPr>
            <a:gradFill>
              <a:gsLst>
                <a:gs pos="0">
                  <a:schemeClr val="accent6">
                    <a:lumMod val="60000"/>
                    <a:lumOff val="40000"/>
                  </a:schemeClr>
                </a:gs>
                <a:gs pos="53000">
                  <a:srgbClr val="D4DEFF"/>
                </a:gs>
                <a:gs pos="83000">
                  <a:srgbClr val="D4DEFF"/>
                </a:gs>
                <a:gs pos="100000">
                  <a:srgbClr val="96AB94"/>
                </a:gs>
              </a:gsLst>
              <a:lin ang="1800000" scaled="0"/>
            </a:gradFill>
          </c:spPr>
          <c:dLbls>
            <c:dLbl>
              <c:idx val="0"/>
              <c:tx>
                <c:rich>
                  <a:bodyPr/>
                  <a:lstStyle/>
                  <a:p>
                    <a:r>
                      <a:rPr lang="en-US" b="1"/>
                      <a:t>29,2%</a:t>
                    </a:r>
                  </a:p>
                </c:rich>
              </c:tx>
              <c:showVal val="1"/>
              <c:extLst>
                <c:ext xmlns:c15="http://schemas.microsoft.com/office/drawing/2012/chart" uri="{CE6537A1-D6FC-4f65-9D91-7224C49458BB}">
                  <c15:layout/>
                </c:ext>
              </c:extLst>
            </c:dLbl>
            <c:dLbl>
              <c:idx val="1"/>
              <c:layout>
                <c:manualLayout>
                  <c:x val="0"/>
                  <c:y val="-5.1480051480051478E-3"/>
                </c:manualLayout>
              </c:layout>
              <c:tx>
                <c:rich>
                  <a:bodyPr/>
                  <a:lstStyle/>
                  <a:p>
                    <a:r>
                      <a:rPr lang="en-US" b="1"/>
                      <a:t>29,0%</a:t>
                    </a:r>
                  </a:p>
                </c:rich>
              </c:tx>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Лист1!$A$2:$A$3</c:f>
              <c:strCache>
                <c:ptCount val="2"/>
                <c:pt idx="0">
                  <c:v>I полугодие 2016 года</c:v>
                </c:pt>
                <c:pt idx="1">
                  <c:v>I полугодие 2017 года</c:v>
                </c:pt>
              </c:strCache>
            </c:strRef>
          </c:cat>
          <c:val>
            <c:numRef>
              <c:f>Лист1!$C$2:$C$3</c:f>
              <c:numCache>
                <c:formatCode>#,##0.0</c:formatCode>
                <c:ptCount val="2"/>
                <c:pt idx="0">
                  <c:v>29.2</c:v>
                </c:pt>
                <c:pt idx="1">
                  <c:v>29</c:v>
                </c:pt>
              </c:numCache>
            </c:numRef>
          </c:val>
        </c:ser>
        <c:overlap val="100"/>
        <c:axId val="108140032"/>
        <c:axId val="108141568"/>
      </c:barChart>
      <c:catAx>
        <c:axId val="108140032"/>
        <c:scaling>
          <c:orientation val="minMax"/>
        </c:scaling>
        <c:axPos val="b"/>
        <c:numFmt formatCode="General" sourceLinked="0"/>
        <c:tickLblPos val="nextTo"/>
        <c:txPr>
          <a:bodyPr/>
          <a:lstStyle/>
          <a:p>
            <a:pPr>
              <a:defRPr sz="1000" b="1"/>
            </a:pPr>
            <a:endParaRPr lang="ru-RU"/>
          </a:p>
        </c:txPr>
        <c:crossAx val="108141568"/>
        <c:crosses val="autoZero"/>
        <c:auto val="1"/>
        <c:lblAlgn val="ctr"/>
        <c:lblOffset val="100"/>
      </c:catAx>
      <c:valAx>
        <c:axId val="108141568"/>
        <c:scaling>
          <c:orientation val="minMax"/>
          <c:max val="100"/>
          <c:min val="0"/>
        </c:scaling>
        <c:axPos val="l"/>
        <c:numFmt formatCode="#,##0.0" sourceLinked="1"/>
        <c:tickLblPos val="nextTo"/>
        <c:txPr>
          <a:bodyPr/>
          <a:lstStyle/>
          <a:p>
            <a:pPr>
              <a:defRPr sz="1000" b="1"/>
            </a:pPr>
            <a:endParaRPr lang="ru-RU"/>
          </a:p>
        </c:txPr>
        <c:crossAx val="108140032"/>
        <c:crosses val="autoZero"/>
        <c:crossBetween val="between"/>
        <c:majorUnit val="20"/>
      </c:valAx>
    </c:plotArea>
    <c:legend>
      <c:legendPos val="b"/>
      <c:layout>
        <c:manualLayout>
          <c:xMode val="edge"/>
          <c:yMode val="edge"/>
          <c:x val="6.402199725034452E-2"/>
          <c:y val="0.87423116921705546"/>
          <c:w val="0.93303050266127163"/>
          <c:h val="0.12412430319321872"/>
        </c:manualLayout>
      </c:layout>
      <c:txPr>
        <a:bodyPr/>
        <a:lstStyle/>
        <a:p>
          <a:pPr>
            <a:defRPr sz="11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l">
              <a:defRPr sz="1100"/>
            </a:pPr>
            <a:r>
              <a:rPr lang="en-US" sz="1100"/>
              <a:t>I</a:t>
            </a:r>
            <a:r>
              <a:rPr lang="ru-RU" sz="1100"/>
              <a:t> полугодие 2016</a:t>
            </a:r>
            <a:r>
              <a:rPr lang="ru-RU" sz="1100" baseline="0"/>
              <a:t> </a:t>
            </a:r>
            <a:r>
              <a:rPr lang="ru-RU" sz="1100"/>
              <a:t>года</a:t>
            </a:r>
          </a:p>
        </c:rich>
      </c:tx>
      <c:layout>
        <c:manualLayout>
          <c:xMode val="edge"/>
          <c:yMode val="edge"/>
          <c:x val="0.22782254159977575"/>
          <c:y val="5.6901892002836135E-3"/>
        </c:manualLayout>
      </c:layout>
      <c:spPr>
        <a:noFill/>
      </c:spPr>
    </c:title>
    <c:view3D>
      <c:rotX val="30"/>
      <c:perspective val="30"/>
    </c:view3D>
    <c:plotArea>
      <c:layout>
        <c:manualLayout>
          <c:layoutTarget val="inner"/>
          <c:xMode val="edge"/>
          <c:yMode val="edge"/>
          <c:x val="0.17598454039398922"/>
          <c:y val="7.864385372881022E-2"/>
          <c:w val="0.68741022756770787"/>
          <c:h val="0.88808833106388063"/>
        </c:manualLayout>
      </c:layout>
      <c:pie3DChart>
        <c:varyColors val="1"/>
        <c:ser>
          <c:idx val="0"/>
          <c:order val="0"/>
          <c:tx>
            <c:strRef>
              <c:f>Лист1!$B$1</c:f>
              <c:strCache>
                <c:ptCount val="1"/>
                <c:pt idx="0">
                  <c:v>16</c:v>
                </c:pt>
              </c:strCache>
            </c:strRef>
          </c:tx>
          <c:explosion val="28"/>
          <c:dPt>
            <c:idx val="0"/>
            <c:explosion val="6"/>
            <c:spPr>
              <a:blipFill>
                <a:blip xmlns:r="http://schemas.openxmlformats.org/officeDocument/2006/relationships" r:embed="rId2"/>
                <a:tile tx="0" ty="0" sx="100000" sy="100000" flip="none" algn="tl"/>
              </a:blipFill>
            </c:spPr>
          </c:dPt>
          <c:dPt>
            <c:idx val="1"/>
            <c:spPr>
              <a:blipFill>
                <a:blip xmlns:r="http://schemas.openxmlformats.org/officeDocument/2006/relationships" r:embed="rId3"/>
                <a:tile tx="0" ty="0" sx="100000" sy="100000" flip="none" algn="tl"/>
              </a:blipFill>
            </c:spPr>
          </c:dPt>
          <c:dPt>
            <c:idx val="2"/>
            <c:spPr>
              <a:blipFill>
                <a:blip xmlns:r="http://schemas.openxmlformats.org/officeDocument/2006/relationships" r:embed="rId4"/>
                <a:tile tx="0" ty="0" sx="100000" sy="100000" flip="none" algn="tl"/>
              </a:blipFill>
            </c:spPr>
          </c:dPt>
          <c:dPt>
            <c:idx val="3"/>
            <c:spPr>
              <a:blipFill>
                <a:blip xmlns:r="http://schemas.openxmlformats.org/officeDocument/2006/relationships" r:embed="rId5"/>
                <a:tile tx="0" ty="0" sx="100000" sy="100000" flip="none" algn="tl"/>
              </a:blipFill>
            </c:spPr>
          </c:dPt>
          <c:dPt>
            <c:idx val="4"/>
            <c:spPr>
              <a:blipFill>
                <a:blip xmlns:r="http://schemas.openxmlformats.org/officeDocument/2006/relationships" r:embed="rId6"/>
                <a:tile tx="0" ty="0" sx="100000" sy="100000" flip="none" algn="tl"/>
              </a:blipFill>
            </c:spPr>
          </c:dPt>
          <c:dPt>
            <c:idx val="5"/>
            <c:spPr>
              <a:solidFill>
                <a:schemeClr val="tx2">
                  <a:lumMod val="50000"/>
                </a:schemeClr>
              </a:solidFill>
            </c:spPr>
          </c:dPt>
          <c:dLbls>
            <c:dLbl>
              <c:idx val="0"/>
              <c:layout>
                <c:manualLayout>
                  <c:x val="-5.8007572062341813E-2"/>
                  <c:y val="-0.16191296529922741"/>
                </c:manualLayout>
              </c:layout>
              <c:showVal val="1"/>
              <c:extLst>
                <c:ext xmlns:c15="http://schemas.microsoft.com/office/drawing/2012/chart" uri="{CE6537A1-D6FC-4f65-9D91-7224C49458BB}">
                  <c15:layout/>
                </c:ext>
              </c:extLst>
            </c:dLbl>
            <c:dLbl>
              <c:idx val="1"/>
              <c:layout>
                <c:manualLayout>
                  <c:x val="-5.2764112450545533E-2"/>
                  <c:y val="3.1687475529647825E-2"/>
                </c:manualLayout>
              </c:layout>
              <c:showVal val="1"/>
              <c:extLst>
                <c:ext xmlns:c15="http://schemas.microsoft.com/office/drawing/2012/chart" uri="{CE6537A1-D6FC-4f65-9D91-7224C49458BB}">
                  <c15:layout/>
                </c:ext>
              </c:extLst>
            </c:dLbl>
            <c:dLbl>
              <c:idx val="2"/>
              <c:layout>
                <c:manualLayout>
                  <c:x val="-2.2685836836767212E-2"/>
                  <c:y val="5.4410463885384924E-2"/>
                </c:manualLayout>
              </c:layout>
              <c:showVal val="1"/>
              <c:extLst>
                <c:ext xmlns:c15="http://schemas.microsoft.com/office/drawing/2012/chart" uri="{CE6537A1-D6FC-4f65-9D91-7224C49458BB}">
                  <c15:layout/>
                </c:ext>
              </c:extLst>
            </c:dLbl>
            <c:dLbl>
              <c:idx val="3"/>
              <c:layout>
                <c:manualLayout>
                  <c:x val="-3.4188034188034191E-2"/>
                  <c:y val="-9.7396246521816346E-2"/>
                </c:manualLayout>
              </c:layout>
              <c:showVal val="1"/>
              <c:extLst>
                <c:ext xmlns:c15="http://schemas.microsoft.com/office/drawing/2012/chart" uri="{CE6537A1-D6FC-4f65-9D91-7224C49458BB}">
                  <c15:layout/>
                </c:ext>
              </c:extLst>
            </c:dLbl>
            <c:dLbl>
              <c:idx val="4"/>
              <c:layout>
                <c:manualLayout>
                  <c:x val="1.4745855883058961E-2"/>
                  <c:y val="-7.3986746131871714E-2"/>
                </c:manualLayout>
              </c:layout>
              <c:showVal val="1"/>
              <c:extLst>
                <c:ext xmlns:c15="http://schemas.microsoft.com/office/drawing/2012/chart" uri="{CE6537A1-D6FC-4f65-9D91-7224C49458BB}">
                  <c15:layout/>
                </c:ext>
              </c:extLst>
            </c:dLbl>
            <c:dLbl>
              <c:idx val="5"/>
              <c:layout>
                <c:manualLayout>
                  <c:x val="1.5451652614219685E-2"/>
                  <c:y val="-4.664839546990187E-2"/>
                </c:manualLayout>
              </c:layout>
              <c:showVal val="1"/>
              <c:extLst>
                <c:ext xmlns:c15="http://schemas.microsoft.com/office/drawing/2012/chart" uri="{CE6537A1-D6FC-4f65-9D91-7224C49458BB}">
                  <c15:layout/>
                </c:ext>
              </c:extLst>
            </c:dLbl>
            <c:spPr>
              <a:noFill/>
              <a:ln>
                <a:noFill/>
              </a:ln>
              <a:effectLst/>
            </c:spPr>
            <c:showVal val="1"/>
            <c:showLeaderLines val="1"/>
            <c:extLst>
              <c:ext xmlns:c15="http://schemas.microsoft.com/office/drawing/2012/chart" uri="{CE6537A1-D6FC-4f65-9D91-7224C49458BB}"/>
            </c:extLst>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42.5</c:v>
                </c:pt>
                <c:pt idx="1">
                  <c:v>20.2</c:v>
                </c:pt>
                <c:pt idx="2" formatCode="0.0">
                  <c:v>4.8</c:v>
                </c:pt>
                <c:pt idx="3" formatCode="0.0">
                  <c:v>12.1</c:v>
                </c:pt>
                <c:pt idx="4">
                  <c:v>13.2</c:v>
                </c:pt>
                <c:pt idx="5" formatCode="0.0">
                  <c:v>7.2</c:v>
                </c:pt>
              </c:numCache>
            </c:numRef>
          </c:val>
        </c:ser>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7"/>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en-US" sz="1100"/>
              <a:t>I</a:t>
            </a:r>
            <a:r>
              <a:rPr lang="ru-RU" sz="1100"/>
              <a:t> полугодие 2016</a:t>
            </a:r>
            <a:r>
              <a:rPr lang="ru-RU" sz="1100" baseline="0"/>
              <a:t> </a:t>
            </a:r>
            <a:r>
              <a:rPr lang="ru-RU" sz="1100"/>
              <a:t>года</a:t>
            </a:r>
          </a:p>
        </c:rich>
      </c:tx>
      <c:layout>
        <c:manualLayout>
          <c:xMode val="edge"/>
          <c:yMode val="edge"/>
          <c:x val="0.12324027678358503"/>
          <c:y val="0"/>
        </c:manualLayout>
      </c:layout>
      <c:spPr>
        <a:noFill/>
      </c:spPr>
    </c:title>
    <c:view3D>
      <c:rotX val="30"/>
      <c:perspective val="30"/>
    </c:view3D>
    <c:plotArea>
      <c:layout>
        <c:manualLayout>
          <c:layoutTarget val="inner"/>
          <c:xMode val="edge"/>
          <c:yMode val="edge"/>
          <c:x val="8.755965333393155E-2"/>
          <c:y val="0.15573263868332388"/>
          <c:w val="0.54087075479201452"/>
          <c:h val="0.69303976813324852"/>
        </c:manualLayout>
      </c:layout>
      <c:pie3DChart>
        <c:varyColors val="1"/>
        <c:ser>
          <c:idx val="0"/>
          <c:order val="0"/>
          <c:tx>
            <c:strRef>
              <c:f>Лист1!$B$1</c:f>
              <c:strCache>
                <c:ptCount val="1"/>
                <c:pt idx="0">
                  <c:v>I полугодие 2017</c:v>
                </c:pt>
              </c:strCache>
            </c:strRef>
          </c:tx>
          <c:explosion val="25"/>
          <c:dPt>
            <c:idx val="0"/>
            <c:explosion val="1"/>
            <c:spPr>
              <a:blipFill>
                <a:blip xmlns:r="http://schemas.openxmlformats.org/officeDocument/2006/relationships" r:embed="rId2"/>
                <a:tile tx="0" ty="0" sx="100000" sy="100000" flip="none" algn="tl"/>
              </a:blipFill>
            </c:spPr>
          </c:dPt>
          <c:dPt>
            <c:idx val="1"/>
            <c:explosion val="17"/>
            <c:spPr>
              <a:blipFill>
                <a:blip xmlns:r="http://schemas.openxmlformats.org/officeDocument/2006/relationships" r:embed="rId3"/>
                <a:tile tx="0" ty="0" sx="100000" sy="100000" flip="none" algn="tl"/>
              </a:blipFill>
            </c:spPr>
          </c:dPt>
          <c:dPt>
            <c:idx val="2"/>
            <c:spPr>
              <a:blipFill>
                <a:blip xmlns:r="http://schemas.openxmlformats.org/officeDocument/2006/relationships" r:embed="rId4"/>
                <a:tile tx="0" ty="0" sx="100000" sy="100000" flip="none" algn="tl"/>
              </a:blipFill>
            </c:spPr>
          </c:dPt>
          <c:dPt>
            <c:idx val="3"/>
            <c:spPr>
              <a:blipFill>
                <a:blip xmlns:r="http://schemas.openxmlformats.org/officeDocument/2006/relationships" r:embed="rId5"/>
                <a:tile tx="0" ty="0" sx="100000" sy="100000" flip="none" algn="tl"/>
              </a:blipFill>
            </c:spPr>
          </c:dPt>
          <c:dPt>
            <c:idx val="4"/>
            <c:spPr>
              <a:blipFill>
                <a:blip xmlns:r="http://schemas.openxmlformats.org/officeDocument/2006/relationships" r:embed="rId6"/>
                <a:tile tx="0" ty="0" sx="100000" sy="100000" flip="none" algn="tl"/>
              </a:blipFill>
            </c:spPr>
          </c:dPt>
          <c:dPt>
            <c:idx val="5"/>
            <c:spPr>
              <a:solidFill>
                <a:schemeClr val="tx2">
                  <a:lumMod val="50000"/>
                </a:schemeClr>
              </a:solidFill>
            </c:spPr>
          </c:dPt>
          <c:dLbls>
            <c:dLbl>
              <c:idx val="0"/>
              <c:layout>
                <c:manualLayout>
                  <c:x val="-5.0296369203849521E-2"/>
                  <c:y val="-0.13394231971004045"/>
                </c:manualLayout>
              </c:layout>
              <c:showVal val="1"/>
              <c:extLst>
                <c:ext xmlns:c15="http://schemas.microsoft.com/office/drawing/2012/chart" uri="{CE6537A1-D6FC-4f65-9D91-7224C49458BB}">
                  <c15:layout/>
                </c:ext>
              </c:extLst>
            </c:dLbl>
            <c:dLbl>
              <c:idx val="1"/>
              <c:layout>
                <c:manualLayout>
                  <c:x val="-0.10076526758941494"/>
                  <c:y val="3.8536104039626623E-2"/>
                </c:manualLayout>
              </c:layout>
              <c:showVal val="1"/>
              <c:extLst>
                <c:ext xmlns:c15="http://schemas.microsoft.com/office/drawing/2012/chart" uri="{CE6537A1-D6FC-4f65-9D91-7224C49458BB}">
                  <c15:layout/>
                </c:ext>
              </c:extLst>
            </c:dLbl>
            <c:dLbl>
              <c:idx val="2"/>
              <c:layout>
                <c:manualLayout>
                  <c:x val="-3.321968249114491E-2"/>
                  <c:y val="-5.1576978292078085E-3"/>
                </c:manualLayout>
              </c:layout>
              <c:showVal val="1"/>
              <c:extLst>
                <c:ext xmlns:c15="http://schemas.microsoft.com/office/drawing/2012/chart" uri="{CE6537A1-D6FC-4f65-9D91-7224C49458BB}">
                  <c15:layout/>
                </c:ext>
              </c:extLst>
            </c:dLbl>
            <c:dLbl>
              <c:idx val="3"/>
              <c:layout>
                <c:manualLayout>
                  <c:x val="3.3108254630564342E-3"/>
                  <c:y val="-0.15312257020503967"/>
                </c:manualLayout>
              </c:layout>
              <c:showVal val="1"/>
              <c:extLst>
                <c:ext xmlns:c15="http://schemas.microsoft.com/office/drawing/2012/chart" uri="{CE6537A1-D6FC-4f65-9D91-7224C49458BB}">
                  <c15:layout/>
                </c:ext>
              </c:extLst>
            </c:dLbl>
            <c:dLbl>
              <c:idx val="4"/>
              <c:layout>
                <c:manualLayout>
                  <c:x val="1.8419914491820597E-2"/>
                  <c:y val="-7.5004172865488591E-2"/>
                </c:manualLayout>
              </c:layout>
              <c:showVal val="1"/>
              <c:extLst>
                <c:ext xmlns:c15="http://schemas.microsoft.com/office/drawing/2012/chart" uri="{CE6537A1-D6FC-4f65-9D91-7224C49458BB}">
                  <c15:layout/>
                </c:ext>
              </c:extLst>
            </c:dLbl>
            <c:dLbl>
              <c:idx val="5"/>
              <c:layout>
                <c:manualLayout>
                  <c:x val="2.3961340769904412E-2"/>
                  <c:y val="-3.0889263842020693E-2"/>
                </c:manualLayout>
              </c:layout>
              <c:showVal val="1"/>
              <c:extLst>
                <c:ext xmlns:c15="http://schemas.microsoft.com/office/drawing/2012/chart" uri="{CE6537A1-D6FC-4f65-9D91-7224C49458BB}">
                  <c15:layout/>
                </c:ext>
              </c:extLst>
            </c:dLbl>
            <c:spPr>
              <a:noFill/>
              <a:ln>
                <a:noFill/>
              </a:ln>
              <a:effectLst/>
            </c:spPr>
            <c:showVal val="1"/>
            <c:showLeaderLines val="1"/>
            <c:extLst>
              <c:ext xmlns:c15="http://schemas.microsoft.com/office/drawing/2012/chart" uri="{CE6537A1-D6FC-4f65-9D91-7224C49458BB}"/>
            </c:extLst>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41.2</c:v>
                </c:pt>
                <c:pt idx="1">
                  <c:v>14.3</c:v>
                </c:pt>
                <c:pt idx="2" formatCode="0.0">
                  <c:v>9.8000000000000007</c:v>
                </c:pt>
                <c:pt idx="3" formatCode="0.0">
                  <c:v>17.010000000000005</c:v>
                </c:pt>
                <c:pt idx="4">
                  <c:v>11.4</c:v>
                </c:pt>
                <c:pt idx="5">
                  <c:v>6.3</c:v>
                </c:pt>
              </c:numCache>
            </c:numRef>
          </c:val>
        </c:ser>
      </c:pie3DChart>
    </c:plotArea>
    <c:legend>
      <c:legendPos val="r"/>
      <c:layout>
        <c:manualLayout>
          <c:xMode val="edge"/>
          <c:yMode val="edge"/>
          <c:x val="0.6290403870456367"/>
          <c:y val="0"/>
          <c:w val="0.36527177692532031"/>
          <c:h val="0.99973028233349703"/>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7"/>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Выбросы</a:t>
            </a:r>
            <a:r>
              <a:rPr lang="ru-RU" sz="1200" baseline="0">
                <a:latin typeface="Times New Roman" pitchFamily="18" charset="0"/>
                <a:cs typeface="Times New Roman" pitchFamily="18" charset="0"/>
              </a:rPr>
              <a:t> вредных веществ в атмосферу в разрезе городов и районов, тонн</a:t>
            </a:r>
            <a:endParaRPr lang="ru-RU" sz="1200">
              <a:latin typeface="Times New Roman" pitchFamily="18" charset="0"/>
              <a:cs typeface="Times New Roman" pitchFamily="18" charset="0"/>
            </a:endParaRPr>
          </a:p>
        </c:rich>
      </c:tx>
      <c:layout>
        <c:manualLayout>
          <c:xMode val="edge"/>
          <c:yMode val="edge"/>
          <c:x val="0.16285969771020009"/>
          <c:y val="0"/>
        </c:manualLayout>
      </c:layout>
    </c:title>
    <c:view3D>
      <c:rotX val="30"/>
      <c:rotY val="30"/>
      <c:depthPercent val="100"/>
      <c:rAngAx val="1"/>
    </c:view3D>
    <c:floor>
      <c:spPr>
        <a:noFill/>
      </c:spPr>
    </c:floor>
    <c:plotArea>
      <c:layout>
        <c:manualLayout>
          <c:layoutTarget val="inner"/>
          <c:xMode val="edge"/>
          <c:yMode val="edge"/>
          <c:x val="7.8105747126436892E-2"/>
          <c:y val="7.936152643840895E-2"/>
          <c:w val="0.93232992904187861"/>
          <c:h val="0.4487348491550916"/>
        </c:manualLayout>
      </c:layout>
      <c:bar3DChart>
        <c:barDir val="col"/>
        <c:grouping val="stacked"/>
        <c:ser>
          <c:idx val="0"/>
          <c:order val="0"/>
          <c:tx>
            <c:strRef>
              <c:f>Лист1!$B$1</c:f>
              <c:strCache>
                <c:ptCount val="1"/>
                <c:pt idx="0">
                  <c:v>Передвижные источники</c:v>
                </c:pt>
              </c:strCache>
            </c:strRef>
          </c:tx>
          <c:spPr>
            <a:solidFill>
              <a:srgbClr val="FFFF00"/>
            </a:solidFill>
            <a:ln w="12700">
              <a:noFill/>
            </a:ln>
          </c:spPr>
          <c:dLbls>
            <c:dLbl>
              <c:idx val="0"/>
              <c:layout>
                <c:manualLayout>
                  <c:x val="1.8398475041671906E-3"/>
                  <c:y val="5.795148350474176E-2"/>
                </c:manualLayout>
              </c:layout>
              <c:showVal val="1"/>
              <c:extLst>
                <c:ext xmlns:c15="http://schemas.microsoft.com/office/drawing/2012/chart" uri="{CE6537A1-D6FC-4f65-9D91-7224C49458BB}">
                  <c15:layout/>
                </c:ext>
              </c:extLst>
            </c:dLbl>
            <c:dLbl>
              <c:idx val="1"/>
              <c:layout>
                <c:manualLayout>
                  <c:x val="1.8398475041671906E-3"/>
                  <c:y val="1.9316907662195043E-2"/>
                </c:manualLayout>
              </c:layout>
              <c:showVal val="1"/>
              <c:extLst>
                <c:ext xmlns:c15="http://schemas.microsoft.com/office/drawing/2012/chart" uri="{CE6537A1-D6FC-4f65-9D91-7224C49458BB}">
                  <c15:layout/>
                </c:ext>
              </c:extLst>
            </c:dLbl>
            <c:dLbl>
              <c:idx val="2"/>
              <c:layout>
                <c:manualLayout>
                  <c:x val="2.3918087474838003E-2"/>
                  <c:y val="-2.6282107994927702E-2"/>
                </c:manualLayout>
              </c:layout>
              <c:showVal val="1"/>
              <c:extLst>
                <c:ext xmlns:c15="http://schemas.microsoft.com/office/drawing/2012/chart" uri="{CE6537A1-D6FC-4f65-9D91-7224C49458BB}">
                  <c15:layout/>
                </c:ext>
              </c:extLst>
            </c:dLbl>
            <c:dLbl>
              <c:idx val="3"/>
              <c:layout>
                <c:manualLayout>
                  <c:x val="2.7531456941866008E-2"/>
                  <c:y val="-3.6992243947034785E-2"/>
                </c:manualLayout>
              </c:layout>
              <c:showVal val="1"/>
              <c:extLst>
                <c:ext xmlns:c15="http://schemas.microsoft.com/office/drawing/2012/chart" uri="{CE6537A1-D6FC-4f65-9D91-7224C49458BB}">
                  <c15:layout/>
                </c:ext>
              </c:extLst>
            </c:dLbl>
            <c:dLbl>
              <c:idx val="4"/>
              <c:layout>
                <c:manualLayout>
                  <c:x val="1.8398475041671906E-3"/>
                  <c:y val="9.6585805841236175E-3"/>
                </c:manualLayout>
              </c:layout>
              <c:showVal val="1"/>
              <c:extLst>
                <c:ext xmlns:c15="http://schemas.microsoft.com/office/drawing/2012/chart" uri="{CE6537A1-D6FC-4f65-9D91-7224C49458BB}">
                  <c15:layout/>
                </c:ext>
              </c:extLst>
            </c:dLbl>
            <c:dLbl>
              <c:idx val="5"/>
              <c:layout>
                <c:manualLayout>
                  <c:x val="1.8398475041671906E-3"/>
                  <c:y val="-3.2195268613745458E-3"/>
                </c:manualLayout>
              </c:layout>
              <c:showVal val="1"/>
              <c:extLst>
                <c:ext xmlns:c15="http://schemas.microsoft.com/office/drawing/2012/chart" uri="{CE6537A1-D6FC-4f65-9D91-7224C49458BB}">
                  <c15:layout/>
                </c:ext>
              </c:extLst>
            </c:dLbl>
            <c:dLbl>
              <c:idx val="6"/>
              <c:layout>
                <c:manualLayout>
                  <c:x val="1.8398475041671906E-3"/>
                  <c:y val="3.2195268613745458E-3"/>
                </c:manualLayout>
              </c:layout>
              <c:showVal val="1"/>
              <c:extLst>
                <c:ext xmlns:c15="http://schemas.microsoft.com/office/drawing/2012/chart" uri="{CE6537A1-D6FC-4f65-9D91-7224C49458BB}">
                  <c15:layout/>
                </c:ext>
              </c:extLst>
            </c:dLbl>
            <c:dLbl>
              <c:idx val="7"/>
              <c:layout>
                <c:manualLayout>
                  <c:x val="-1.8398475041671906E-3"/>
                  <c:y val="-9.6585805841236175E-3"/>
                </c:manualLayout>
              </c:layout>
              <c:showVal val="1"/>
              <c:extLst>
                <c:ext xmlns:c15="http://schemas.microsoft.com/office/drawing/2012/chart" uri="{CE6537A1-D6FC-4f65-9D91-7224C49458BB}">
                  <c15:layout/>
                </c:ext>
              </c:extLst>
            </c:dLbl>
            <c:dLbl>
              <c:idx val="8"/>
              <c:layout>
                <c:manualLayout>
                  <c:x val="2.7166421270511863E-2"/>
                  <c:y val="-2.726886667256492E-2"/>
                </c:manualLayout>
              </c:layout>
              <c:showVal val="1"/>
              <c:extLst>
                <c:ext xmlns:c15="http://schemas.microsoft.com/office/drawing/2012/chart" uri="{CE6537A1-D6FC-4f65-9D91-7224C49458BB}">
                  <c15:layout/>
                </c:ext>
              </c:extLst>
            </c:dLbl>
            <c:dLbl>
              <c:idx val="9"/>
              <c:layout>
                <c:manualLayout>
                  <c:x val="2.5293586269196026E-2"/>
                  <c:y val="-2.6743047568492315E-2"/>
                </c:manualLayout>
              </c:layout>
              <c:showVal val="1"/>
              <c:extLst>
                <c:ext xmlns:c15="http://schemas.microsoft.com/office/drawing/2012/chart" uri="{CE6537A1-D6FC-4f65-9D91-7224C49458BB}">
                  <c15:layout/>
                </c:ext>
              </c:extLst>
            </c:dLbl>
            <c:dLbl>
              <c:idx val="10"/>
              <c:layout>
                <c:manualLayout>
                  <c:x val="2.5757865058340601E-2"/>
                  <c:y val="-6.4390537227491116E-3"/>
                </c:manualLayout>
              </c:layout>
              <c:showVal val="1"/>
              <c:extLst>
                <c:ext xmlns:c15="http://schemas.microsoft.com/office/drawing/2012/chart" uri="{CE6537A1-D6FC-4f65-9D91-7224C49458BB}">
                  <c15:layout/>
                </c:ext>
              </c:extLst>
            </c:dLbl>
            <c:dLbl>
              <c:idx val="11"/>
              <c:layout>
                <c:manualLayout>
                  <c:x val="2.7597749468308452E-2"/>
                  <c:y val="-3.5875726208381288E-2"/>
                </c:manualLayout>
              </c:layout>
              <c:showVal val="1"/>
              <c:extLst>
                <c:ext xmlns:c15="http://schemas.microsoft.com/office/drawing/2012/chart" uri="{CE6537A1-D6FC-4f65-9D91-7224C49458BB}">
                  <c15:layout/>
                </c:ext>
              </c:extLst>
            </c:dLbl>
            <c:dLbl>
              <c:idx val="12"/>
              <c:layout>
                <c:manualLayout>
                  <c:x val="1.8398475041671906E-3"/>
                  <c:y val="1.9317161168247235E-2"/>
                </c:manualLayout>
              </c:layout>
              <c:showVal val="1"/>
              <c:extLst>
                <c:ext xmlns:c15="http://schemas.microsoft.com/office/drawing/2012/chart" uri="{CE6537A1-D6FC-4f65-9D91-7224C49458BB}">
                  <c15:layout/>
                </c:ext>
              </c:extLst>
            </c:dLbl>
            <c:dLbl>
              <c:idx val="13"/>
              <c:layout>
                <c:manualLayout>
                  <c:x val="1.8398475041671906E-3"/>
                  <c:y val="-4.1854102703920766E-2"/>
                </c:manualLayout>
              </c:layout>
              <c:showVal val="1"/>
              <c:extLst>
                <c:ext xmlns:c15="http://schemas.microsoft.com/office/drawing/2012/chart" uri="{CE6537A1-D6FC-4f65-9D91-7224C49458BB}">
                  <c15:layout/>
                </c:ext>
              </c:extLst>
            </c:dLbl>
            <c:dLbl>
              <c:idx val="14"/>
              <c:layout>
                <c:manualLayout>
                  <c:x val="2.5757918471573452E-2"/>
                  <c:y val="-3.5349907104308645E-2"/>
                </c:manualLayout>
              </c:layout>
              <c:showVal val="1"/>
              <c:extLst>
                <c:ext xmlns:c15="http://schemas.microsoft.com/office/drawing/2012/chart" uri="{CE6537A1-D6FC-4f65-9D91-7224C49458BB}">
                  <c15:layout/>
                </c:ext>
              </c:extLst>
            </c:dLbl>
            <c:dLbl>
              <c:idx val="15"/>
              <c:layout>
                <c:manualLayout>
                  <c:x val="2.5757918471573452E-2"/>
                  <c:y val="-6.320947241145404E-2"/>
                </c:manualLayout>
              </c:layout>
              <c:showVal val="1"/>
              <c:extLst>
                <c:ext xmlns:c15="http://schemas.microsoft.com/office/drawing/2012/chart" uri="{CE6537A1-D6FC-4f65-9D91-7224C49458BB}">
                  <c15:layout/>
                </c:ext>
              </c:extLst>
            </c:dLbl>
            <c:numFmt formatCode="#,##0.0" sourceLinked="0"/>
            <c:spPr>
              <a:noFill/>
              <a:ln>
                <a:noFill/>
              </a:ln>
              <a:effectLst/>
            </c:spPr>
            <c:txPr>
              <a:bodyPr rot="-5400000" vert="horz"/>
              <a:lstStyle/>
              <a:p>
                <a:pPr>
                  <a:defRPr sz="800" b="1" i="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Лист1!$A$2:$A$17</c:f>
              <c:strCache>
                <c:ptCount val="16"/>
                <c:pt idx="0">
                  <c:v>г. Тирасполь                                  I пол. 2016г.</c:v>
                </c:pt>
                <c:pt idx="1">
                  <c:v>I пол. 2017г.</c:v>
                </c:pt>
                <c:pt idx="2">
                  <c:v>г. Днестровск                                I пол. 2016г.</c:v>
                </c:pt>
                <c:pt idx="3">
                  <c:v>I пол. 2017г.</c:v>
                </c:pt>
                <c:pt idx="4">
                  <c:v>г. Бендеры                                     I пол. 2016г.</c:v>
                </c:pt>
                <c:pt idx="5">
                  <c:v>I пол. 2017г.</c:v>
                </c:pt>
                <c:pt idx="6">
                  <c:v>г. Рыбница и Рыбн. р-н              I пол. 2016г.</c:v>
                </c:pt>
                <c:pt idx="7">
                  <c:v>I пол. 2017г.</c:v>
                </c:pt>
                <c:pt idx="8">
                  <c:v>г. Дубоссары и Дуб. р-н             I пол. 2016г.</c:v>
                </c:pt>
                <c:pt idx="9">
                  <c:v>I пол. 2017г.</c:v>
                </c:pt>
                <c:pt idx="10">
                  <c:v>г. Григориополь и Григ.. р-н      I пол. 2016г.</c:v>
                </c:pt>
                <c:pt idx="11">
                  <c:v>I пол. 2017г.</c:v>
                </c:pt>
                <c:pt idx="12">
                  <c:v>г. Слободзея и Слоб. р-н           I пол. 2016г.</c:v>
                </c:pt>
                <c:pt idx="13">
                  <c:v>I пол. 2017г.</c:v>
                </c:pt>
                <c:pt idx="14">
                  <c:v>г. Каменка и Кам. р-н                I пол. 2016г.</c:v>
                </c:pt>
                <c:pt idx="15">
                  <c:v>I пол. 2017г.</c:v>
                </c:pt>
              </c:strCache>
            </c:strRef>
          </c:cat>
          <c:val>
            <c:numRef>
              <c:f>Лист1!$B$2:$B$17</c:f>
              <c:numCache>
                <c:formatCode>0.0</c:formatCode>
                <c:ptCount val="16"/>
                <c:pt idx="0">
                  <c:v>4537.5</c:v>
                </c:pt>
                <c:pt idx="1">
                  <c:v>5080.6000000000004</c:v>
                </c:pt>
                <c:pt idx="2">
                  <c:v>53.3</c:v>
                </c:pt>
                <c:pt idx="3">
                  <c:v>39</c:v>
                </c:pt>
                <c:pt idx="4">
                  <c:v>2268.6000000000004</c:v>
                </c:pt>
                <c:pt idx="5">
                  <c:v>2270</c:v>
                </c:pt>
                <c:pt idx="6">
                  <c:v>2287.6999999999998</c:v>
                </c:pt>
                <c:pt idx="7">
                  <c:v>2318</c:v>
                </c:pt>
                <c:pt idx="8">
                  <c:v>1151</c:v>
                </c:pt>
                <c:pt idx="9">
                  <c:v>1278</c:v>
                </c:pt>
                <c:pt idx="10">
                  <c:v>768.3</c:v>
                </c:pt>
                <c:pt idx="11">
                  <c:v>672</c:v>
                </c:pt>
                <c:pt idx="12">
                  <c:v>3109.6</c:v>
                </c:pt>
                <c:pt idx="13">
                  <c:v>3191</c:v>
                </c:pt>
                <c:pt idx="14">
                  <c:v>446</c:v>
                </c:pt>
                <c:pt idx="15">
                  <c:v>366</c:v>
                </c:pt>
              </c:numCache>
            </c:numRef>
          </c:val>
        </c:ser>
        <c:ser>
          <c:idx val="1"/>
          <c:order val="1"/>
          <c:tx>
            <c:strRef>
              <c:f>Лист1!$C$1</c:f>
              <c:strCache>
                <c:ptCount val="1"/>
                <c:pt idx="0">
                  <c:v>Стационарные источники</c:v>
                </c:pt>
              </c:strCache>
            </c:strRef>
          </c:tx>
          <c:spPr>
            <a:solidFill>
              <a:srgbClr val="00CC99"/>
            </a:solidFill>
            <a:ln w="12700">
              <a:noFill/>
            </a:ln>
          </c:spPr>
          <c:dLbls>
            <c:dLbl>
              <c:idx val="0"/>
              <c:layout>
                <c:manualLayout>
                  <c:x val="2.5757865058340601E-2"/>
                  <c:y val="-2.2536688029621797E-2"/>
                </c:manualLayout>
              </c:layout>
              <c:showVal val="1"/>
              <c:extLst>
                <c:ext xmlns:c15="http://schemas.microsoft.com/office/drawing/2012/chart" uri="{CE6537A1-D6FC-4f65-9D91-7224C49458BB}">
                  <c15:layout/>
                </c:ext>
              </c:extLst>
            </c:dLbl>
            <c:dLbl>
              <c:idx val="1"/>
              <c:layout>
                <c:manualLayout>
                  <c:x val="2.7597712562507919E-2"/>
                  <c:y val="-3.6403469078219251E-2"/>
                </c:manualLayout>
              </c:layout>
              <c:showVal val="1"/>
              <c:extLst>
                <c:ext xmlns:c15="http://schemas.microsoft.com/office/drawing/2012/chart" uri="{CE6537A1-D6FC-4f65-9D91-7224C49458BB}">
                  <c15:layout/>
                </c:ext>
              </c:extLst>
            </c:dLbl>
            <c:dLbl>
              <c:idx val="2"/>
              <c:layout>
                <c:manualLayout>
                  <c:x val="5.5195425125016094E-3"/>
                  <c:y val="-0.15131776248460271"/>
                </c:manualLayout>
              </c:layout>
              <c:showVal val="1"/>
              <c:extLst>
                <c:ext xmlns:c15="http://schemas.microsoft.com/office/drawing/2012/chart" uri="{CE6537A1-D6FC-4f65-9D91-7224C49458BB}">
                  <c15:layout/>
                </c:ext>
              </c:extLst>
            </c:dLbl>
            <c:dLbl>
              <c:idx val="3"/>
              <c:layout>
                <c:manualLayout>
                  <c:x val="3.679695008334382E-3"/>
                  <c:y val="-0.13522012817773021"/>
                </c:manualLayout>
              </c:layout>
              <c:showVal val="1"/>
              <c:extLst>
                <c:ext xmlns:c15="http://schemas.microsoft.com/office/drawing/2012/chart" uri="{CE6537A1-D6FC-4f65-9D91-7224C49458BB}">
                  <c15:layout/>
                </c:ext>
              </c:extLst>
            </c:dLbl>
            <c:dLbl>
              <c:idx val="4"/>
              <c:layout>
                <c:manualLayout>
                  <c:x val="7.3593239869407072E-3"/>
                  <c:y val="-8.6862484886018457E-2"/>
                </c:manualLayout>
              </c:layout>
              <c:showVal val="1"/>
              <c:extLst>
                <c:ext xmlns:c15="http://schemas.microsoft.com/office/drawing/2012/chart" uri="{CE6537A1-D6FC-4f65-9D91-7224C49458BB}">
                  <c15:layout/>
                </c:ext>
              </c:extLst>
            </c:dLbl>
            <c:dLbl>
              <c:idx val="5"/>
              <c:layout>
                <c:manualLayout>
                  <c:x val="5.5194929902054983E-3"/>
                  <c:y val="-7.937184818189863E-2"/>
                </c:manualLayout>
              </c:layout>
              <c:showVal val="1"/>
              <c:extLst>
                <c:ext xmlns:c15="http://schemas.microsoft.com/office/drawing/2012/chart" uri="{CE6537A1-D6FC-4f65-9D91-7224C49458BB}">
                  <c15:layout/>
                </c:ext>
              </c:extLst>
            </c:dLbl>
            <c:dLbl>
              <c:idx val="6"/>
              <c:layout>
                <c:manualLayout>
                  <c:x val="7.3593900166687423E-3"/>
                  <c:y val="-9.3366278979861841E-2"/>
                </c:manualLayout>
              </c:layout>
              <c:showVal val="1"/>
              <c:extLst>
                <c:ext xmlns:c15="http://schemas.microsoft.com/office/drawing/2012/chart" uri="{CE6537A1-D6FC-4f65-9D91-7224C49458BB}">
                  <c15:layout/>
                </c:ext>
              </c:extLst>
            </c:dLbl>
            <c:dLbl>
              <c:idx val="7"/>
              <c:layout>
                <c:manualLayout>
                  <c:x val="5.5195425125015764E-3"/>
                  <c:y val="-0.11912249387085753"/>
                </c:manualLayout>
              </c:layout>
              <c:showVal val="1"/>
              <c:extLst>
                <c:ext xmlns:c15="http://schemas.microsoft.com/office/drawing/2012/chart" uri="{CE6537A1-D6FC-4f65-9D91-7224C49458BB}">
                  <c15:layout/>
                </c:ext>
              </c:extLst>
            </c:dLbl>
            <c:dLbl>
              <c:idx val="8"/>
              <c:layout>
                <c:manualLayout>
                  <c:x val="3.679695008334382E-3"/>
                  <c:y val="-6.1171010366115955E-2"/>
                </c:manualLayout>
              </c:layout>
              <c:showVal val="1"/>
              <c:extLst>
                <c:ext xmlns:c15="http://schemas.microsoft.com/office/drawing/2012/chart" uri="{CE6537A1-D6FC-4f65-9D91-7224C49458BB}">
                  <c15:layout/>
                </c:ext>
              </c:extLst>
            </c:dLbl>
            <c:dLbl>
              <c:idx val="9"/>
              <c:layout>
                <c:manualLayout>
                  <c:x val="7.3593900166687423E-3"/>
                  <c:y val="-5.795148350474176E-2"/>
                </c:manualLayout>
              </c:layout>
              <c:showVal val="1"/>
              <c:extLst>
                <c:ext xmlns:c15="http://schemas.microsoft.com/office/drawing/2012/chart" uri="{CE6537A1-D6FC-4f65-9D91-7224C49458BB}">
                  <c15:layout/>
                </c:ext>
              </c:extLst>
            </c:dLbl>
            <c:dLbl>
              <c:idx val="10"/>
              <c:layout>
                <c:manualLayout>
                  <c:x val="1.1039085025003101E-2"/>
                  <c:y val="-6.4390537227491038E-2"/>
                </c:manualLayout>
              </c:layout>
              <c:showVal val="1"/>
              <c:extLst>
                <c:ext xmlns:c15="http://schemas.microsoft.com/office/drawing/2012/chart" uri="{CE6537A1-D6FC-4f65-9D91-7224C49458BB}">
                  <c15:layout/>
                </c:ext>
              </c:extLst>
            </c:dLbl>
            <c:dLbl>
              <c:idx val="11"/>
              <c:layout>
                <c:manualLayout>
                  <c:x val="7.3593900166687423E-3"/>
                  <c:y val="-6.1171010366115955E-2"/>
                </c:manualLayout>
              </c:layout>
              <c:showVal val="1"/>
              <c:extLst>
                <c:ext xmlns:c15="http://schemas.microsoft.com/office/drawing/2012/chart" uri="{CE6537A1-D6FC-4f65-9D91-7224C49458BB}">
                  <c15:layout/>
                </c:ext>
              </c:extLst>
            </c:dLbl>
            <c:dLbl>
              <c:idx val="12"/>
              <c:layout>
                <c:manualLayout>
                  <c:x val="7.3593900166687423E-3"/>
                  <c:y val="-7.7268644672988704E-2"/>
                </c:manualLayout>
              </c:layout>
              <c:showVal val="1"/>
              <c:extLst>
                <c:ext xmlns:c15="http://schemas.microsoft.com/office/drawing/2012/chart" uri="{CE6537A1-D6FC-4f65-9D91-7224C49458BB}">
                  <c15:layout/>
                </c:ext>
              </c:extLst>
            </c:dLbl>
            <c:dLbl>
              <c:idx val="13"/>
              <c:layout>
                <c:manualLayout>
                  <c:x val="7.3593900166687423E-3"/>
                  <c:y val="-8.3707698395738259E-2"/>
                </c:manualLayout>
              </c:layout>
              <c:showVal val="1"/>
              <c:extLst>
                <c:ext xmlns:c15="http://schemas.microsoft.com/office/drawing/2012/chart" uri="{CE6537A1-D6FC-4f65-9D91-7224C49458BB}">
                  <c15:layout/>
                </c:ext>
              </c:extLst>
            </c:dLbl>
            <c:dLbl>
              <c:idx val="14"/>
              <c:layout>
                <c:manualLayout>
                  <c:x val="9.1992375208359567E-3"/>
                  <c:y val="-6.4390537227491038E-2"/>
                </c:manualLayout>
              </c:layout>
              <c:showVal val="1"/>
              <c:extLst>
                <c:ext xmlns:c15="http://schemas.microsoft.com/office/drawing/2012/chart" uri="{CE6537A1-D6FC-4f65-9D91-7224C49458BB}">
                  <c15:layout/>
                </c:ext>
              </c:extLst>
            </c:dLbl>
            <c:dLbl>
              <c:idx val="15"/>
              <c:layout>
                <c:manualLayout>
                  <c:x val="3.679695008334382E-3"/>
                  <c:y val="-5.795148350474176E-2"/>
                </c:manualLayout>
              </c:layout>
              <c:showVal val="1"/>
              <c:extLst>
                <c:ext xmlns:c15="http://schemas.microsoft.com/office/drawing/2012/chart" uri="{CE6537A1-D6FC-4f65-9D91-7224C49458BB}">
                  <c15:layout/>
                </c:ext>
              </c:extLst>
            </c:dLbl>
            <c:numFmt formatCode="#,##0.0" sourceLinked="0"/>
            <c:spPr>
              <a:noFill/>
              <a:ln>
                <a:noFill/>
              </a:ln>
              <a:effectLst/>
            </c:spPr>
            <c:txPr>
              <a:bodyPr rot="-5400000" vert="horz"/>
              <a:lstStyle/>
              <a:p>
                <a:pPr>
                  <a:defRPr sz="800" b="1" i="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Лист1!$A$2:$A$17</c:f>
              <c:strCache>
                <c:ptCount val="16"/>
                <c:pt idx="0">
                  <c:v>г. Тирасполь                                  I пол. 2016г.</c:v>
                </c:pt>
                <c:pt idx="1">
                  <c:v>I пол. 2017г.</c:v>
                </c:pt>
                <c:pt idx="2">
                  <c:v>г. Днестровск                                I пол. 2016г.</c:v>
                </c:pt>
                <c:pt idx="3">
                  <c:v>I пол. 2017г.</c:v>
                </c:pt>
                <c:pt idx="4">
                  <c:v>г. Бендеры                                     I пол. 2016г.</c:v>
                </c:pt>
                <c:pt idx="5">
                  <c:v>I пол. 2017г.</c:v>
                </c:pt>
                <c:pt idx="6">
                  <c:v>г. Рыбница и Рыбн. р-н              I пол. 2016г.</c:v>
                </c:pt>
                <c:pt idx="7">
                  <c:v>I пол. 2017г.</c:v>
                </c:pt>
                <c:pt idx="8">
                  <c:v>г. Дубоссары и Дуб. р-н             I пол. 2016г.</c:v>
                </c:pt>
                <c:pt idx="9">
                  <c:v>I пол. 2017г.</c:v>
                </c:pt>
                <c:pt idx="10">
                  <c:v>г. Григориополь и Григ.. р-н      I пол. 2016г.</c:v>
                </c:pt>
                <c:pt idx="11">
                  <c:v>I пол. 2017г.</c:v>
                </c:pt>
                <c:pt idx="12">
                  <c:v>г. Слободзея и Слоб. р-н           I пол. 2016г.</c:v>
                </c:pt>
                <c:pt idx="13">
                  <c:v>I пол. 2017г.</c:v>
                </c:pt>
                <c:pt idx="14">
                  <c:v>г. Каменка и Кам. р-н                I пол. 2016г.</c:v>
                </c:pt>
                <c:pt idx="15">
                  <c:v>I пол. 2017г.</c:v>
                </c:pt>
              </c:strCache>
            </c:strRef>
          </c:cat>
          <c:val>
            <c:numRef>
              <c:f>Лист1!$C$2:$C$17</c:f>
              <c:numCache>
                <c:formatCode>0.0</c:formatCode>
                <c:ptCount val="16"/>
                <c:pt idx="0">
                  <c:v>858.3</c:v>
                </c:pt>
                <c:pt idx="1">
                  <c:v>863.5</c:v>
                </c:pt>
                <c:pt idx="2">
                  <c:v>2717</c:v>
                </c:pt>
                <c:pt idx="3">
                  <c:v>1922.7</c:v>
                </c:pt>
                <c:pt idx="4">
                  <c:v>326.7</c:v>
                </c:pt>
                <c:pt idx="5">
                  <c:v>316.2</c:v>
                </c:pt>
                <c:pt idx="6">
                  <c:v>922.4</c:v>
                </c:pt>
                <c:pt idx="7">
                  <c:v>1598.7</c:v>
                </c:pt>
                <c:pt idx="8">
                  <c:v>61</c:v>
                </c:pt>
                <c:pt idx="9">
                  <c:v>61</c:v>
                </c:pt>
                <c:pt idx="10">
                  <c:v>25.6</c:v>
                </c:pt>
                <c:pt idx="11">
                  <c:v>25.4</c:v>
                </c:pt>
                <c:pt idx="12">
                  <c:v>489.8</c:v>
                </c:pt>
                <c:pt idx="13">
                  <c:v>504</c:v>
                </c:pt>
                <c:pt idx="14">
                  <c:v>13.9</c:v>
                </c:pt>
                <c:pt idx="15">
                  <c:v>15</c:v>
                </c:pt>
              </c:numCache>
            </c:numRef>
          </c:val>
        </c:ser>
        <c:dLbls>
          <c:showVal val="1"/>
        </c:dLbls>
        <c:shape val="box"/>
        <c:axId val="108382080"/>
        <c:axId val="108383616"/>
        <c:axId val="0"/>
      </c:bar3DChart>
      <c:catAx>
        <c:axId val="108382080"/>
        <c:scaling>
          <c:orientation val="minMax"/>
        </c:scaling>
        <c:axPos val="b"/>
        <c:majorGridlines/>
        <c:numFmt formatCode="General" sourceLinked="0"/>
        <c:majorTickMark val="cross"/>
        <c:tickLblPos val="low"/>
        <c:txPr>
          <a:bodyPr rot="-5400000" vert="horz" anchor="ctr" anchorCtr="0"/>
          <a:lstStyle/>
          <a:p>
            <a:pPr>
              <a:defRPr sz="900">
                <a:latin typeface="Times New Roman" pitchFamily="18" charset="0"/>
                <a:cs typeface="Times New Roman" pitchFamily="18" charset="0"/>
              </a:defRPr>
            </a:pPr>
            <a:endParaRPr lang="ru-RU"/>
          </a:p>
        </c:txPr>
        <c:crossAx val="108383616"/>
        <c:crosses val="autoZero"/>
        <c:auto val="1"/>
        <c:lblAlgn val="ctr"/>
        <c:lblOffset val="10"/>
        <c:tickLblSkip val="1"/>
        <c:tickMarkSkip val="2"/>
      </c:catAx>
      <c:valAx>
        <c:axId val="108383616"/>
        <c:scaling>
          <c:orientation val="minMax"/>
        </c:scaling>
        <c:axPos val="l"/>
        <c:majorGridlines>
          <c:spPr>
            <a:ln w="6350">
              <a:solidFill>
                <a:schemeClr val="bg1">
                  <a:lumMod val="85000"/>
                </a:schemeClr>
              </a:solidFill>
            </a:ln>
          </c:spPr>
        </c:majorGridlines>
        <c:numFmt formatCode="0.0" sourceLinked="1"/>
        <c:majorTickMark val="cross"/>
        <c:tickLblPos val="nextTo"/>
        <c:txPr>
          <a:bodyPr/>
          <a:lstStyle/>
          <a:p>
            <a:pPr>
              <a:defRPr b="1">
                <a:latin typeface="Times New Roman" pitchFamily="18" charset="0"/>
                <a:cs typeface="Times New Roman" pitchFamily="18" charset="0"/>
              </a:defRPr>
            </a:pPr>
            <a:endParaRPr lang="ru-RU"/>
          </a:p>
        </c:txPr>
        <c:crossAx val="108382080"/>
        <c:crosses val="autoZero"/>
        <c:crossBetween val="between"/>
      </c:valAx>
      <c:spPr>
        <a:noFill/>
        <a:ln>
          <a:noFill/>
        </a:ln>
      </c:spPr>
    </c:plotArea>
    <c:legend>
      <c:legendPos val="b"/>
      <c:layout>
        <c:manualLayout>
          <c:xMode val="edge"/>
          <c:yMode val="edge"/>
          <c:x val="3.2844248127520917E-2"/>
          <c:y val="0.91131764428322859"/>
          <c:w val="0.25618405285546197"/>
          <c:h val="8.7469108496269626E-2"/>
        </c:manualLayout>
      </c:layout>
      <c:txPr>
        <a:bodyPr/>
        <a:lstStyle/>
        <a:p>
          <a:pPr>
            <a:defRPr sz="900" b="1">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910">
                <a:latin typeface="Times New Roman" pitchFamily="18" charset="0"/>
                <a:cs typeface="Times New Roman" pitchFamily="18" charset="0"/>
              </a:defRPr>
            </a:pPr>
            <a:r>
              <a:rPr lang="ru-RU" sz="1201"/>
              <a:t>январь-июнь 2017 года</a:t>
            </a:r>
          </a:p>
        </c:rich>
      </c:tx>
      <c:layout>
        <c:manualLayout>
          <c:xMode val="edge"/>
          <c:yMode val="edge"/>
          <c:x val="0.15682434733826447"/>
          <c:y val="3.4943725254682192E-3"/>
        </c:manualLayout>
      </c:layout>
      <c:spPr>
        <a:noFill/>
        <a:ln w="40429">
          <a:noFill/>
        </a:ln>
      </c:spPr>
    </c:title>
    <c:view3D>
      <c:rotX val="30"/>
      <c:perspective val="30"/>
    </c:view3D>
    <c:plotArea>
      <c:layout>
        <c:manualLayout>
          <c:layoutTarget val="inner"/>
          <c:xMode val="edge"/>
          <c:yMode val="edge"/>
          <c:x val="7.124681933842239E-2"/>
          <c:y val="0.15156076918956571"/>
          <c:w val="0.8652124782112155"/>
          <c:h val="0.84843943235911012"/>
        </c:manualLayout>
      </c:layout>
      <c:pie3DChart>
        <c:varyColors val="1"/>
        <c:ser>
          <c:idx val="0"/>
          <c:order val="0"/>
          <c:tx>
            <c:strRef>
              <c:f>Лист1!$B$1</c:f>
              <c:strCache>
                <c:ptCount val="1"/>
                <c:pt idx="0">
                  <c:v>2017 год</c:v>
                </c:pt>
              </c:strCache>
            </c:strRef>
          </c:tx>
          <c:explosion val="19"/>
          <c:dPt>
            <c:idx val="0"/>
            <c:explosion val="10"/>
            <c:spPr>
              <a:solidFill>
                <a:srgbClr val="66FF33"/>
              </a:solidFill>
            </c:spPr>
          </c:dPt>
          <c:dPt>
            <c:idx val="1"/>
            <c:explosion val="12"/>
            <c:spPr>
              <a:blipFill>
                <a:blip xmlns:r="http://schemas.openxmlformats.org/officeDocument/2006/relationships" r:embed="rId2"/>
                <a:tile tx="0" ty="0" sx="100000" sy="100000" flip="none" algn="tl"/>
              </a:blipFill>
            </c:spPr>
          </c:dPt>
          <c:dPt>
            <c:idx val="2"/>
            <c:explosion val="9"/>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dPt>
          <c:dPt>
            <c:idx val="3"/>
            <c:explosion val="12"/>
            <c:spPr>
              <a:blipFill>
                <a:blip xmlns:r="http://schemas.openxmlformats.org/officeDocument/2006/relationships" r:embed="rId3"/>
                <a:tile tx="0" ty="0" sx="100000" sy="100000" flip="none" algn="tl"/>
              </a:blipFill>
            </c:spPr>
          </c:dPt>
          <c:dPt>
            <c:idx val="4"/>
            <c:explosion val="12"/>
            <c:spPr>
              <a:blipFill>
                <a:blip xmlns:r="http://schemas.openxmlformats.org/officeDocument/2006/relationships" r:embed="rId4"/>
                <a:tile tx="0" ty="0" sx="100000" sy="100000" flip="none" algn="tl"/>
              </a:blipFill>
            </c:spPr>
          </c:dPt>
          <c:dPt>
            <c:idx val="5"/>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c:spPr>
          </c:dPt>
          <c:dLbls>
            <c:dLbl>
              <c:idx val="0"/>
              <c:layout>
                <c:manualLayout>
                  <c:x val="4.2102141812427114E-2"/>
                  <c:y val="-8.9591173984610153E-2"/>
                </c:manualLayout>
              </c:layout>
              <c:tx>
                <c:rich>
                  <a:bodyPr/>
                  <a:lstStyle/>
                  <a:p>
                    <a:r>
                      <a:rPr lang="en-US" sz="900"/>
                      <a:t>19,5%</a:t>
                    </a:r>
                  </a:p>
                </c:rich>
              </c:tx>
              <c:dLblPos val="bestFit"/>
              <c:extLst>
                <c:ext xmlns:c15="http://schemas.microsoft.com/office/drawing/2012/chart" uri="{CE6537A1-D6FC-4f65-9D91-7224C49458BB}">
                  <c15:layout/>
                </c:ext>
              </c:extLst>
            </c:dLbl>
            <c:dLbl>
              <c:idx val="1"/>
              <c:layout>
                <c:manualLayout>
                  <c:x val="-6.0918434813969247E-2"/>
                  <c:y val="7.6052493438320518E-2"/>
                </c:manualLayout>
              </c:layout>
              <c:tx>
                <c:rich>
                  <a:bodyPr/>
                  <a:lstStyle/>
                  <a:p>
                    <a:r>
                      <a:rPr lang="en-US" sz="900">
                        <a:latin typeface="Times New Roman" pitchFamily="18" charset="0"/>
                        <a:cs typeface="Times New Roman" pitchFamily="18" charset="0"/>
                      </a:rPr>
                      <a:t>37,0%</a:t>
                    </a:r>
                  </a:p>
                </c:rich>
              </c:tx>
              <c:dLblPos val="bestFit"/>
              <c:extLst>
                <c:ext xmlns:c15="http://schemas.microsoft.com/office/drawing/2012/chart" uri="{CE6537A1-D6FC-4f65-9D91-7224C49458BB}">
                  <c15:layout/>
                </c:ext>
              </c:extLst>
            </c:dLbl>
            <c:dLbl>
              <c:idx val="2"/>
              <c:layout>
                <c:manualLayout>
                  <c:x val="1.5193845044178807E-2"/>
                  <c:y val="8.546243160282925E-2"/>
                </c:manualLayout>
              </c:layout>
              <c:tx>
                <c:rich>
                  <a:bodyPr/>
                  <a:lstStyle/>
                  <a:p>
                    <a:r>
                      <a:rPr lang="en-US" sz="900"/>
                      <a:t>4,1%</a:t>
                    </a:r>
                  </a:p>
                </c:rich>
              </c:tx>
              <c:dLblPos val="bestFit"/>
              <c:extLst>
                <c:ext xmlns:c15="http://schemas.microsoft.com/office/drawing/2012/chart" uri="{CE6537A1-D6FC-4f65-9D91-7224C49458BB}">
                  <c15:layout/>
                </c:ext>
              </c:extLst>
            </c:dLbl>
            <c:dLbl>
              <c:idx val="3"/>
              <c:layout>
                <c:manualLayout>
                  <c:x val="3.9678627957765496E-3"/>
                  <c:y val="8.4732416922461265E-2"/>
                </c:manualLayout>
              </c:layout>
              <c:tx>
                <c:rich>
                  <a:bodyPr/>
                  <a:lstStyle/>
                  <a:p>
                    <a:r>
                      <a:rPr lang="en-US" sz="900"/>
                      <a:t>15,5%</a:t>
                    </a:r>
                  </a:p>
                </c:rich>
              </c:tx>
              <c:dLblPos val="bestFit"/>
              <c:extLst>
                <c:ext xmlns:c15="http://schemas.microsoft.com/office/drawing/2012/chart" uri="{CE6537A1-D6FC-4f65-9D91-7224C49458BB}">
                  <c15:layout/>
                </c:ext>
              </c:extLst>
            </c:dLbl>
            <c:dLbl>
              <c:idx val="4"/>
              <c:layout>
                <c:manualLayout>
                  <c:x val="-2.2291679188957022E-2"/>
                  <c:y val="-0.10335557831055871"/>
                </c:manualLayout>
              </c:layout>
              <c:tx>
                <c:rich>
                  <a:bodyPr/>
                  <a:lstStyle/>
                  <a:p>
                    <a:r>
                      <a:rPr lang="en-US" sz="900"/>
                      <a:t>14,5%</a:t>
                    </a:r>
                  </a:p>
                </c:rich>
              </c:tx>
              <c:dLblPos val="bestFit"/>
              <c:extLst>
                <c:ext xmlns:c15="http://schemas.microsoft.com/office/drawing/2012/chart" uri="{CE6537A1-D6FC-4f65-9D91-7224C49458BB}">
                  <c15:layout/>
                </c:ext>
              </c:extLst>
            </c:dLbl>
            <c:dLbl>
              <c:idx val="5"/>
              <c:layout>
                <c:manualLayout>
                  <c:x val="5.4186852597623812E-2"/>
                  <c:y val="-5.4735975799635912E-2"/>
                </c:manualLayout>
              </c:layout>
              <c:tx>
                <c:rich>
                  <a:bodyPr/>
                  <a:lstStyle/>
                  <a:p>
                    <a:r>
                      <a:rPr lang="en-US" sz="900"/>
                      <a:t>9,4%</a:t>
                    </a:r>
                  </a:p>
                </c:rich>
              </c:tx>
              <c:dLblPos val="bestFit"/>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spPr>
              <a:noFill/>
              <a:ln w="40429">
                <a:noFill/>
              </a:ln>
            </c:spPr>
            <c:txPr>
              <a:bodyPr/>
              <a:lstStyle/>
              <a:p>
                <a:pPr>
                  <a:defRPr sz="900">
                    <a:latin typeface="Times New Roman" pitchFamily="18" charset="0"/>
                    <a:cs typeface="Times New Roman" pitchFamily="18" charset="0"/>
                  </a:defRPr>
                </a:pPr>
                <a:endParaRPr lang="ru-RU"/>
              </a:p>
            </c:txPr>
            <c:showVal val="1"/>
            <c:showLeaderLines val="1"/>
            <c:extLst>
              <c:ext xmlns:c15="http://schemas.microsoft.com/office/drawing/2012/chart" uri="{CE6537A1-D6FC-4f65-9D91-7224C49458BB}"/>
            </c:extLst>
          </c:dLbls>
          <c:cat>
            <c:strRef>
              <c:f>Лист1!$A$2:$A$8</c:f>
              <c:strCache>
                <c:ptCount val="6"/>
                <c:pt idx="0">
                  <c:v>черная металлургия</c:v>
                </c:pt>
                <c:pt idx="1">
                  <c:v>электроэнергетика</c:v>
                </c:pt>
                <c:pt idx="2">
                  <c:v>промышленность строительных материалов</c:v>
                </c:pt>
                <c:pt idx="3">
                  <c:v>легкая промышленность</c:v>
                </c:pt>
                <c:pt idx="4">
                  <c:v>пищевая промышленность</c:v>
                </c:pt>
                <c:pt idx="5">
                  <c:v>прочие</c:v>
                </c:pt>
              </c:strCache>
            </c:strRef>
          </c:cat>
          <c:val>
            <c:numRef>
              <c:f>Лист1!$B$2:$B$8</c:f>
              <c:numCache>
                <c:formatCode>0.0</c:formatCode>
                <c:ptCount val="7"/>
                <c:pt idx="0" formatCode="General">
                  <c:v>734.7</c:v>
                </c:pt>
                <c:pt idx="1">
                  <c:v>1395.4</c:v>
                </c:pt>
                <c:pt idx="2">
                  <c:v>153.30000000000001</c:v>
                </c:pt>
                <c:pt idx="3">
                  <c:v>582.9</c:v>
                </c:pt>
                <c:pt idx="4" formatCode="General">
                  <c:v>546.6</c:v>
                </c:pt>
                <c:pt idx="5">
                  <c:v>353.79999999999899</c:v>
                </c:pt>
                <c:pt idx="6">
                  <c:v>0</c:v>
                </c:pt>
              </c:numCache>
            </c:numRef>
          </c:val>
        </c:ser>
      </c:pie3DChart>
      <c:spPr>
        <a:noFill/>
        <a:ln w="25412">
          <a:noFill/>
        </a:ln>
      </c:spPr>
    </c:plotArea>
    <c:plotVisOnly val="1"/>
    <c:dispBlanksAs val="zero"/>
  </c:chart>
  <c:spPr>
    <a:ln>
      <a:noFill/>
    </a:ln>
  </c:spPr>
  <c:externalData r:id="rId5"/>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en-US" sz="1100" b="1" i="0" baseline="0"/>
              <a:t>I</a:t>
            </a:r>
            <a:r>
              <a:rPr lang="ru-RU" sz="1100" b="1" i="0" baseline="0"/>
              <a:t> полугодие 2017 года</a:t>
            </a:r>
            <a:endParaRPr lang="ru-RU" sz="1100"/>
          </a:p>
        </c:rich>
      </c:tx>
      <c:layout>
        <c:manualLayout>
          <c:xMode val="edge"/>
          <c:yMode val="edge"/>
          <c:x val="0.19534769692250006"/>
          <c:y val="3.0408017179670916E-2"/>
        </c:manualLayout>
      </c:layout>
      <c:spPr>
        <a:noFill/>
        <a:ln w="25095">
          <a:noFill/>
        </a:ln>
      </c:spPr>
    </c:title>
    <c:view3D>
      <c:rotX val="30"/>
      <c:perspective val="30"/>
    </c:view3D>
    <c:plotArea>
      <c:layout>
        <c:manualLayout>
          <c:layoutTarget val="inner"/>
          <c:xMode val="edge"/>
          <c:yMode val="edge"/>
          <c:x val="7.5798217530501826E-4"/>
          <c:y val="0.18245772557118894"/>
          <c:w val="0.7544157941795786"/>
          <c:h val="0.817542274428815"/>
        </c:manualLayout>
      </c:layout>
      <c:pie3DChart>
        <c:varyColors val="1"/>
        <c:ser>
          <c:idx val="0"/>
          <c:order val="0"/>
          <c:tx>
            <c:strRef>
              <c:f>Лист1!$B$1</c:f>
              <c:strCache>
                <c:ptCount val="1"/>
                <c:pt idx="0">
                  <c:v>I полугодие 2016 года</c:v>
                </c:pt>
              </c:strCache>
            </c:strRef>
          </c:tx>
          <c:spPr>
            <a:solidFill>
              <a:srgbClr val="F79646">
                <a:lumMod val="75000"/>
              </a:srgbClr>
            </a:solidFill>
          </c:spPr>
          <c:explosion val="10"/>
          <c:dPt>
            <c:idx val="0"/>
            <c:spPr>
              <a:solidFill>
                <a:srgbClr val="1F497D">
                  <a:lumMod val="60000"/>
                  <a:lumOff val="40000"/>
                </a:srgbClr>
              </a:solidFill>
            </c:spPr>
          </c:dPt>
          <c:dPt>
            <c:idx val="1"/>
            <c:spPr>
              <a:solidFill>
                <a:srgbClr val="92D050"/>
              </a:solidFill>
            </c:spPr>
          </c:dPt>
          <c:dLbls>
            <c:dLbl>
              <c:idx val="0"/>
              <c:layout>
                <c:manualLayout>
                  <c:x val="7.3764817859306589E-3"/>
                  <c:y val="-2.6045494313210849E-2"/>
                </c:manualLayout>
              </c:layout>
              <c:tx>
                <c:rich>
                  <a:bodyPr/>
                  <a:lstStyle/>
                  <a:p>
                    <a:r>
                      <a:rPr lang="en-US"/>
                      <a:t>5,3;</a:t>
                    </a:r>
                  </a:p>
                  <a:p>
                    <a:r>
                      <a:rPr lang="en-US"/>
                      <a:t> 26%</a:t>
                    </a:r>
                  </a:p>
                </c:rich>
              </c:tx>
              <c:dLblPos val="ctr"/>
              <c:showVal val="1"/>
              <c:showPercent val="1"/>
              <c:separator>; </c:separator>
              <c:extLst>
                <c:ext xmlns:c15="http://schemas.microsoft.com/office/drawing/2012/chart" uri="{CE6537A1-D6FC-4f65-9D91-7224C49458BB}">
                  <c15:layout/>
                </c:ext>
              </c:extLst>
            </c:dLbl>
            <c:dLbl>
              <c:idx val="1"/>
              <c:layout>
                <c:manualLayout>
                  <c:x val="1.8365183690881807E-2"/>
                  <c:y val="6.7085953878406823E-2"/>
                </c:manualLayout>
              </c:layout>
              <c:tx>
                <c:rich>
                  <a:bodyPr/>
                  <a:lstStyle/>
                  <a:p>
                    <a:r>
                      <a:rPr lang="en-US"/>
                      <a:t>15,2;</a:t>
                    </a:r>
                  </a:p>
                  <a:p>
                    <a:r>
                      <a:rPr lang="en-US"/>
                      <a:t> 74%</a:t>
                    </a:r>
                  </a:p>
                </c:rich>
              </c:tx>
              <c:dLblPos val="ctr"/>
              <c:showVal val="1"/>
              <c:showPercent val="1"/>
              <c:separator>; </c:separator>
              <c:extLst>
                <c:ext xmlns:c15="http://schemas.microsoft.com/office/drawing/2012/chart" uri="{CE6537A1-D6FC-4f65-9D91-7224C49458BB}">
                  <c15:layout/>
                </c:ext>
              </c:extLst>
            </c:dLbl>
            <c:spPr>
              <a:noFill/>
              <a:ln>
                <a:noFill/>
              </a:ln>
              <a:effectLst/>
            </c:spPr>
            <c:txPr>
              <a:bodyPr rot="0" vert="horz" anchor="ctr" anchorCtr="1"/>
              <a:lstStyle/>
              <a:p>
                <a:pPr>
                  <a:defRPr sz="1000" b="1"/>
                </a:pPr>
                <a:endParaRPr lang="ru-RU"/>
              </a:p>
            </c:txPr>
            <c:dLblPos val="ctr"/>
            <c:showVal val="1"/>
            <c:showPercent val="1"/>
            <c:separator>; </c:separator>
            <c:extLst>
              <c:ext xmlns:c15="http://schemas.microsoft.com/office/drawing/2012/chart" uri="{CE6537A1-D6FC-4f65-9D91-7224C49458BB}"/>
            </c:extLst>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5.3</c:v>
                </c:pt>
                <c:pt idx="1">
                  <c:v>15.2</c:v>
                </c:pt>
              </c:numCache>
            </c:numRef>
          </c:val>
        </c:ser>
        <c:dLbls>
          <c:showVal val="1"/>
        </c:dLbls>
      </c:pie3DChart>
      <c:spPr>
        <a:noFill/>
        <a:ln w="25398">
          <a:noFill/>
        </a:ln>
      </c:spPr>
    </c:plotArea>
    <c:legend>
      <c:legendPos val="r"/>
      <c:layout>
        <c:manualLayout>
          <c:xMode val="edge"/>
          <c:yMode val="edge"/>
          <c:x val="0.71498579206524804"/>
          <c:y val="4.0844517076874795E-2"/>
          <c:w val="0.27965814190581856"/>
          <c:h val="0.9574354149127585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en-US" sz="1100" b="1" i="0" baseline="0"/>
              <a:t>I</a:t>
            </a:r>
            <a:r>
              <a:rPr lang="ru-RU" sz="1100" b="1" i="0" baseline="0"/>
              <a:t> полугодие 2016 года</a:t>
            </a:r>
            <a:endParaRPr lang="ru-RU" sz="1100"/>
          </a:p>
        </c:rich>
      </c:tx>
      <c:layout>
        <c:manualLayout>
          <c:xMode val="edge"/>
          <c:yMode val="edge"/>
          <c:x val="0.22431861992354615"/>
          <c:y val="6.2259659403039744E-3"/>
        </c:manualLayout>
      </c:layout>
      <c:spPr>
        <a:noFill/>
        <a:ln w="25101">
          <a:noFill/>
        </a:ln>
      </c:spPr>
    </c:title>
    <c:view3D>
      <c:rotX val="30"/>
      <c:perspective val="30"/>
    </c:view3D>
    <c:plotArea>
      <c:layout>
        <c:manualLayout>
          <c:layoutTarget val="inner"/>
          <c:xMode val="edge"/>
          <c:yMode val="edge"/>
          <c:x val="3.4481627296587936E-2"/>
          <c:y val="0.17137380853709094"/>
          <c:w val="0.85169707445106591"/>
          <c:h val="0.82862619146290928"/>
        </c:manualLayout>
      </c:layout>
      <c:pie3DChart>
        <c:varyColors val="1"/>
        <c:ser>
          <c:idx val="0"/>
          <c:order val="0"/>
          <c:tx>
            <c:strRef>
              <c:f>Лист1!$B$1</c:f>
              <c:strCache>
                <c:ptCount val="1"/>
                <c:pt idx="0">
                  <c:v>I полугодие 2016</c:v>
                </c:pt>
              </c:strCache>
            </c:strRef>
          </c:tx>
          <c:spPr>
            <a:solidFill>
              <a:srgbClr val="4BACC6">
                <a:lumMod val="75000"/>
              </a:srgbClr>
            </a:solidFill>
          </c:spPr>
          <c:explosion val="2"/>
          <c:dPt>
            <c:idx val="0"/>
            <c:explosion val="9"/>
            <c:spPr>
              <a:solidFill>
                <a:srgbClr val="1F497D">
                  <a:lumMod val="60000"/>
                  <a:lumOff val="40000"/>
                </a:srgbClr>
              </a:solidFill>
            </c:spPr>
          </c:dPt>
          <c:dPt>
            <c:idx val="1"/>
            <c:explosion val="6"/>
            <c:spPr>
              <a:solidFill>
                <a:srgbClr val="92D050"/>
              </a:solidFill>
            </c:spPr>
          </c:dPt>
          <c:dLbls>
            <c:dLbl>
              <c:idx val="0"/>
              <c:layout>
                <c:manualLayout>
                  <c:x val="0"/>
                  <c:y val="-2.06718346253232E-2"/>
                </c:manualLayout>
              </c:layout>
              <c:spPr/>
              <c:txPr>
                <a:bodyPr/>
                <a:lstStyle/>
                <a:p>
                  <a:pPr algn="just">
                    <a:defRPr sz="1000" b="1"/>
                  </a:pPr>
                  <a:endParaRPr lang="ru-RU"/>
                </a:p>
              </c:txPr>
              <c:dLblPos val="ctr"/>
              <c:showVal val="1"/>
              <c:showPercent val="1"/>
              <c:separator>; </c:separator>
              <c:extLst>
                <c:ext xmlns:c15="http://schemas.microsoft.com/office/drawing/2012/chart" uri="{CE6537A1-D6FC-4f65-9D91-7224C49458BB}">
                  <c15:layout/>
                </c:ext>
              </c:extLst>
            </c:dLbl>
            <c:dLbl>
              <c:idx val="1"/>
              <c:layout>
                <c:manualLayout>
                  <c:x val="-5.5325034578146909E-3"/>
                  <c:y val="5.1679586563307241E-2"/>
                </c:manualLayout>
              </c:layout>
              <c:spPr/>
              <c:txPr>
                <a:bodyPr/>
                <a:lstStyle/>
                <a:p>
                  <a:pPr algn="just">
                    <a:defRPr sz="1000" b="1"/>
                  </a:pPr>
                  <a:endParaRPr lang="ru-RU"/>
                </a:p>
              </c:txPr>
              <c:dLblPos val="ctr"/>
              <c:showVal val="1"/>
              <c:showPercent val="1"/>
              <c:separator>; </c:separator>
              <c:extLst>
                <c:ext xmlns:c15="http://schemas.microsoft.com/office/drawing/2012/chart" uri="{CE6537A1-D6FC-4f65-9D91-7224C49458BB}">
                  <c15:layout/>
                </c:ext>
              </c:extLst>
            </c:dLbl>
            <c:spPr>
              <a:noFill/>
              <a:ln>
                <a:noFill/>
              </a:ln>
              <a:effectLst/>
            </c:spPr>
            <c:txPr>
              <a:bodyPr/>
              <a:lstStyle/>
              <a:p>
                <a:pPr algn="just">
                  <a:defRPr sz="1000"/>
                </a:pPr>
                <a:endParaRPr lang="ru-RU"/>
              </a:p>
            </c:txPr>
            <c:dLblPos val="ctr"/>
            <c:showVal val="1"/>
            <c:showPercent val="1"/>
            <c:separator>; </c:separator>
            <c:extLst>
              <c:ext xmlns:c15="http://schemas.microsoft.com/office/drawing/2012/chart" uri="{CE6537A1-D6FC-4f65-9D91-7224C49458BB}"/>
            </c:extLst>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5.4</c:v>
                </c:pt>
                <c:pt idx="1">
                  <c:v>14.6</c:v>
                </c:pt>
              </c:numCache>
            </c:numRef>
          </c:val>
        </c:ser>
        <c:dLbls>
          <c:showVal val="1"/>
        </c:dLbls>
      </c:pie3DChart>
      <c:spPr>
        <a:noFill/>
        <a:ln w="25401">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2">
                <a:latin typeface="Times New Roman" pitchFamily="18" charset="0"/>
                <a:cs typeface="Times New Roman" pitchFamily="18" charset="0"/>
              </a:defRPr>
            </a:pPr>
            <a:r>
              <a:rPr lang="ru-RU" sz="1202"/>
              <a:t>январь-июнь 2016 года</a:t>
            </a:r>
            <a:endParaRPr lang="ru-RU" sz="1200" b="0"/>
          </a:p>
        </c:rich>
      </c:tx>
      <c:layout>
        <c:manualLayout>
          <c:xMode val="edge"/>
          <c:yMode val="edge"/>
          <c:x val="0.2247399247507855"/>
          <c:y val="2.1025247950201453E-3"/>
        </c:manualLayout>
      </c:layout>
      <c:spPr>
        <a:noFill/>
        <a:ln w="40482">
          <a:noFill/>
        </a:ln>
      </c:spPr>
    </c:title>
    <c:view3D>
      <c:rotX val="30"/>
      <c:perspective val="30"/>
    </c:view3D>
    <c:plotArea>
      <c:layout>
        <c:manualLayout>
          <c:layoutTarget val="inner"/>
          <c:xMode val="edge"/>
          <c:yMode val="edge"/>
          <c:x val="4.6573057678135056E-2"/>
          <c:y val="0.20212416305104719"/>
          <c:w val="0.57657266979558586"/>
          <c:h val="0.69808043062414915"/>
        </c:manualLayout>
      </c:layout>
      <c:pie3DChart>
        <c:varyColors val="1"/>
        <c:ser>
          <c:idx val="0"/>
          <c:order val="0"/>
          <c:tx>
            <c:strRef>
              <c:f>Лист1!$B$1</c:f>
              <c:strCache>
                <c:ptCount val="1"/>
                <c:pt idx="0">
                  <c:v>2016 год</c:v>
                </c:pt>
              </c:strCache>
            </c:strRef>
          </c:tx>
          <c:explosion val="29"/>
          <c:dPt>
            <c:idx val="0"/>
            <c:explosion val="5"/>
            <c:spPr>
              <a:solidFill>
                <a:srgbClr val="66FF33"/>
              </a:solidFill>
            </c:spPr>
          </c:dPt>
          <c:dPt>
            <c:idx val="1"/>
            <c:explosion val="22"/>
            <c:spPr>
              <a:blipFill>
                <a:blip xmlns:r="http://schemas.openxmlformats.org/officeDocument/2006/relationships" r:embed="rId2"/>
                <a:tile tx="0" ty="0" sx="100000" sy="100000" flip="none" algn="tl"/>
              </a:blipFill>
            </c:spPr>
          </c:dPt>
          <c:dPt>
            <c:idx val="2"/>
            <c:explosion val="15"/>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dPt>
          <c:dPt>
            <c:idx val="3"/>
            <c:explosion val="21"/>
            <c:spPr>
              <a:blipFill>
                <a:blip xmlns:r="http://schemas.openxmlformats.org/officeDocument/2006/relationships" r:embed="rId3"/>
                <a:tile tx="0" ty="0" sx="100000" sy="100000" flip="none" algn="tl"/>
              </a:blipFill>
            </c:spPr>
          </c:dPt>
          <c:dPt>
            <c:idx val="4"/>
            <c:explosion val="15"/>
            <c:spPr>
              <a:blipFill>
                <a:blip xmlns:r="http://schemas.openxmlformats.org/officeDocument/2006/relationships" r:embed="rId4"/>
                <a:tile tx="0" ty="0" sx="100000" sy="100000" flip="none" algn="tl"/>
              </a:blipFill>
            </c:spPr>
          </c:dPt>
          <c:dPt>
            <c:idx val="5"/>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c:spPr>
          </c:dPt>
          <c:dLbls>
            <c:dLbl>
              <c:idx val="0"/>
              <c:layout>
                <c:manualLayout>
                  <c:x val="-4.8919747100577941E-3"/>
                  <c:y val="-8.5311907440141319E-2"/>
                </c:manualLayout>
              </c:layout>
              <c:tx>
                <c:rich>
                  <a:bodyPr/>
                  <a:lstStyle/>
                  <a:p>
                    <a:r>
                      <a:rPr lang="en-US" sz="901"/>
                      <a:t>13,1%</a:t>
                    </a:r>
                    <a:endParaRPr lang="en-US" sz="900"/>
                  </a:p>
                </c:rich>
              </c:tx>
              <c:dLblPos val="bestFit"/>
              <c:extLst>
                <c:ext xmlns:c15="http://schemas.microsoft.com/office/drawing/2012/chart" uri="{CE6537A1-D6FC-4f65-9D91-7224C49458BB}">
                  <c15:layout/>
                </c:ext>
              </c:extLst>
            </c:dLbl>
            <c:dLbl>
              <c:idx val="1"/>
              <c:layout>
                <c:manualLayout>
                  <c:x val="-4.2958250908291827E-2"/>
                  <c:y val="0.13587830092666989"/>
                </c:manualLayout>
              </c:layout>
              <c:tx>
                <c:rich>
                  <a:bodyPr/>
                  <a:lstStyle/>
                  <a:p>
                    <a:r>
                      <a:rPr lang="en-US" sz="901"/>
                      <a:t>50,0%</a:t>
                    </a:r>
                    <a:endParaRPr lang="en-US" sz="900"/>
                  </a:p>
                </c:rich>
              </c:tx>
              <c:dLblPos val="bestFit"/>
              <c:extLst>
                <c:ext xmlns:c15="http://schemas.microsoft.com/office/drawing/2012/chart" uri="{CE6537A1-D6FC-4f65-9D91-7224C49458BB}">
                  <c15:layout/>
                </c:ext>
              </c:extLst>
            </c:dLbl>
            <c:dLbl>
              <c:idx val="2"/>
              <c:layout>
                <c:manualLayout>
                  <c:x val="2.2449866180521052E-2"/>
                  <c:y val="0.17585644651561441"/>
                </c:manualLayout>
              </c:layout>
              <c:tx>
                <c:rich>
                  <a:bodyPr/>
                  <a:lstStyle/>
                  <a:p>
                    <a:r>
                      <a:rPr lang="en-US" sz="901"/>
                      <a:t>3,9%</a:t>
                    </a:r>
                    <a:endParaRPr lang="en-US" sz="900"/>
                  </a:p>
                </c:rich>
              </c:tx>
              <c:dLblPos val="bestFit"/>
              <c:extLst>
                <c:ext xmlns:c15="http://schemas.microsoft.com/office/drawing/2012/chart" uri="{CE6537A1-D6FC-4f65-9D91-7224C49458BB}">
                  <c15:layout/>
                </c:ext>
              </c:extLst>
            </c:dLbl>
            <c:dLbl>
              <c:idx val="3"/>
              <c:layout>
                <c:manualLayout>
                  <c:x val="0"/>
                  <c:y val="0.18973999678611894"/>
                </c:manualLayout>
              </c:layout>
              <c:tx>
                <c:rich>
                  <a:bodyPr/>
                  <a:lstStyle/>
                  <a:p>
                    <a:r>
                      <a:rPr lang="en-US" sz="901"/>
                      <a:t>13,7%</a:t>
                    </a:r>
                    <a:endParaRPr lang="en-US" sz="900"/>
                  </a:p>
                </c:rich>
              </c:tx>
              <c:dLblPos val="bestFit"/>
              <c:extLst>
                <c:ext xmlns:c15="http://schemas.microsoft.com/office/drawing/2012/chart" uri="{CE6537A1-D6FC-4f65-9D91-7224C49458BB}">
                  <c15:layout/>
                </c:ext>
              </c:extLst>
            </c:dLbl>
            <c:dLbl>
              <c:idx val="4"/>
              <c:layout>
                <c:manualLayout>
                  <c:x val="-2.662455328677139E-2"/>
                  <c:y val="-6.5589347203159218E-2"/>
                </c:manualLayout>
              </c:layout>
              <c:tx>
                <c:rich>
                  <a:bodyPr/>
                  <a:lstStyle/>
                  <a:p>
                    <a:r>
                      <a:rPr lang="en-US" sz="901"/>
                      <a:t>12,3%</a:t>
                    </a:r>
                    <a:endParaRPr lang="en-US" sz="900"/>
                  </a:p>
                </c:rich>
              </c:tx>
              <c:dLblPos val="bestFit"/>
              <c:extLst>
                <c:ext xmlns:c15="http://schemas.microsoft.com/office/drawing/2012/chart" uri="{CE6537A1-D6FC-4f65-9D91-7224C49458BB}">
                  <c15:layout/>
                </c:ext>
              </c:extLst>
            </c:dLbl>
            <c:dLbl>
              <c:idx val="5"/>
              <c:layout>
                <c:manualLayout>
                  <c:x val="6.6602019575139016E-3"/>
                  <c:y val="-4.2416840752048934E-2"/>
                </c:manualLayout>
              </c:layout>
              <c:tx>
                <c:rich>
                  <a:bodyPr/>
                  <a:lstStyle/>
                  <a:p>
                    <a:r>
                      <a:rPr lang="en-US" sz="901"/>
                      <a:t>7,0%</a:t>
                    </a:r>
                    <a:endParaRPr lang="en-US" sz="900"/>
                  </a:p>
                </c:rich>
              </c:tx>
              <c:dLblPos val="bestFit"/>
              <c:extLst>
                <c:ext xmlns:c15="http://schemas.microsoft.com/office/drawing/2012/chart" uri="{CE6537A1-D6FC-4f65-9D91-7224C49458BB}">
                  <c15:layout/>
                </c:ext>
              </c:extLst>
            </c:dLbl>
            <c:spPr>
              <a:noFill/>
              <a:ln w="40482">
                <a:noFill/>
              </a:ln>
            </c:spPr>
            <c:txPr>
              <a:bodyPr/>
              <a:lstStyle/>
              <a:p>
                <a:pPr>
                  <a:defRPr sz="901">
                    <a:latin typeface="Times New Roman" pitchFamily="18" charset="0"/>
                    <a:cs typeface="Times New Roman" pitchFamily="18" charset="0"/>
                  </a:defRPr>
                </a:pPr>
                <a:endParaRPr lang="ru-RU"/>
              </a:p>
            </c:txPr>
            <c:showVal val="1"/>
            <c:showLeaderLines val="1"/>
            <c:extLst>
              <c:ext xmlns:c15="http://schemas.microsoft.com/office/drawing/2012/chart" uri="{CE6537A1-D6FC-4f65-9D91-7224C49458BB}"/>
            </c:extLst>
          </c:dLbls>
          <c:cat>
            <c:strRef>
              <c:f>Лист1!$A$2:$A$7</c:f>
              <c:strCache>
                <c:ptCount val="6"/>
                <c:pt idx="0">
                  <c:v>черная металлургия</c:v>
                </c:pt>
                <c:pt idx="1">
                  <c:v>электроэнергетика</c:v>
                </c:pt>
                <c:pt idx="2">
                  <c:v>промышленность строительных материалов</c:v>
                </c:pt>
                <c:pt idx="3">
                  <c:v>легкая промышленность</c:v>
                </c:pt>
                <c:pt idx="4">
                  <c:v>пищевая промышленность</c:v>
                </c:pt>
                <c:pt idx="5">
                  <c:v>прочие</c:v>
                </c:pt>
              </c:strCache>
            </c:strRef>
          </c:cat>
          <c:val>
            <c:numRef>
              <c:f>Лист1!$B$2:$B$7</c:f>
              <c:numCache>
                <c:formatCode>0.0</c:formatCode>
                <c:ptCount val="6"/>
                <c:pt idx="0">
                  <c:v>523.6</c:v>
                </c:pt>
                <c:pt idx="1">
                  <c:v>2001.6</c:v>
                </c:pt>
                <c:pt idx="2">
                  <c:v>155.4</c:v>
                </c:pt>
                <c:pt idx="3">
                  <c:v>549.29999999999995</c:v>
                </c:pt>
                <c:pt idx="4" formatCode="General">
                  <c:v>490.4</c:v>
                </c:pt>
                <c:pt idx="5">
                  <c:v>278.80000000000018</c:v>
                </c:pt>
              </c:numCache>
            </c:numRef>
          </c:val>
        </c:ser>
      </c:pie3DChart>
      <c:spPr>
        <a:noFill/>
        <a:ln w="25438">
          <a:noFill/>
        </a:ln>
      </c:spPr>
    </c:plotArea>
    <c:legend>
      <c:legendPos val="r"/>
      <c:legendEntry>
        <c:idx val="2"/>
        <c:txPr>
          <a:bodyPr/>
          <a:lstStyle/>
          <a:p>
            <a:pPr>
              <a:spcAft>
                <a:spcPts val="200"/>
              </a:spcAft>
              <a:defRPr sz="1000">
                <a:latin typeface="Times New Roman" pitchFamily="18" charset="0"/>
                <a:cs typeface="Times New Roman" pitchFamily="18" charset="0"/>
              </a:defRPr>
            </a:pPr>
            <a:endParaRPr lang="ru-RU"/>
          </a:p>
        </c:txPr>
      </c:legendEntry>
      <c:layout>
        <c:manualLayout>
          <c:xMode val="edge"/>
          <c:yMode val="edge"/>
          <c:x val="0.59046584694154558"/>
          <c:y val="0.23313728641062775"/>
          <c:w val="0.40606803459912333"/>
          <c:h val="0.76414564704836985"/>
        </c:manualLayout>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externalData r:id="rId5"/>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9023856094421432E-2"/>
          <c:y val="6.425196850393701E-2"/>
          <c:w val="0.92031746827824856"/>
          <c:h val="0.59392537958071701"/>
        </c:manualLayout>
      </c:layout>
      <c:lineChart>
        <c:grouping val="standard"/>
        <c:ser>
          <c:idx val="0"/>
          <c:order val="0"/>
          <c:tx>
            <c:strRef>
              <c:f>Лист1!$B$1</c:f>
              <c:strCache>
                <c:ptCount val="1"/>
                <c:pt idx="0">
                  <c:v>2017</c:v>
                </c:pt>
              </c:strCache>
            </c:strRef>
          </c:tx>
          <c:spPr>
            <a:ln>
              <a:solidFill>
                <a:schemeClr val="accent3">
                  <a:lumMod val="75000"/>
                </a:schemeClr>
              </a:solidFill>
            </a:ln>
          </c:spPr>
          <c:dLbls>
            <c:dLbl>
              <c:idx val="0"/>
              <c:layout>
                <c:manualLayout>
                  <c:x val="-4.8402628015448451E-2"/>
                  <c:y val="0.13900196019801322"/>
                </c:manualLayout>
              </c:layout>
              <c:tx>
                <c:rich>
                  <a:bodyPr/>
                  <a:lstStyle/>
                  <a:p>
                    <a:r>
                      <a:rPr lang="en-US" sz="800" b="1">
                        <a:latin typeface="Times New Roman" pitchFamily="18" charset="0"/>
                        <a:cs typeface="Times New Roman" pitchFamily="18" charset="0"/>
                      </a:rPr>
                      <a:t>101,9%*</a:t>
                    </a:r>
                  </a:p>
                </c:rich>
              </c:tx>
              <c:dLblPos val="r"/>
              <c:extLst>
                <c:ext xmlns:c15="http://schemas.microsoft.com/office/drawing/2012/chart" uri="{CE6537A1-D6FC-4f65-9D91-7224C49458BB}">
                  <c15:layout/>
                </c:ext>
              </c:extLst>
            </c:dLbl>
            <c:dLbl>
              <c:idx val="1"/>
              <c:layout>
                <c:manualLayout>
                  <c:x val="-4.3368273233361933E-2"/>
                  <c:y val="0.11894616946466599"/>
                </c:manualLayout>
              </c:layout>
              <c:tx>
                <c:rich>
                  <a:bodyPr/>
                  <a:lstStyle/>
                  <a:p>
                    <a:r>
                      <a:rPr lang="en-US" sz="800" b="1">
                        <a:latin typeface="Times New Roman" pitchFamily="18" charset="0"/>
                        <a:cs typeface="Times New Roman" pitchFamily="18" charset="0"/>
                      </a:rPr>
                      <a:t>78,0%*</a:t>
                    </a:r>
                  </a:p>
                </c:rich>
              </c:tx>
              <c:dLblPos val="r"/>
              <c:extLst>
                <c:ext xmlns:c15="http://schemas.microsoft.com/office/drawing/2012/chart" uri="{CE6537A1-D6FC-4f65-9D91-7224C49458BB}">
                  <c15:layout/>
                </c:ext>
              </c:extLst>
            </c:dLbl>
            <c:dLbl>
              <c:idx val="2"/>
              <c:layout>
                <c:manualLayout>
                  <c:x val="-3.8807195278934212E-2"/>
                  <c:y val="0.14210438885013152"/>
                </c:manualLayout>
              </c:layout>
              <c:tx>
                <c:rich>
                  <a:bodyPr/>
                  <a:lstStyle/>
                  <a:p>
                    <a:r>
                      <a:rPr lang="en-US" sz="800" b="1">
                        <a:latin typeface="Times New Roman" pitchFamily="18" charset="0"/>
                        <a:cs typeface="Times New Roman" pitchFamily="18" charset="0"/>
                      </a:rPr>
                      <a:t>82,8%*</a:t>
                    </a:r>
                  </a:p>
                </c:rich>
              </c:tx>
              <c:dLblPos val="r"/>
              <c:extLst>
                <c:ext xmlns:c15="http://schemas.microsoft.com/office/drawing/2012/chart" uri="{CE6537A1-D6FC-4f65-9D91-7224C49458BB}">
                  <c15:layout/>
                </c:ext>
              </c:extLst>
            </c:dLbl>
            <c:dLbl>
              <c:idx val="3"/>
              <c:layout>
                <c:manualLayout>
                  <c:x val="-3.7483825668288416E-2"/>
                  <c:y val="-0.21355393866905878"/>
                </c:manualLayout>
              </c:layout>
              <c:tx>
                <c:rich>
                  <a:bodyPr/>
                  <a:lstStyle/>
                  <a:p>
                    <a:r>
                      <a:rPr lang="en-US" sz="800" b="1">
                        <a:latin typeface="Times New Roman" pitchFamily="18" charset="0"/>
                        <a:cs typeface="Times New Roman" pitchFamily="18" charset="0"/>
                      </a:rPr>
                      <a:t>99,9%*</a:t>
                    </a:r>
                  </a:p>
                </c:rich>
              </c:tx>
              <c:dLblPos val="r"/>
              <c:extLst>
                <c:ext xmlns:c15="http://schemas.microsoft.com/office/drawing/2012/chart" uri="{CE6537A1-D6FC-4f65-9D91-7224C49458BB}">
                  <c15:layout/>
                </c:ext>
              </c:extLst>
            </c:dLbl>
            <c:dLbl>
              <c:idx val="4"/>
              <c:layout>
                <c:manualLayout>
                  <c:x val="-4.3280338365347643E-2"/>
                  <c:y val="0.12854380544204141"/>
                </c:manualLayout>
              </c:layout>
              <c:tx>
                <c:rich>
                  <a:bodyPr/>
                  <a:lstStyle/>
                  <a:p>
                    <a:r>
                      <a:rPr lang="en-US" sz="800" b="1">
                        <a:latin typeface="Times New Roman" pitchFamily="18" charset="0"/>
                        <a:cs typeface="Times New Roman" pitchFamily="18" charset="0"/>
                      </a:rPr>
                      <a:t>85,6%*</a:t>
                    </a:r>
                  </a:p>
                </c:rich>
              </c:tx>
              <c:dLblPos val="r"/>
              <c:extLst>
                <c:ext xmlns:c15="http://schemas.microsoft.com/office/drawing/2012/chart" uri="{CE6537A1-D6FC-4f65-9D91-7224C49458BB}">
                  <c15:layout/>
                </c:ext>
              </c:extLst>
            </c:dLbl>
            <c:dLbl>
              <c:idx val="5"/>
              <c:layout>
                <c:manualLayout>
                  <c:x val="-4.3809786515539059E-2"/>
                  <c:y val="0.18780092361872489"/>
                </c:manualLayout>
              </c:layout>
              <c:tx>
                <c:rich>
                  <a:bodyPr/>
                  <a:lstStyle/>
                  <a:p>
                    <a:r>
                      <a:rPr lang="en-US" sz="800" b="1">
                        <a:latin typeface="Times New Roman" pitchFamily="18" charset="0"/>
                        <a:cs typeface="Times New Roman" pitchFamily="18" charset="0"/>
                      </a:rPr>
                      <a:t>81,6%*</a:t>
                    </a:r>
                  </a:p>
                </c:rich>
              </c:tx>
              <c:dLblPos val="r"/>
              <c:extLst>
                <c:ext xmlns:c15="http://schemas.microsoft.com/office/drawing/2012/chart" uri="{CE6537A1-D6FC-4f65-9D91-7224C49458BB}">
                  <c15:layout/>
                </c:ext>
              </c:extLst>
            </c:dLbl>
            <c:dLbl>
              <c:idx val="6"/>
              <c:layout>
                <c:manualLayout>
                  <c:x val="-1.5554106692077681E-2"/>
                  <c:y val="6.1335446276762545E-2"/>
                </c:manualLayout>
              </c:layout>
              <c:tx>
                <c:rich>
                  <a:bodyPr/>
                  <a:lstStyle/>
                  <a:p>
                    <a:r>
                      <a:rPr lang="ru-RU" sz="800" b="1">
                        <a:latin typeface="Times New Roman" pitchFamily="18" charset="0"/>
                        <a:cs typeface="Times New Roman" pitchFamily="18" charset="0"/>
                      </a:rPr>
                      <a:t>70,6%*</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7"/>
              <c:layout>
                <c:manualLayout>
                  <c:x val="-3.3634752662286639E-2"/>
                  <c:y val="9.5734825599636961E-2"/>
                </c:manualLayout>
              </c:layout>
              <c:tx>
                <c:rich>
                  <a:bodyPr/>
                  <a:lstStyle/>
                  <a:p>
                    <a:r>
                      <a:rPr lang="ru-RU" sz="800" b="1">
                        <a:latin typeface="Times New Roman" pitchFamily="18" charset="0"/>
                        <a:cs typeface="Times New Roman" pitchFamily="18" charset="0"/>
                      </a:rPr>
                      <a:t>103,6%*</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8"/>
              <c:layout>
                <c:manualLayout>
                  <c:x val="-4.8113412575020484E-2"/>
                  <c:y val="8.1345020551676764E-2"/>
                </c:manualLayout>
              </c:layout>
              <c:tx>
                <c:rich>
                  <a:bodyPr/>
                  <a:lstStyle/>
                  <a:p>
                    <a:r>
                      <a:rPr lang="ru-RU" sz="800" b="1">
                        <a:latin typeface="Times New Roman" pitchFamily="18" charset="0"/>
                        <a:cs typeface="Times New Roman" pitchFamily="18" charset="0"/>
                      </a:rPr>
                      <a:t>87,5%*</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9"/>
              <c:layout>
                <c:manualLayout>
                  <c:x val="-3.094655365531539E-2"/>
                  <c:y val="-0.21259776490203044"/>
                </c:manualLayout>
              </c:layout>
              <c:tx>
                <c:rich>
                  <a:bodyPr/>
                  <a:lstStyle/>
                  <a:p>
                    <a:r>
                      <a:rPr lang="ru-RU" sz="800" b="1">
                        <a:latin typeface="Times New Roman" pitchFamily="18" charset="0"/>
                        <a:cs typeface="Times New Roman" pitchFamily="18" charset="0"/>
                      </a:rPr>
                      <a:t>92,1%*</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10"/>
              <c:layout>
                <c:manualLayout>
                  <c:x val="-4.5908520989016932E-2"/>
                  <c:y val="0.11094867858498818"/>
                </c:manualLayout>
              </c:layout>
              <c:tx>
                <c:rich>
                  <a:bodyPr/>
                  <a:lstStyle/>
                  <a:p>
                    <a:r>
                      <a:rPr lang="ru-RU" sz="800"/>
                      <a:t>95,1%*</a:t>
                    </a:r>
                    <a:endParaRPr lang="en-US" sz="800"/>
                  </a:p>
                </c:rich>
              </c:tx>
              <c:dLblPos val="r"/>
              <c:extLst>
                <c:ext xmlns:c15="http://schemas.microsoft.com/office/drawing/2012/chart" uri="{CE6537A1-D6FC-4f65-9D91-7224C49458BB}"/>
              </c:extLst>
            </c:dLbl>
            <c:dLbl>
              <c:idx val="11"/>
              <c:layout>
                <c:manualLayout>
                  <c:x val="0"/>
                  <c:y val="9.2020006933095727E-2"/>
                </c:manualLayout>
              </c:layout>
              <c:tx>
                <c:rich>
                  <a:bodyPr/>
                  <a:lstStyle/>
                  <a:p>
                    <a:r>
                      <a:rPr lang="ru-RU" sz="800"/>
                      <a:t>85,3%*</a:t>
                    </a:r>
                    <a:endParaRPr lang="en-US" sz="800"/>
                  </a:p>
                </c:rich>
              </c:tx>
              <c:dLblPos val="r"/>
              <c:extLst>
                <c:ext xmlns:c15="http://schemas.microsoft.com/office/drawing/2012/chart" uri="{CE6537A1-D6FC-4f65-9D91-7224C49458BB}"/>
              </c:extLst>
            </c:dLbl>
            <c:spPr>
              <a:noFill/>
              <a:ln w="24913">
                <a:noFill/>
              </a:ln>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Лист1!$A$2:$A$7</c:f>
              <c:strCache>
                <c:ptCount val="6"/>
                <c:pt idx="0">
                  <c:v>январь</c:v>
                </c:pt>
                <c:pt idx="1">
                  <c:v>февраль</c:v>
                </c:pt>
                <c:pt idx="2">
                  <c:v>март</c:v>
                </c:pt>
                <c:pt idx="3">
                  <c:v>апрель</c:v>
                </c:pt>
                <c:pt idx="4">
                  <c:v>май</c:v>
                </c:pt>
                <c:pt idx="5">
                  <c:v>июнь</c:v>
                </c:pt>
              </c:strCache>
            </c:strRef>
          </c:cat>
          <c:val>
            <c:numRef>
              <c:f>Лист1!$B$2:$B$7</c:f>
              <c:numCache>
                <c:formatCode>General</c:formatCode>
                <c:ptCount val="6"/>
                <c:pt idx="0">
                  <c:v>633.70000000000005</c:v>
                </c:pt>
                <c:pt idx="1">
                  <c:v>574.6</c:v>
                </c:pt>
                <c:pt idx="2">
                  <c:v>744.8</c:v>
                </c:pt>
                <c:pt idx="3">
                  <c:v>548.1</c:v>
                </c:pt>
                <c:pt idx="4" formatCode="0.0">
                  <c:v>618.4</c:v>
                </c:pt>
                <c:pt idx="5">
                  <c:v>828.6</c:v>
                </c:pt>
              </c:numCache>
            </c:numRef>
          </c:val>
        </c:ser>
        <c:ser>
          <c:idx val="1"/>
          <c:order val="1"/>
          <c:tx>
            <c:strRef>
              <c:f>Лист1!$C$1</c:f>
              <c:strCache>
                <c:ptCount val="1"/>
                <c:pt idx="0">
                  <c:v>2016</c:v>
                </c:pt>
              </c:strCache>
            </c:strRef>
          </c:tx>
          <c:spPr>
            <a:ln>
              <a:solidFill>
                <a:srgbClr val="F79646">
                  <a:lumMod val="60000"/>
                  <a:lumOff val="40000"/>
                </a:srgbClr>
              </a:solidFill>
            </a:ln>
          </c:spPr>
          <c:marker>
            <c:spPr>
              <a:solidFill>
                <a:srgbClr val="F79646">
                  <a:lumMod val="60000"/>
                  <a:lumOff val="40000"/>
                </a:srgbClr>
              </a:solidFill>
              <a:ln>
                <a:solidFill>
                  <a:srgbClr val="F79646">
                    <a:lumMod val="40000"/>
                    <a:lumOff val="60000"/>
                  </a:srgbClr>
                </a:solidFill>
              </a:ln>
            </c:spPr>
          </c:marker>
          <c:dLbls>
            <c:dLbl>
              <c:idx val="0"/>
              <c:layout>
                <c:manualLayout>
                  <c:x val="-4.2401491214872113E-2"/>
                  <c:y val="-0.12202730987740457"/>
                </c:manualLayout>
              </c:layout>
              <c:tx>
                <c:rich>
                  <a:bodyPr/>
                  <a:lstStyle/>
                  <a:p>
                    <a:r>
                      <a:rPr lang="en-US" sz="800" b="1">
                        <a:latin typeface="Times New Roman" pitchFamily="18" charset="0"/>
                        <a:cs typeface="Times New Roman" pitchFamily="18" charset="0"/>
                      </a:rPr>
                      <a:t>103,4%*</a:t>
                    </a:r>
                  </a:p>
                </c:rich>
              </c:tx>
              <c:dLblPos val="r"/>
              <c:extLst>
                <c:ext xmlns:c15="http://schemas.microsoft.com/office/drawing/2012/chart" uri="{CE6537A1-D6FC-4f65-9D91-7224C49458BB}">
                  <c15:layout/>
                </c:ext>
              </c:extLst>
            </c:dLbl>
            <c:dLbl>
              <c:idx val="1"/>
              <c:layout>
                <c:manualLayout>
                  <c:x val="-4.7770031930724509E-2"/>
                  <c:y val="-8.4092864680574725E-2"/>
                </c:manualLayout>
              </c:layout>
              <c:tx>
                <c:rich>
                  <a:bodyPr/>
                  <a:lstStyle/>
                  <a:p>
                    <a:r>
                      <a:rPr lang="en-US" sz="800" b="1">
                        <a:latin typeface="Times New Roman" pitchFamily="18" charset="0"/>
                        <a:cs typeface="Times New Roman" pitchFamily="18" charset="0"/>
                      </a:rPr>
                      <a:t>120,5%*</a:t>
                    </a:r>
                  </a:p>
                </c:rich>
              </c:tx>
              <c:dLblPos val="r"/>
              <c:extLst>
                <c:ext xmlns:c15="http://schemas.microsoft.com/office/drawing/2012/chart" uri="{CE6537A1-D6FC-4f65-9D91-7224C49458BB}">
                  <c15:layout/>
                </c:ext>
              </c:extLst>
            </c:dLbl>
            <c:dLbl>
              <c:idx val="2"/>
              <c:layout>
                <c:manualLayout>
                  <c:x val="-3.500142100071886E-2"/>
                  <c:y val="-9.4414432373168544E-2"/>
                </c:manualLayout>
              </c:layout>
              <c:tx>
                <c:rich>
                  <a:bodyPr/>
                  <a:lstStyle/>
                  <a:p>
                    <a:r>
                      <a:rPr lang="en-US" sz="800" b="1">
                        <a:latin typeface="Times New Roman" pitchFamily="18" charset="0"/>
                        <a:cs typeface="Times New Roman" pitchFamily="18" charset="0"/>
                      </a:rPr>
                      <a:t>124,4%*</a:t>
                    </a:r>
                  </a:p>
                </c:rich>
              </c:tx>
              <c:dLblPos val="r"/>
              <c:extLst>
                <c:ext xmlns:c15="http://schemas.microsoft.com/office/drawing/2012/chart" uri="{CE6537A1-D6FC-4f65-9D91-7224C49458BB}">
                  <c15:layout/>
                </c:ext>
              </c:extLst>
            </c:dLbl>
            <c:dLbl>
              <c:idx val="3"/>
              <c:layout>
                <c:manualLayout>
                  <c:x val="-3.8958657237908943E-2"/>
                  <c:y val="0.20383202099737541"/>
                </c:manualLayout>
              </c:layout>
              <c:tx>
                <c:rich>
                  <a:bodyPr/>
                  <a:lstStyle/>
                  <a:p>
                    <a:r>
                      <a:rPr lang="en-US" sz="800" b="1">
                        <a:latin typeface="Times New Roman" pitchFamily="18" charset="0"/>
                        <a:cs typeface="Times New Roman" pitchFamily="18" charset="0"/>
                      </a:rPr>
                      <a:t>78,9%*</a:t>
                    </a:r>
                  </a:p>
                </c:rich>
              </c:tx>
              <c:dLblPos val="r"/>
              <c:extLst>
                <c:ext xmlns:c15="http://schemas.microsoft.com/office/drawing/2012/chart" uri="{CE6537A1-D6FC-4f65-9D91-7224C49458BB}">
                  <c15:layout/>
                </c:ext>
              </c:extLst>
            </c:dLbl>
            <c:dLbl>
              <c:idx val="4"/>
              <c:layout>
                <c:manualLayout>
                  <c:x val="-2.6548138489058296E-2"/>
                  <c:y val="-8.4848666068640263E-2"/>
                </c:manualLayout>
              </c:layout>
              <c:tx>
                <c:rich>
                  <a:bodyPr/>
                  <a:lstStyle/>
                  <a:p>
                    <a:pPr>
                      <a:defRPr sz="800" b="1">
                        <a:solidFill>
                          <a:srgbClr val="FF0000"/>
                        </a:solidFill>
                        <a:latin typeface="Times New Roman" pitchFamily="18" charset="0"/>
                        <a:cs typeface="Times New Roman" pitchFamily="18" charset="0"/>
                      </a:defRPr>
                    </a:pPr>
                    <a:r>
                      <a:rPr lang="en-US" sz="800" b="1">
                        <a:solidFill>
                          <a:sysClr val="windowText" lastClr="000000"/>
                        </a:solidFill>
                        <a:latin typeface="Times New Roman" pitchFamily="18" charset="0"/>
                        <a:cs typeface="Times New Roman" pitchFamily="18" charset="0"/>
                      </a:rPr>
                      <a:t>94,0%*</a:t>
                    </a:r>
                  </a:p>
                </c:rich>
              </c:tx>
              <c:spPr>
                <a:noFill/>
                <a:ln w="24913">
                  <a:noFill/>
                </a:ln>
              </c:spPr>
              <c:dLblPos val="r"/>
              <c:extLst>
                <c:ext xmlns:c15="http://schemas.microsoft.com/office/drawing/2012/chart" uri="{CE6537A1-D6FC-4f65-9D91-7224C49458BB}">
                  <c15:layout/>
                </c:ext>
              </c:extLst>
            </c:dLbl>
            <c:dLbl>
              <c:idx val="5"/>
              <c:layout>
                <c:manualLayout>
                  <c:x val="-4.5493755955664794E-2"/>
                  <c:y val="-0.17692747267351075"/>
                </c:manualLayout>
              </c:layout>
              <c:tx>
                <c:rich>
                  <a:bodyPr/>
                  <a:lstStyle/>
                  <a:p>
                    <a:r>
                      <a:rPr lang="en-US" sz="800" b="1">
                        <a:latin typeface="Times New Roman" pitchFamily="18" charset="0"/>
                        <a:cs typeface="Times New Roman" pitchFamily="18" charset="0"/>
                      </a:rPr>
                      <a:t>117,8%*</a:t>
                    </a:r>
                  </a:p>
                </c:rich>
              </c:tx>
              <c:dLblPos val="r"/>
              <c:extLst>
                <c:ext xmlns:c15="http://schemas.microsoft.com/office/drawing/2012/chart" uri="{CE6537A1-D6FC-4f65-9D91-7224C49458BB}">
                  <c15:layout/>
                </c:ext>
              </c:extLst>
            </c:dLbl>
            <c:dLbl>
              <c:idx val="6"/>
              <c:layout>
                <c:manualLayout>
                  <c:x val="-3.9544109534078942E-2"/>
                  <c:y val="-7.0448175110186695E-2"/>
                </c:manualLayout>
              </c:layout>
              <c:tx>
                <c:rich>
                  <a:bodyPr/>
                  <a:lstStyle/>
                  <a:p>
                    <a:r>
                      <a:rPr lang="ru-RU" sz="800" b="1">
                        <a:latin typeface="Times New Roman" pitchFamily="18" charset="0"/>
                        <a:cs typeface="Times New Roman" pitchFamily="18" charset="0"/>
                      </a:rPr>
                      <a:t>103,8%*</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7"/>
              <c:layout>
                <c:manualLayout>
                  <c:x val="-3.3150275005433244E-2"/>
                  <c:y val="-9.3830040112910768E-2"/>
                </c:manualLayout>
              </c:layout>
              <c:tx>
                <c:rich>
                  <a:bodyPr/>
                  <a:lstStyle/>
                  <a:p>
                    <a:r>
                      <a:rPr lang="ru-RU" sz="800" b="1">
                        <a:latin typeface="Times New Roman" pitchFamily="18" charset="0"/>
                        <a:cs typeface="Times New Roman" pitchFamily="18" charset="0"/>
                      </a:rPr>
                      <a:t>89,6%*</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8"/>
              <c:layout>
                <c:manualLayout>
                  <c:x val="-4.1897119547954505E-2"/>
                  <c:y val="-8.1681770910711479E-2"/>
                </c:manualLayout>
              </c:layout>
              <c:tx>
                <c:rich>
                  <a:bodyPr/>
                  <a:lstStyle/>
                  <a:p>
                    <a:r>
                      <a:rPr lang="ru-RU" sz="800" b="1">
                        <a:latin typeface="Times New Roman" pitchFamily="18" charset="0"/>
                        <a:cs typeface="Times New Roman" pitchFamily="18" charset="0"/>
                      </a:rPr>
                      <a:t>92,2%*</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9"/>
              <c:layout>
                <c:manualLayout>
                  <c:x val="-4.6219469381613906E-2"/>
                  <c:y val="0.16069991251093621"/>
                </c:manualLayout>
              </c:layout>
              <c:tx>
                <c:rich>
                  <a:bodyPr/>
                  <a:lstStyle/>
                  <a:p>
                    <a:r>
                      <a:rPr lang="ru-RU" sz="800" b="1">
                        <a:latin typeface="Times New Roman" pitchFamily="18" charset="0"/>
                        <a:cs typeface="Times New Roman" pitchFamily="18" charset="0"/>
                      </a:rPr>
                      <a:t>82,7%*</a:t>
                    </a:r>
                    <a:endParaRPr lang="en-US" sz="800" b="1">
                      <a:latin typeface="Times New Roman" pitchFamily="18" charset="0"/>
                      <a:cs typeface="Times New Roman" pitchFamily="18" charset="0"/>
                    </a:endParaRPr>
                  </a:p>
                </c:rich>
              </c:tx>
              <c:dLblPos val="r"/>
              <c:extLst>
                <c:ext xmlns:c15="http://schemas.microsoft.com/office/drawing/2012/chart" uri="{CE6537A1-D6FC-4f65-9D91-7224C49458BB}"/>
              </c:extLst>
            </c:dLbl>
            <c:dLbl>
              <c:idx val="10"/>
              <c:layout>
                <c:manualLayout>
                  <c:x val="-4.1598375043883862E-2"/>
                  <c:y val="-9.3696495485240214E-2"/>
                </c:manualLayout>
              </c:layout>
              <c:tx>
                <c:rich>
                  <a:bodyPr/>
                  <a:lstStyle/>
                  <a:p>
                    <a:r>
                      <a:rPr lang="ru-RU" sz="800"/>
                      <a:t>104,3%*</a:t>
                    </a:r>
                    <a:endParaRPr lang="en-US" sz="800"/>
                  </a:p>
                </c:rich>
              </c:tx>
              <c:dLblPos val="r"/>
              <c:extLst>
                <c:ext xmlns:c15="http://schemas.microsoft.com/office/drawing/2012/chart" uri="{CE6537A1-D6FC-4f65-9D91-7224C49458BB}"/>
              </c:extLst>
            </c:dLbl>
            <c:dLbl>
              <c:idx val="11"/>
              <c:layout>
                <c:manualLayout>
                  <c:x val="0"/>
                  <c:y val="-9.7201951884077126E-2"/>
                </c:manualLayout>
              </c:layout>
              <c:tx>
                <c:rich>
                  <a:bodyPr/>
                  <a:lstStyle/>
                  <a:p>
                    <a:r>
                      <a:rPr lang="ru-RU" sz="800"/>
                      <a:t>100,4%*</a:t>
                    </a:r>
                    <a:endParaRPr lang="en-US" sz="800"/>
                  </a:p>
                </c:rich>
              </c:tx>
              <c:dLblPos val="r"/>
              <c:extLst>
                <c:ext xmlns:c15="http://schemas.microsoft.com/office/drawing/2012/chart" uri="{CE6537A1-D6FC-4f65-9D91-7224C49458BB}"/>
              </c:extLst>
            </c:dLbl>
            <c:spPr>
              <a:noFill/>
              <a:ln w="24913">
                <a:noFill/>
              </a:ln>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0.0</c:formatCode>
                <c:ptCount val="6"/>
                <c:pt idx="0" formatCode="General">
                  <c:v>612.9</c:v>
                </c:pt>
                <c:pt idx="1">
                  <c:v>736.5</c:v>
                </c:pt>
                <c:pt idx="2" formatCode="General">
                  <c:v>899.1</c:v>
                </c:pt>
                <c:pt idx="3" formatCode="General">
                  <c:v>694.8</c:v>
                </c:pt>
                <c:pt idx="4" formatCode="General">
                  <c:v>722.1</c:v>
                </c:pt>
                <c:pt idx="5" formatCode="General">
                  <c:v>703.2</c:v>
                </c:pt>
              </c:numCache>
            </c:numRef>
          </c:val>
        </c:ser>
        <c:ser>
          <c:idx val="2"/>
          <c:order val="2"/>
          <c:tx>
            <c:strRef>
              <c:f>Лист1!$B$1</c:f>
              <c:strCache>
                <c:ptCount val="1"/>
                <c:pt idx="0">
                  <c:v>2017</c:v>
                </c:pt>
              </c:strCache>
            </c:strRef>
          </c:tx>
          <c:spPr>
            <a:ln>
              <a:solidFill>
                <a:srgbClr val="1F497D">
                  <a:lumMod val="60000"/>
                  <a:lumOff val="40000"/>
                </a:srgbClr>
              </a:solidFill>
            </a:ln>
          </c:spPr>
          <c:marker>
            <c:spPr>
              <a:solidFill>
                <a:srgbClr val="1F497D">
                  <a:lumMod val="60000"/>
                  <a:lumOff val="40000"/>
                </a:srgbClr>
              </a:solidFill>
              <a:ln>
                <a:solidFill>
                  <a:srgbClr val="4F81BD">
                    <a:lumMod val="60000"/>
                    <a:lumOff val="40000"/>
                  </a:srgbClr>
                </a:solidFill>
                <a:bevel/>
              </a:ln>
            </c:spPr>
          </c:marker>
          <c:cat>
            <c:strRef>
              <c:f>Лист1!$A$2:$A$7</c:f>
              <c:strCache>
                <c:ptCount val="6"/>
                <c:pt idx="0">
                  <c:v>январь</c:v>
                </c:pt>
                <c:pt idx="1">
                  <c:v>февраль</c:v>
                </c:pt>
                <c:pt idx="2">
                  <c:v>март</c:v>
                </c:pt>
                <c:pt idx="3">
                  <c:v>апрель</c:v>
                </c:pt>
                <c:pt idx="4">
                  <c:v>май</c:v>
                </c:pt>
                <c:pt idx="5">
                  <c:v>июнь</c:v>
                </c:pt>
              </c:strCache>
            </c:strRef>
          </c:cat>
          <c:val>
            <c:numRef>
              <c:f>Лист1!$B$2:$B$7</c:f>
              <c:numCache>
                <c:formatCode>General</c:formatCode>
                <c:ptCount val="6"/>
                <c:pt idx="0">
                  <c:v>633.70000000000005</c:v>
                </c:pt>
                <c:pt idx="1">
                  <c:v>574.6</c:v>
                </c:pt>
                <c:pt idx="2">
                  <c:v>744.8</c:v>
                </c:pt>
                <c:pt idx="3">
                  <c:v>548.1</c:v>
                </c:pt>
                <c:pt idx="4" formatCode="0.0">
                  <c:v>618.4</c:v>
                </c:pt>
                <c:pt idx="5">
                  <c:v>828.6</c:v>
                </c:pt>
              </c:numCache>
            </c:numRef>
          </c:val>
        </c:ser>
        <c:ser>
          <c:idx val="3"/>
          <c:order val="3"/>
          <c:tx>
            <c:strRef>
              <c:f>Лист1!$C$1</c:f>
              <c:strCache>
                <c:ptCount val="1"/>
                <c:pt idx="0">
                  <c:v>2016</c:v>
                </c:pt>
              </c:strCache>
            </c:strRef>
          </c:tx>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0.0</c:formatCode>
                <c:ptCount val="6"/>
                <c:pt idx="0" formatCode="General">
                  <c:v>612.9</c:v>
                </c:pt>
                <c:pt idx="1">
                  <c:v>736.5</c:v>
                </c:pt>
                <c:pt idx="2" formatCode="General">
                  <c:v>899.1</c:v>
                </c:pt>
                <c:pt idx="3" formatCode="General">
                  <c:v>694.8</c:v>
                </c:pt>
                <c:pt idx="4" formatCode="General">
                  <c:v>722.1</c:v>
                </c:pt>
                <c:pt idx="5" formatCode="General">
                  <c:v>703.2</c:v>
                </c:pt>
              </c:numCache>
            </c:numRef>
          </c:val>
        </c:ser>
        <c:ser>
          <c:idx val="4"/>
          <c:order val="4"/>
          <c:tx>
            <c:strRef>
              <c:f>Лист1!$C$1</c:f>
              <c:strCache>
                <c:ptCount val="1"/>
                <c:pt idx="0">
                  <c:v>2016</c:v>
                </c:pt>
              </c:strCache>
            </c:strRef>
          </c:tx>
          <c:spPr>
            <a:ln>
              <a:solidFill>
                <a:srgbClr val="C0504D">
                  <a:lumMod val="40000"/>
                  <a:lumOff val="60000"/>
                </a:srgbClr>
              </a:solidFill>
            </a:ln>
          </c:spPr>
          <c:marker>
            <c:spPr>
              <a:ln>
                <a:solidFill>
                  <a:srgbClr val="C0504D">
                    <a:lumMod val="40000"/>
                    <a:lumOff val="60000"/>
                  </a:srgbClr>
                </a:solidFill>
              </a:ln>
            </c:spPr>
          </c:marker>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0.0</c:formatCode>
                <c:ptCount val="6"/>
                <c:pt idx="0" formatCode="General">
                  <c:v>612.9</c:v>
                </c:pt>
                <c:pt idx="1">
                  <c:v>736.5</c:v>
                </c:pt>
                <c:pt idx="2" formatCode="General">
                  <c:v>899.1</c:v>
                </c:pt>
                <c:pt idx="3" formatCode="General">
                  <c:v>694.8</c:v>
                </c:pt>
                <c:pt idx="4" formatCode="General">
                  <c:v>722.1</c:v>
                </c:pt>
                <c:pt idx="5" formatCode="General">
                  <c:v>703.2</c:v>
                </c:pt>
              </c:numCache>
            </c:numRef>
          </c:val>
        </c:ser>
        <c:marker val="1"/>
        <c:axId val="97394688"/>
        <c:axId val="97396992"/>
      </c:lineChart>
      <c:catAx>
        <c:axId val="97394688"/>
        <c:scaling>
          <c:orientation val="minMax"/>
        </c:scaling>
        <c:axPos val="b"/>
        <c:title>
          <c:tx>
            <c:rich>
              <a:bodyPr/>
              <a:lstStyle/>
              <a:p>
                <a:pPr>
                  <a:defRPr sz="1100" b="0" i="0" u="none" strike="noStrike" baseline="0">
                    <a:solidFill>
                      <a:srgbClr val="000000"/>
                    </a:solidFill>
                    <a:latin typeface="Calibri"/>
                    <a:ea typeface="Calibri"/>
                    <a:cs typeface="Calibri"/>
                  </a:defRPr>
                </a:pPr>
                <a:r>
                  <a:rPr lang="ru-RU" sz="800" b="1" i="0" strike="noStrike">
                    <a:solidFill>
                      <a:srgbClr val="000000"/>
                    </a:solidFill>
                    <a:latin typeface="Times New Roman"/>
                    <a:cs typeface="Times New Roman"/>
                  </a:rPr>
                  <a:t>* - темп </a:t>
                </a:r>
                <a:r>
                  <a:rPr lang="ru-RU" sz="850" b="1" i="0" strike="noStrike">
                    <a:solidFill>
                      <a:srgbClr val="000000"/>
                    </a:solidFill>
                    <a:latin typeface="Times New Roman"/>
                    <a:cs typeface="Times New Roman"/>
                  </a:rPr>
                  <a:t>роста</a:t>
                </a:r>
                <a:r>
                  <a:rPr lang="ru-RU" sz="800" b="1" i="0" strike="noStrike">
                    <a:solidFill>
                      <a:srgbClr val="000000"/>
                    </a:solidFill>
                    <a:latin typeface="Times New Roman"/>
                    <a:cs typeface="Times New Roman"/>
                  </a:rPr>
                  <a:t> </a:t>
                </a:r>
              </a:p>
              <a:p>
                <a:pPr>
                  <a:defRPr sz="1100" b="0" i="0" u="none" strike="noStrike" baseline="0">
                    <a:solidFill>
                      <a:srgbClr val="000000"/>
                    </a:solidFill>
                    <a:latin typeface="Calibri"/>
                    <a:ea typeface="Calibri"/>
                    <a:cs typeface="Calibri"/>
                  </a:defRPr>
                </a:pPr>
                <a:r>
                  <a:rPr lang="ru-RU" sz="800" b="1" i="0" strike="noStrike">
                    <a:solidFill>
                      <a:srgbClr val="000000"/>
                    </a:solidFill>
                    <a:latin typeface="Times New Roman"/>
                    <a:cs typeface="Times New Roman"/>
                  </a:rPr>
                  <a:t>к предыдущему году</a:t>
                </a:r>
              </a:p>
            </c:rich>
          </c:tx>
          <c:layout>
            <c:manualLayout>
              <c:xMode val="edge"/>
              <c:yMode val="edge"/>
              <c:x val="2.7146129026865292E-3"/>
              <c:y val="0.81383235323432668"/>
            </c:manualLayout>
          </c:layout>
          <c:spPr>
            <a:noFill/>
            <a:ln w="24913">
              <a:noFill/>
            </a:ln>
          </c:spPr>
        </c:title>
        <c:numFmt formatCode="General" sourceLinked="1"/>
        <c:tickLblPos val="nextTo"/>
        <c:txPr>
          <a:bodyPr/>
          <a:lstStyle/>
          <a:p>
            <a:pPr>
              <a:defRPr sz="900" b="1">
                <a:latin typeface="Times New Roman" pitchFamily="18" charset="0"/>
                <a:cs typeface="Times New Roman" pitchFamily="18" charset="0"/>
              </a:defRPr>
            </a:pPr>
            <a:endParaRPr lang="ru-RU"/>
          </a:p>
        </c:txPr>
        <c:crossAx val="97396992"/>
        <c:crosses val="autoZero"/>
        <c:auto val="1"/>
        <c:lblAlgn val="ctr"/>
        <c:lblOffset val="100"/>
      </c:catAx>
      <c:valAx>
        <c:axId val="97396992"/>
        <c:scaling>
          <c:orientation val="minMax"/>
          <c:min val="300"/>
        </c:scaling>
        <c:axPos val="l"/>
        <c:majorGridlines/>
        <c:numFmt formatCode="General" sourceLinked="1"/>
        <c:tickLblPos val="nextTo"/>
        <c:txPr>
          <a:bodyPr/>
          <a:lstStyle/>
          <a:p>
            <a:pPr>
              <a:defRPr sz="800" b="1">
                <a:latin typeface="Times New Roman" pitchFamily="18" charset="0"/>
                <a:cs typeface="Times New Roman" pitchFamily="18" charset="0"/>
              </a:defRPr>
            </a:pPr>
            <a:endParaRPr lang="ru-RU"/>
          </a:p>
        </c:txPr>
        <c:crossAx val="97394688"/>
        <c:crosses val="autoZero"/>
        <c:crossBetween val="between"/>
        <c:majorUnit val="200"/>
      </c:valAx>
    </c:plotArea>
    <c:legend>
      <c:legendPos val="b"/>
      <c:legendEntry>
        <c:idx val="0"/>
        <c:delete val="1"/>
      </c:legendEntry>
      <c:legendEntry>
        <c:idx val="3"/>
        <c:delete val="1"/>
      </c:legendEntry>
      <c:legendEntry>
        <c:idx val="4"/>
        <c:delete val="1"/>
      </c:legendEntry>
      <c:layout>
        <c:manualLayout>
          <c:xMode val="edge"/>
          <c:yMode val="edge"/>
          <c:x val="0.3723227510574002"/>
          <c:y val="0.8474015748031497"/>
          <c:w val="0.22563050637778537"/>
          <c:h val="0.15259842519685424"/>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view3D>
      <c:rotX val="0"/>
      <c:rotY val="0"/>
      <c:depthPercent val="100"/>
      <c:perspective val="30"/>
    </c:view3D>
    <c:plotArea>
      <c:layout>
        <c:manualLayout>
          <c:layoutTarget val="inner"/>
          <c:xMode val="edge"/>
          <c:yMode val="edge"/>
          <c:x val="8.7168939047454236E-2"/>
          <c:y val="8.7293730117546181E-2"/>
          <c:w val="0.91969598134819774"/>
          <c:h val="0.40471821457100471"/>
        </c:manualLayout>
      </c:layout>
      <c:bar3DChart>
        <c:barDir val="col"/>
        <c:grouping val="clustered"/>
        <c:ser>
          <c:idx val="0"/>
          <c:order val="0"/>
          <c:tx>
            <c:strRef>
              <c:f>Лист1!$B$1</c:f>
              <c:strCache>
                <c:ptCount val="1"/>
                <c:pt idx="0">
                  <c:v>январь-июнь 2016 г.</c:v>
                </c:pt>
              </c:strCache>
            </c:strRef>
          </c:tx>
          <c:spPr>
            <a:solidFill>
              <a:srgbClr val="E806CD"/>
            </a:solidFill>
          </c:spPr>
          <c:dLbls>
            <c:dLbl>
              <c:idx val="0"/>
              <c:layout>
                <c:manualLayout>
                  <c:x val="1.9786666226008541E-3"/>
                  <c:y val="1.8575107578637986E-3"/>
                </c:manualLayout>
              </c:layout>
              <c:tx>
                <c:rich>
                  <a:bodyPr/>
                  <a:lstStyle/>
                  <a:p>
                    <a:r>
                      <a:rPr lang="en-US" sz="800" b="1"/>
                      <a:t>88,1*</a:t>
                    </a:r>
                  </a:p>
                </c:rich>
              </c:tx>
              <c:extLst>
                <c:ext xmlns:c15="http://schemas.microsoft.com/office/drawing/2012/chart" uri="{CE6537A1-D6FC-4f65-9D91-7224C49458BB}">
                  <c15:layout/>
                </c:ext>
              </c:extLst>
            </c:dLbl>
            <c:dLbl>
              <c:idx val="1"/>
              <c:layout>
                <c:manualLayout>
                  <c:x val="2.3899662070048211E-3"/>
                  <c:y val="5.7361982294587034E-3"/>
                </c:manualLayout>
              </c:layout>
              <c:tx>
                <c:rich>
                  <a:bodyPr/>
                  <a:lstStyle/>
                  <a:p>
                    <a:r>
                      <a:rPr lang="en-US" sz="800" b="1"/>
                      <a:t>80,3*</a:t>
                    </a:r>
                  </a:p>
                </c:rich>
              </c:tx>
              <c:extLst>
                <c:ext xmlns:c15="http://schemas.microsoft.com/office/drawing/2012/chart" uri="{CE6537A1-D6FC-4f65-9D91-7224C49458BB}">
                  <c15:layout/>
                </c:ext>
              </c:extLst>
            </c:dLbl>
            <c:dLbl>
              <c:idx val="2"/>
              <c:layout>
                <c:manualLayout>
                  <c:x val="4.4814964761094513E-4"/>
                  <c:y val="-3.9759981770767401E-3"/>
                </c:manualLayout>
              </c:layout>
              <c:tx>
                <c:rich>
                  <a:bodyPr/>
                  <a:lstStyle/>
                  <a:p>
                    <a:r>
                      <a:rPr lang="en-US" sz="800" b="1"/>
                      <a:t>116,8*</a:t>
                    </a:r>
                  </a:p>
                </c:rich>
              </c:tx>
              <c:extLst>
                <c:ext xmlns:c15="http://schemas.microsoft.com/office/drawing/2012/chart" uri="{CE6537A1-D6FC-4f65-9D91-7224C49458BB}">
                  <c15:layout/>
                </c:ext>
              </c:extLst>
            </c:dLbl>
            <c:dLbl>
              <c:idx val="3"/>
              <c:layout>
                <c:manualLayout>
                  <c:x val="4.4829561140023893E-5"/>
                  <c:y val="4.1216232586311404E-3"/>
                </c:manualLayout>
              </c:layout>
              <c:tx>
                <c:rich>
                  <a:bodyPr/>
                  <a:lstStyle/>
                  <a:p>
                    <a:r>
                      <a:rPr lang="en-US" sz="800" b="1"/>
                      <a:t>91,3*</a:t>
                    </a:r>
                  </a:p>
                </c:rich>
              </c:tx>
              <c:extLst>
                <c:ext xmlns:c15="http://schemas.microsoft.com/office/drawing/2012/chart" uri="{CE6537A1-D6FC-4f65-9D91-7224C49458BB}">
                  <c15:layout/>
                </c:ext>
              </c:extLst>
            </c:dLbl>
            <c:dLbl>
              <c:idx val="4"/>
              <c:layout>
                <c:manualLayout>
                  <c:x val="1.9205841028113622E-3"/>
                  <c:y val="-3.2714392076348812E-3"/>
                </c:manualLayout>
              </c:layout>
              <c:tx>
                <c:rich>
                  <a:bodyPr/>
                  <a:lstStyle/>
                  <a:p>
                    <a:r>
                      <a:rPr lang="en-US" sz="800" b="1"/>
                      <a:t>81,4*</a:t>
                    </a:r>
                  </a:p>
                </c:rich>
              </c:tx>
              <c:extLst>
                <c:ext xmlns:c15="http://schemas.microsoft.com/office/drawing/2012/chart" uri="{CE6537A1-D6FC-4f65-9D91-7224C49458BB}">
                  <c15:layout/>
                </c:ext>
              </c:extLst>
            </c:dLbl>
            <c:dLbl>
              <c:idx val="5"/>
              <c:layout>
                <c:manualLayout>
                  <c:x val="2.4000296666213945E-3"/>
                  <c:y val="-9.6684189547939763E-4"/>
                </c:manualLayout>
              </c:layout>
              <c:tx>
                <c:rich>
                  <a:bodyPr/>
                  <a:lstStyle/>
                  <a:p>
                    <a:r>
                      <a:rPr lang="en-US" sz="800" b="1"/>
                      <a:t>26,7*</a:t>
                    </a:r>
                  </a:p>
                </c:rich>
              </c:tx>
              <c:extLst>
                <c:ext xmlns:c15="http://schemas.microsoft.com/office/drawing/2012/chart" uri="{CE6537A1-D6FC-4f65-9D91-7224C49458BB}">
                  <c15:layout/>
                </c:ext>
              </c:extLst>
            </c:dLbl>
            <c:dLbl>
              <c:idx val="6"/>
              <c:layout>
                <c:manualLayout>
                  <c:x val="-3.8618205253199652E-3"/>
                  <c:y val="5.7543610907157504E-3"/>
                </c:manualLayout>
              </c:layout>
              <c:tx>
                <c:rich>
                  <a:bodyPr/>
                  <a:lstStyle/>
                  <a:p>
                    <a:r>
                      <a:rPr lang="en-US" sz="800" b="1"/>
                      <a:t>105,9*</a:t>
                    </a:r>
                  </a:p>
                </c:rich>
              </c:tx>
              <c:extLst>
                <c:ext xmlns:c15="http://schemas.microsoft.com/office/drawing/2012/chart" uri="{CE6537A1-D6FC-4f65-9D91-7224C49458BB}">
                  <c15:layout/>
                </c:ext>
              </c:extLst>
            </c:dLbl>
            <c:dLbl>
              <c:idx val="7"/>
              <c:layout>
                <c:manualLayout>
                  <c:x val="-6.1668498153365824E-3"/>
                  <c:y val="1.169126740513368E-2"/>
                </c:manualLayout>
              </c:layout>
              <c:tx>
                <c:rich>
                  <a:bodyPr/>
                  <a:lstStyle/>
                  <a:p>
                    <a:r>
                      <a:rPr lang="en-US" sz="800" b="1"/>
                      <a:t>117,5*</a:t>
                    </a:r>
                  </a:p>
                </c:rich>
              </c:tx>
              <c:extLst>
                <c:ext xmlns:c15="http://schemas.microsoft.com/office/drawing/2012/chart" uri="{CE6537A1-D6FC-4f65-9D91-7224C49458BB}">
                  <c15:layout/>
                </c:ext>
              </c:extLst>
            </c:dLbl>
            <c:dLbl>
              <c:idx val="8"/>
              <c:layout>
                <c:manualLayout>
                  <c:x val="7.5518032773375901E-4"/>
                  <c:y val="-5.2812309636081564E-3"/>
                </c:manualLayout>
              </c:layout>
              <c:tx>
                <c:rich>
                  <a:bodyPr/>
                  <a:lstStyle/>
                  <a:p>
                    <a:r>
                      <a:rPr lang="en-US" sz="800" b="1"/>
                      <a:t>96,4*</a:t>
                    </a:r>
                  </a:p>
                </c:rich>
              </c:tx>
              <c:extLst>
                <c:ext xmlns:c15="http://schemas.microsoft.com/office/drawing/2012/chart" uri="{CE6537A1-D6FC-4f65-9D91-7224C49458BB}">
                  <c15:layout/>
                </c:ext>
              </c:extLst>
            </c:dLbl>
            <c:dLbl>
              <c:idx val="9"/>
              <c:layout>
                <c:manualLayout>
                  <c:x val="-3.6142806388446292E-3"/>
                  <c:y val="7.9519963541534924E-3"/>
                </c:manualLayout>
              </c:layout>
              <c:tx>
                <c:rich>
                  <a:bodyPr/>
                  <a:lstStyle/>
                  <a:p>
                    <a:r>
                      <a:rPr lang="en-US" sz="800" b="1"/>
                      <a:t>82,4*</a:t>
                    </a:r>
                  </a:p>
                </c:rich>
              </c:tx>
              <c:extLst>
                <c:ext xmlns:c15="http://schemas.microsoft.com/office/drawing/2012/chart" uri="{CE6537A1-D6FC-4f65-9D91-7224C49458BB}">
                  <c15:layout/>
                </c:ext>
              </c:extLst>
            </c:dLbl>
            <c:dLbl>
              <c:idx val="10"/>
              <c:layout>
                <c:manualLayout>
                  <c:x val="2.7098810450891936E-3"/>
                  <c:y val="-1.2280358446318777E-2"/>
                </c:manualLayout>
              </c:layout>
              <c:tx>
                <c:rich>
                  <a:bodyPr/>
                  <a:lstStyle/>
                  <a:p>
                    <a:r>
                      <a:rPr lang="en-US" sz="800" b="1">
                        <a:solidFill>
                          <a:sysClr val="windowText" lastClr="000000"/>
                        </a:solidFill>
                      </a:rPr>
                      <a:t>39,0*</a:t>
                    </a:r>
                  </a:p>
                </c:rich>
              </c:tx>
              <c:extLst>
                <c:ext xmlns:c15="http://schemas.microsoft.com/office/drawing/2012/chart" uri="{CE6537A1-D6FC-4f65-9D91-7224C49458BB}">
                  <c15:layout/>
                </c:ext>
              </c:extLst>
            </c:dLbl>
            <c:spPr>
              <a:noFill/>
              <a:ln w="25373">
                <a:noFill/>
              </a:ln>
            </c:spPr>
            <c:txPr>
              <a:bodyPr rot="-5400000" vert="horz"/>
              <a:lstStyle/>
              <a:p>
                <a:pPr>
                  <a:defRPr sz="800" b="1"/>
                </a:pPr>
                <a:endParaRPr lang="ru-RU"/>
              </a:p>
            </c:txPr>
            <c:showVal val="1"/>
            <c:extLst>
              <c:ext xmlns:c15="http://schemas.microsoft.com/office/drawing/2012/chart" uri="{CE6537A1-D6FC-4f65-9D91-7224C49458BB}">
                <c15:showLeaderLines val="0"/>
              </c:ext>
            </c:extLst>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Лист1!$B$2:$B$12</c:f>
              <c:numCache>
                <c:formatCode>#,##0.0</c:formatCode>
                <c:ptCount val="11"/>
                <c:pt idx="0">
                  <c:v>2001.6</c:v>
                </c:pt>
                <c:pt idx="1">
                  <c:v>523.6</c:v>
                </c:pt>
                <c:pt idx="2">
                  <c:v>78.3</c:v>
                </c:pt>
                <c:pt idx="3">
                  <c:v>82.2</c:v>
                </c:pt>
                <c:pt idx="4">
                  <c:v>56.7</c:v>
                </c:pt>
                <c:pt idx="5">
                  <c:v>2.2999999999999998</c:v>
                </c:pt>
                <c:pt idx="6">
                  <c:v>155.4</c:v>
                </c:pt>
                <c:pt idx="7">
                  <c:v>549.29999999999995</c:v>
                </c:pt>
                <c:pt idx="8">
                  <c:v>490.4</c:v>
                </c:pt>
                <c:pt idx="9">
                  <c:v>48.5</c:v>
                </c:pt>
                <c:pt idx="10">
                  <c:v>10.8</c:v>
                </c:pt>
              </c:numCache>
            </c:numRef>
          </c:val>
        </c:ser>
        <c:ser>
          <c:idx val="1"/>
          <c:order val="1"/>
          <c:tx>
            <c:strRef>
              <c:f>Лист1!$C$1</c:f>
              <c:strCache>
                <c:ptCount val="1"/>
                <c:pt idx="0">
                  <c:v>январь-июнь 2017г</c:v>
                </c:pt>
              </c:strCache>
            </c:strRef>
          </c:tx>
          <c:spPr>
            <a:solidFill>
              <a:srgbClr val="B9B3A3"/>
            </a:solidFill>
          </c:spPr>
          <c:dLbls>
            <c:dLbl>
              <c:idx val="0"/>
              <c:layout>
                <c:manualLayout>
                  <c:x val="1.0188341841885169E-2"/>
                  <c:y val="5.1879761448157076E-3"/>
                </c:manualLayout>
              </c:layout>
              <c:tx>
                <c:rich>
                  <a:bodyPr/>
                  <a:lstStyle/>
                  <a:p>
                    <a:r>
                      <a:rPr lang="en-US" sz="800" b="1"/>
                      <a:t>69,7*</a:t>
                    </a:r>
                  </a:p>
                </c:rich>
              </c:tx>
              <c:extLst>
                <c:ext xmlns:c15="http://schemas.microsoft.com/office/drawing/2012/chart" uri="{CE6537A1-D6FC-4f65-9D91-7224C49458BB}">
                  <c15:layout/>
                </c:ext>
              </c:extLst>
            </c:dLbl>
            <c:dLbl>
              <c:idx val="1"/>
              <c:layout>
                <c:manualLayout>
                  <c:x val="5.9695834723956934E-3"/>
                  <c:y val="-5.8194015146387501E-3"/>
                </c:manualLayout>
              </c:layout>
              <c:tx>
                <c:rich>
                  <a:bodyPr/>
                  <a:lstStyle/>
                  <a:p>
                    <a:r>
                      <a:rPr lang="en-US" sz="800" b="1"/>
                      <a:t>140,3* </a:t>
                    </a:r>
                  </a:p>
                </c:rich>
              </c:tx>
              <c:extLst>
                <c:ext xmlns:c15="http://schemas.microsoft.com/office/drawing/2012/chart" uri="{CE6537A1-D6FC-4f65-9D91-7224C49458BB}">
                  <c15:layout/>
                </c:ext>
              </c:extLst>
            </c:dLbl>
            <c:dLbl>
              <c:idx val="2"/>
              <c:layout>
                <c:manualLayout>
                  <c:x val="4.3862099655127039E-3"/>
                  <c:y val="-1.2261100498532672E-2"/>
                </c:manualLayout>
              </c:layout>
              <c:tx>
                <c:rich>
                  <a:bodyPr/>
                  <a:lstStyle/>
                  <a:p>
                    <a:r>
                      <a:rPr lang="en-US" sz="800" b="1"/>
                      <a:t>110,7*</a:t>
                    </a:r>
                  </a:p>
                </c:rich>
              </c:tx>
              <c:extLst>
                <c:ext xmlns:c15="http://schemas.microsoft.com/office/drawing/2012/chart" uri="{CE6537A1-D6FC-4f65-9D91-7224C49458BB}">
                  <c15:layout/>
                </c:ext>
              </c:extLst>
            </c:dLbl>
            <c:dLbl>
              <c:idx val="3"/>
              <c:layout>
                <c:manualLayout>
                  <c:x val="5.9807908626807104E-3"/>
                  <c:y val="-5.1685846961437455E-3"/>
                </c:manualLayout>
              </c:layout>
              <c:tx>
                <c:rich>
                  <a:bodyPr/>
                  <a:lstStyle/>
                  <a:p>
                    <a:r>
                      <a:rPr lang="en-US" sz="800" b="1"/>
                      <a:t>161,7*</a:t>
                    </a:r>
                  </a:p>
                </c:rich>
              </c:tx>
              <c:extLst>
                <c:ext xmlns:c15="http://schemas.microsoft.com/office/drawing/2012/chart" uri="{CE6537A1-D6FC-4f65-9D91-7224C49458BB}">
                  <c15:layout/>
                </c:ext>
              </c:extLst>
            </c:dLbl>
            <c:dLbl>
              <c:idx val="4"/>
              <c:layout>
                <c:manualLayout>
                  <c:x val="3.8986884881148077E-3"/>
                  <c:y val="-1.2310487816241899E-2"/>
                </c:manualLayout>
              </c:layout>
              <c:tx>
                <c:rich>
                  <a:bodyPr/>
                  <a:lstStyle/>
                  <a:p>
                    <a:r>
                      <a:rPr lang="en-US" sz="800" b="1"/>
                      <a:t>121,2*</a:t>
                    </a:r>
                  </a:p>
                </c:rich>
              </c:tx>
              <c:extLst>
                <c:ext xmlns:c15="http://schemas.microsoft.com/office/drawing/2012/chart" uri="{CE6537A1-D6FC-4f65-9D91-7224C49458BB}">
                  <c15:layout/>
                </c:ext>
              </c:extLst>
            </c:dLbl>
            <c:dLbl>
              <c:idx val="5"/>
              <c:layout>
                <c:manualLayout>
                  <c:x val="4.3038026840051934E-3"/>
                  <c:y val="-1.6939587422632341E-2"/>
                </c:manualLayout>
              </c:layout>
              <c:tx>
                <c:rich>
                  <a:bodyPr/>
                  <a:lstStyle/>
                  <a:p>
                    <a:r>
                      <a:rPr lang="en-US" sz="800" b="1"/>
                      <a:t>106,6*</a:t>
                    </a:r>
                  </a:p>
                </c:rich>
              </c:tx>
              <c:extLst>
                <c:ext xmlns:c15="http://schemas.microsoft.com/office/drawing/2012/chart" uri="{CE6537A1-D6FC-4f65-9D91-7224C49458BB}">
                  <c15:layout/>
                </c:ext>
              </c:extLst>
            </c:dLbl>
            <c:dLbl>
              <c:idx val="6"/>
              <c:layout>
                <c:manualLayout>
                  <c:x val="-1.5047569603250546E-4"/>
                  <c:y val="-7.7156035968877134E-3"/>
                </c:manualLayout>
              </c:layout>
              <c:tx>
                <c:rich>
                  <a:bodyPr/>
                  <a:lstStyle/>
                  <a:p>
                    <a:r>
                      <a:rPr lang="en-US" sz="800" b="1"/>
                      <a:t>98,6*</a:t>
                    </a:r>
                  </a:p>
                </c:rich>
              </c:tx>
              <c:extLst>
                <c:ext xmlns:c15="http://schemas.microsoft.com/office/drawing/2012/chart" uri="{CE6537A1-D6FC-4f65-9D91-7224C49458BB}">
                  <c15:layout/>
                </c:ext>
              </c:extLst>
            </c:dLbl>
            <c:dLbl>
              <c:idx val="7"/>
              <c:layout>
                <c:manualLayout>
                  <c:x val="-3.8713292706544136E-3"/>
                  <c:y val="-4.3790088369132004E-3"/>
                </c:manualLayout>
              </c:layout>
              <c:tx>
                <c:rich>
                  <a:bodyPr/>
                  <a:lstStyle/>
                  <a:p>
                    <a:r>
                      <a:rPr lang="en-US" sz="800" b="1"/>
                      <a:t>106,1*</a:t>
                    </a:r>
                  </a:p>
                </c:rich>
              </c:tx>
              <c:extLst>
                <c:ext xmlns:c15="http://schemas.microsoft.com/office/drawing/2012/chart" uri="{CE6537A1-D6FC-4f65-9D91-7224C49458BB}">
                  <c15:layout/>
                </c:ext>
              </c:extLst>
            </c:dLbl>
            <c:dLbl>
              <c:idx val="8"/>
              <c:layout>
                <c:manualLayout>
                  <c:x val="3.3094764253369449E-4"/>
                  <c:y val="-1.3365015763562464E-2"/>
                </c:manualLayout>
              </c:layout>
              <c:tx>
                <c:rich>
                  <a:bodyPr/>
                  <a:lstStyle/>
                  <a:p>
                    <a:r>
                      <a:rPr lang="en-US" sz="800" b="1"/>
                      <a:t>111,5*</a:t>
                    </a:r>
                  </a:p>
                </c:rich>
              </c:tx>
              <c:extLst>
                <c:ext xmlns:c15="http://schemas.microsoft.com/office/drawing/2012/chart" uri="{CE6537A1-D6FC-4f65-9D91-7224C49458BB}">
                  <c15:layout/>
                </c:ext>
              </c:extLst>
            </c:dLbl>
            <c:dLbl>
              <c:idx val="9"/>
              <c:layout>
                <c:manualLayout>
                  <c:x val="-2.0483153891477849E-3"/>
                  <c:y val="-6.9216791688022942E-3"/>
                </c:manualLayout>
              </c:layout>
              <c:tx>
                <c:rich>
                  <a:bodyPr/>
                  <a:lstStyle/>
                  <a:p>
                    <a:r>
                      <a:rPr lang="en-US" sz="800" b="1"/>
                      <a:t>112,4*</a:t>
                    </a:r>
                  </a:p>
                </c:rich>
              </c:tx>
              <c:extLst>
                <c:ext xmlns:c15="http://schemas.microsoft.com/office/drawing/2012/chart" uri="{CE6537A1-D6FC-4f65-9D91-7224C49458BB}">
                  <c15:layout/>
                </c:ext>
              </c:extLst>
            </c:dLbl>
            <c:dLbl>
              <c:idx val="10"/>
              <c:layout>
                <c:manualLayout>
                  <c:x val="9.6188579785344251E-3"/>
                  <c:y val="-4.6001806044340919E-3"/>
                </c:manualLayout>
              </c:layout>
              <c:tx>
                <c:rich>
                  <a:bodyPr/>
                  <a:lstStyle/>
                  <a:p>
                    <a:r>
                      <a:rPr lang="en-US" sz="800" b="1" baseline="0"/>
                      <a:t>80,1*</a:t>
                    </a:r>
                    <a:endParaRPr lang="en-US" sz="800" b="1"/>
                  </a:p>
                </c:rich>
              </c:tx>
              <c:extLst>
                <c:ext xmlns:c15="http://schemas.microsoft.com/office/drawing/2012/chart" uri="{CE6537A1-D6FC-4f65-9D91-7224C49458BB}">
                  <c15:layout/>
                </c:ext>
              </c:extLst>
            </c:dLbl>
            <c:spPr>
              <a:noFill/>
              <a:ln w="25373">
                <a:noFill/>
              </a:ln>
            </c:spPr>
            <c:txPr>
              <a:bodyPr rot="-5400000" vert="horz"/>
              <a:lstStyle/>
              <a:p>
                <a:pPr>
                  <a:defRPr sz="800" b="1"/>
                </a:pPr>
                <a:endParaRPr lang="ru-RU"/>
              </a:p>
            </c:txPr>
            <c:showVal val="1"/>
            <c:extLst>
              <c:ext xmlns:c15="http://schemas.microsoft.com/office/drawing/2012/chart" uri="{CE6537A1-D6FC-4f65-9D91-7224C49458BB}">
                <c15:showLeaderLines val="0"/>
              </c:ext>
            </c:extLst>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Мукомольно-крупянная и комбикормовая</c:v>
                </c:pt>
                <c:pt idx="10">
                  <c:v>Полиграфическая промышленность</c:v>
                </c:pt>
              </c:strCache>
            </c:strRef>
          </c:cat>
          <c:val>
            <c:numRef>
              <c:f>Лист1!$C$2:$C$12</c:f>
              <c:numCache>
                <c:formatCode>#,##0.0</c:formatCode>
                <c:ptCount val="11"/>
                <c:pt idx="0">
                  <c:v>1395.4</c:v>
                </c:pt>
                <c:pt idx="1">
                  <c:v>734.7</c:v>
                </c:pt>
                <c:pt idx="2">
                  <c:v>86.7</c:v>
                </c:pt>
                <c:pt idx="3">
                  <c:v>132.80000000000001</c:v>
                </c:pt>
                <c:pt idx="4">
                  <c:v>68.7</c:v>
                </c:pt>
                <c:pt idx="5">
                  <c:v>2.5</c:v>
                </c:pt>
                <c:pt idx="6">
                  <c:v>153.30000000000001</c:v>
                </c:pt>
                <c:pt idx="7">
                  <c:v>582.9</c:v>
                </c:pt>
                <c:pt idx="8">
                  <c:v>546.6</c:v>
                </c:pt>
                <c:pt idx="9">
                  <c:v>54.6</c:v>
                </c:pt>
                <c:pt idx="10">
                  <c:v>8.7000000000000011</c:v>
                </c:pt>
              </c:numCache>
            </c:numRef>
          </c:val>
        </c:ser>
        <c:shape val="cylinder"/>
        <c:axId val="97600640"/>
        <c:axId val="97602176"/>
        <c:axId val="0"/>
      </c:bar3DChart>
      <c:catAx>
        <c:axId val="97600640"/>
        <c:scaling>
          <c:orientation val="minMax"/>
        </c:scaling>
        <c:axPos val="b"/>
        <c:numFmt formatCode="General" sourceLinked="1"/>
        <c:tickLblPos val="nextTo"/>
        <c:txPr>
          <a:bodyPr rot="5400000" vert="horz"/>
          <a:lstStyle/>
          <a:p>
            <a:pPr>
              <a:defRPr sz="849" b="1"/>
            </a:pPr>
            <a:endParaRPr lang="ru-RU"/>
          </a:p>
        </c:txPr>
        <c:crossAx val="97602176"/>
        <c:crosses val="autoZero"/>
        <c:auto val="1"/>
        <c:lblAlgn val="ctr"/>
        <c:lblOffset val="100"/>
      </c:catAx>
      <c:valAx>
        <c:axId val="97602176"/>
        <c:scaling>
          <c:orientation val="minMax"/>
        </c:scaling>
        <c:axPos val="l"/>
        <c:numFmt formatCode="#,##0.0" sourceLinked="1"/>
        <c:tickLblPos val="nextTo"/>
        <c:txPr>
          <a:bodyPr/>
          <a:lstStyle/>
          <a:p>
            <a:pPr>
              <a:defRPr sz="899" b="1"/>
            </a:pPr>
            <a:endParaRPr lang="ru-RU"/>
          </a:p>
        </c:txPr>
        <c:crossAx val="97600640"/>
        <c:crosses val="autoZero"/>
        <c:crossBetween val="between"/>
      </c:valAx>
      <c:spPr>
        <a:noFill/>
        <a:ln w="25380">
          <a:noFill/>
        </a:ln>
      </c:spPr>
    </c:plotArea>
    <c:legend>
      <c:legendPos val="r"/>
      <c:legendEntry>
        <c:idx val="0"/>
        <c:txPr>
          <a:bodyPr/>
          <a:lstStyle/>
          <a:p>
            <a:pPr>
              <a:defRPr sz="899"/>
            </a:pPr>
            <a:endParaRPr lang="ru-RU"/>
          </a:p>
        </c:txPr>
      </c:legendEntry>
      <c:legendEntry>
        <c:idx val="1"/>
        <c:txPr>
          <a:bodyPr/>
          <a:lstStyle/>
          <a:p>
            <a:pPr>
              <a:defRPr sz="899"/>
            </a:pPr>
            <a:endParaRPr lang="ru-RU"/>
          </a:p>
        </c:txPr>
      </c:legendEntry>
      <c:layout>
        <c:manualLayout>
          <c:xMode val="edge"/>
          <c:yMode val="edge"/>
          <c:x val="1.7418750656167981E-2"/>
          <c:y val="0.94642628283827634"/>
          <c:w val="0.40372052394550062"/>
          <c:h val="5.3573717161723704E-2"/>
        </c:manualLayout>
      </c:layout>
      <c:txPr>
        <a:bodyPr/>
        <a:lstStyle/>
        <a:p>
          <a:pPr>
            <a:defRPr sz="1049"/>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0.93848</cdr:y>
    </cdr:from>
    <cdr:to>
      <cdr:x>0.30926</cdr:x>
      <cdr:y>1</cdr:y>
    </cdr:to>
    <cdr:sp macro="" textlink="">
      <cdr:nvSpPr>
        <cdr:cNvPr id="2" name="TextBox 1"/>
        <cdr:cNvSpPr txBox="1"/>
      </cdr:nvSpPr>
      <cdr:spPr>
        <a:xfrm xmlns:a="http://schemas.openxmlformats.org/drawingml/2006/main">
          <a:off x="0" y="2878372"/>
          <a:ext cx="1876412" cy="1886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0.7675</cdr:x>
      <cdr:y>0.03636</cdr:y>
    </cdr:from>
    <cdr:to>
      <cdr:x>1</cdr:x>
      <cdr:y>0.17081</cdr:y>
    </cdr:to>
    <cdr:sp macro="" textlink="">
      <cdr:nvSpPr>
        <cdr:cNvPr id="3" name="TextBox 2"/>
        <cdr:cNvSpPr txBox="1"/>
      </cdr:nvSpPr>
      <cdr:spPr>
        <a:xfrm xmlns:a="http://schemas.openxmlformats.org/drawingml/2006/main">
          <a:off x="4598265" y="95250"/>
          <a:ext cx="1392960" cy="352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latin typeface="Times New Roman" pitchFamily="18" charset="0"/>
              <a:cs typeface="Times New Roman" pitchFamily="18" charset="0"/>
            </a:rPr>
            <a:t>*</a:t>
          </a:r>
          <a:r>
            <a:rPr lang="en-US" sz="900" baseline="0">
              <a:latin typeface="Times New Roman" pitchFamily="18" charset="0"/>
              <a:cs typeface="Times New Roman" pitchFamily="18" charset="0"/>
            </a:rPr>
            <a:t> - </a:t>
          </a:r>
          <a:r>
            <a:rPr lang="ru-RU" sz="900" baseline="0">
              <a:latin typeface="Times New Roman" pitchFamily="18" charset="0"/>
              <a:cs typeface="Times New Roman" pitchFamily="18" charset="0"/>
            </a:rPr>
            <a:t>темп роста к </a:t>
          </a:r>
        </a:p>
        <a:p xmlns:a="http://schemas.openxmlformats.org/drawingml/2006/main">
          <a:r>
            <a:rPr lang="ru-RU" sz="900" baseline="0">
              <a:latin typeface="Times New Roman" pitchFamily="18" charset="0"/>
              <a:cs typeface="Times New Roman" pitchFamily="18" charset="0"/>
            </a:rPr>
            <a:t>соответствующему</a:t>
          </a:r>
        </a:p>
        <a:p xmlns:a="http://schemas.openxmlformats.org/drawingml/2006/main">
          <a:r>
            <a:rPr lang="ru-RU" sz="900" baseline="0">
              <a:latin typeface="Times New Roman" pitchFamily="18" charset="0"/>
              <a:cs typeface="Times New Roman" pitchFamily="18" charset="0"/>
            </a:rPr>
            <a:t> периоду прошлого года,%</a:t>
          </a:r>
          <a:endParaRPr lang="ru-RU"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pic>
      <cdr:nvPicPr>
        <cdr:cNvPr id="102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1032750" y="-2645855"/>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0.01565</cdr:x>
      <cdr:y>0.21294</cdr:y>
    </cdr:from>
    <cdr:to>
      <cdr:x>0.26858</cdr:x>
      <cdr:y>0.60647</cdr:y>
    </cdr:to>
    <cdr:sp macro="" textlink="">
      <cdr:nvSpPr>
        <cdr:cNvPr id="3" name="TextBox 2"/>
        <cdr:cNvSpPr txBox="1"/>
      </cdr:nvSpPr>
      <cdr:spPr>
        <a:xfrm xmlns:a="http://schemas.openxmlformats.org/drawingml/2006/main">
          <a:off x="91440" y="601980"/>
          <a:ext cx="1478280" cy="11125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0.1043</cdr:x>
      <cdr:y>0.2938</cdr:y>
    </cdr:from>
    <cdr:to>
      <cdr:x>0.26076</cdr:x>
      <cdr:y>0.61725</cdr:y>
    </cdr:to>
    <cdr:sp macro="" textlink="">
      <cdr:nvSpPr>
        <cdr:cNvPr id="4" name="TextBox 3"/>
        <cdr:cNvSpPr txBox="1"/>
      </cdr:nvSpPr>
      <cdr:spPr>
        <a:xfrm xmlns:a="http://schemas.openxmlformats.org/drawingml/2006/main">
          <a:off x="609600" y="83058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0.05863</cdr:x>
      <cdr:y>0.42515</cdr:y>
    </cdr:from>
    <cdr:to>
      <cdr:x>0.25928</cdr:x>
      <cdr:y>0.65174</cdr:y>
    </cdr:to>
    <cdr:sp macro="" textlink="">
      <cdr:nvSpPr>
        <cdr:cNvPr id="5" name="TextBox 4"/>
        <cdr:cNvSpPr txBox="1"/>
      </cdr:nvSpPr>
      <cdr:spPr>
        <a:xfrm xmlns:a="http://schemas.openxmlformats.org/drawingml/2006/main">
          <a:off x="375726" y="1082040"/>
          <a:ext cx="1285849" cy="5766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a:latin typeface="Times New Roman" pitchFamily="18" charset="0"/>
              <a:cs typeface="Times New Roman" pitchFamily="18" charset="0"/>
            </a:rPr>
            <a:t>*- темп роста к</a:t>
          </a:r>
        </a:p>
        <a:p xmlns:a="http://schemas.openxmlformats.org/drawingml/2006/main">
          <a:pPr algn="ctr"/>
          <a:r>
            <a:rPr lang="ru-RU" sz="900">
              <a:latin typeface="Times New Roman" pitchFamily="18" charset="0"/>
              <a:cs typeface="Times New Roman" pitchFamily="18" charset="0"/>
            </a:rPr>
            <a:t> приведен к уточненным </a:t>
          </a:r>
        </a:p>
        <a:p xmlns:a="http://schemas.openxmlformats.org/drawingml/2006/main">
          <a:pPr algn="ctr"/>
          <a:r>
            <a:rPr lang="ru-RU" sz="900">
              <a:latin typeface="Times New Roman" pitchFamily="18" charset="0"/>
              <a:cs typeface="Times New Roman" pitchFamily="18" charset="0"/>
            </a:rPr>
            <a:t>данным ГСС ПМР, %</a:t>
          </a:r>
        </a:p>
      </cdr:txBody>
    </cdr:sp>
  </cdr:relSizeAnchor>
</c:userShapes>
</file>

<file path=word/drawings/drawing3.xml><?xml version="1.0" encoding="utf-8"?>
<c:userShapes xmlns:c="http://schemas.openxmlformats.org/drawingml/2006/chart">
  <cdr:relSizeAnchor xmlns:cdr="http://schemas.openxmlformats.org/drawingml/2006/chartDrawing">
    <cdr:from>
      <cdr:x>0.00899</cdr:x>
      <cdr:y>0.27342</cdr:y>
    </cdr:from>
    <cdr:to>
      <cdr:x>0.13607</cdr:x>
      <cdr:y>0.57722</cdr:y>
    </cdr:to>
    <cdr:sp macro="" textlink="">
      <cdr:nvSpPr>
        <cdr:cNvPr id="2" name="TextBox 1"/>
        <cdr:cNvSpPr txBox="1"/>
      </cdr:nvSpPr>
      <cdr:spPr>
        <a:xfrm xmlns:a="http://schemas.openxmlformats.org/drawingml/2006/main">
          <a:off x="53340" y="822960"/>
          <a:ext cx="75438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0.01412</cdr:x>
      <cdr:y>0.25316</cdr:y>
    </cdr:from>
    <cdr:to>
      <cdr:x>0.14763</cdr:x>
      <cdr:y>0.72911</cdr:y>
    </cdr:to>
    <cdr:sp macro="" textlink="">
      <cdr:nvSpPr>
        <cdr:cNvPr id="3" name="TextBox 2"/>
        <cdr:cNvSpPr txBox="1"/>
      </cdr:nvSpPr>
      <cdr:spPr>
        <a:xfrm xmlns:a="http://schemas.openxmlformats.org/drawingml/2006/main">
          <a:off x="83820" y="762000"/>
          <a:ext cx="792480" cy="1432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0.60101</cdr:y>
    </cdr:from>
    <cdr:to>
      <cdr:x>0.22817</cdr:x>
      <cdr:y>0.7881</cdr:y>
    </cdr:to>
    <cdr:sp macro="" textlink="">
      <cdr:nvSpPr>
        <cdr:cNvPr id="4" name="TextBox 3"/>
        <cdr:cNvSpPr txBox="1"/>
      </cdr:nvSpPr>
      <cdr:spPr>
        <a:xfrm xmlns:a="http://schemas.openxmlformats.org/drawingml/2006/main">
          <a:off x="0" y="1813560"/>
          <a:ext cx="1413527" cy="5645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b="1">
              <a:latin typeface="Times New Roman" pitchFamily="18" charset="0"/>
              <a:cs typeface="Times New Roman" pitchFamily="18" charset="0"/>
            </a:rPr>
            <a:t>*-темп роста</a:t>
          </a:r>
        </a:p>
        <a:p xmlns:a="http://schemas.openxmlformats.org/drawingml/2006/main">
          <a:pPr algn="ctr"/>
          <a:r>
            <a:rPr lang="ru-RU" sz="900" b="1">
              <a:latin typeface="Times New Roman" pitchFamily="18" charset="0"/>
              <a:cs typeface="Times New Roman" pitchFamily="18" charset="0"/>
            </a:rPr>
            <a:t>к соответствующему  </a:t>
          </a:r>
        </a:p>
        <a:p xmlns:a="http://schemas.openxmlformats.org/drawingml/2006/main">
          <a:pPr algn="ctr"/>
          <a:r>
            <a:rPr lang="ru-RU" sz="900" b="1">
              <a:latin typeface="Times New Roman" pitchFamily="18" charset="0"/>
              <a:cs typeface="Times New Roman" pitchFamily="18" charset="0"/>
            </a:rPr>
            <a:t>периоду 2016 года,%</a:t>
          </a:r>
        </a:p>
      </cdr:txBody>
    </cdr:sp>
  </cdr:relSizeAnchor>
</c:userShapes>
</file>

<file path=word/drawings/drawing4.xml><?xml version="1.0" encoding="utf-8"?>
<c:userShapes xmlns:c="http://schemas.openxmlformats.org/drawingml/2006/chart">
  <cdr:relSizeAnchor xmlns:cdr="http://schemas.openxmlformats.org/drawingml/2006/chartDrawing">
    <cdr:from>
      <cdr:x>0.13389</cdr:x>
      <cdr:y>0.43506</cdr:y>
    </cdr:from>
    <cdr:to>
      <cdr:x>0.26778</cdr:x>
      <cdr:y>0.74675</cdr:y>
    </cdr:to>
    <cdr:sp macro="" textlink="">
      <cdr:nvSpPr>
        <cdr:cNvPr id="2" name="TextBox 1"/>
        <cdr:cNvSpPr txBox="1"/>
      </cdr:nvSpPr>
      <cdr:spPr>
        <a:xfrm xmlns:a="http://schemas.openxmlformats.org/drawingml/2006/main">
          <a:off x="914400" y="1276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0.08683</cdr:x>
      <cdr:y>0.20573</cdr:y>
    </cdr:from>
    <cdr:to>
      <cdr:x>0.24482</cdr:x>
      <cdr:y>0.50443</cdr:y>
    </cdr:to>
    <cdr:sp macro="" textlink="">
      <cdr:nvSpPr>
        <cdr:cNvPr id="3" name="TextBox 2"/>
        <cdr:cNvSpPr txBox="1"/>
      </cdr:nvSpPr>
      <cdr:spPr>
        <a:xfrm xmlns:a="http://schemas.openxmlformats.org/drawingml/2006/main">
          <a:off x="609561" y="589836"/>
          <a:ext cx="1109078" cy="8563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i="0">
              <a:latin typeface="Times New Roman" pitchFamily="18" charset="0"/>
              <a:cs typeface="Times New Roman" pitchFamily="18" charset="0"/>
            </a:rPr>
            <a:t>*- Удельный вес в общем объеме</a:t>
          </a:r>
          <a:r>
            <a:rPr lang="ru-RU" sz="1000" b="0" i="0" baseline="0">
              <a:latin typeface="Times New Roman" pitchFamily="18" charset="0"/>
              <a:cs typeface="Times New Roman" pitchFamily="18" charset="0"/>
            </a:rPr>
            <a:t> </a:t>
          </a:r>
          <a:r>
            <a:rPr lang="ru-RU" sz="1000" b="0" i="0">
              <a:latin typeface="Times New Roman" pitchFamily="18" charset="0"/>
              <a:cs typeface="Times New Roman" pitchFamily="18" charset="0"/>
            </a:rPr>
            <a:t> доходов, %</a:t>
          </a:r>
        </a:p>
      </cdr:txBody>
    </cdr:sp>
  </cdr:relSizeAnchor>
  <cdr:relSizeAnchor xmlns:cdr="http://schemas.openxmlformats.org/drawingml/2006/chartDrawing">
    <cdr:from>
      <cdr:x>0.48207</cdr:x>
      <cdr:y>0.53329</cdr:y>
    </cdr:from>
    <cdr:to>
      <cdr:x>0.56581</cdr:x>
      <cdr:y>0.63729</cdr:y>
    </cdr:to>
    <cdr:sp macro="" textlink="">
      <cdr:nvSpPr>
        <cdr:cNvPr id="4" name="TextBox 3"/>
        <cdr:cNvSpPr txBox="1"/>
      </cdr:nvSpPr>
      <cdr:spPr>
        <a:xfrm xmlns:a="http://schemas.openxmlformats.org/drawingml/2006/main">
          <a:off x="3384091" y="1600070"/>
          <a:ext cx="587849" cy="3120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i="0">
              <a:latin typeface="Times New Roman" pitchFamily="18" charset="0"/>
              <a:cs typeface="Times New Roman" pitchFamily="18" charset="0"/>
            </a:rPr>
            <a:t>*21,8</a:t>
          </a:r>
        </a:p>
      </cdr:txBody>
    </cdr:sp>
  </cdr:relSizeAnchor>
  <cdr:relSizeAnchor xmlns:cdr="http://schemas.openxmlformats.org/drawingml/2006/chartDrawing">
    <cdr:from>
      <cdr:x>0.48494</cdr:x>
      <cdr:y>0.43634</cdr:y>
    </cdr:from>
    <cdr:to>
      <cdr:x>0.56443</cdr:x>
      <cdr:y>0.52434</cdr:y>
    </cdr:to>
    <cdr:sp macro="" textlink="">
      <cdr:nvSpPr>
        <cdr:cNvPr id="5" name="TextBox 4"/>
        <cdr:cNvSpPr txBox="1"/>
      </cdr:nvSpPr>
      <cdr:spPr>
        <a:xfrm xmlns:a="http://schemas.openxmlformats.org/drawingml/2006/main">
          <a:off x="3404265" y="1309176"/>
          <a:ext cx="558013" cy="2640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*33,1</a:t>
          </a:r>
        </a:p>
      </cdr:txBody>
    </cdr:sp>
  </cdr:relSizeAnchor>
  <cdr:relSizeAnchor xmlns:cdr="http://schemas.openxmlformats.org/drawingml/2006/chartDrawing">
    <cdr:from>
      <cdr:x>0.47838</cdr:x>
      <cdr:y>0.284</cdr:y>
    </cdr:from>
    <cdr:to>
      <cdr:x>0.55091</cdr:x>
      <cdr:y>0.376</cdr:y>
    </cdr:to>
    <cdr:sp macro="" textlink="">
      <cdr:nvSpPr>
        <cdr:cNvPr id="6" name="TextBox 5"/>
        <cdr:cNvSpPr txBox="1"/>
      </cdr:nvSpPr>
      <cdr:spPr>
        <a:xfrm xmlns:a="http://schemas.openxmlformats.org/drawingml/2006/main">
          <a:off x="3267075" y="676275"/>
          <a:ext cx="495300"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0.48083</cdr:x>
      <cdr:y>0.32434</cdr:y>
    </cdr:from>
    <cdr:to>
      <cdr:x>0.56591</cdr:x>
      <cdr:y>0.41634</cdr:y>
    </cdr:to>
    <cdr:sp macro="" textlink="">
      <cdr:nvSpPr>
        <cdr:cNvPr id="7" name="TextBox 6"/>
        <cdr:cNvSpPr txBox="1"/>
      </cdr:nvSpPr>
      <cdr:spPr>
        <a:xfrm xmlns:a="http://schemas.openxmlformats.org/drawingml/2006/main">
          <a:off x="3375387" y="973134"/>
          <a:ext cx="597255" cy="2760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*30,7</a:t>
          </a:r>
        </a:p>
        <a:p xmlns:a="http://schemas.openxmlformats.org/drawingml/2006/main">
          <a:endParaRPr lang="ru-RU" sz="1000" b="0">
            <a:latin typeface="Times New Roman" pitchFamily="18" charset="0"/>
            <a:cs typeface="Times New Roman" pitchFamily="18" charset="0"/>
          </a:endParaRPr>
        </a:p>
      </cdr:txBody>
    </cdr:sp>
  </cdr:relSizeAnchor>
  <cdr:relSizeAnchor xmlns:cdr="http://schemas.openxmlformats.org/drawingml/2006/chartDrawing">
    <cdr:from>
      <cdr:x>0.49045</cdr:x>
      <cdr:y>0.24667</cdr:y>
    </cdr:from>
    <cdr:to>
      <cdr:x>0.56576</cdr:x>
      <cdr:y>0.34667</cdr:y>
    </cdr:to>
    <cdr:sp macro="" textlink="">
      <cdr:nvSpPr>
        <cdr:cNvPr id="8" name="TextBox 7"/>
        <cdr:cNvSpPr txBox="1"/>
      </cdr:nvSpPr>
      <cdr:spPr>
        <a:xfrm xmlns:a="http://schemas.openxmlformats.org/drawingml/2006/main">
          <a:off x="3442900" y="740098"/>
          <a:ext cx="528671" cy="3000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*9,3</a:t>
          </a:r>
        </a:p>
      </cdr:txBody>
    </cdr:sp>
  </cdr:relSizeAnchor>
  <cdr:relSizeAnchor xmlns:cdr="http://schemas.openxmlformats.org/drawingml/2006/chartDrawing">
    <cdr:from>
      <cdr:x>0.49044</cdr:x>
      <cdr:y>0.18584</cdr:y>
    </cdr:from>
    <cdr:to>
      <cdr:x>0.56018</cdr:x>
      <cdr:y>0.28184</cdr:y>
    </cdr:to>
    <cdr:sp macro="" textlink="">
      <cdr:nvSpPr>
        <cdr:cNvPr id="9" name="TextBox 8"/>
        <cdr:cNvSpPr txBox="1"/>
      </cdr:nvSpPr>
      <cdr:spPr>
        <a:xfrm xmlns:a="http://schemas.openxmlformats.org/drawingml/2006/main">
          <a:off x="3442852" y="557599"/>
          <a:ext cx="489570" cy="2880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0">
              <a:latin typeface="Times New Roman" pitchFamily="18" charset="0"/>
              <a:cs typeface="Times New Roman" pitchFamily="18" charset="0"/>
            </a:rPr>
            <a:t>*4,9</a:t>
          </a:r>
        </a:p>
      </cdr:txBody>
    </cdr:sp>
  </cdr:relSizeAnchor>
  <cdr:relSizeAnchor xmlns:cdr="http://schemas.openxmlformats.org/drawingml/2006/chartDrawing">
    <cdr:from>
      <cdr:x>0.78697</cdr:x>
      <cdr:y>0.53488</cdr:y>
    </cdr:from>
    <cdr:to>
      <cdr:x>0.86296</cdr:x>
      <cdr:y>0.60465</cdr:y>
    </cdr:to>
    <cdr:sp macro="" textlink="">
      <cdr:nvSpPr>
        <cdr:cNvPr id="10" name="TextBox 9"/>
        <cdr:cNvSpPr txBox="1"/>
      </cdr:nvSpPr>
      <cdr:spPr>
        <a:xfrm xmlns:a="http://schemas.openxmlformats.org/drawingml/2006/main">
          <a:off x="5524500" y="1533524"/>
          <a:ext cx="5334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*23,2</a:t>
          </a:r>
        </a:p>
      </cdr:txBody>
    </cdr:sp>
  </cdr:relSizeAnchor>
  <cdr:relSizeAnchor xmlns:cdr="http://schemas.openxmlformats.org/drawingml/2006/chartDrawing">
    <cdr:from>
      <cdr:x>0.78562</cdr:x>
      <cdr:y>0.43522</cdr:y>
    </cdr:from>
    <cdr:to>
      <cdr:x>0.87246</cdr:x>
      <cdr:y>0.51827</cdr:y>
    </cdr:to>
    <cdr:sp macro="" textlink="">
      <cdr:nvSpPr>
        <cdr:cNvPr id="11" name="TextBox 10"/>
        <cdr:cNvSpPr txBox="1"/>
      </cdr:nvSpPr>
      <cdr:spPr>
        <a:xfrm xmlns:a="http://schemas.openxmlformats.org/drawingml/2006/main">
          <a:off x="5514975" y="1247775"/>
          <a:ext cx="60960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*36,9</a:t>
          </a:r>
        </a:p>
      </cdr:txBody>
    </cdr:sp>
  </cdr:relSizeAnchor>
  <cdr:relSizeAnchor xmlns:cdr="http://schemas.openxmlformats.org/drawingml/2006/chartDrawing">
    <cdr:from>
      <cdr:x>0.78969</cdr:x>
      <cdr:y>0.32226</cdr:y>
    </cdr:from>
    <cdr:to>
      <cdr:x>0.86703</cdr:x>
      <cdr:y>0.39203</cdr:y>
    </cdr:to>
    <cdr:sp macro="" textlink="">
      <cdr:nvSpPr>
        <cdr:cNvPr id="12" name="TextBox 11"/>
        <cdr:cNvSpPr txBox="1"/>
      </cdr:nvSpPr>
      <cdr:spPr>
        <a:xfrm xmlns:a="http://schemas.openxmlformats.org/drawingml/2006/main">
          <a:off x="5543550" y="923925"/>
          <a:ext cx="5429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*27,2</a:t>
          </a:r>
        </a:p>
      </cdr:txBody>
    </cdr:sp>
  </cdr:relSizeAnchor>
  <cdr:relSizeAnchor xmlns:cdr="http://schemas.openxmlformats.org/drawingml/2006/chartDrawing">
    <cdr:from>
      <cdr:x>0.79104</cdr:x>
      <cdr:y>0.24252</cdr:y>
    </cdr:from>
    <cdr:to>
      <cdr:x>0.8616</cdr:x>
      <cdr:y>0.32226</cdr:y>
    </cdr:to>
    <cdr:sp macro="" textlink="">
      <cdr:nvSpPr>
        <cdr:cNvPr id="13" name="TextBox 12"/>
        <cdr:cNvSpPr txBox="1"/>
      </cdr:nvSpPr>
      <cdr:spPr>
        <a:xfrm xmlns:a="http://schemas.openxmlformats.org/drawingml/2006/main">
          <a:off x="5553074" y="695324"/>
          <a:ext cx="495301" cy="2286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*8,5</a:t>
          </a:r>
        </a:p>
      </cdr:txBody>
    </cdr:sp>
  </cdr:relSizeAnchor>
  <cdr:relSizeAnchor xmlns:cdr="http://schemas.openxmlformats.org/drawingml/2006/chartDrawing">
    <cdr:from>
      <cdr:x>0.78969</cdr:x>
      <cdr:y>0.18605</cdr:y>
    </cdr:from>
    <cdr:to>
      <cdr:x>0.86431</cdr:x>
      <cdr:y>0.27243</cdr:y>
    </cdr:to>
    <cdr:sp macro="" textlink="">
      <cdr:nvSpPr>
        <cdr:cNvPr id="14" name="TextBox 13"/>
        <cdr:cNvSpPr txBox="1"/>
      </cdr:nvSpPr>
      <cdr:spPr>
        <a:xfrm xmlns:a="http://schemas.openxmlformats.org/drawingml/2006/main">
          <a:off x="5543550" y="533401"/>
          <a:ext cx="52387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*3,9</a:t>
          </a:r>
        </a:p>
      </cdr:txBody>
    </cdr:sp>
  </cdr:relSizeAnchor>
</c:userShapes>
</file>

<file path=word/drawings/drawing5.xml><?xml version="1.0" encoding="utf-8"?>
<c:userShapes xmlns:c="http://schemas.openxmlformats.org/drawingml/2006/chart">
  <cdr:relSizeAnchor xmlns:cdr="http://schemas.openxmlformats.org/drawingml/2006/chartDrawing">
    <cdr:from>
      <cdr:x>0.02829</cdr:x>
      <cdr:y>0.37512</cdr:y>
    </cdr:from>
    <cdr:to>
      <cdr:x>0.29021</cdr:x>
      <cdr:y>0.56079</cdr:y>
    </cdr:to>
    <cdr:sp macro="" textlink="">
      <cdr:nvSpPr>
        <cdr:cNvPr id="2" name="TextBox 1"/>
        <cdr:cNvSpPr txBox="1"/>
      </cdr:nvSpPr>
      <cdr:spPr>
        <a:xfrm xmlns:a="http://schemas.openxmlformats.org/drawingml/2006/main">
          <a:off x="174335" y="893255"/>
          <a:ext cx="1614128" cy="4421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50" b="1">
              <a:latin typeface="Times New Roman" pitchFamily="18" charset="0"/>
              <a:cs typeface="Times New Roman" pitchFamily="18" charset="0"/>
            </a:rPr>
            <a:t>*- Удельный вес в общем объеме инвестиций, %</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0.55502</cdr:y>
    </cdr:from>
    <cdr:to>
      <cdr:x>0.25964</cdr:x>
      <cdr:y>0.74069</cdr:y>
    </cdr:to>
    <cdr:sp macro="" textlink="">
      <cdr:nvSpPr>
        <cdr:cNvPr id="2" name="TextBox 1"/>
        <cdr:cNvSpPr txBox="1"/>
      </cdr:nvSpPr>
      <cdr:spPr>
        <a:xfrm xmlns:a="http://schemas.openxmlformats.org/drawingml/2006/main">
          <a:off x="0" y="1390377"/>
          <a:ext cx="1666875" cy="4651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950" b="1">
              <a:latin typeface="Times New Roman" pitchFamily="18" charset="0"/>
              <a:cs typeface="Times New Roman" pitchFamily="18" charset="0"/>
            </a:rPr>
            <a:t>*- Удельный вес в общем объеме инвестиций,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AF2D8-B6AB-4EC2-8BE9-E73F3DF3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64</Pages>
  <Words>24429</Words>
  <Characters>139248</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grecha-m</dc:creator>
  <cp:keywords/>
  <dc:description/>
  <cp:lastModifiedBy>podsevalnikova-a</cp:lastModifiedBy>
  <cp:revision>25</cp:revision>
  <cp:lastPrinted>2017-10-03T10:22:00Z</cp:lastPrinted>
  <dcterms:created xsi:type="dcterms:W3CDTF">2017-10-03T10:03:00Z</dcterms:created>
  <dcterms:modified xsi:type="dcterms:W3CDTF">2017-10-16T07:44:00Z</dcterms:modified>
</cp:coreProperties>
</file>