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drawings/drawing6.xml" ContentType="application/vnd.openxmlformats-officedocument.drawingml.chartshapes+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charts/chart60.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theme/themeOverride10.xml" ContentType="application/vnd.openxmlformats-officedocument.themeOverride+xml"/>
  <Override PartName="/word/drawings/drawing5.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Default Extension="gif" ContentType="image/gif"/>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drawings/drawing4.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r w:rsidRPr="0080737A">
        <w:rPr>
          <w:rFonts w:ascii="Times New Roman" w:hAnsi="Times New Roman"/>
          <w:b/>
          <w:bCs/>
          <w:sz w:val="28"/>
          <w:szCs w:val="28"/>
        </w:rPr>
        <w:t>МИНИСТЕРСТВО ЭКОНОМИЧЕСКОГО РАЗВИТИЯ</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bCs/>
          <w:sz w:val="28"/>
          <w:szCs w:val="28"/>
        </w:rPr>
        <w:t>ПРИДНЕСТРОВСКОЙ МОЛДАВСКОЙ РЕСПУБЛИКИ</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4"/>
          <w:szCs w:val="44"/>
        </w:rPr>
      </w:pPr>
      <w:r w:rsidRPr="0080737A">
        <w:rPr>
          <w:rFonts w:ascii="Times New Roman" w:hAnsi="Times New Roman"/>
          <w:b/>
          <w:bCs/>
          <w:sz w:val="44"/>
          <w:szCs w:val="44"/>
        </w:rPr>
        <w:t>ДОКЛАД</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«О социально-экономическом развитии</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Приднестровской Молдавской Республики в 201</w:t>
      </w:r>
      <w:r w:rsidR="000F6312">
        <w:rPr>
          <w:rFonts w:ascii="Times New Roman" w:hAnsi="Times New Roman"/>
          <w:b/>
          <w:bCs/>
          <w:sz w:val="48"/>
          <w:szCs w:val="48"/>
        </w:rPr>
        <w:t>7</w:t>
      </w:r>
      <w:r w:rsidRPr="0080737A">
        <w:rPr>
          <w:rFonts w:ascii="Times New Roman" w:hAnsi="Times New Roman"/>
          <w:b/>
          <w:bCs/>
          <w:sz w:val="48"/>
          <w:szCs w:val="48"/>
        </w:rPr>
        <w:t xml:space="preserve"> год</w:t>
      </w:r>
      <w:r w:rsidR="00EE2F18">
        <w:rPr>
          <w:rFonts w:ascii="Times New Roman" w:hAnsi="Times New Roman"/>
          <w:b/>
          <w:bCs/>
          <w:sz w:val="48"/>
          <w:szCs w:val="48"/>
        </w:rPr>
        <w:t>у</w:t>
      </w:r>
      <w:r w:rsidRPr="0080737A">
        <w:rPr>
          <w:rFonts w:ascii="Times New Roman" w:hAnsi="Times New Roman"/>
          <w:b/>
          <w:bCs/>
          <w:sz w:val="48"/>
          <w:szCs w:val="48"/>
        </w:rPr>
        <w:t>»</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г. Тирасполь</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201</w:t>
      </w:r>
      <w:r w:rsidR="005838C3">
        <w:rPr>
          <w:rFonts w:ascii="Times New Roman" w:hAnsi="Times New Roman"/>
          <w:b/>
          <w:sz w:val="28"/>
          <w:szCs w:val="28"/>
        </w:rPr>
        <w:t>8</w:t>
      </w:r>
      <w:r w:rsidRPr="0080737A">
        <w:rPr>
          <w:rFonts w:ascii="Times New Roman" w:hAnsi="Times New Roman"/>
          <w:b/>
          <w:sz w:val="28"/>
          <w:szCs w:val="28"/>
        </w:rPr>
        <w:t xml:space="preserve"> год</w:t>
      </w:r>
    </w:p>
    <w:p w:rsidR="00335844" w:rsidRPr="0080737A" w:rsidRDefault="00335844" w:rsidP="00335844">
      <w:pPr>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p>
    <w:p w:rsidR="00335844" w:rsidRPr="0080737A" w:rsidRDefault="00335844" w:rsidP="00335844">
      <w:pPr>
        <w:spacing w:after="0" w:line="240" w:lineRule="auto"/>
        <w:jc w:val="center"/>
        <w:rPr>
          <w:rFonts w:ascii="Times New Roman" w:hAnsi="Times New Roman"/>
          <w:b/>
          <w:sz w:val="24"/>
          <w:szCs w:val="24"/>
        </w:rPr>
      </w:pPr>
      <w:r w:rsidRPr="0080737A">
        <w:rPr>
          <w:rFonts w:ascii="Times New Roman" w:hAnsi="Times New Roman"/>
          <w:b/>
          <w:sz w:val="24"/>
          <w:szCs w:val="24"/>
        </w:rPr>
        <w:lastRenderedPageBreak/>
        <w:t>Содержание</w:t>
      </w:r>
    </w:p>
    <w:p w:rsidR="00335844" w:rsidRPr="0080737A" w:rsidRDefault="00335844" w:rsidP="00335844">
      <w:pPr>
        <w:spacing w:after="0" w:line="240" w:lineRule="auto"/>
        <w:ind w:firstLine="851"/>
        <w:jc w:val="both"/>
        <w:rPr>
          <w:rFonts w:ascii="Times New Roman" w:hAnsi="Times New Roman"/>
          <w:b/>
          <w:sz w:val="24"/>
          <w:szCs w:val="24"/>
        </w:rPr>
      </w:pPr>
    </w:p>
    <w:p w:rsidR="00335844" w:rsidRPr="0080737A" w:rsidRDefault="00335844" w:rsidP="00335844">
      <w:pPr>
        <w:spacing w:after="0" w:line="240" w:lineRule="auto"/>
        <w:ind w:firstLine="851"/>
        <w:jc w:val="both"/>
        <w:rPr>
          <w:rFonts w:ascii="Times New Roman" w:hAnsi="Times New Roman"/>
          <w:b/>
          <w:sz w:val="24"/>
          <w:szCs w:val="24"/>
        </w:rPr>
      </w:pPr>
    </w:p>
    <w:tbl>
      <w:tblPr>
        <w:tblW w:w="9434" w:type="dxa"/>
        <w:tblLook w:val="01E0"/>
      </w:tblPr>
      <w:tblGrid>
        <w:gridCol w:w="8798"/>
        <w:gridCol w:w="636"/>
      </w:tblGrid>
      <w:tr w:rsidR="003D29EE" w:rsidRPr="0080737A" w:rsidTr="004A34E5">
        <w:tc>
          <w:tcPr>
            <w:tcW w:w="8798" w:type="dxa"/>
          </w:tcPr>
          <w:p w:rsidR="003D29EE" w:rsidRDefault="003D29EE" w:rsidP="003D29EE">
            <w:pPr>
              <w:spacing w:after="0" w:line="240" w:lineRule="auto"/>
              <w:jc w:val="both"/>
              <w:rPr>
                <w:rFonts w:ascii="Times New Roman" w:hAnsi="Times New Roman"/>
                <w:b/>
                <w:sz w:val="24"/>
                <w:szCs w:val="24"/>
              </w:rPr>
            </w:pPr>
            <w:r w:rsidRPr="0080737A">
              <w:rPr>
                <w:rFonts w:ascii="Times New Roman" w:hAnsi="Times New Roman"/>
                <w:b/>
                <w:sz w:val="24"/>
                <w:szCs w:val="24"/>
              </w:rPr>
              <w:t xml:space="preserve">Основные тенденции развития экономики Приднестровской </w:t>
            </w:r>
          </w:p>
          <w:p w:rsidR="003D29EE" w:rsidRPr="0080737A" w:rsidRDefault="003D29EE" w:rsidP="00EE2F18">
            <w:pPr>
              <w:spacing w:after="0" w:line="240" w:lineRule="auto"/>
              <w:jc w:val="both"/>
              <w:rPr>
                <w:rFonts w:ascii="Times New Roman" w:hAnsi="Times New Roman"/>
                <w:sz w:val="24"/>
                <w:szCs w:val="24"/>
              </w:rPr>
            </w:pPr>
            <w:r w:rsidRPr="0080737A">
              <w:rPr>
                <w:rFonts w:ascii="Times New Roman" w:hAnsi="Times New Roman"/>
                <w:b/>
                <w:sz w:val="24"/>
                <w:szCs w:val="24"/>
              </w:rPr>
              <w:t>Молдавской Республики в 201</w:t>
            </w:r>
            <w:r>
              <w:rPr>
                <w:rFonts w:ascii="Times New Roman" w:hAnsi="Times New Roman"/>
                <w:b/>
                <w:sz w:val="24"/>
                <w:szCs w:val="24"/>
              </w:rPr>
              <w:t>7</w:t>
            </w:r>
            <w:r w:rsidRPr="0080737A">
              <w:rPr>
                <w:rFonts w:ascii="Times New Roman" w:hAnsi="Times New Roman"/>
                <w:b/>
                <w:sz w:val="24"/>
                <w:szCs w:val="24"/>
              </w:rPr>
              <w:t xml:space="preserve"> год</w:t>
            </w:r>
            <w:r w:rsidR="00EE2F18">
              <w:rPr>
                <w:rFonts w:ascii="Times New Roman" w:hAnsi="Times New Roman"/>
                <w:b/>
                <w:sz w:val="24"/>
                <w:szCs w:val="24"/>
              </w:rPr>
              <w:t>у</w:t>
            </w:r>
            <w:r w:rsidR="004A34E5">
              <w:rPr>
                <w:rFonts w:ascii="Times New Roman" w:hAnsi="Times New Roman"/>
                <w:b/>
                <w:sz w:val="24"/>
                <w:szCs w:val="24"/>
              </w:rPr>
              <w:t>…………………</w:t>
            </w:r>
            <w:r w:rsidR="00EE2F18">
              <w:rPr>
                <w:rFonts w:ascii="Times New Roman" w:hAnsi="Times New Roman"/>
                <w:b/>
                <w:sz w:val="24"/>
                <w:szCs w:val="24"/>
              </w:rPr>
              <w:t>………………...</w:t>
            </w:r>
          </w:p>
        </w:tc>
        <w:tc>
          <w:tcPr>
            <w:tcW w:w="636" w:type="dxa"/>
            <w:vAlign w:val="bottom"/>
          </w:tcPr>
          <w:p w:rsidR="003D29EE" w:rsidRPr="004A34E5" w:rsidRDefault="003D29EE" w:rsidP="004A34E5">
            <w:pPr>
              <w:spacing w:before="100" w:beforeAutospacing="1" w:after="100" w:afterAutospacing="1" w:line="240" w:lineRule="auto"/>
              <w:rPr>
                <w:rFonts w:ascii="Times New Roman" w:hAnsi="Times New Roman"/>
                <w:b/>
                <w:sz w:val="24"/>
                <w:szCs w:val="24"/>
              </w:rPr>
            </w:pPr>
            <w:r w:rsidRPr="004A34E5">
              <w:rPr>
                <w:rFonts w:ascii="Times New Roman" w:hAnsi="Times New Roman"/>
                <w:b/>
                <w:sz w:val="24"/>
                <w:szCs w:val="24"/>
              </w:rPr>
              <w:t>3</w:t>
            </w:r>
          </w:p>
        </w:tc>
      </w:tr>
      <w:tr w:rsidR="00805A58" w:rsidRPr="0080737A" w:rsidTr="00805A58">
        <w:tc>
          <w:tcPr>
            <w:tcW w:w="8798"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Объем и структура ВВП……………………………………………………</w:t>
            </w:r>
          </w:p>
        </w:tc>
        <w:tc>
          <w:tcPr>
            <w:tcW w:w="636" w:type="dxa"/>
          </w:tcPr>
          <w:p w:rsidR="00805A58" w:rsidRPr="0080737A" w:rsidRDefault="00805A58" w:rsidP="005C2655">
            <w:pPr>
              <w:spacing w:before="100" w:beforeAutospacing="1" w:after="100" w:afterAutospacing="1" w:line="240" w:lineRule="auto"/>
              <w:rPr>
                <w:rFonts w:ascii="Times New Roman" w:hAnsi="Times New Roman"/>
                <w:sz w:val="24"/>
                <w:szCs w:val="24"/>
              </w:rPr>
            </w:pPr>
            <w:r w:rsidRPr="0080737A">
              <w:rPr>
                <w:rFonts w:ascii="Times New Roman" w:hAnsi="Times New Roman"/>
                <w:sz w:val="24"/>
                <w:szCs w:val="24"/>
              </w:rPr>
              <w:t>3</w:t>
            </w: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r w:rsidRPr="0080737A">
              <w:rPr>
                <w:rFonts w:ascii="Times New Roman" w:hAnsi="Times New Roman"/>
                <w:b/>
                <w:sz w:val="24"/>
                <w:szCs w:val="24"/>
              </w:rPr>
              <w:t>Состояние реального сектора экономики……………………………...</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b/>
                <w:sz w:val="24"/>
                <w:szCs w:val="24"/>
              </w:rPr>
            </w:pPr>
            <w:r>
              <w:rPr>
                <w:rFonts w:ascii="Times New Roman" w:hAnsi="Times New Roman"/>
                <w:b/>
                <w:sz w:val="24"/>
                <w:szCs w:val="24"/>
              </w:rPr>
              <w:t>7</w:t>
            </w: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Промышленность……………………………………………………………</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7</w:t>
            </w: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Агропромышленный комплекс…………………………………………….</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10</w:t>
            </w:r>
          </w:p>
        </w:tc>
      </w:tr>
      <w:tr w:rsidR="00805A58" w:rsidRPr="0080737A" w:rsidTr="003F67B2">
        <w:tc>
          <w:tcPr>
            <w:tcW w:w="8798" w:type="dxa"/>
          </w:tcPr>
          <w:p w:rsidR="00805A58" w:rsidRPr="0080737A" w:rsidRDefault="00805A58"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Транспорт…………………………………………………………………….</w:t>
            </w:r>
          </w:p>
        </w:tc>
        <w:tc>
          <w:tcPr>
            <w:tcW w:w="636" w:type="dxa"/>
          </w:tcPr>
          <w:p w:rsidR="00805A58" w:rsidRPr="0080737A" w:rsidRDefault="00090A9B" w:rsidP="001C1BD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1</w:t>
            </w:r>
            <w:r w:rsidR="001C1BD2">
              <w:rPr>
                <w:rFonts w:ascii="Times New Roman" w:hAnsi="Times New Roman"/>
                <w:sz w:val="24"/>
                <w:szCs w:val="24"/>
              </w:rPr>
              <w:t>4</w:t>
            </w:r>
          </w:p>
        </w:tc>
      </w:tr>
      <w:tr w:rsidR="00805A58" w:rsidRPr="0080737A" w:rsidTr="003F67B2">
        <w:tc>
          <w:tcPr>
            <w:tcW w:w="8798" w:type="dxa"/>
          </w:tcPr>
          <w:p w:rsidR="00805A58" w:rsidRPr="0080737A" w:rsidRDefault="00805A58"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Связь…………………………………………………………………………</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1</w:t>
            </w:r>
            <w:r w:rsidR="00805A58" w:rsidRPr="0080737A">
              <w:rPr>
                <w:rFonts w:ascii="Times New Roman" w:hAnsi="Times New Roman"/>
                <w:sz w:val="24"/>
                <w:szCs w:val="24"/>
              </w:rPr>
              <w:t>7</w:t>
            </w:r>
          </w:p>
        </w:tc>
      </w:tr>
      <w:tr w:rsidR="004A34E5" w:rsidRPr="0080737A" w:rsidTr="003F67B2">
        <w:tc>
          <w:tcPr>
            <w:tcW w:w="8798" w:type="dxa"/>
          </w:tcPr>
          <w:p w:rsidR="004A34E5" w:rsidRPr="0080737A" w:rsidRDefault="004A34E5"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Внешнеэкономическая деятельность……………………………………...</w:t>
            </w:r>
          </w:p>
        </w:tc>
        <w:tc>
          <w:tcPr>
            <w:tcW w:w="636" w:type="dxa"/>
          </w:tcPr>
          <w:p w:rsidR="004A34E5"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20</w:t>
            </w:r>
          </w:p>
        </w:tc>
      </w:tr>
      <w:tr w:rsidR="004A34E5" w:rsidRPr="0080737A" w:rsidTr="003F67B2">
        <w:tc>
          <w:tcPr>
            <w:tcW w:w="8798" w:type="dxa"/>
          </w:tcPr>
          <w:p w:rsidR="004A34E5" w:rsidRPr="004A34E5" w:rsidRDefault="004A34E5" w:rsidP="003F67B2">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Инвестиционная деятельность……………………………………………..</w:t>
            </w:r>
          </w:p>
        </w:tc>
        <w:tc>
          <w:tcPr>
            <w:tcW w:w="636" w:type="dxa"/>
          </w:tcPr>
          <w:p w:rsidR="004A34E5" w:rsidRPr="0080737A" w:rsidRDefault="00090A9B" w:rsidP="003F67B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24</w:t>
            </w: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r w:rsidRPr="0080737A">
              <w:rPr>
                <w:rFonts w:ascii="Times New Roman" w:hAnsi="Times New Roman"/>
                <w:sz w:val="24"/>
                <w:szCs w:val="24"/>
              </w:rPr>
              <w:t>Малое предпринимательство………………………………………………</w:t>
            </w:r>
          </w:p>
        </w:tc>
        <w:tc>
          <w:tcPr>
            <w:tcW w:w="636" w:type="dxa"/>
          </w:tcPr>
          <w:p w:rsidR="00805A58" w:rsidRPr="0080737A" w:rsidRDefault="00090A9B" w:rsidP="001C1BD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2</w:t>
            </w:r>
            <w:r w:rsidR="001C1BD2">
              <w:rPr>
                <w:rFonts w:ascii="Times New Roman" w:hAnsi="Times New Roman"/>
                <w:sz w:val="24"/>
                <w:szCs w:val="24"/>
              </w:rPr>
              <w:t>8</w:t>
            </w:r>
          </w:p>
        </w:tc>
      </w:tr>
      <w:tr w:rsidR="004A34E5" w:rsidRPr="00090A9B" w:rsidTr="006A3EF7">
        <w:tc>
          <w:tcPr>
            <w:tcW w:w="8798" w:type="dxa"/>
          </w:tcPr>
          <w:p w:rsidR="004A34E5" w:rsidRPr="004A34E5" w:rsidRDefault="004A34E5" w:rsidP="006A3EF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Потребительский рынок……………………………………………………</w:t>
            </w:r>
          </w:p>
        </w:tc>
        <w:tc>
          <w:tcPr>
            <w:tcW w:w="636" w:type="dxa"/>
          </w:tcPr>
          <w:p w:rsidR="004A34E5" w:rsidRPr="00090A9B" w:rsidRDefault="00090A9B" w:rsidP="001C1BD2">
            <w:pPr>
              <w:spacing w:before="100" w:beforeAutospacing="1" w:after="0" w:afterAutospacing="1" w:line="240" w:lineRule="auto"/>
              <w:jc w:val="both"/>
              <w:rPr>
                <w:rFonts w:ascii="Times New Roman" w:hAnsi="Times New Roman"/>
                <w:sz w:val="24"/>
                <w:szCs w:val="24"/>
              </w:rPr>
            </w:pPr>
            <w:r w:rsidRPr="00090A9B">
              <w:rPr>
                <w:rFonts w:ascii="Times New Roman" w:hAnsi="Times New Roman"/>
                <w:sz w:val="24"/>
                <w:szCs w:val="24"/>
              </w:rPr>
              <w:t>3</w:t>
            </w:r>
            <w:r w:rsidR="001C1BD2">
              <w:rPr>
                <w:rFonts w:ascii="Times New Roman" w:hAnsi="Times New Roman"/>
                <w:sz w:val="24"/>
                <w:szCs w:val="24"/>
              </w:rPr>
              <w:t>3</w:t>
            </w:r>
          </w:p>
        </w:tc>
      </w:tr>
      <w:tr w:rsidR="004A34E5" w:rsidRPr="00090A9B" w:rsidTr="006A3EF7">
        <w:tc>
          <w:tcPr>
            <w:tcW w:w="8798" w:type="dxa"/>
          </w:tcPr>
          <w:p w:rsidR="004A34E5" w:rsidRPr="004A34E5" w:rsidRDefault="004A34E5" w:rsidP="006A3EF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Ценовая и тарифная политика……………………………………………...</w:t>
            </w:r>
          </w:p>
        </w:tc>
        <w:tc>
          <w:tcPr>
            <w:tcW w:w="636" w:type="dxa"/>
          </w:tcPr>
          <w:p w:rsidR="004A34E5" w:rsidRPr="00090A9B" w:rsidRDefault="00090A9B" w:rsidP="001C1BD2">
            <w:pPr>
              <w:spacing w:before="100" w:beforeAutospacing="1" w:after="0" w:afterAutospacing="1" w:line="240" w:lineRule="auto"/>
              <w:jc w:val="both"/>
              <w:rPr>
                <w:rFonts w:ascii="Times New Roman" w:hAnsi="Times New Roman"/>
                <w:sz w:val="24"/>
                <w:szCs w:val="24"/>
              </w:rPr>
            </w:pPr>
            <w:r w:rsidRPr="00090A9B">
              <w:rPr>
                <w:rFonts w:ascii="Times New Roman" w:hAnsi="Times New Roman"/>
                <w:sz w:val="24"/>
                <w:szCs w:val="24"/>
              </w:rPr>
              <w:t>3</w:t>
            </w:r>
            <w:r w:rsidR="001C1BD2">
              <w:rPr>
                <w:rFonts w:ascii="Times New Roman" w:hAnsi="Times New Roman"/>
                <w:sz w:val="24"/>
                <w:szCs w:val="24"/>
              </w:rPr>
              <w:t>5</w:t>
            </w: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b/>
                <w:sz w:val="24"/>
                <w:szCs w:val="24"/>
              </w:rPr>
            </w:pPr>
            <w:r w:rsidRPr="004A34E5">
              <w:rPr>
                <w:rFonts w:ascii="Times New Roman" w:hAnsi="Times New Roman"/>
                <w:b/>
                <w:sz w:val="24"/>
                <w:szCs w:val="24"/>
              </w:rPr>
              <w:t>Состояние социальной сферы……………………………………………</w:t>
            </w:r>
          </w:p>
        </w:tc>
        <w:tc>
          <w:tcPr>
            <w:tcW w:w="636" w:type="dxa"/>
          </w:tcPr>
          <w:p w:rsidR="00805A58" w:rsidRPr="0080737A" w:rsidRDefault="00090A9B" w:rsidP="001C1BD2">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4</w:t>
            </w:r>
            <w:r w:rsidR="001C1BD2">
              <w:rPr>
                <w:rFonts w:ascii="Times New Roman" w:hAnsi="Times New Roman"/>
                <w:b/>
                <w:sz w:val="24"/>
                <w:szCs w:val="24"/>
              </w:rPr>
              <w:t>0</w:t>
            </w: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Уровень жизни населения………………………………………………….</w:t>
            </w:r>
          </w:p>
        </w:tc>
        <w:tc>
          <w:tcPr>
            <w:tcW w:w="636" w:type="dxa"/>
          </w:tcPr>
          <w:p w:rsidR="00805A58" w:rsidRPr="0080737A" w:rsidRDefault="00090A9B" w:rsidP="001C1BD2">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w:t>
            </w:r>
            <w:r w:rsidR="001C1BD2">
              <w:rPr>
                <w:rFonts w:ascii="Times New Roman" w:hAnsi="Times New Roman"/>
                <w:sz w:val="24"/>
                <w:szCs w:val="24"/>
              </w:rPr>
              <w:t>0</w:t>
            </w: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Рынок труда и сфера занятости…………………………………………….</w:t>
            </w:r>
          </w:p>
        </w:tc>
        <w:tc>
          <w:tcPr>
            <w:tcW w:w="636" w:type="dxa"/>
          </w:tcPr>
          <w:p w:rsidR="00805A58" w:rsidRPr="0080737A" w:rsidRDefault="00090A9B" w:rsidP="005C2655">
            <w:pPr>
              <w:spacing w:before="100" w:beforeAutospacing="1" w:after="0" w:afterAutospacing="1" w:line="240" w:lineRule="auto"/>
              <w:jc w:val="both"/>
              <w:rPr>
                <w:rFonts w:ascii="Times New Roman" w:hAnsi="Times New Roman"/>
                <w:sz w:val="24"/>
                <w:szCs w:val="24"/>
              </w:rPr>
            </w:pPr>
            <w:r>
              <w:rPr>
                <w:rFonts w:ascii="Times New Roman" w:hAnsi="Times New Roman"/>
                <w:sz w:val="24"/>
                <w:szCs w:val="24"/>
              </w:rPr>
              <w:t>46</w:t>
            </w:r>
          </w:p>
        </w:tc>
      </w:tr>
      <w:tr w:rsidR="00805A58" w:rsidRPr="0080737A" w:rsidTr="003F67B2">
        <w:tc>
          <w:tcPr>
            <w:tcW w:w="8798" w:type="dxa"/>
          </w:tcPr>
          <w:p w:rsidR="00805A58" w:rsidRPr="004A34E5"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A22BDD" w:rsidRPr="0080737A" w:rsidTr="006A3EF7">
        <w:tc>
          <w:tcPr>
            <w:tcW w:w="8798" w:type="dxa"/>
          </w:tcPr>
          <w:p w:rsidR="00A22BDD" w:rsidRPr="00A22BDD" w:rsidRDefault="00A22BDD" w:rsidP="006A3EF7">
            <w:pPr>
              <w:widowControl w:val="0"/>
              <w:autoSpaceDE w:val="0"/>
              <w:autoSpaceDN w:val="0"/>
              <w:adjustRightInd w:val="0"/>
              <w:spacing w:before="100" w:beforeAutospacing="1" w:after="0" w:afterAutospacing="1" w:line="240" w:lineRule="auto"/>
              <w:jc w:val="both"/>
              <w:rPr>
                <w:rFonts w:ascii="Times New Roman" w:hAnsi="Times New Roman"/>
                <w:b/>
                <w:sz w:val="24"/>
                <w:szCs w:val="24"/>
              </w:rPr>
            </w:pPr>
            <w:r w:rsidRPr="00A22BDD">
              <w:rPr>
                <w:rFonts w:ascii="Times New Roman" w:hAnsi="Times New Roman"/>
                <w:b/>
                <w:sz w:val="24"/>
                <w:szCs w:val="24"/>
              </w:rPr>
              <w:t>Финансы</w:t>
            </w:r>
            <w:r w:rsidR="00875D3B">
              <w:rPr>
                <w:rFonts w:ascii="Times New Roman" w:hAnsi="Times New Roman"/>
                <w:b/>
                <w:sz w:val="24"/>
                <w:szCs w:val="24"/>
              </w:rPr>
              <w:t>……………………………………………………………………...</w:t>
            </w:r>
          </w:p>
        </w:tc>
        <w:tc>
          <w:tcPr>
            <w:tcW w:w="636" w:type="dxa"/>
          </w:tcPr>
          <w:p w:rsidR="00A22BDD" w:rsidRPr="00090A9B" w:rsidRDefault="001C1BD2" w:rsidP="006A3EF7">
            <w:pPr>
              <w:spacing w:before="100" w:beforeAutospacing="1" w:after="0" w:afterAutospacing="1" w:line="240" w:lineRule="auto"/>
              <w:rPr>
                <w:rFonts w:ascii="Times New Roman" w:hAnsi="Times New Roman"/>
                <w:b/>
                <w:sz w:val="24"/>
                <w:szCs w:val="24"/>
              </w:rPr>
            </w:pPr>
            <w:r>
              <w:rPr>
                <w:rFonts w:ascii="Times New Roman" w:hAnsi="Times New Roman"/>
                <w:b/>
                <w:sz w:val="24"/>
                <w:szCs w:val="24"/>
              </w:rPr>
              <w:t>50</w:t>
            </w:r>
          </w:p>
        </w:tc>
      </w:tr>
      <w:tr w:rsidR="004A34E5" w:rsidRPr="0080737A" w:rsidTr="006A3EF7">
        <w:tc>
          <w:tcPr>
            <w:tcW w:w="8798" w:type="dxa"/>
          </w:tcPr>
          <w:p w:rsidR="004A34E5" w:rsidRPr="004A34E5" w:rsidRDefault="004A34E5" w:rsidP="006A3EF7">
            <w:pPr>
              <w:widowControl w:val="0"/>
              <w:autoSpaceDE w:val="0"/>
              <w:autoSpaceDN w:val="0"/>
              <w:adjustRightInd w:val="0"/>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Исполнение Консолидированного бюджета……………………………</w:t>
            </w:r>
            <w:r w:rsidR="00875D3B">
              <w:rPr>
                <w:rFonts w:ascii="Times New Roman" w:hAnsi="Times New Roman"/>
                <w:sz w:val="24"/>
                <w:szCs w:val="24"/>
              </w:rPr>
              <w:t>…</w:t>
            </w:r>
            <w:r w:rsidRPr="004A34E5">
              <w:rPr>
                <w:rFonts w:ascii="Times New Roman" w:hAnsi="Times New Roman"/>
                <w:sz w:val="24"/>
                <w:szCs w:val="24"/>
              </w:rPr>
              <w:t>.</w:t>
            </w:r>
          </w:p>
        </w:tc>
        <w:tc>
          <w:tcPr>
            <w:tcW w:w="636" w:type="dxa"/>
          </w:tcPr>
          <w:p w:rsidR="004A34E5" w:rsidRPr="0080737A" w:rsidRDefault="001C1BD2" w:rsidP="006A3EF7">
            <w:pPr>
              <w:spacing w:before="100" w:beforeAutospacing="1" w:after="0" w:afterAutospacing="1" w:line="240" w:lineRule="auto"/>
              <w:rPr>
                <w:rFonts w:ascii="Times New Roman" w:hAnsi="Times New Roman"/>
                <w:sz w:val="24"/>
                <w:szCs w:val="24"/>
              </w:rPr>
            </w:pPr>
            <w:r>
              <w:rPr>
                <w:rFonts w:ascii="Times New Roman" w:hAnsi="Times New Roman"/>
                <w:sz w:val="24"/>
                <w:szCs w:val="24"/>
              </w:rPr>
              <w:t>50</w:t>
            </w:r>
          </w:p>
        </w:tc>
      </w:tr>
      <w:tr w:rsidR="004A34E5" w:rsidRPr="0080737A" w:rsidTr="006A3EF7">
        <w:tc>
          <w:tcPr>
            <w:tcW w:w="8798" w:type="dxa"/>
          </w:tcPr>
          <w:p w:rsidR="004A34E5" w:rsidRPr="004A34E5" w:rsidRDefault="004A34E5" w:rsidP="006A3EF7">
            <w:pPr>
              <w:spacing w:before="100" w:beforeAutospacing="1" w:after="0" w:afterAutospacing="1" w:line="240" w:lineRule="auto"/>
              <w:jc w:val="both"/>
              <w:rPr>
                <w:rFonts w:ascii="Times New Roman" w:hAnsi="Times New Roman"/>
                <w:sz w:val="24"/>
                <w:szCs w:val="24"/>
              </w:rPr>
            </w:pPr>
            <w:r w:rsidRPr="004A34E5">
              <w:rPr>
                <w:rFonts w:ascii="Times New Roman" w:hAnsi="Times New Roman"/>
                <w:sz w:val="24"/>
                <w:szCs w:val="24"/>
              </w:rPr>
              <w:t>Денежно-кредитная политика……………………………………………</w:t>
            </w:r>
            <w:r w:rsidR="00875D3B">
              <w:rPr>
                <w:rFonts w:ascii="Times New Roman" w:hAnsi="Times New Roman"/>
                <w:sz w:val="24"/>
                <w:szCs w:val="24"/>
              </w:rPr>
              <w:t>….</w:t>
            </w:r>
          </w:p>
        </w:tc>
        <w:tc>
          <w:tcPr>
            <w:tcW w:w="636" w:type="dxa"/>
          </w:tcPr>
          <w:p w:rsidR="004A34E5" w:rsidRPr="0080737A" w:rsidRDefault="00090A9B" w:rsidP="006A3EF7">
            <w:pPr>
              <w:spacing w:before="100" w:beforeAutospacing="1" w:after="0" w:afterAutospacing="1" w:line="240" w:lineRule="auto"/>
              <w:rPr>
                <w:rFonts w:ascii="Times New Roman" w:hAnsi="Times New Roman"/>
                <w:sz w:val="24"/>
                <w:szCs w:val="24"/>
              </w:rPr>
            </w:pPr>
            <w:r>
              <w:rPr>
                <w:rFonts w:ascii="Times New Roman" w:hAnsi="Times New Roman"/>
                <w:sz w:val="24"/>
                <w:szCs w:val="24"/>
              </w:rPr>
              <w:t>5</w:t>
            </w:r>
            <w:r w:rsidR="001C1BD2">
              <w:rPr>
                <w:rFonts w:ascii="Times New Roman" w:hAnsi="Times New Roman"/>
                <w:sz w:val="24"/>
                <w:szCs w:val="24"/>
              </w:rPr>
              <w:t>5</w:t>
            </w:r>
          </w:p>
        </w:tc>
      </w:tr>
      <w:tr w:rsidR="004A34E5" w:rsidRPr="0080737A" w:rsidTr="003F67B2">
        <w:tc>
          <w:tcPr>
            <w:tcW w:w="8798" w:type="dxa"/>
          </w:tcPr>
          <w:p w:rsidR="004A34E5" w:rsidRPr="004A34E5" w:rsidRDefault="004A34E5" w:rsidP="003F67B2">
            <w:pPr>
              <w:spacing w:before="100" w:beforeAutospacing="1" w:after="0" w:afterAutospacing="1" w:line="240" w:lineRule="auto"/>
              <w:jc w:val="both"/>
              <w:rPr>
                <w:rFonts w:ascii="Times New Roman" w:hAnsi="Times New Roman"/>
                <w:b/>
                <w:sz w:val="24"/>
                <w:szCs w:val="24"/>
              </w:rPr>
            </w:pPr>
          </w:p>
        </w:tc>
        <w:tc>
          <w:tcPr>
            <w:tcW w:w="636" w:type="dxa"/>
          </w:tcPr>
          <w:p w:rsidR="004A34E5" w:rsidRPr="0080737A" w:rsidRDefault="004A34E5" w:rsidP="003F67B2">
            <w:pPr>
              <w:spacing w:before="100" w:beforeAutospacing="1" w:after="0" w:afterAutospacing="1" w:line="240" w:lineRule="auto"/>
              <w:jc w:val="both"/>
              <w:rPr>
                <w:rFonts w:ascii="Times New Roman" w:hAnsi="Times New Roman"/>
                <w:b/>
                <w:sz w:val="24"/>
                <w:szCs w:val="24"/>
              </w:rPr>
            </w:pPr>
          </w:p>
        </w:tc>
      </w:tr>
      <w:tr w:rsidR="004A34E5" w:rsidRPr="0080737A" w:rsidTr="003F67B2">
        <w:tc>
          <w:tcPr>
            <w:tcW w:w="8798" w:type="dxa"/>
          </w:tcPr>
          <w:p w:rsidR="004A34E5" w:rsidRPr="004A34E5" w:rsidRDefault="004A34E5" w:rsidP="003F67B2">
            <w:pPr>
              <w:spacing w:before="100" w:beforeAutospacing="1" w:after="0" w:afterAutospacing="1" w:line="240" w:lineRule="auto"/>
              <w:jc w:val="both"/>
              <w:rPr>
                <w:rFonts w:ascii="Times New Roman" w:hAnsi="Times New Roman"/>
                <w:b/>
                <w:sz w:val="24"/>
                <w:szCs w:val="24"/>
              </w:rPr>
            </w:pPr>
            <w:r w:rsidRPr="004A34E5">
              <w:rPr>
                <w:rFonts w:ascii="Times New Roman" w:hAnsi="Times New Roman"/>
                <w:sz w:val="24"/>
                <w:szCs w:val="24"/>
              </w:rPr>
              <w:t>Экология……………………………………………………………………..</w:t>
            </w:r>
          </w:p>
        </w:tc>
        <w:tc>
          <w:tcPr>
            <w:tcW w:w="636" w:type="dxa"/>
          </w:tcPr>
          <w:p w:rsidR="004A34E5" w:rsidRPr="0080737A" w:rsidRDefault="00090A9B" w:rsidP="001C1BD2">
            <w:pPr>
              <w:spacing w:before="100" w:beforeAutospacing="1" w:after="0" w:afterAutospacing="1" w:line="240" w:lineRule="auto"/>
              <w:jc w:val="both"/>
              <w:rPr>
                <w:rFonts w:ascii="Times New Roman" w:hAnsi="Times New Roman"/>
                <w:b/>
                <w:sz w:val="24"/>
                <w:szCs w:val="24"/>
              </w:rPr>
            </w:pPr>
            <w:r>
              <w:rPr>
                <w:rFonts w:ascii="Times New Roman" w:hAnsi="Times New Roman"/>
                <w:b/>
                <w:sz w:val="24"/>
                <w:szCs w:val="24"/>
              </w:rPr>
              <w:t>5</w:t>
            </w:r>
            <w:r w:rsidR="001C1BD2">
              <w:rPr>
                <w:rFonts w:ascii="Times New Roman" w:hAnsi="Times New Roman"/>
                <w:b/>
                <w:sz w:val="24"/>
                <w:szCs w:val="24"/>
              </w:rPr>
              <w:t>8</w:t>
            </w:r>
          </w:p>
        </w:tc>
      </w:tr>
      <w:tr w:rsidR="004A34E5" w:rsidRPr="0080737A" w:rsidTr="003F67B2">
        <w:tc>
          <w:tcPr>
            <w:tcW w:w="8798" w:type="dxa"/>
          </w:tcPr>
          <w:p w:rsidR="004A34E5" w:rsidRPr="0080737A" w:rsidRDefault="004A34E5" w:rsidP="003F67B2">
            <w:pPr>
              <w:spacing w:before="100" w:beforeAutospacing="1" w:after="0" w:afterAutospacing="1" w:line="240" w:lineRule="auto"/>
              <w:jc w:val="both"/>
              <w:rPr>
                <w:rFonts w:ascii="Times New Roman" w:hAnsi="Times New Roman"/>
                <w:b/>
                <w:sz w:val="24"/>
                <w:szCs w:val="24"/>
              </w:rPr>
            </w:pPr>
          </w:p>
        </w:tc>
        <w:tc>
          <w:tcPr>
            <w:tcW w:w="636" w:type="dxa"/>
          </w:tcPr>
          <w:p w:rsidR="004A34E5" w:rsidRPr="0080737A" w:rsidRDefault="004A34E5"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c>
          <w:tcPr>
            <w:tcW w:w="8798" w:type="dxa"/>
          </w:tcPr>
          <w:p w:rsidR="00805A58" w:rsidRPr="0080737A" w:rsidRDefault="00805A58" w:rsidP="003F67B2">
            <w:pPr>
              <w:spacing w:after="0" w:line="240" w:lineRule="auto"/>
              <w:jc w:val="both"/>
              <w:rPr>
                <w:rFonts w:ascii="Times New Roman" w:hAnsi="Times New Roman"/>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sz w:val="24"/>
                <w:szCs w:val="24"/>
              </w:rPr>
            </w:pPr>
          </w:p>
        </w:tc>
      </w:tr>
      <w:tr w:rsidR="00805A58" w:rsidRPr="0080737A" w:rsidTr="00805A58">
        <w:tc>
          <w:tcPr>
            <w:tcW w:w="8798" w:type="dxa"/>
          </w:tcPr>
          <w:p w:rsidR="00805A58" w:rsidRPr="0080737A" w:rsidRDefault="00805A58" w:rsidP="002559D1">
            <w:pPr>
              <w:spacing w:after="0" w:line="240" w:lineRule="auto"/>
              <w:rPr>
                <w:rFonts w:ascii="Times New Roman" w:hAnsi="Times New Roman"/>
                <w:sz w:val="24"/>
                <w:szCs w:val="24"/>
              </w:rPr>
            </w:pPr>
            <w:r w:rsidRPr="0080737A">
              <w:rPr>
                <w:rFonts w:ascii="Times New Roman" w:hAnsi="Times New Roman"/>
                <w:b/>
                <w:sz w:val="24"/>
                <w:szCs w:val="24"/>
              </w:rPr>
              <w:t>Приложение №1</w:t>
            </w:r>
            <w:r w:rsidR="00851087">
              <w:rPr>
                <w:rFonts w:ascii="Times New Roman" w:hAnsi="Times New Roman"/>
                <w:b/>
                <w:sz w:val="24"/>
                <w:szCs w:val="24"/>
              </w:rPr>
              <w:t xml:space="preserve"> </w:t>
            </w:r>
            <w:r w:rsidRPr="0080737A">
              <w:rPr>
                <w:rFonts w:ascii="Times New Roman" w:hAnsi="Times New Roman"/>
                <w:bCs/>
                <w:color w:val="000000"/>
                <w:sz w:val="24"/>
                <w:szCs w:val="24"/>
              </w:rPr>
              <w:t xml:space="preserve">Основные макроэкономические показатели Приднестровской Молдавской Республики </w:t>
            </w:r>
            <w:r w:rsidR="002559D1">
              <w:rPr>
                <w:rFonts w:ascii="Times New Roman" w:hAnsi="Times New Roman"/>
                <w:bCs/>
                <w:color w:val="000000"/>
                <w:sz w:val="24"/>
                <w:szCs w:val="24"/>
              </w:rPr>
              <w:t>в</w:t>
            </w:r>
            <w:r w:rsidRPr="0080737A">
              <w:rPr>
                <w:rFonts w:ascii="Times New Roman" w:hAnsi="Times New Roman"/>
                <w:bCs/>
                <w:color w:val="000000"/>
                <w:sz w:val="24"/>
                <w:szCs w:val="24"/>
              </w:rPr>
              <w:t xml:space="preserve"> 201</w:t>
            </w:r>
            <w:r>
              <w:rPr>
                <w:rFonts w:ascii="Times New Roman" w:hAnsi="Times New Roman"/>
                <w:bCs/>
                <w:color w:val="000000"/>
                <w:sz w:val="24"/>
                <w:szCs w:val="24"/>
              </w:rPr>
              <w:t>7</w:t>
            </w:r>
            <w:r w:rsidRPr="0080737A">
              <w:rPr>
                <w:rFonts w:ascii="Times New Roman" w:hAnsi="Times New Roman"/>
                <w:bCs/>
                <w:color w:val="000000"/>
                <w:sz w:val="24"/>
                <w:szCs w:val="24"/>
              </w:rPr>
              <w:t xml:space="preserve"> год</w:t>
            </w:r>
            <w:r w:rsidR="002559D1">
              <w:rPr>
                <w:rFonts w:ascii="Times New Roman" w:hAnsi="Times New Roman"/>
                <w:bCs/>
                <w:color w:val="000000"/>
                <w:sz w:val="24"/>
                <w:szCs w:val="24"/>
              </w:rPr>
              <w:t>у</w:t>
            </w:r>
            <w:r w:rsidRPr="0080737A">
              <w:rPr>
                <w:rFonts w:ascii="Times New Roman" w:hAnsi="Times New Roman"/>
                <w:bCs/>
                <w:color w:val="000000"/>
                <w:sz w:val="24"/>
                <w:szCs w:val="24"/>
              </w:rPr>
              <w:t>....................................................</w:t>
            </w:r>
            <w:r w:rsidR="002559D1">
              <w:rPr>
                <w:rFonts w:ascii="Times New Roman" w:hAnsi="Times New Roman"/>
                <w:bCs/>
                <w:color w:val="000000"/>
                <w:sz w:val="24"/>
                <w:szCs w:val="24"/>
              </w:rPr>
              <w:t>....................</w:t>
            </w:r>
          </w:p>
        </w:tc>
        <w:tc>
          <w:tcPr>
            <w:tcW w:w="636" w:type="dxa"/>
            <w:vAlign w:val="bottom"/>
          </w:tcPr>
          <w:p w:rsidR="00805A58" w:rsidRPr="0080737A" w:rsidRDefault="00090A9B" w:rsidP="005C2655">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6</w:t>
            </w:r>
            <w:r w:rsidR="001C1BD2">
              <w:rPr>
                <w:rFonts w:ascii="Times New Roman" w:hAnsi="Times New Roman"/>
                <w:sz w:val="24"/>
                <w:szCs w:val="24"/>
              </w:rPr>
              <w:t>2</w:t>
            </w:r>
          </w:p>
        </w:tc>
      </w:tr>
      <w:tr w:rsidR="00805A58" w:rsidRPr="0080737A" w:rsidTr="003F67B2">
        <w:tc>
          <w:tcPr>
            <w:tcW w:w="8798" w:type="dxa"/>
          </w:tcPr>
          <w:p w:rsidR="00805A58" w:rsidRPr="0080737A" w:rsidRDefault="00805A58" w:rsidP="002559D1">
            <w:pPr>
              <w:spacing w:after="0" w:line="240" w:lineRule="auto"/>
              <w:jc w:val="both"/>
              <w:rPr>
                <w:rFonts w:ascii="Times New Roman" w:hAnsi="Times New Roman"/>
                <w:sz w:val="24"/>
                <w:szCs w:val="24"/>
              </w:rPr>
            </w:pPr>
            <w:r w:rsidRPr="0080737A">
              <w:rPr>
                <w:rFonts w:ascii="Times New Roman" w:hAnsi="Times New Roman"/>
                <w:b/>
                <w:sz w:val="24"/>
                <w:szCs w:val="24"/>
              </w:rPr>
              <w:t xml:space="preserve">Приложение №2 </w:t>
            </w:r>
            <w:r w:rsidRPr="0080737A">
              <w:rPr>
                <w:rFonts w:ascii="Times New Roman" w:hAnsi="Times New Roman"/>
                <w:sz w:val="24"/>
                <w:szCs w:val="24"/>
              </w:rPr>
              <w:t>Динамика и структура промышленного производства и реализации продукции по отраслям промышленности</w:t>
            </w:r>
            <w:r w:rsidR="002559D1">
              <w:rPr>
                <w:rFonts w:ascii="Times New Roman" w:hAnsi="Times New Roman"/>
                <w:sz w:val="24"/>
                <w:szCs w:val="24"/>
              </w:rPr>
              <w:t>……………………………</w:t>
            </w:r>
            <w:r w:rsidRPr="0080737A">
              <w:rPr>
                <w:rFonts w:ascii="Times New Roman" w:hAnsi="Times New Roman"/>
                <w:sz w:val="24"/>
                <w:szCs w:val="24"/>
              </w:rPr>
              <w:t>.</w:t>
            </w:r>
          </w:p>
        </w:tc>
        <w:tc>
          <w:tcPr>
            <w:tcW w:w="636" w:type="dxa"/>
            <w:vAlign w:val="bottom"/>
          </w:tcPr>
          <w:p w:rsidR="00805A58" w:rsidRPr="0080737A" w:rsidRDefault="00090A9B" w:rsidP="001C1BD2">
            <w:pPr>
              <w:spacing w:before="100" w:beforeAutospacing="1" w:after="0" w:afterAutospacing="1" w:line="240" w:lineRule="auto"/>
              <w:rPr>
                <w:rFonts w:ascii="Times New Roman" w:hAnsi="Times New Roman"/>
                <w:sz w:val="24"/>
                <w:szCs w:val="24"/>
              </w:rPr>
            </w:pPr>
            <w:r>
              <w:rPr>
                <w:rFonts w:ascii="Times New Roman" w:hAnsi="Times New Roman"/>
                <w:sz w:val="24"/>
                <w:szCs w:val="24"/>
              </w:rPr>
              <w:t>6</w:t>
            </w:r>
            <w:r w:rsidR="001C1BD2">
              <w:rPr>
                <w:rFonts w:ascii="Times New Roman" w:hAnsi="Times New Roman"/>
                <w:sz w:val="24"/>
                <w:szCs w:val="24"/>
              </w:rPr>
              <w:t>4</w:t>
            </w:r>
          </w:p>
        </w:tc>
      </w:tr>
      <w:tr w:rsidR="00805A58" w:rsidRPr="0080737A" w:rsidTr="003F67B2">
        <w:tc>
          <w:tcPr>
            <w:tcW w:w="8798" w:type="dxa"/>
          </w:tcPr>
          <w:p w:rsidR="00805A58" w:rsidRPr="0080737A" w:rsidRDefault="00805A58" w:rsidP="007C2817">
            <w:pPr>
              <w:spacing w:after="0" w:line="240" w:lineRule="auto"/>
              <w:rPr>
                <w:rFonts w:ascii="Times New Roman" w:hAnsi="Times New Roman"/>
                <w:sz w:val="24"/>
                <w:szCs w:val="24"/>
              </w:rPr>
            </w:pPr>
            <w:r w:rsidRPr="0080737A">
              <w:rPr>
                <w:rFonts w:ascii="Times New Roman" w:hAnsi="Times New Roman"/>
                <w:b/>
                <w:sz w:val="24"/>
                <w:szCs w:val="24"/>
              </w:rPr>
              <w:t>Приложение №3</w:t>
            </w:r>
            <w:r w:rsidRPr="0080737A">
              <w:rPr>
                <w:rFonts w:ascii="Times New Roman" w:hAnsi="Times New Roman"/>
                <w:sz w:val="24"/>
                <w:szCs w:val="24"/>
              </w:rPr>
              <w:t xml:space="preserve"> Основные показатели развития малого предпринимательства за 201</w:t>
            </w:r>
            <w:r>
              <w:rPr>
                <w:rFonts w:ascii="Times New Roman" w:hAnsi="Times New Roman"/>
                <w:sz w:val="24"/>
                <w:szCs w:val="24"/>
              </w:rPr>
              <w:t>7</w:t>
            </w:r>
            <w:r w:rsidR="007C2817">
              <w:rPr>
                <w:rFonts w:ascii="Times New Roman" w:hAnsi="Times New Roman"/>
                <w:sz w:val="24"/>
                <w:szCs w:val="24"/>
              </w:rPr>
              <w:t xml:space="preserve"> </w:t>
            </w:r>
            <w:r w:rsidRPr="0080737A">
              <w:rPr>
                <w:rFonts w:ascii="Times New Roman" w:hAnsi="Times New Roman"/>
                <w:bCs/>
                <w:color w:val="000000"/>
                <w:sz w:val="24"/>
                <w:szCs w:val="24"/>
              </w:rPr>
              <w:t>год</w:t>
            </w:r>
            <w:r w:rsidRPr="0080737A">
              <w:rPr>
                <w:rFonts w:ascii="Times New Roman" w:hAnsi="Times New Roman"/>
                <w:sz w:val="24"/>
                <w:szCs w:val="24"/>
              </w:rPr>
              <w:t xml:space="preserve"> …………………………………………………………………</w:t>
            </w:r>
            <w:r w:rsidR="002559D1">
              <w:rPr>
                <w:rFonts w:ascii="Times New Roman" w:hAnsi="Times New Roman"/>
                <w:sz w:val="24"/>
                <w:szCs w:val="24"/>
              </w:rPr>
              <w:t>………………</w:t>
            </w:r>
          </w:p>
        </w:tc>
        <w:tc>
          <w:tcPr>
            <w:tcW w:w="636" w:type="dxa"/>
            <w:vAlign w:val="bottom"/>
          </w:tcPr>
          <w:p w:rsidR="00805A58" w:rsidRPr="0080737A" w:rsidRDefault="00090A9B" w:rsidP="001C1BD2">
            <w:pPr>
              <w:spacing w:before="100" w:beforeAutospacing="1" w:after="0" w:afterAutospacing="1" w:line="240" w:lineRule="auto"/>
              <w:rPr>
                <w:rFonts w:ascii="Times New Roman" w:hAnsi="Times New Roman"/>
                <w:sz w:val="24"/>
                <w:szCs w:val="24"/>
              </w:rPr>
            </w:pPr>
            <w:r>
              <w:rPr>
                <w:rFonts w:ascii="Times New Roman" w:hAnsi="Times New Roman"/>
                <w:sz w:val="24"/>
                <w:szCs w:val="24"/>
              </w:rPr>
              <w:t>6</w:t>
            </w:r>
            <w:r w:rsidR="001C1BD2">
              <w:rPr>
                <w:rFonts w:ascii="Times New Roman" w:hAnsi="Times New Roman"/>
                <w:sz w:val="24"/>
                <w:szCs w:val="24"/>
              </w:rPr>
              <w:t>5</w:t>
            </w:r>
          </w:p>
        </w:tc>
      </w:tr>
      <w:tr w:rsidR="00805A58" w:rsidRPr="0080737A" w:rsidTr="003F67B2">
        <w:tc>
          <w:tcPr>
            <w:tcW w:w="8798" w:type="dxa"/>
          </w:tcPr>
          <w:p w:rsidR="00805A58" w:rsidRPr="0080737A" w:rsidRDefault="00805A58" w:rsidP="003F67B2">
            <w:pPr>
              <w:spacing w:after="0" w:line="240" w:lineRule="auto"/>
              <w:rPr>
                <w:rFonts w:ascii="Times New Roman" w:hAnsi="Times New Roman"/>
                <w:sz w:val="24"/>
                <w:szCs w:val="24"/>
              </w:rPr>
            </w:pPr>
          </w:p>
        </w:tc>
        <w:tc>
          <w:tcPr>
            <w:tcW w:w="636" w:type="dxa"/>
            <w:vAlign w:val="bottom"/>
          </w:tcPr>
          <w:p w:rsidR="00805A58" w:rsidRPr="0080737A" w:rsidRDefault="00805A58" w:rsidP="003F67B2">
            <w:pPr>
              <w:spacing w:before="100" w:beforeAutospacing="1" w:after="0" w:afterAutospacing="1" w:line="240" w:lineRule="auto"/>
              <w:rPr>
                <w:rFonts w:ascii="Times New Roman" w:hAnsi="Times New Roman"/>
                <w:sz w:val="24"/>
                <w:szCs w:val="24"/>
              </w:rPr>
            </w:pPr>
          </w:p>
        </w:tc>
      </w:tr>
      <w:tr w:rsidR="00805A58" w:rsidRPr="0080737A" w:rsidTr="003F67B2">
        <w:tc>
          <w:tcPr>
            <w:tcW w:w="8798" w:type="dxa"/>
          </w:tcPr>
          <w:p w:rsidR="00805A58" w:rsidRPr="0080737A" w:rsidRDefault="00805A58" w:rsidP="003F67B2">
            <w:pPr>
              <w:spacing w:after="0" w:line="240" w:lineRule="auto"/>
              <w:rPr>
                <w:rFonts w:ascii="Times New Roman" w:hAnsi="Times New Roman"/>
                <w:sz w:val="24"/>
                <w:szCs w:val="24"/>
              </w:rPr>
            </w:pPr>
          </w:p>
        </w:tc>
        <w:tc>
          <w:tcPr>
            <w:tcW w:w="636" w:type="dxa"/>
            <w:vAlign w:val="bottom"/>
          </w:tcPr>
          <w:p w:rsidR="00805A58" w:rsidRPr="0080737A" w:rsidRDefault="00805A58" w:rsidP="003F67B2">
            <w:pPr>
              <w:spacing w:before="100" w:beforeAutospacing="1" w:after="0" w:afterAutospacing="1" w:line="240" w:lineRule="auto"/>
              <w:rPr>
                <w:rFonts w:ascii="Times New Roman" w:hAnsi="Times New Roman"/>
                <w:sz w:val="24"/>
                <w:szCs w:val="24"/>
              </w:rPr>
            </w:pPr>
          </w:p>
        </w:tc>
      </w:tr>
      <w:tr w:rsidR="00805A58" w:rsidRPr="0080737A" w:rsidTr="003F67B2">
        <w:tc>
          <w:tcPr>
            <w:tcW w:w="8798" w:type="dxa"/>
          </w:tcPr>
          <w:p w:rsidR="00805A58" w:rsidRPr="0080737A" w:rsidRDefault="00805A58" w:rsidP="003F67B2">
            <w:pPr>
              <w:spacing w:after="0" w:line="240" w:lineRule="auto"/>
              <w:rPr>
                <w:rFonts w:ascii="Times New Roman" w:hAnsi="Times New Roman"/>
                <w:sz w:val="24"/>
                <w:szCs w:val="24"/>
              </w:rPr>
            </w:pPr>
          </w:p>
        </w:tc>
        <w:tc>
          <w:tcPr>
            <w:tcW w:w="636" w:type="dxa"/>
            <w:vAlign w:val="bottom"/>
          </w:tcPr>
          <w:p w:rsidR="00805A58" w:rsidRPr="0080737A" w:rsidRDefault="00805A58" w:rsidP="003F67B2">
            <w:pPr>
              <w:spacing w:before="100" w:beforeAutospacing="1" w:after="100" w:afterAutospacing="1" w:line="240" w:lineRule="auto"/>
              <w:rPr>
                <w:rFonts w:ascii="Times New Roman" w:hAnsi="Times New Roman"/>
                <w:sz w:val="24"/>
                <w:szCs w:val="24"/>
              </w:rPr>
            </w:pPr>
          </w:p>
        </w:tc>
      </w:tr>
      <w:tr w:rsidR="00805A58" w:rsidRPr="0080737A" w:rsidTr="00805A58">
        <w:tblPrEx>
          <w:tblLook w:val="00A0"/>
        </w:tblPrEx>
        <w:tc>
          <w:tcPr>
            <w:tcW w:w="8798" w:type="dxa"/>
          </w:tcPr>
          <w:p w:rsidR="00805A58" w:rsidRPr="0080737A" w:rsidRDefault="00805A58" w:rsidP="003F67B2">
            <w:pPr>
              <w:pStyle w:val="4"/>
              <w:spacing w:before="0"/>
              <w:rPr>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blPrEx>
          <w:tblLook w:val="00A0"/>
        </w:tblPrEx>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blPrEx>
          <w:tblLook w:val="00A0"/>
        </w:tblPrEx>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rPr>
          <w:trHeight w:val="87"/>
        </w:trPr>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r w:rsidR="00805A58" w:rsidRPr="0080737A" w:rsidTr="003F67B2">
        <w:trPr>
          <w:trHeight w:val="87"/>
        </w:trPr>
        <w:tc>
          <w:tcPr>
            <w:tcW w:w="8798"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c>
          <w:tcPr>
            <w:tcW w:w="636" w:type="dxa"/>
          </w:tcPr>
          <w:p w:rsidR="00805A58" w:rsidRPr="0080737A" w:rsidRDefault="00805A58" w:rsidP="003F67B2">
            <w:pPr>
              <w:spacing w:before="100" w:beforeAutospacing="1" w:after="0" w:afterAutospacing="1" w:line="240" w:lineRule="auto"/>
              <w:jc w:val="both"/>
              <w:rPr>
                <w:rFonts w:ascii="Times New Roman" w:hAnsi="Times New Roman"/>
                <w:b/>
                <w:sz w:val="24"/>
                <w:szCs w:val="24"/>
              </w:rPr>
            </w:pPr>
          </w:p>
        </w:tc>
      </w:tr>
    </w:tbl>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pPr>
    </w:p>
    <w:p w:rsidR="00335844" w:rsidRPr="0080737A" w:rsidRDefault="00335844" w:rsidP="00335844">
      <w:pPr>
        <w:spacing w:after="0" w:line="240" w:lineRule="auto"/>
        <w:ind w:firstLine="851"/>
        <w:rPr>
          <w:rFonts w:ascii="Times New Roman" w:hAnsi="Times New Roman"/>
          <w:sz w:val="24"/>
          <w:szCs w:val="24"/>
        </w:rPr>
        <w:sectPr w:rsidR="00335844" w:rsidRPr="0080737A" w:rsidSect="003F67B2">
          <w:footerReference w:type="even" r:id="rId8"/>
          <w:footerReference w:type="default" r:id="rId9"/>
          <w:pgSz w:w="11906" w:h="16838" w:code="9"/>
          <w:pgMar w:top="993" w:right="851" w:bottom="1134" w:left="1701" w:header="709" w:footer="709" w:gutter="0"/>
          <w:cols w:space="708"/>
          <w:titlePg/>
          <w:docGrid w:linePitch="360"/>
        </w:sectPr>
      </w:pPr>
    </w:p>
    <w:p w:rsidR="00335844" w:rsidRPr="0080737A" w:rsidRDefault="00335844" w:rsidP="008F70F5">
      <w:pPr>
        <w:pStyle w:val="a6"/>
        <w:spacing w:after="0" w:line="240" w:lineRule="atLeast"/>
        <w:ind w:left="0" w:firstLine="709"/>
        <w:jc w:val="center"/>
        <w:rPr>
          <w:rFonts w:ascii="Times New Roman" w:hAnsi="Times New Roman"/>
          <w:b/>
          <w:sz w:val="24"/>
          <w:szCs w:val="24"/>
        </w:rPr>
      </w:pPr>
      <w:r w:rsidRPr="0080737A">
        <w:rPr>
          <w:rFonts w:ascii="Times New Roman" w:hAnsi="Times New Roman"/>
          <w:b/>
          <w:sz w:val="24"/>
          <w:szCs w:val="24"/>
        </w:rPr>
        <w:lastRenderedPageBreak/>
        <w:t>Основные тенденции развития экономики Приднестровской Молдавской Республики в 201</w:t>
      </w:r>
      <w:r w:rsidR="003D29EE">
        <w:rPr>
          <w:rFonts w:ascii="Times New Roman" w:hAnsi="Times New Roman"/>
          <w:b/>
          <w:sz w:val="24"/>
          <w:szCs w:val="24"/>
        </w:rPr>
        <w:t>7</w:t>
      </w:r>
      <w:r w:rsidRPr="0080737A">
        <w:rPr>
          <w:rFonts w:ascii="Times New Roman" w:hAnsi="Times New Roman"/>
          <w:b/>
          <w:sz w:val="24"/>
          <w:szCs w:val="24"/>
        </w:rPr>
        <w:t xml:space="preserve"> год</w:t>
      </w:r>
      <w:r w:rsidR="008E6A1A">
        <w:rPr>
          <w:rFonts w:ascii="Times New Roman" w:hAnsi="Times New Roman"/>
          <w:b/>
          <w:sz w:val="24"/>
          <w:szCs w:val="24"/>
        </w:rPr>
        <w:t>у</w:t>
      </w:r>
    </w:p>
    <w:p w:rsidR="008F70F5" w:rsidRDefault="008F70F5" w:rsidP="008F70F5">
      <w:pPr>
        <w:pStyle w:val="a6"/>
        <w:spacing w:after="0" w:line="240" w:lineRule="atLeast"/>
        <w:ind w:left="0" w:firstLine="709"/>
        <w:jc w:val="center"/>
        <w:rPr>
          <w:rFonts w:ascii="Times New Roman" w:hAnsi="Times New Roman"/>
          <w:b/>
          <w:sz w:val="24"/>
          <w:szCs w:val="24"/>
        </w:rPr>
      </w:pPr>
    </w:p>
    <w:p w:rsidR="00B97A6D" w:rsidRDefault="00B97A6D" w:rsidP="00552560">
      <w:pPr>
        <w:spacing w:after="0" w:line="240" w:lineRule="auto"/>
        <w:ind w:firstLine="709"/>
        <w:jc w:val="both"/>
        <w:rPr>
          <w:rFonts w:ascii="Times New Roman" w:hAnsi="Times New Roman"/>
          <w:sz w:val="24"/>
          <w:szCs w:val="24"/>
        </w:rPr>
      </w:pPr>
      <w:r w:rsidRPr="00222F64">
        <w:rPr>
          <w:rFonts w:ascii="Times New Roman" w:hAnsi="Times New Roman"/>
          <w:sz w:val="24"/>
          <w:szCs w:val="24"/>
        </w:rPr>
        <w:t xml:space="preserve">На протяжении 2017 года экономика республики функционировала в условиях действия факторов, носящих </w:t>
      </w:r>
      <w:proofErr w:type="spellStart"/>
      <w:r w:rsidRPr="00222F64">
        <w:rPr>
          <w:rFonts w:ascii="Times New Roman" w:hAnsi="Times New Roman"/>
          <w:sz w:val="24"/>
          <w:szCs w:val="24"/>
        </w:rPr>
        <w:t>разновекторный</w:t>
      </w:r>
      <w:proofErr w:type="spellEnd"/>
      <w:r w:rsidRPr="00222F64">
        <w:rPr>
          <w:rFonts w:ascii="Times New Roman" w:hAnsi="Times New Roman"/>
          <w:sz w:val="24"/>
          <w:szCs w:val="24"/>
        </w:rPr>
        <w:t xml:space="preserve"> характер</w:t>
      </w:r>
      <w:r>
        <w:rPr>
          <w:rFonts w:ascii="Times New Roman" w:hAnsi="Times New Roman"/>
          <w:sz w:val="24"/>
          <w:szCs w:val="24"/>
        </w:rPr>
        <w:t>.</w:t>
      </w:r>
      <w:r w:rsidRPr="00222F64">
        <w:rPr>
          <w:rFonts w:ascii="Times New Roman" w:hAnsi="Times New Roman"/>
          <w:sz w:val="24"/>
          <w:szCs w:val="24"/>
        </w:rPr>
        <w:t xml:space="preserve"> </w:t>
      </w:r>
      <w:r>
        <w:rPr>
          <w:rFonts w:ascii="Times New Roman" w:hAnsi="Times New Roman"/>
          <w:sz w:val="24"/>
          <w:szCs w:val="24"/>
        </w:rPr>
        <w:t>В</w:t>
      </w:r>
      <w:r w:rsidRPr="00222F64">
        <w:rPr>
          <w:rFonts w:ascii="Times New Roman" w:hAnsi="Times New Roman"/>
          <w:sz w:val="24"/>
          <w:szCs w:val="24"/>
        </w:rPr>
        <w:t xml:space="preserve"> начале года внутренняя конъюнктура определялась инерционным влиянием тенденций, сформированных в предыдущие годы, и </w:t>
      </w:r>
      <w:r>
        <w:rPr>
          <w:rFonts w:ascii="Times New Roman" w:hAnsi="Times New Roman"/>
          <w:sz w:val="24"/>
          <w:szCs w:val="24"/>
        </w:rPr>
        <w:t xml:space="preserve">стагнацией производственных показателей в ключевых отраслях индустрии, низким уровнем активности во внешней торговле, что предопределило по итогам </w:t>
      </w:r>
      <w:r>
        <w:rPr>
          <w:rFonts w:ascii="Times New Roman" w:hAnsi="Times New Roman"/>
          <w:sz w:val="24"/>
          <w:szCs w:val="24"/>
          <w:lang w:val="en-US"/>
        </w:rPr>
        <w:t>I</w:t>
      </w:r>
      <w:r w:rsidRPr="00AC71BE">
        <w:rPr>
          <w:rFonts w:ascii="Times New Roman" w:hAnsi="Times New Roman"/>
          <w:sz w:val="24"/>
          <w:szCs w:val="24"/>
        </w:rPr>
        <w:t xml:space="preserve"> </w:t>
      </w:r>
      <w:r>
        <w:rPr>
          <w:rFonts w:ascii="Times New Roman" w:hAnsi="Times New Roman"/>
          <w:sz w:val="24"/>
          <w:szCs w:val="24"/>
        </w:rPr>
        <w:t xml:space="preserve">полугодия падение </w:t>
      </w:r>
      <w:r w:rsidRPr="00437221">
        <w:rPr>
          <w:rFonts w:ascii="Times New Roman" w:hAnsi="Times New Roman"/>
          <w:sz w:val="24"/>
          <w:szCs w:val="24"/>
        </w:rPr>
        <w:t xml:space="preserve">совокупного объёма промышленного производства– </w:t>
      </w:r>
      <w:proofErr w:type="gramStart"/>
      <w:r w:rsidRPr="00437221">
        <w:rPr>
          <w:rFonts w:ascii="Times New Roman" w:hAnsi="Times New Roman"/>
          <w:sz w:val="24"/>
          <w:szCs w:val="24"/>
        </w:rPr>
        <w:t>на</w:t>
      </w:r>
      <w:proofErr w:type="gramEnd"/>
      <w:r w:rsidRPr="00437221">
        <w:rPr>
          <w:rFonts w:ascii="Times New Roman" w:hAnsi="Times New Roman"/>
          <w:sz w:val="24"/>
          <w:szCs w:val="24"/>
        </w:rPr>
        <w:t xml:space="preserve"> 9,6% (в сопоставимой оценке), экспорта– на 3,1%</w:t>
      </w:r>
      <w:r>
        <w:rPr>
          <w:rFonts w:ascii="Times New Roman" w:hAnsi="Times New Roman"/>
          <w:sz w:val="24"/>
          <w:szCs w:val="24"/>
        </w:rPr>
        <w:t>.</w:t>
      </w:r>
      <w:r w:rsidRPr="00437221">
        <w:rPr>
          <w:rFonts w:ascii="Times New Roman" w:hAnsi="Times New Roman"/>
          <w:sz w:val="24"/>
          <w:szCs w:val="24"/>
        </w:rPr>
        <w:t xml:space="preserve"> </w:t>
      </w:r>
      <w:r>
        <w:rPr>
          <w:rFonts w:ascii="Times New Roman" w:hAnsi="Times New Roman"/>
          <w:sz w:val="24"/>
          <w:szCs w:val="24"/>
        </w:rPr>
        <w:t>Складывающаяся ситуация в реальном секторе экономики в совокупности с кризисом в финансовом секторе крайне негативно сказывалась на всей государственной системе.</w:t>
      </w:r>
    </w:p>
    <w:p w:rsidR="00B97A6D" w:rsidRDefault="00B97A6D" w:rsidP="00552560">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Исходя из имеющихся реалий и сложившейся ситуации, для обретения макроэкономической стабильности, был принят ряд мер по налаживанию </w:t>
      </w:r>
      <w:r w:rsidRPr="00E25215">
        <w:rPr>
          <w:rFonts w:ascii="Times New Roman" w:hAnsi="Times New Roman"/>
          <w:sz w:val="24"/>
          <w:szCs w:val="24"/>
        </w:rPr>
        <w:t xml:space="preserve">работы базовых отраслей индустрии </w:t>
      </w:r>
      <w:r>
        <w:rPr>
          <w:rFonts w:ascii="Times New Roman" w:hAnsi="Times New Roman"/>
          <w:sz w:val="24"/>
          <w:szCs w:val="24"/>
        </w:rPr>
        <w:t xml:space="preserve">посредством организации качественного менеджмента на государственных предприятиях </w:t>
      </w:r>
      <w:r w:rsidRPr="00E25215">
        <w:rPr>
          <w:rFonts w:ascii="Times New Roman" w:hAnsi="Times New Roman"/>
          <w:sz w:val="24"/>
          <w:szCs w:val="24"/>
        </w:rPr>
        <w:t>и создани</w:t>
      </w:r>
      <w:r>
        <w:rPr>
          <w:rFonts w:ascii="Times New Roman" w:hAnsi="Times New Roman"/>
          <w:sz w:val="24"/>
          <w:szCs w:val="24"/>
        </w:rPr>
        <w:t>я</w:t>
      </w:r>
      <w:r w:rsidRPr="00E25215">
        <w:rPr>
          <w:rFonts w:ascii="Times New Roman" w:hAnsi="Times New Roman"/>
          <w:sz w:val="24"/>
          <w:szCs w:val="24"/>
        </w:rPr>
        <w:t xml:space="preserve"> более </w:t>
      </w:r>
      <w:r>
        <w:rPr>
          <w:rFonts w:ascii="Times New Roman" w:hAnsi="Times New Roman"/>
          <w:sz w:val="24"/>
          <w:szCs w:val="24"/>
        </w:rPr>
        <w:t>привлекательных</w:t>
      </w:r>
      <w:r w:rsidRPr="00E25215">
        <w:rPr>
          <w:rFonts w:ascii="Times New Roman" w:hAnsi="Times New Roman"/>
          <w:sz w:val="24"/>
          <w:szCs w:val="24"/>
        </w:rPr>
        <w:t xml:space="preserve"> конъюнктурных условий</w:t>
      </w:r>
      <w:r>
        <w:rPr>
          <w:rFonts w:ascii="Times New Roman" w:hAnsi="Times New Roman"/>
          <w:sz w:val="24"/>
          <w:szCs w:val="24"/>
        </w:rPr>
        <w:t xml:space="preserve">, на фоне </w:t>
      </w:r>
      <w:r w:rsidRPr="00E25215">
        <w:rPr>
          <w:rFonts w:ascii="Times New Roman" w:hAnsi="Times New Roman"/>
          <w:sz w:val="24"/>
          <w:szCs w:val="24"/>
        </w:rPr>
        <w:t>реализуем</w:t>
      </w:r>
      <w:r>
        <w:rPr>
          <w:rFonts w:ascii="Times New Roman" w:hAnsi="Times New Roman"/>
          <w:sz w:val="24"/>
          <w:szCs w:val="24"/>
        </w:rPr>
        <w:t>ых</w:t>
      </w:r>
      <w:r w:rsidRPr="00E25215">
        <w:rPr>
          <w:rFonts w:ascii="Times New Roman" w:hAnsi="Times New Roman"/>
          <w:sz w:val="24"/>
          <w:szCs w:val="24"/>
        </w:rPr>
        <w:t xml:space="preserve"> на государственном уровне </w:t>
      </w:r>
      <w:r>
        <w:rPr>
          <w:rFonts w:ascii="Times New Roman" w:hAnsi="Times New Roman"/>
          <w:sz w:val="24"/>
          <w:szCs w:val="24"/>
        </w:rPr>
        <w:t>действий</w:t>
      </w:r>
      <w:r w:rsidRPr="00E25215">
        <w:rPr>
          <w:rFonts w:ascii="Times New Roman" w:hAnsi="Times New Roman"/>
          <w:sz w:val="24"/>
          <w:szCs w:val="24"/>
        </w:rPr>
        <w:t xml:space="preserve"> по поддержке отечественного бизнеса и оздоровлению банковской системы, </w:t>
      </w:r>
      <w:r>
        <w:rPr>
          <w:rFonts w:ascii="Times New Roman" w:hAnsi="Times New Roman"/>
          <w:sz w:val="24"/>
          <w:szCs w:val="24"/>
        </w:rPr>
        <w:t xml:space="preserve">что в условиях стабилизации ситуации на валютном рынке и </w:t>
      </w:r>
      <w:r w:rsidRPr="00E25215">
        <w:rPr>
          <w:rFonts w:ascii="Times New Roman" w:hAnsi="Times New Roman"/>
          <w:sz w:val="24"/>
          <w:szCs w:val="24"/>
        </w:rPr>
        <w:t>в совокупности</w:t>
      </w:r>
      <w:proofErr w:type="gramEnd"/>
      <w:r w:rsidRPr="00E25215">
        <w:rPr>
          <w:rFonts w:ascii="Times New Roman" w:hAnsi="Times New Roman"/>
          <w:sz w:val="24"/>
          <w:szCs w:val="24"/>
        </w:rPr>
        <w:t xml:space="preserve"> с фиксируемыми положительными тенденциями на мировых товарно-сырьевых рынках </w:t>
      </w:r>
      <w:r>
        <w:rPr>
          <w:rFonts w:ascii="Times New Roman" w:hAnsi="Times New Roman"/>
          <w:sz w:val="24"/>
          <w:szCs w:val="24"/>
        </w:rPr>
        <w:t xml:space="preserve">создало предпосылки для формирования восстановительного тренда и </w:t>
      </w:r>
      <w:r w:rsidRPr="00E25215">
        <w:rPr>
          <w:rFonts w:ascii="Times New Roman" w:hAnsi="Times New Roman"/>
          <w:sz w:val="24"/>
          <w:szCs w:val="24"/>
        </w:rPr>
        <w:t>выход</w:t>
      </w:r>
      <w:r>
        <w:rPr>
          <w:rFonts w:ascii="Times New Roman" w:hAnsi="Times New Roman"/>
          <w:sz w:val="24"/>
          <w:szCs w:val="24"/>
        </w:rPr>
        <w:t>а</w:t>
      </w:r>
      <w:r w:rsidRPr="00E25215">
        <w:rPr>
          <w:rFonts w:ascii="Times New Roman" w:hAnsi="Times New Roman"/>
          <w:sz w:val="24"/>
          <w:szCs w:val="24"/>
        </w:rPr>
        <w:t xml:space="preserve"> на положительную динамику основных макроэкономических показателей</w:t>
      </w:r>
      <w:r>
        <w:rPr>
          <w:rFonts w:ascii="Times New Roman" w:hAnsi="Times New Roman"/>
          <w:sz w:val="24"/>
          <w:szCs w:val="24"/>
        </w:rPr>
        <w:t xml:space="preserve"> во втором полугодии</w:t>
      </w:r>
      <w:r w:rsidRPr="00E25215">
        <w:rPr>
          <w:rFonts w:ascii="Times New Roman" w:hAnsi="Times New Roman"/>
          <w:sz w:val="24"/>
          <w:szCs w:val="24"/>
        </w:rPr>
        <w:t>.</w:t>
      </w:r>
      <w:r>
        <w:rPr>
          <w:rFonts w:ascii="Times New Roman" w:hAnsi="Times New Roman"/>
          <w:sz w:val="24"/>
          <w:szCs w:val="24"/>
        </w:rPr>
        <w:t xml:space="preserve"> В связи, с чем второе полугодие отразило преломление негативного вектора, а результативность всех отраслей промышленности существенно превысила показатели, сформированные в первом полугодии 2017 года, диапазон приращения показателей варьировал от 19,8% в электроэнергетике до порядка 3 раз в черной металлургии. Стабилизация ситуации в индустрии и </w:t>
      </w:r>
      <w:r w:rsidRPr="004725D6">
        <w:rPr>
          <w:rFonts w:ascii="Times New Roman" w:hAnsi="Times New Roman"/>
          <w:sz w:val="24"/>
          <w:szCs w:val="24"/>
        </w:rPr>
        <w:t>снятие остроты валютного кризиса</w:t>
      </w:r>
      <w:r>
        <w:rPr>
          <w:rFonts w:ascii="Times New Roman" w:hAnsi="Times New Roman"/>
          <w:sz w:val="24"/>
          <w:szCs w:val="24"/>
        </w:rPr>
        <w:t xml:space="preserve"> в свою очередь стимулировали наращивание внешнеторговых операций резидентов республики, объем внешнеторгового оборота во втором полугодии 2017 года на 40,8% превысил параметры первого полугодия 2017 года, в том числе экспорт и импорт на 56,3% и 32,1% соответственно. </w:t>
      </w:r>
    </w:p>
    <w:p w:rsidR="00B97A6D" w:rsidRPr="003E1FA4" w:rsidRDefault="00B97A6D" w:rsidP="00552560">
      <w:pPr>
        <w:pStyle w:val="a4"/>
        <w:rPr>
          <w:szCs w:val="24"/>
        </w:rPr>
      </w:pPr>
      <w:proofErr w:type="gramStart"/>
      <w:r w:rsidRPr="003E1FA4">
        <w:rPr>
          <w:szCs w:val="24"/>
        </w:rPr>
        <w:t>В целом по итогам 2017 года экономика демонстрирует рост в номинальном выражении на 7,7%. При этом на фоне нивелирования последствий валютного кризиса, упрощения условий ведения бизнеса в части уменьшения административных барьеров, обеспечения стабильности государства в ценовой и тарифной политике, устранени</w:t>
      </w:r>
      <w:r w:rsidR="009E380E">
        <w:rPr>
          <w:szCs w:val="24"/>
        </w:rPr>
        <w:t>я</w:t>
      </w:r>
      <w:r w:rsidRPr="003E1FA4">
        <w:rPr>
          <w:szCs w:val="24"/>
        </w:rPr>
        <w:t xml:space="preserve"> «серых схем» и качественного менеджмента на государственных предприятиях рост был обеспечен как со стороны материального производства, так и за счет</w:t>
      </w:r>
      <w:proofErr w:type="gramEnd"/>
      <w:r w:rsidRPr="003E1FA4">
        <w:rPr>
          <w:szCs w:val="24"/>
        </w:rPr>
        <w:t xml:space="preserve"> расширения потребления рыночных услуг, а также улучшения баланса по статье чистые налоги. Первый фактор был сформирован в результате хорошего урожая в сельском хозяйстве и наращиванием индустриального выпуска, послужившего катализатором расширения экспортных поставок.</w:t>
      </w:r>
    </w:p>
    <w:p w:rsidR="008E6A1A" w:rsidRPr="00832D29" w:rsidRDefault="008E6A1A" w:rsidP="00552560">
      <w:pPr>
        <w:spacing w:after="0" w:line="240" w:lineRule="auto"/>
        <w:ind w:firstLine="709"/>
        <w:jc w:val="both"/>
        <w:rPr>
          <w:rFonts w:ascii="Times New Roman" w:eastAsiaTheme="minorEastAsia" w:hAnsi="Times New Roman" w:cstheme="minorBidi"/>
          <w:b/>
          <w:sz w:val="24"/>
          <w:szCs w:val="24"/>
        </w:rPr>
      </w:pPr>
    </w:p>
    <w:p w:rsidR="008E6A1A" w:rsidRPr="0080737A" w:rsidRDefault="008E6A1A" w:rsidP="00552560">
      <w:pPr>
        <w:spacing w:after="0" w:line="240" w:lineRule="auto"/>
        <w:ind w:firstLine="709"/>
        <w:jc w:val="both"/>
        <w:rPr>
          <w:rFonts w:ascii="Times New Roman" w:hAnsi="Times New Roman"/>
          <w:b/>
          <w:sz w:val="24"/>
          <w:szCs w:val="24"/>
        </w:rPr>
      </w:pPr>
      <w:r w:rsidRPr="0080737A">
        <w:rPr>
          <w:rFonts w:ascii="Times New Roman" w:hAnsi="Times New Roman"/>
          <w:b/>
          <w:sz w:val="24"/>
          <w:szCs w:val="24"/>
        </w:rPr>
        <w:t>Объем и структура ВВП</w:t>
      </w:r>
    </w:p>
    <w:p w:rsidR="004A34E5" w:rsidRPr="00B97A6D" w:rsidRDefault="004A34E5" w:rsidP="00552560">
      <w:pPr>
        <w:spacing w:after="0" w:line="240" w:lineRule="auto"/>
        <w:ind w:firstLine="709"/>
        <w:jc w:val="both"/>
        <w:rPr>
          <w:rFonts w:ascii="Times New Roman" w:hAnsi="Times New Roman"/>
          <w:b/>
          <w:sz w:val="24"/>
          <w:szCs w:val="24"/>
        </w:rPr>
      </w:pPr>
    </w:p>
    <w:p w:rsidR="008E6A1A" w:rsidRDefault="008E6A1A" w:rsidP="00552560">
      <w:pPr>
        <w:pStyle w:val="a4"/>
        <w:rPr>
          <w:i/>
        </w:rPr>
      </w:pPr>
      <w:r>
        <w:rPr>
          <w:i/>
        </w:rPr>
        <w:t>Несмотря на все негативные тенденции и предпосылки, сформировавшиеся в предыдущие годы, экономика республики зарегистрировала рост в 2017 году в номинальном выражении на 7,7%.</w:t>
      </w:r>
    </w:p>
    <w:p w:rsidR="008E6A1A" w:rsidRDefault="008E6A1A" w:rsidP="00552560">
      <w:pPr>
        <w:pStyle w:val="a4"/>
        <w:rPr>
          <w:i/>
        </w:rPr>
      </w:pPr>
      <w:r>
        <w:rPr>
          <w:i/>
        </w:rPr>
        <w:t xml:space="preserve">Фундаментом ему послужили нивелирование последствий валютного кризиса, упрощение условий </w:t>
      </w:r>
      <w:r w:rsidRPr="00566D70">
        <w:rPr>
          <w:i/>
        </w:rPr>
        <w:t>ведения бизнеса в части уменьшения административных барьеров, обеспечени</w:t>
      </w:r>
      <w:r>
        <w:rPr>
          <w:i/>
        </w:rPr>
        <w:t>я</w:t>
      </w:r>
      <w:r w:rsidRPr="00566D70">
        <w:rPr>
          <w:i/>
        </w:rPr>
        <w:t xml:space="preserve"> стабильности </w:t>
      </w:r>
      <w:r>
        <w:rPr>
          <w:i/>
        </w:rPr>
        <w:t xml:space="preserve">государства </w:t>
      </w:r>
      <w:r w:rsidRPr="00566D70">
        <w:rPr>
          <w:i/>
        </w:rPr>
        <w:t>в ценовой и тарифной политике,</w:t>
      </w:r>
      <w:r>
        <w:rPr>
          <w:i/>
        </w:rPr>
        <w:t xml:space="preserve"> устранение «серых схем» и действенный менеджмент государственных объектов.</w:t>
      </w:r>
    </w:p>
    <w:p w:rsidR="006409F0" w:rsidRDefault="008E6A1A" w:rsidP="00552560">
      <w:pPr>
        <w:pStyle w:val="a4"/>
        <w:rPr>
          <w:i/>
        </w:rPr>
      </w:pPr>
      <w:r>
        <w:rPr>
          <w:i/>
        </w:rPr>
        <w:t xml:space="preserve">Рост был обеспечен как со стороны материального производства, так и за счет расширения потребления рыночных услуг, а также улучшения баланса по статье чистые налоги. </w:t>
      </w:r>
    </w:p>
    <w:p w:rsidR="008E6A1A" w:rsidRDefault="008E6A1A" w:rsidP="00552560">
      <w:pPr>
        <w:pStyle w:val="a4"/>
        <w:rPr>
          <w:i/>
        </w:rPr>
      </w:pPr>
      <w:r>
        <w:rPr>
          <w:i/>
        </w:rPr>
        <w:lastRenderedPageBreak/>
        <w:t>Увеличение сегмента рыночных услуг в целом отразило начало реализации со стороны государства шагов по улучшению бизнес климата, что также повлияло и на величину поступивших в бюджет косвенных налогов.</w:t>
      </w:r>
    </w:p>
    <w:p w:rsidR="008E6A1A" w:rsidRDefault="008E6A1A" w:rsidP="00552560">
      <w:pPr>
        <w:pStyle w:val="a4"/>
        <w:rPr>
          <w:i/>
        </w:rPr>
      </w:pPr>
    </w:p>
    <w:p w:rsidR="008E6A1A" w:rsidRDefault="008E6A1A" w:rsidP="00552560">
      <w:pPr>
        <w:pStyle w:val="a4"/>
      </w:pPr>
      <w:r w:rsidRPr="003B0573">
        <w:rPr>
          <w:b/>
        </w:rPr>
        <w:t>Номинальный объем</w:t>
      </w:r>
      <w:r>
        <w:t xml:space="preserve"> созданного в республике валового внутреннего продукта по итогам 2017 года увеличился относительно базового показателя предыдущего года на 7,7%, составив 12 298,8 млн руб., или 919,2 млн долл. </w:t>
      </w:r>
    </w:p>
    <w:p w:rsidR="008E6A1A" w:rsidRDefault="008E6A1A" w:rsidP="00552560">
      <w:pPr>
        <w:pStyle w:val="a4"/>
        <w:rPr>
          <w:b/>
        </w:rPr>
      </w:pPr>
      <w:r>
        <w:t>Д</w:t>
      </w:r>
      <w:r w:rsidRPr="000A3B06">
        <w:t xml:space="preserve">ефлятор ВВП, устанавливающий связь между </w:t>
      </w:r>
      <w:r>
        <w:t xml:space="preserve">показателем в </w:t>
      </w:r>
      <w:r w:rsidRPr="000A3B06">
        <w:t>реальн</w:t>
      </w:r>
      <w:r>
        <w:t>ом</w:t>
      </w:r>
      <w:r w:rsidRPr="000A3B06">
        <w:t xml:space="preserve"> и номинальн</w:t>
      </w:r>
      <w:r>
        <w:t xml:space="preserve">ом выражении на фоне благоприятной ценовой конъюнктуры </w:t>
      </w:r>
      <w:r w:rsidRPr="00E25215">
        <w:t>на мировых товарно-сырьевых рынках</w:t>
      </w:r>
      <w:r w:rsidRPr="009C1D59">
        <w:t xml:space="preserve"> </w:t>
      </w:r>
      <w:r>
        <w:t xml:space="preserve">по </w:t>
      </w:r>
      <w:r w:rsidRPr="000A3B06">
        <w:t xml:space="preserve">итогам </w:t>
      </w:r>
      <w:r>
        <w:t>2017 года сложился на уровне 1,1049</w:t>
      </w:r>
      <w:r w:rsidRPr="000A3B06">
        <w:t xml:space="preserve"> против </w:t>
      </w:r>
      <w:r>
        <w:t xml:space="preserve">0,9722 </w:t>
      </w:r>
      <w:r w:rsidRPr="000A3B06">
        <w:t>в 201</w:t>
      </w:r>
      <w:r>
        <w:t xml:space="preserve">6 </w:t>
      </w:r>
      <w:r w:rsidRPr="000A3B06">
        <w:t>год</w:t>
      </w:r>
      <w:r>
        <w:t>у</w:t>
      </w:r>
      <w:r w:rsidRPr="000A3B06">
        <w:t>.</w:t>
      </w:r>
      <w:r>
        <w:t xml:space="preserve"> В результате </w:t>
      </w:r>
      <w:r>
        <w:rPr>
          <w:b/>
        </w:rPr>
        <w:t>величина валового внутреннего продукта</w:t>
      </w:r>
      <w:r w:rsidRPr="00546B25">
        <w:t xml:space="preserve"> в сопоставимых ценах </w:t>
      </w:r>
      <w:r>
        <w:t>снизилась на 2,5% (рис.1)</w:t>
      </w:r>
      <w:r w:rsidRPr="00546B25">
        <w:t>.</w:t>
      </w:r>
    </w:p>
    <w:p w:rsidR="008E6A1A" w:rsidRPr="008119AA" w:rsidRDefault="008E6A1A" w:rsidP="008E6A1A">
      <w:pPr>
        <w:pStyle w:val="a4"/>
        <w:jc w:val="right"/>
        <w:rPr>
          <w:b/>
          <w:i/>
        </w:rPr>
      </w:pPr>
      <w:r w:rsidRPr="008119AA">
        <w:rPr>
          <w:b/>
          <w:i/>
        </w:rPr>
        <w:t>Рисунок 1</w:t>
      </w:r>
    </w:p>
    <w:p w:rsidR="008E6A1A" w:rsidRDefault="008E6A1A" w:rsidP="008E6A1A">
      <w:pPr>
        <w:spacing w:after="0" w:line="240" w:lineRule="auto"/>
        <w:ind w:firstLine="709"/>
        <w:jc w:val="center"/>
        <w:rPr>
          <w:rFonts w:ascii="Times New Roman" w:hAnsi="Times New Roman"/>
          <w:b/>
          <w:sz w:val="24"/>
          <w:szCs w:val="24"/>
        </w:rPr>
      </w:pPr>
      <w:r w:rsidRPr="000A3B06">
        <w:rPr>
          <w:rFonts w:ascii="Times New Roman" w:hAnsi="Times New Roman"/>
          <w:b/>
          <w:sz w:val="24"/>
          <w:szCs w:val="24"/>
        </w:rPr>
        <w:t>Динамика изменения объема ВВП</w:t>
      </w:r>
    </w:p>
    <w:p w:rsidR="008E6A1A" w:rsidRPr="000A3B06" w:rsidRDefault="008E6A1A" w:rsidP="008E6A1A">
      <w:pPr>
        <w:spacing w:after="0" w:line="240" w:lineRule="auto"/>
        <w:ind w:firstLine="709"/>
        <w:jc w:val="center"/>
        <w:rPr>
          <w:rFonts w:ascii="Times New Roman" w:hAnsi="Times New Roman"/>
          <w:b/>
          <w:sz w:val="24"/>
          <w:szCs w:val="24"/>
        </w:rPr>
      </w:pPr>
    </w:p>
    <w:p w:rsidR="008E6A1A" w:rsidRPr="00385475" w:rsidRDefault="008E6A1A" w:rsidP="00B97A6D">
      <w:pPr>
        <w:pStyle w:val="11"/>
        <w:ind w:hanging="142"/>
        <w:jc w:val="both"/>
        <w:rPr>
          <w:rFonts w:ascii="Times New Roman" w:hAnsi="Times New Roman"/>
          <w:b/>
          <w:sz w:val="24"/>
          <w:szCs w:val="24"/>
        </w:rPr>
      </w:pPr>
      <w:r w:rsidRPr="00385475">
        <w:rPr>
          <w:rFonts w:ascii="Times New Roman" w:hAnsi="Times New Roman"/>
          <w:b/>
          <w:noProof/>
          <w:sz w:val="24"/>
          <w:szCs w:val="24"/>
        </w:rPr>
        <w:drawing>
          <wp:inline distT="0" distB="0" distL="0" distR="0">
            <wp:extent cx="6591300" cy="1600200"/>
            <wp:effectExtent l="0" t="0" r="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6A1A" w:rsidRPr="00982B2E" w:rsidRDefault="008E6A1A" w:rsidP="008E6A1A">
      <w:pPr>
        <w:spacing w:after="0" w:line="240" w:lineRule="auto"/>
        <w:ind w:firstLine="426"/>
        <w:jc w:val="both"/>
        <w:rPr>
          <w:rFonts w:ascii="Times New Roman" w:hAnsi="Times New Roman"/>
          <w:sz w:val="10"/>
          <w:szCs w:val="10"/>
        </w:rPr>
      </w:pPr>
    </w:p>
    <w:p w:rsidR="00671C48" w:rsidRDefault="008E6A1A" w:rsidP="00982B2E">
      <w:pPr>
        <w:spacing w:after="0" w:line="240" w:lineRule="auto"/>
        <w:ind w:firstLine="709"/>
        <w:jc w:val="both"/>
        <w:rPr>
          <w:rFonts w:ascii="Times New Roman" w:hAnsi="Times New Roman"/>
          <w:sz w:val="24"/>
          <w:szCs w:val="24"/>
        </w:rPr>
      </w:pPr>
      <w:r w:rsidRPr="001A33FE">
        <w:rPr>
          <w:rFonts w:ascii="Times New Roman" w:hAnsi="Times New Roman"/>
          <w:sz w:val="24"/>
          <w:szCs w:val="24"/>
        </w:rPr>
        <w:t xml:space="preserve">Вместе с тем, если скорректировать созданный в 2016 году валовой внутренний продукт, на сумму выплаченной работникам бюджетной сферы кредиторской задолженности по заработной плате, то по итогам 2017 года темпы роста ВВП в номинальном выражении фиксируются в </w:t>
      </w:r>
      <w:r w:rsidRPr="00671C48">
        <w:rPr>
          <w:rFonts w:ascii="Times New Roman" w:hAnsi="Times New Roman"/>
          <w:sz w:val="24"/>
          <w:szCs w:val="24"/>
        </w:rPr>
        <w:t xml:space="preserve">пределах </w:t>
      </w:r>
      <w:r w:rsidR="00671C48" w:rsidRPr="00671C48">
        <w:rPr>
          <w:rFonts w:ascii="Times New Roman" w:hAnsi="Times New Roman"/>
          <w:sz w:val="24"/>
          <w:szCs w:val="24"/>
        </w:rPr>
        <w:t>10,5%.</w:t>
      </w:r>
    </w:p>
    <w:p w:rsidR="008E6A1A" w:rsidRDefault="008E6A1A" w:rsidP="00982B2E">
      <w:pPr>
        <w:spacing w:after="0" w:line="240" w:lineRule="auto"/>
        <w:ind w:firstLine="709"/>
        <w:jc w:val="both"/>
        <w:rPr>
          <w:rFonts w:ascii="Times New Roman" w:hAnsi="Times New Roman"/>
          <w:sz w:val="24"/>
          <w:szCs w:val="24"/>
        </w:rPr>
      </w:pPr>
      <w:proofErr w:type="gramStart"/>
      <w:r w:rsidRPr="00300F14">
        <w:rPr>
          <w:rFonts w:ascii="Times New Roman" w:hAnsi="Times New Roman"/>
          <w:sz w:val="24"/>
          <w:szCs w:val="24"/>
        </w:rPr>
        <w:t>В структуре показателя на фоне стабилизации работы базовых отраслей индустрии посредством повышения качества проводимого менеджмента, предпринятых мер по нивелированию валютного кризиса и поддержки банковской системы долевое</w:t>
      </w:r>
      <w:r>
        <w:rPr>
          <w:rFonts w:ascii="Times New Roman" w:hAnsi="Times New Roman"/>
          <w:sz w:val="24"/>
          <w:szCs w:val="24"/>
        </w:rPr>
        <w:t xml:space="preserve"> представление отраслей материального производства расширилось на 2,4 п.п. до 40,93%. В то же время изменился знак вклада </w:t>
      </w:r>
      <w:r w:rsidRPr="008D572D">
        <w:rPr>
          <w:rFonts w:ascii="Times New Roman" w:hAnsi="Times New Roman"/>
          <w:sz w:val="24"/>
          <w:szCs w:val="24"/>
        </w:rPr>
        <w:t>фискальной составляюще</w:t>
      </w:r>
      <w:r>
        <w:rPr>
          <w:rFonts w:ascii="Times New Roman" w:hAnsi="Times New Roman"/>
          <w:sz w:val="24"/>
          <w:szCs w:val="24"/>
        </w:rPr>
        <w:t>й – «</w:t>
      </w:r>
      <w:r w:rsidRPr="008D572D">
        <w:rPr>
          <w:rFonts w:ascii="Times New Roman" w:hAnsi="Times New Roman"/>
          <w:sz w:val="24"/>
          <w:szCs w:val="24"/>
        </w:rPr>
        <w:t>чистые налоги на продукты и импорт»</w:t>
      </w:r>
      <w:r>
        <w:rPr>
          <w:rFonts w:ascii="Times New Roman" w:hAnsi="Times New Roman"/>
          <w:sz w:val="24"/>
          <w:szCs w:val="24"/>
        </w:rPr>
        <w:t>: с отрицательного – -0,04% на положительный – 0,24%. Это произошло</w:t>
      </w:r>
      <w:proofErr w:type="gramEnd"/>
      <w:r>
        <w:rPr>
          <w:rFonts w:ascii="Times New Roman" w:hAnsi="Times New Roman"/>
          <w:sz w:val="24"/>
          <w:szCs w:val="24"/>
        </w:rPr>
        <w:t xml:space="preserve"> на фоне сокращения удельного веса инфраструктурных отраслей (-2,7 п.п.), сформировавших в совокупности 58,8% ВВП </w:t>
      </w:r>
      <w:r w:rsidRPr="00C65613">
        <w:rPr>
          <w:rFonts w:ascii="Times New Roman" w:hAnsi="Times New Roman"/>
          <w:sz w:val="24"/>
          <w:szCs w:val="24"/>
        </w:rPr>
        <w:t>(рис</w:t>
      </w:r>
      <w:r>
        <w:rPr>
          <w:rFonts w:ascii="Times New Roman" w:hAnsi="Times New Roman"/>
          <w:sz w:val="24"/>
          <w:szCs w:val="24"/>
        </w:rPr>
        <w:t>.2</w:t>
      </w:r>
      <w:r w:rsidRPr="00C65613">
        <w:rPr>
          <w:rFonts w:ascii="Times New Roman" w:hAnsi="Times New Roman"/>
          <w:sz w:val="24"/>
          <w:szCs w:val="24"/>
        </w:rPr>
        <w:t>).</w:t>
      </w:r>
    </w:p>
    <w:p w:rsidR="008E6A1A" w:rsidRPr="008119AA" w:rsidRDefault="008E6A1A" w:rsidP="008E6A1A">
      <w:pPr>
        <w:pStyle w:val="a4"/>
        <w:jc w:val="right"/>
        <w:rPr>
          <w:b/>
          <w:i/>
        </w:rPr>
      </w:pPr>
      <w:r w:rsidRPr="008119AA">
        <w:rPr>
          <w:b/>
          <w:i/>
        </w:rPr>
        <w:t>Рисунок 2</w:t>
      </w:r>
    </w:p>
    <w:p w:rsidR="008E6A1A" w:rsidRDefault="008E6A1A" w:rsidP="00B97A6D">
      <w:pPr>
        <w:pStyle w:val="a4"/>
        <w:ind w:hanging="142"/>
      </w:pPr>
      <w:r w:rsidRPr="006E021D">
        <w:rPr>
          <w:noProof/>
        </w:rPr>
        <w:drawing>
          <wp:inline distT="0" distB="0" distL="0" distR="0">
            <wp:extent cx="6393180" cy="1868557"/>
            <wp:effectExtent l="0" t="0" r="0" b="0"/>
            <wp:docPr id="1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6A1A" w:rsidRPr="002C4AB3" w:rsidRDefault="008E6A1A" w:rsidP="00982B2E">
      <w:pPr>
        <w:pStyle w:val="a4"/>
      </w:pPr>
      <w:proofErr w:type="gramStart"/>
      <w:r>
        <w:t>Постепенное улучшение ситуации в индустриальном секторе, определяемое повышением конкурентоспособности отечественных товаропроизводителей на внешних рынках и ростом текущего потребления в совокупности с относительно благоприятными погодными условиями в сельском хозяйстве выступали основными драйверами повышени</w:t>
      </w:r>
      <w:r w:rsidR="006409F0">
        <w:t>я</w:t>
      </w:r>
      <w:r>
        <w:t xml:space="preserve"> </w:t>
      </w:r>
      <w:r w:rsidRPr="008D572D">
        <w:t>результативности</w:t>
      </w:r>
      <w:r>
        <w:t xml:space="preserve"> в экономике сопровождавшееся расширением </w:t>
      </w:r>
      <w:r w:rsidRPr="002C4AB3">
        <w:t xml:space="preserve">добавленной стоимости </w:t>
      </w:r>
      <w:r>
        <w:rPr>
          <w:b/>
        </w:rPr>
        <w:t xml:space="preserve">материального сектора </w:t>
      </w:r>
      <w:r w:rsidRPr="002C4AB3">
        <w:t xml:space="preserve">на </w:t>
      </w:r>
      <w:r>
        <w:t>14,5</w:t>
      </w:r>
      <w:r w:rsidRPr="002C4AB3">
        <w:t xml:space="preserve">% </w:t>
      </w:r>
      <w:r>
        <w:t>до 5 034,4</w:t>
      </w:r>
      <w:r w:rsidRPr="002C4AB3">
        <w:t xml:space="preserve"> млн руб. Долевое участие </w:t>
      </w:r>
      <w:r w:rsidRPr="003B0573">
        <w:rPr>
          <w:b/>
        </w:rPr>
        <w:t>индустри</w:t>
      </w:r>
      <w:r>
        <w:rPr>
          <w:b/>
        </w:rPr>
        <w:t xml:space="preserve">ального </w:t>
      </w:r>
      <w:r>
        <w:rPr>
          <w:b/>
        </w:rPr>
        <w:lastRenderedPageBreak/>
        <w:t>комплекса</w:t>
      </w:r>
      <w:r w:rsidRPr="002C4AB3">
        <w:t xml:space="preserve"> на этом фоне </w:t>
      </w:r>
      <w:r>
        <w:t>при увеличении ВДС</w:t>
      </w:r>
      <w:r w:rsidRPr="002C4AB3">
        <w:t xml:space="preserve"> на </w:t>
      </w:r>
      <w:r>
        <w:t>12,7</w:t>
      </w:r>
      <w:proofErr w:type="gramEnd"/>
      <w:r w:rsidRPr="002C4AB3">
        <w:t xml:space="preserve">% до </w:t>
      </w:r>
      <w:r>
        <w:t xml:space="preserve">3 787,9 </w:t>
      </w:r>
      <w:r w:rsidRPr="002C4AB3">
        <w:t xml:space="preserve">млн руб. </w:t>
      </w:r>
      <w:r>
        <w:t>расширилось</w:t>
      </w:r>
      <w:r w:rsidRPr="002C4AB3">
        <w:t xml:space="preserve"> на </w:t>
      </w:r>
      <w:r>
        <w:t>1,4</w:t>
      </w:r>
      <w:r w:rsidRPr="002C4AB3">
        <w:t xml:space="preserve"> п.п., сформировав </w:t>
      </w:r>
      <w:r>
        <w:t>30,8</w:t>
      </w:r>
      <w:r w:rsidRPr="002C4AB3">
        <w:t>% совокупного</w:t>
      </w:r>
      <w:r>
        <w:t xml:space="preserve"> показателя и 75,2% добавленной стоимости материального сектора</w:t>
      </w:r>
      <w:r w:rsidRPr="002C4AB3">
        <w:t xml:space="preserve">. </w:t>
      </w:r>
      <w:r>
        <w:t xml:space="preserve">В </w:t>
      </w:r>
      <w:r w:rsidRPr="003B0573">
        <w:rPr>
          <w:b/>
        </w:rPr>
        <w:t>сельско</w:t>
      </w:r>
      <w:r>
        <w:rPr>
          <w:b/>
        </w:rPr>
        <w:t>м</w:t>
      </w:r>
      <w:r w:rsidRPr="003B0573">
        <w:rPr>
          <w:b/>
        </w:rPr>
        <w:t xml:space="preserve"> хозяйств</w:t>
      </w:r>
      <w:r>
        <w:rPr>
          <w:b/>
        </w:rPr>
        <w:t xml:space="preserve">е </w:t>
      </w:r>
      <w:r w:rsidRPr="003A604F">
        <w:t xml:space="preserve">было </w:t>
      </w:r>
      <w:r>
        <w:t xml:space="preserve">создано 1 047,7 млн руб. </w:t>
      </w:r>
      <w:r w:rsidRPr="002C4AB3">
        <w:t>добавленной стоимости</w:t>
      </w:r>
      <w:r>
        <w:t>, объем которой расширился на 34,6%</w:t>
      </w:r>
      <w:r w:rsidRPr="002C4AB3">
        <w:t xml:space="preserve">, </w:t>
      </w:r>
      <w:r>
        <w:t xml:space="preserve">обеспечив тем самым </w:t>
      </w:r>
      <w:r w:rsidRPr="002C4AB3">
        <w:t xml:space="preserve">рекордный за весь период </w:t>
      </w:r>
      <w:r>
        <w:t xml:space="preserve">наблюдений </w:t>
      </w:r>
      <w:r w:rsidRPr="002C4AB3">
        <w:t xml:space="preserve">вклад </w:t>
      </w:r>
      <w:r>
        <w:t xml:space="preserve">отрасли </w:t>
      </w:r>
      <w:r w:rsidRPr="002C4AB3">
        <w:t>в формировани</w:t>
      </w:r>
      <w:r>
        <w:t>е</w:t>
      </w:r>
      <w:r w:rsidRPr="002C4AB3">
        <w:t xml:space="preserve"> ВВП на уровне </w:t>
      </w:r>
      <w:r>
        <w:t>8,5</w:t>
      </w:r>
      <w:r w:rsidRPr="002C4AB3">
        <w:t xml:space="preserve">%. </w:t>
      </w:r>
    </w:p>
    <w:p w:rsidR="008E6A1A" w:rsidRDefault="008E6A1A" w:rsidP="00982B2E">
      <w:pPr>
        <w:pStyle w:val="a4"/>
      </w:pPr>
      <w:r w:rsidRPr="002C4AB3">
        <w:t xml:space="preserve">Вместе с </w:t>
      </w:r>
      <w:r>
        <w:t>тем</w:t>
      </w:r>
      <w:r w:rsidRPr="002C4AB3">
        <w:t xml:space="preserve"> </w:t>
      </w:r>
      <w:r>
        <w:t xml:space="preserve">слабая </w:t>
      </w:r>
      <w:r w:rsidRPr="002C4AB3">
        <w:t xml:space="preserve">инвестиционная активность </w:t>
      </w:r>
      <w:r>
        <w:t>сохранила понижающ</w:t>
      </w:r>
      <w:r w:rsidR="002D1719">
        <w:t>и</w:t>
      </w:r>
      <w:r>
        <w:t xml:space="preserve">й тренд результативности в </w:t>
      </w:r>
      <w:r w:rsidRPr="00AB3C77">
        <w:rPr>
          <w:b/>
        </w:rPr>
        <w:t>сфере строительства</w:t>
      </w:r>
      <w:r>
        <w:t xml:space="preserve">, выразившаяся в снижении </w:t>
      </w:r>
      <w:r w:rsidRPr="002C4AB3">
        <w:t>добавленной стоимости</w:t>
      </w:r>
      <w:r>
        <w:t xml:space="preserve"> </w:t>
      </w:r>
      <w:r w:rsidRPr="00EA2A58">
        <w:t>на</w:t>
      </w:r>
      <w:r>
        <w:t xml:space="preserve"> 23,3</w:t>
      </w:r>
      <w:r w:rsidRPr="002C4AB3">
        <w:t>%</w:t>
      </w:r>
      <w:r>
        <w:t xml:space="preserve"> до</w:t>
      </w:r>
      <w:r w:rsidRPr="002C4AB3">
        <w:t xml:space="preserve"> </w:t>
      </w:r>
      <w:r>
        <w:t>198,8</w:t>
      </w:r>
      <w:r w:rsidRPr="002C4AB3">
        <w:t xml:space="preserve"> млн руб., </w:t>
      </w:r>
      <w:r>
        <w:t xml:space="preserve">и в сокращении вклада в </w:t>
      </w:r>
      <w:r w:rsidRPr="002C4AB3">
        <w:t>ВВП до 1,</w:t>
      </w:r>
      <w:r>
        <w:t>6</w:t>
      </w:r>
      <w:r w:rsidRPr="002C4AB3">
        <w:t xml:space="preserve">% против </w:t>
      </w:r>
      <w:r>
        <w:t>2,3</w:t>
      </w:r>
      <w:r w:rsidRPr="002C4AB3">
        <w:t xml:space="preserve">% в </w:t>
      </w:r>
      <w:r>
        <w:t>2016 году (рис. 3)</w:t>
      </w:r>
      <w:r w:rsidRPr="002C4AB3">
        <w:t>.</w:t>
      </w:r>
    </w:p>
    <w:p w:rsidR="008E6A1A" w:rsidRPr="001760AF" w:rsidRDefault="008E6A1A" w:rsidP="008E6A1A">
      <w:pPr>
        <w:pStyle w:val="a4"/>
        <w:jc w:val="right"/>
        <w:rPr>
          <w:b/>
          <w:i/>
        </w:rPr>
      </w:pPr>
      <w:r w:rsidRPr="001760AF">
        <w:rPr>
          <w:b/>
          <w:i/>
        </w:rPr>
        <w:t>Рисунок 3</w:t>
      </w:r>
    </w:p>
    <w:p w:rsidR="008E6A1A" w:rsidRDefault="008E6A1A" w:rsidP="00B97A6D">
      <w:pPr>
        <w:pStyle w:val="a6"/>
        <w:spacing w:after="0" w:line="240" w:lineRule="auto"/>
        <w:ind w:left="0" w:hanging="142"/>
        <w:jc w:val="both"/>
        <w:rPr>
          <w:rFonts w:ascii="Times New Roman" w:hAnsi="Times New Roman"/>
          <w:sz w:val="24"/>
          <w:szCs w:val="24"/>
        </w:rPr>
      </w:pPr>
      <w:r w:rsidRPr="00815810">
        <w:rPr>
          <w:rFonts w:ascii="Times New Roman" w:hAnsi="Times New Roman"/>
          <w:noProof/>
          <w:sz w:val="24"/>
          <w:szCs w:val="24"/>
        </w:rPr>
        <w:drawing>
          <wp:inline distT="0" distB="0" distL="0" distR="0">
            <wp:extent cx="6361044" cy="1550504"/>
            <wp:effectExtent l="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6A1A" w:rsidRPr="009454B3" w:rsidRDefault="008E6A1A" w:rsidP="00982B2E">
      <w:pPr>
        <w:pStyle w:val="22"/>
        <w:spacing w:after="0" w:line="240" w:lineRule="auto"/>
        <w:ind w:firstLine="709"/>
        <w:jc w:val="both"/>
        <w:rPr>
          <w:rFonts w:ascii="Times New Roman" w:hAnsi="Times New Roman"/>
          <w:sz w:val="24"/>
          <w:szCs w:val="24"/>
        </w:rPr>
      </w:pPr>
      <w:r w:rsidRPr="00B647E5">
        <w:rPr>
          <w:rFonts w:ascii="Times New Roman" w:hAnsi="Times New Roman"/>
          <w:sz w:val="24"/>
          <w:szCs w:val="24"/>
        </w:rPr>
        <w:t xml:space="preserve">Одним из драйверов экономики в I </w:t>
      </w:r>
      <w:r>
        <w:rPr>
          <w:rFonts w:ascii="Times New Roman" w:hAnsi="Times New Roman"/>
          <w:sz w:val="24"/>
          <w:szCs w:val="24"/>
        </w:rPr>
        <w:t>полугодии выступал</w:t>
      </w:r>
      <w:r w:rsidRPr="00B647E5">
        <w:rPr>
          <w:rFonts w:ascii="Times New Roman" w:hAnsi="Times New Roman"/>
          <w:sz w:val="24"/>
          <w:szCs w:val="24"/>
        </w:rPr>
        <w:t xml:space="preserve"> внутренний спрос, тренд сохранился и во II </w:t>
      </w:r>
      <w:r>
        <w:rPr>
          <w:rFonts w:ascii="Times New Roman" w:hAnsi="Times New Roman"/>
          <w:sz w:val="24"/>
          <w:szCs w:val="24"/>
        </w:rPr>
        <w:t xml:space="preserve">полугодии. Однако по итогам 2017 года на фоне достаточно позитивных результатов деятельности сферы материального производства сегмент услуг демонстрировал </w:t>
      </w:r>
      <w:r w:rsidRPr="00AF74AD">
        <w:rPr>
          <w:rFonts w:ascii="Times New Roman" w:hAnsi="Times New Roman"/>
          <w:sz w:val="24"/>
          <w:szCs w:val="24"/>
        </w:rPr>
        <w:t>сдержанные темпы развития</w:t>
      </w:r>
      <w:r>
        <w:rPr>
          <w:rFonts w:ascii="Times New Roman" w:hAnsi="Times New Roman"/>
          <w:sz w:val="24"/>
          <w:szCs w:val="24"/>
        </w:rPr>
        <w:t xml:space="preserve">. В результате более низкая скорость расширения ВДС отраслей </w:t>
      </w:r>
      <w:r w:rsidRPr="008D5F6D">
        <w:rPr>
          <w:rFonts w:ascii="Times New Roman" w:hAnsi="Times New Roman"/>
          <w:b/>
          <w:sz w:val="24"/>
          <w:szCs w:val="24"/>
        </w:rPr>
        <w:t>сектора услуг</w:t>
      </w:r>
      <w:r>
        <w:rPr>
          <w:rFonts w:ascii="Times New Roman" w:hAnsi="Times New Roman"/>
          <w:b/>
          <w:sz w:val="24"/>
          <w:szCs w:val="24"/>
        </w:rPr>
        <w:t xml:space="preserve"> – </w:t>
      </w:r>
      <w:r w:rsidRPr="00BE7146">
        <w:rPr>
          <w:rFonts w:ascii="Times New Roman" w:hAnsi="Times New Roman"/>
          <w:sz w:val="24"/>
          <w:szCs w:val="24"/>
        </w:rPr>
        <w:t xml:space="preserve">на </w:t>
      </w:r>
      <w:r>
        <w:rPr>
          <w:rFonts w:ascii="Times New Roman" w:hAnsi="Times New Roman"/>
          <w:sz w:val="24"/>
          <w:szCs w:val="24"/>
        </w:rPr>
        <w:t>3,0</w:t>
      </w:r>
      <w:r w:rsidRPr="00BE7146">
        <w:rPr>
          <w:rFonts w:ascii="Times New Roman" w:hAnsi="Times New Roman"/>
          <w:sz w:val="24"/>
          <w:szCs w:val="24"/>
        </w:rPr>
        <w:t>% до</w:t>
      </w:r>
      <w:r>
        <w:rPr>
          <w:rFonts w:ascii="Times New Roman" w:hAnsi="Times New Roman"/>
          <w:sz w:val="24"/>
          <w:szCs w:val="24"/>
        </w:rPr>
        <w:t xml:space="preserve"> 7 235,5</w:t>
      </w:r>
      <w:r w:rsidRPr="00BE7146">
        <w:rPr>
          <w:rFonts w:ascii="Times New Roman" w:hAnsi="Times New Roman"/>
          <w:sz w:val="24"/>
          <w:szCs w:val="24"/>
        </w:rPr>
        <w:t xml:space="preserve"> млн руб.</w:t>
      </w:r>
      <w:r>
        <w:rPr>
          <w:rFonts w:ascii="Times New Roman" w:hAnsi="Times New Roman"/>
          <w:sz w:val="24"/>
          <w:szCs w:val="24"/>
        </w:rPr>
        <w:t xml:space="preserve"> предопределила сужение</w:t>
      </w:r>
      <w:r w:rsidRPr="00BE7146">
        <w:rPr>
          <w:rFonts w:ascii="Times New Roman" w:hAnsi="Times New Roman"/>
          <w:sz w:val="24"/>
          <w:szCs w:val="24"/>
        </w:rPr>
        <w:t xml:space="preserve"> долевого представления в структуре </w:t>
      </w:r>
      <w:r>
        <w:rPr>
          <w:rFonts w:ascii="Times New Roman" w:hAnsi="Times New Roman"/>
          <w:sz w:val="24"/>
          <w:szCs w:val="24"/>
        </w:rPr>
        <w:t xml:space="preserve">формирования </w:t>
      </w:r>
      <w:r w:rsidRPr="00BE7146">
        <w:rPr>
          <w:rFonts w:ascii="Times New Roman" w:hAnsi="Times New Roman"/>
          <w:sz w:val="24"/>
          <w:szCs w:val="24"/>
        </w:rPr>
        <w:t xml:space="preserve">валового внутреннего продукта на </w:t>
      </w:r>
      <w:r>
        <w:rPr>
          <w:rFonts w:ascii="Times New Roman" w:hAnsi="Times New Roman"/>
          <w:sz w:val="24"/>
          <w:szCs w:val="24"/>
        </w:rPr>
        <w:t xml:space="preserve">2,7 </w:t>
      </w:r>
      <w:r w:rsidRPr="009026FB">
        <w:rPr>
          <w:rFonts w:ascii="Times New Roman" w:hAnsi="Times New Roman"/>
          <w:sz w:val="24"/>
          <w:szCs w:val="24"/>
        </w:rPr>
        <w:t>п.п.</w:t>
      </w:r>
      <w:r>
        <w:rPr>
          <w:rFonts w:ascii="Times New Roman" w:hAnsi="Times New Roman"/>
          <w:sz w:val="24"/>
          <w:szCs w:val="24"/>
        </w:rPr>
        <w:t xml:space="preserve"> </w:t>
      </w:r>
      <w:r w:rsidRPr="00BE7146">
        <w:rPr>
          <w:rFonts w:ascii="Times New Roman" w:hAnsi="Times New Roman"/>
          <w:sz w:val="24"/>
          <w:szCs w:val="24"/>
        </w:rPr>
        <w:t xml:space="preserve">до </w:t>
      </w:r>
      <w:r>
        <w:rPr>
          <w:rFonts w:ascii="Times New Roman" w:hAnsi="Times New Roman"/>
          <w:sz w:val="24"/>
          <w:szCs w:val="24"/>
        </w:rPr>
        <w:t>58,8</w:t>
      </w:r>
      <w:r w:rsidRPr="00BE7146">
        <w:rPr>
          <w:rFonts w:ascii="Times New Roman" w:hAnsi="Times New Roman"/>
          <w:sz w:val="24"/>
          <w:szCs w:val="24"/>
        </w:rPr>
        <w:t>%.</w:t>
      </w:r>
      <w:r>
        <w:rPr>
          <w:rFonts w:ascii="Times New Roman" w:hAnsi="Times New Roman"/>
          <w:sz w:val="24"/>
          <w:szCs w:val="24"/>
        </w:rPr>
        <w:t xml:space="preserve"> При этом по сравнению с базисным периодом изменился вектор динамики отдельных составляющих. </w:t>
      </w:r>
      <w:proofErr w:type="gramStart"/>
      <w:r>
        <w:rPr>
          <w:rFonts w:ascii="Times New Roman" w:hAnsi="Times New Roman"/>
          <w:sz w:val="24"/>
          <w:szCs w:val="24"/>
        </w:rPr>
        <w:t xml:space="preserve">Так, если годом ранее активно росли расходы государства, формирующие валовой выпуск сектора </w:t>
      </w:r>
      <w:r w:rsidRPr="002C2A1B">
        <w:rPr>
          <w:rFonts w:ascii="Times New Roman" w:hAnsi="Times New Roman"/>
          <w:sz w:val="24"/>
          <w:szCs w:val="24"/>
        </w:rPr>
        <w:t>нерыночных услуг,</w:t>
      </w:r>
      <w:r>
        <w:rPr>
          <w:rFonts w:ascii="Times New Roman" w:hAnsi="Times New Roman"/>
          <w:sz w:val="24"/>
          <w:szCs w:val="24"/>
        </w:rPr>
        <w:t xml:space="preserve"> то в рассматриваемом периоде в условиях</w:t>
      </w:r>
      <w:r w:rsidRPr="00EA2A58">
        <w:rPr>
          <w:rFonts w:ascii="Times New Roman" w:hAnsi="Times New Roman"/>
          <w:sz w:val="24"/>
          <w:szCs w:val="24"/>
        </w:rPr>
        <w:t xml:space="preserve"> стабильности всех социальных выплат их объем сократился </w:t>
      </w:r>
      <w:r>
        <w:rPr>
          <w:rFonts w:ascii="Times New Roman" w:hAnsi="Times New Roman"/>
          <w:sz w:val="24"/>
          <w:szCs w:val="24"/>
        </w:rPr>
        <w:t>на 3,3</w:t>
      </w:r>
      <w:r w:rsidRPr="00EA2A58">
        <w:rPr>
          <w:rFonts w:ascii="Times New Roman" w:hAnsi="Times New Roman"/>
          <w:sz w:val="24"/>
          <w:szCs w:val="24"/>
        </w:rPr>
        <w:t>%</w:t>
      </w:r>
      <w:r w:rsidRPr="002C2A1B">
        <w:rPr>
          <w:rFonts w:ascii="Times New Roman" w:hAnsi="Times New Roman"/>
          <w:sz w:val="24"/>
          <w:szCs w:val="24"/>
        </w:rPr>
        <w:t xml:space="preserve"> </w:t>
      </w:r>
      <w:r w:rsidRPr="009A42FA">
        <w:rPr>
          <w:rFonts w:ascii="Times New Roman" w:hAnsi="Times New Roman"/>
          <w:sz w:val="24"/>
          <w:szCs w:val="24"/>
        </w:rPr>
        <w:t>до 3 378,5 млн руб.</w:t>
      </w:r>
      <w:r w:rsidRPr="00EA2A58">
        <w:rPr>
          <w:rFonts w:ascii="Times New Roman" w:hAnsi="Times New Roman"/>
          <w:sz w:val="24"/>
          <w:szCs w:val="24"/>
        </w:rPr>
        <w:t xml:space="preserve"> В тоже время </w:t>
      </w:r>
      <w:r>
        <w:rPr>
          <w:rFonts w:ascii="Times New Roman" w:hAnsi="Times New Roman"/>
          <w:sz w:val="24"/>
          <w:szCs w:val="24"/>
        </w:rPr>
        <w:t>восстанавливающийся потребительский спрос</w:t>
      </w:r>
      <w:r w:rsidRPr="001D69B5">
        <w:rPr>
          <w:rFonts w:ascii="Times New Roman" w:hAnsi="Times New Roman"/>
          <w:sz w:val="24"/>
          <w:szCs w:val="24"/>
        </w:rPr>
        <w:t xml:space="preserve"> на фоне реализованной девальвации и ценовых колебаний </w:t>
      </w:r>
      <w:r w:rsidRPr="009454B3">
        <w:rPr>
          <w:rFonts w:ascii="Times New Roman" w:hAnsi="Times New Roman"/>
          <w:sz w:val="24"/>
          <w:szCs w:val="24"/>
        </w:rPr>
        <w:t>обеспечил</w:t>
      </w:r>
      <w:r>
        <w:rPr>
          <w:rFonts w:ascii="Times New Roman" w:hAnsi="Times New Roman"/>
          <w:sz w:val="24"/>
          <w:szCs w:val="24"/>
        </w:rPr>
        <w:t>и</w:t>
      </w:r>
      <w:r w:rsidRPr="009454B3">
        <w:rPr>
          <w:rFonts w:ascii="Times New Roman" w:hAnsi="Times New Roman"/>
          <w:sz w:val="24"/>
          <w:szCs w:val="24"/>
        </w:rPr>
        <w:t xml:space="preserve"> приращение добавленной стоимости </w:t>
      </w:r>
      <w:r>
        <w:rPr>
          <w:rFonts w:ascii="Times New Roman" w:hAnsi="Times New Roman"/>
          <w:sz w:val="24"/>
          <w:szCs w:val="24"/>
        </w:rPr>
        <w:t xml:space="preserve">практически во всех </w:t>
      </w:r>
      <w:r w:rsidRPr="009454B3">
        <w:rPr>
          <w:rFonts w:ascii="Times New Roman" w:hAnsi="Times New Roman"/>
          <w:sz w:val="24"/>
          <w:szCs w:val="24"/>
        </w:rPr>
        <w:t>сегмент</w:t>
      </w:r>
      <w:r>
        <w:rPr>
          <w:rFonts w:ascii="Times New Roman" w:hAnsi="Times New Roman"/>
          <w:sz w:val="24"/>
          <w:szCs w:val="24"/>
        </w:rPr>
        <w:t>ах</w:t>
      </w:r>
      <w:r w:rsidRPr="009454B3">
        <w:rPr>
          <w:rFonts w:ascii="Times New Roman" w:hAnsi="Times New Roman"/>
          <w:sz w:val="24"/>
          <w:szCs w:val="24"/>
        </w:rPr>
        <w:t xml:space="preserve"> </w:t>
      </w:r>
      <w:r w:rsidRPr="009454B3">
        <w:rPr>
          <w:rFonts w:ascii="Times New Roman" w:hAnsi="Times New Roman"/>
          <w:b/>
          <w:sz w:val="24"/>
          <w:szCs w:val="24"/>
        </w:rPr>
        <w:t>рыночных услуг</w:t>
      </w:r>
      <w:r>
        <w:rPr>
          <w:rFonts w:ascii="Times New Roman" w:hAnsi="Times New Roman"/>
          <w:b/>
          <w:sz w:val="24"/>
          <w:szCs w:val="24"/>
        </w:rPr>
        <w:t xml:space="preserve">, </w:t>
      </w:r>
      <w:r w:rsidRPr="00DA5AFE">
        <w:rPr>
          <w:rFonts w:ascii="Times New Roman" w:hAnsi="Times New Roman"/>
          <w:sz w:val="24"/>
          <w:szCs w:val="24"/>
        </w:rPr>
        <w:t>что обеспечило</w:t>
      </w:r>
      <w:r>
        <w:rPr>
          <w:rFonts w:ascii="Times New Roman" w:hAnsi="Times New Roman"/>
          <w:b/>
          <w:sz w:val="24"/>
          <w:szCs w:val="24"/>
        </w:rPr>
        <w:t xml:space="preserve"> </w:t>
      </w:r>
      <w:r w:rsidRPr="00033CFB">
        <w:rPr>
          <w:rFonts w:ascii="Times New Roman" w:hAnsi="Times New Roman"/>
          <w:sz w:val="24"/>
          <w:szCs w:val="24"/>
        </w:rPr>
        <w:t>повышение</w:t>
      </w:r>
      <w:proofErr w:type="gramEnd"/>
      <w:r w:rsidRPr="00033CFB">
        <w:rPr>
          <w:rFonts w:ascii="Times New Roman" w:hAnsi="Times New Roman"/>
          <w:sz w:val="24"/>
          <w:szCs w:val="24"/>
        </w:rPr>
        <w:t xml:space="preserve"> результативности</w:t>
      </w:r>
      <w:r>
        <w:rPr>
          <w:rFonts w:ascii="Times New Roman" w:hAnsi="Times New Roman"/>
          <w:b/>
          <w:sz w:val="24"/>
          <w:szCs w:val="24"/>
        </w:rPr>
        <w:t xml:space="preserve"> </w:t>
      </w:r>
      <w:r w:rsidRPr="009454B3">
        <w:rPr>
          <w:rFonts w:ascii="Times New Roman" w:hAnsi="Times New Roman"/>
          <w:sz w:val="24"/>
          <w:szCs w:val="24"/>
        </w:rPr>
        <w:t xml:space="preserve">на </w:t>
      </w:r>
      <w:r>
        <w:rPr>
          <w:rFonts w:ascii="Times New Roman" w:hAnsi="Times New Roman"/>
          <w:sz w:val="24"/>
          <w:szCs w:val="24"/>
        </w:rPr>
        <w:t>9,2</w:t>
      </w:r>
      <w:r w:rsidRPr="009454B3">
        <w:rPr>
          <w:rFonts w:ascii="Times New Roman" w:hAnsi="Times New Roman"/>
          <w:sz w:val="24"/>
          <w:szCs w:val="24"/>
        </w:rPr>
        <w:t>%</w:t>
      </w:r>
      <w:r>
        <w:rPr>
          <w:rFonts w:ascii="Times New Roman" w:hAnsi="Times New Roman"/>
          <w:sz w:val="24"/>
          <w:szCs w:val="24"/>
        </w:rPr>
        <w:t xml:space="preserve"> до 3 857,0 млн руб. и расширение долевого участия в совокупном показателе до </w:t>
      </w:r>
      <w:r w:rsidRPr="009454B3">
        <w:rPr>
          <w:rFonts w:ascii="Times New Roman" w:hAnsi="Times New Roman"/>
          <w:sz w:val="24"/>
          <w:szCs w:val="24"/>
        </w:rPr>
        <w:t>31,</w:t>
      </w:r>
      <w:r>
        <w:rPr>
          <w:rFonts w:ascii="Times New Roman" w:hAnsi="Times New Roman"/>
          <w:sz w:val="24"/>
          <w:szCs w:val="24"/>
        </w:rPr>
        <w:t>4</w:t>
      </w:r>
      <w:r w:rsidRPr="009454B3">
        <w:rPr>
          <w:rFonts w:ascii="Times New Roman" w:hAnsi="Times New Roman"/>
          <w:sz w:val="24"/>
          <w:szCs w:val="24"/>
        </w:rPr>
        <w:t>% (</w:t>
      </w:r>
      <w:r>
        <w:rPr>
          <w:rFonts w:ascii="Times New Roman" w:hAnsi="Times New Roman"/>
          <w:sz w:val="24"/>
          <w:szCs w:val="24"/>
        </w:rPr>
        <w:t xml:space="preserve">+0,4 </w:t>
      </w:r>
      <w:r w:rsidRPr="009454B3">
        <w:rPr>
          <w:rFonts w:ascii="Times New Roman" w:hAnsi="Times New Roman"/>
          <w:sz w:val="24"/>
          <w:szCs w:val="24"/>
        </w:rPr>
        <w:t>п.п.)</w:t>
      </w:r>
      <w:r>
        <w:rPr>
          <w:rFonts w:ascii="Times New Roman" w:hAnsi="Times New Roman"/>
          <w:sz w:val="24"/>
          <w:szCs w:val="24"/>
        </w:rPr>
        <w:t xml:space="preserve"> (рис. 4)</w:t>
      </w:r>
      <w:r w:rsidRPr="009454B3">
        <w:rPr>
          <w:rFonts w:ascii="Times New Roman" w:hAnsi="Times New Roman"/>
          <w:sz w:val="24"/>
          <w:szCs w:val="24"/>
        </w:rPr>
        <w:t>.</w:t>
      </w:r>
    </w:p>
    <w:p w:rsidR="008E6A1A" w:rsidRPr="001760AF" w:rsidRDefault="008E6A1A" w:rsidP="008E6A1A">
      <w:pPr>
        <w:pStyle w:val="a4"/>
        <w:jc w:val="right"/>
        <w:rPr>
          <w:b/>
          <w:i/>
        </w:rPr>
      </w:pPr>
      <w:r w:rsidRPr="001760AF">
        <w:rPr>
          <w:b/>
          <w:i/>
        </w:rPr>
        <w:t>Рисунок 4</w:t>
      </w:r>
    </w:p>
    <w:p w:rsidR="008E6A1A" w:rsidRDefault="008E6A1A" w:rsidP="008E6A1A">
      <w:pPr>
        <w:pStyle w:val="a4"/>
        <w:ind w:firstLine="0"/>
      </w:pPr>
      <w:r w:rsidRPr="00C84A22">
        <w:rPr>
          <w:noProof/>
        </w:rPr>
        <w:drawing>
          <wp:inline distT="0" distB="0" distL="0" distR="0">
            <wp:extent cx="5947576" cy="2623930"/>
            <wp:effectExtent l="0" t="0" r="0"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7A6D" w:rsidRPr="00B97A6D" w:rsidRDefault="00B97A6D" w:rsidP="008E6A1A">
      <w:pPr>
        <w:pStyle w:val="a4"/>
        <w:ind w:firstLine="426"/>
        <w:rPr>
          <w:sz w:val="16"/>
          <w:szCs w:val="16"/>
        </w:rPr>
      </w:pPr>
    </w:p>
    <w:p w:rsidR="008E6A1A" w:rsidRPr="00841A9E" w:rsidRDefault="008E6A1A" w:rsidP="00982B2E">
      <w:pPr>
        <w:pStyle w:val="a4"/>
      </w:pPr>
      <w:r>
        <w:t xml:space="preserve">Определяющее воздействие на динамику совокупного показателя оказал вектор услуг, предоставленных организациями </w:t>
      </w:r>
      <w:r w:rsidRPr="00C1375F">
        <w:rPr>
          <w:b/>
        </w:rPr>
        <w:t>торговл</w:t>
      </w:r>
      <w:r>
        <w:rPr>
          <w:b/>
        </w:rPr>
        <w:t>и</w:t>
      </w:r>
      <w:r w:rsidRPr="00C1375F">
        <w:rPr>
          <w:b/>
        </w:rPr>
        <w:t xml:space="preserve"> и общественно</w:t>
      </w:r>
      <w:r>
        <w:rPr>
          <w:b/>
        </w:rPr>
        <w:t>го</w:t>
      </w:r>
      <w:r w:rsidRPr="00C1375F">
        <w:rPr>
          <w:b/>
        </w:rPr>
        <w:t xml:space="preserve"> питани</w:t>
      </w:r>
      <w:r>
        <w:rPr>
          <w:b/>
        </w:rPr>
        <w:t xml:space="preserve">я, </w:t>
      </w:r>
      <w:r w:rsidRPr="00170CA7">
        <w:t>по которым отмечалось</w:t>
      </w:r>
      <w:r>
        <w:t xml:space="preserve"> увеличение добавленной стоимости почти на четверть (+24,9%) до </w:t>
      </w:r>
      <w:r w:rsidR="00B97A6D">
        <w:t xml:space="preserve">                     </w:t>
      </w:r>
      <w:r>
        <w:lastRenderedPageBreak/>
        <w:t>1 702,9 млн руб., и как следствие расширение структурного участие в формировании ВВП на 1,9 п.п. до 13,9%.</w:t>
      </w:r>
    </w:p>
    <w:p w:rsidR="008E6A1A" w:rsidRDefault="008E6A1A" w:rsidP="00982B2E">
      <w:pPr>
        <w:pStyle w:val="a4"/>
      </w:pPr>
      <w:r w:rsidRPr="00841A9E">
        <w:t xml:space="preserve">Организациями </w:t>
      </w:r>
      <w:r w:rsidRPr="00574CC6">
        <w:rPr>
          <w:b/>
        </w:rPr>
        <w:t>жилищно-коммунального хозяйства</w:t>
      </w:r>
      <w:r w:rsidRPr="00841A9E">
        <w:t xml:space="preserve"> в рассматриваемом периоде создано </w:t>
      </w:r>
      <w:r>
        <w:t>360,9</w:t>
      </w:r>
      <w:r w:rsidRPr="00841A9E">
        <w:t xml:space="preserve"> млн руб. добавленной стоимости, </w:t>
      </w:r>
      <w:r>
        <w:t>что на 8,7</w:t>
      </w:r>
      <w:r w:rsidRPr="00841A9E">
        <w:t>%</w:t>
      </w:r>
      <w:r>
        <w:t xml:space="preserve"> больше показателя 2016 года, при этом долевое участие отрасли в структуре валового внутреннего продукта не изменилось и сформировалось на уровне 3,0%</w:t>
      </w:r>
      <w:r w:rsidRPr="00841A9E">
        <w:t>.</w:t>
      </w:r>
    </w:p>
    <w:p w:rsidR="008E6A1A" w:rsidRDefault="008E6A1A" w:rsidP="00982B2E">
      <w:pPr>
        <w:pStyle w:val="a4"/>
      </w:pPr>
      <w:r>
        <w:t xml:space="preserve">Добавленная стоимость, созданная </w:t>
      </w:r>
      <w:r w:rsidRPr="00574CC6">
        <w:rPr>
          <w:b/>
        </w:rPr>
        <w:t xml:space="preserve">транспортными </w:t>
      </w:r>
      <w:r>
        <w:rPr>
          <w:b/>
        </w:rPr>
        <w:t xml:space="preserve">компаниями, </w:t>
      </w:r>
      <w:r>
        <w:t xml:space="preserve">при расширении валового выпуска на 5,5% и промежуточного потребления на 6,3% выросла на 4,9% и сложилась в объеме 330,1 млн руб., что обеспечило 2,7% структурного представления в совокупном показателе (-0,1п.п.). </w:t>
      </w:r>
    </w:p>
    <w:p w:rsidR="008E6A1A" w:rsidRDefault="008E6A1A" w:rsidP="00982B2E">
      <w:pPr>
        <w:pStyle w:val="a4"/>
      </w:pPr>
      <w:r>
        <w:t xml:space="preserve">Минимальный прирост валового выпуска по </w:t>
      </w:r>
      <w:r w:rsidRPr="007A6FAC">
        <w:rPr>
          <w:b/>
        </w:rPr>
        <w:t>отрасли «связь»</w:t>
      </w:r>
      <w:r>
        <w:rPr>
          <w:b/>
        </w:rPr>
        <w:t xml:space="preserve"> </w:t>
      </w:r>
      <w:r>
        <w:t xml:space="preserve">(+1,0%) на фоне опережающего роста сопутствующих расходов, включенных в промежуточное потребление (+13,1%), определил отставание (-8,8%) вновь созданной добавленной стоимости от базисных показателей и сокращение долевого участия в формировании ВВП на 0,6 п.п. до 2,9%. </w:t>
      </w:r>
    </w:p>
    <w:p w:rsidR="008E6A1A" w:rsidRPr="00FB4848" w:rsidRDefault="008E6A1A" w:rsidP="00982B2E">
      <w:pPr>
        <w:spacing w:after="0" w:line="240" w:lineRule="auto"/>
        <w:ind w:firstLine="709"/>
        <w:jc w:val="both"/>
        <w:rPr>
          <w:rFonts w:ascii="Times New Roman" w:hAnsi="Times New Roman"/>
          <w:sz w:val="24"/>
          <w:szCs w:val="24"/>
        </w:rPr>
      </w:pPr>
      <w:r w:rsidRPr="00FB4848">
        <w:rPr>
          <w:rFonts w:ascii="Times New Roman" w:hAnsi="Times New Roman"/>
          <w:sz w:val="24"/>
          <w:szCs w:val="24"/>
        </w:rPr>
        <w:t xml:space="preserve">Реализация ряда мероприятий надзорного и денежно-кредитного регулирования со стороны центрального банка и стабилизация макроэкономических условий создали предпосылки </w:t>
      </w:r>
      <w:proofErr w:type="gramStart"/>
      <w:r w:rsidRPr="00FB4848">
        <w:rPr>
          <w:rFonts w:ascii="Times New Roman" w:hAnsi="Times New Roman"/>
          <w:sz w:val="24"/>
          <w:szCs w:val="24"/>
        </w:rPr>
        <w:t xml:space="preserve">повышения результативности деятельности организаций </w:t>
      </w:r>
      <w:r w:rsidRPr="00FB4848">
        <w:rPr>
          <w:rFonts w:ascii="Times New Roman" w:hAnsi="Times New Roman"/>
          <w:b/>
          <w:sz w:val="24"/>
          <w:szCs w:val="24"/>
        </w:rPr>
        <w:t>финансового сектора</w:t>
      </w:r>
      <w:proofErr w:type="gramEnd"/>
      <w:r w:rsidRPr="00FB4848">
        <w:rPr>
          <w:rFonts w:ascii="Times New Roman" w:hAnsi="Times New Roman"/>
          <w:b/>
          <w:sz w:val="24"/>
          <w:szCs w:val="24"/>
        </w:rPr>
        <w:t xml:space="preserve">. </w:t>
      </w:r>
      <w:r w:rsidRPr="00FB4848">
        <w:rPr>
          <w:rFonts w:ascii="Times New Roman" w:hAnsi="Times New Roman"/>
          <w:sz w:val="24"/>
          <w:szCs w:val="24"/>
        </w:rPr>
        <w:t>Так</w:t>
      </w:r>
      <w:r>
        <w:rPr>
          <w:rFonts w:ascii="Times New Roman" w:hAnsi="Times New Roman"/>
          <w:sz w:val="24"/>
          <w:szCs w:val="24"/>
        </w:rPr>
        <w:t>,</w:t>
      </w:r>
      <w:r w:rsidRPr="00FB4848">
        <w:rPr>
          <w:rFonts w:ascii="Times New Roman" w:hAnsi="Times New Roman"/>
          <w:sz w:val="24"/>
          <w:szCs w:val="24"/>
        </w:rPr>
        <w:t xml:space="preserve"> объем добавленной стоимости сформировался на уровне </w:t>
      </w:r>
      <w:r>
        <w:rPr>
          <w:rFonts w:ascii="Times New Roman" w:hAnsi="Times New Roman"/>
          <w:sz w:val="24"/>
          <w:szCs w:val="24"/>
        </w:rPr>
        <w:t>430,3</w:t>
      </w:r>
      <w:r w:rsidRPr="00FB4848">
        <w:rPr>
          <w:rFonts w:ascii="Times New Roman" w:hAnsi="Times New Roman"/>
          <w:sz w:val="24"/>
          <w:szCs w:val="24"/>
        </w:rPr>
        <w:t xml:space="preserve"> млн руб. (</w:t>
      </w:r>
      <w:r>
        <w:rPr>
          <w:rFonts w:ascii="Times New Roman" w:hAnsi="Times New Roman"/>
          <w:sz w:val="24"/>
          <w:szCs w:val="24"/>
        </w:rPr>
        <w:t>+2,2</w:t>
      </w:r>
      <w:r w:rsidRPr="00FB4848">
        <w:rPr>
          <w:rFonts w:ascii="Times New Roman" w:hAnsi="Times New Roman"/>
          <w:sz w:val="24"/>
          <w:szCs w:val="24"/>
        </w:rPr>
        <w:t xml:space="preserve">%), </w:t>
      </w:r>
      <w:r>
        <w:rPr>
          <w:rFonts w:ascii="Times New Roman" w:hAnsi="Times New Roman"/>
          <w:sz w:val="24"/>
          <w:szCs w:val="24"/>
        </w:rPr>
        <w:t xml:space="preserve">но на фоне более активных темпов повышения результативности в других сегментах рынка, долевое участие вновь созданной добавленной стоимости финансовых организаций </w:t>
      </w:r>
      <w:r w:rsidRPr="00FB4848">
        <w:rPr>
          <w:rFonts w:ascii="Times New Roman" w:hAnsi="Times New Roman"/>
          <w:sz w:val="24"/>
          <w:szCs w:val="24"/>
        </w:rPr>
        <w:t>в совокупном показателе</w:t>
      </w:r>
      <w:r>
        <w:rPr>
          <w:rFonts w:ascii="Times New Roman" w:hAnsi="Times New Roman"/>
          <w:sz w:val="24"/>
          <w:szCs w:val="24"/>
        </w:rPr>
        <w:t xml:space="preserve"> сократил</w:t>
      </w:r>
      <w:r w:rsidR="002D1719">
        <w:rPr>
          <w:rFonts w:ascii="Times New Roman" w:hAnsi="Times New Roman"/>
          <w:sz w:val="24"/>
          <w:szCs w:val="24"/>
        </w:rPr>
        <w:t>о</w:t>
      </w:r>
      <w:r>
        <w:rPr>
          <w:rFonts w:ascii="Times New Roman" w:hAnsi="Times New Roman"/>
          <w:sz w:val="24"/>
          <w:szCs w:val="24"/>
        </w:rPr>
        <w:t>сь на 0,2 п.п. до 3,5%</w:t>
      </w:r>
      <w:r w:rsidRPr="00FB4848">
        <w:rPr>
          <w:rFonts w:ascii="Times New Roman" w:hAnsi="Times New Roman"/>
          <w:sz w:val="24"/>
          <w:szCs w:val="24"/>
        </w:rPr>
        <w:t>.</w:t>
      </w:r>
    </w:p>
    <w:p w:rsidR="008E6A1A" w:rsidRPr="001760AF" w:rsidRDefault="008E6A1A" w:rsidP="008E6A1A">
      <w:pPr>
        <w:pStyle w:val="a4"/>
        <w:jc w:val="right"/>
        <w:rPr>
          <w:b/>
          <w:i/>
        </w:rPr>
      </w:pPr>
      <w:r w:rsidRPr="001760AF">
        <w:rPr>
          <w:b/>
          <w:i/>
        </w:rPr>
        <w:t>Рисунок 5</w:t>
      </w:r>
    </w:p>
    <w:p w:rsidR="008E6A1A" w:rsidRDefault="008E6A1A" w:rsidP="008E6A1A">
      <w:pPr>
        <w:spacing w:after="0" w:line="240" w:lineRule="auto"/>
        <w:jc w:val="both"/>
        <w:rPr>
          <w:rFonts w:ascii="Times New Roman" w:hAnsi="Times New Roman"/>
          <w:sz w:val="24"/>
          <w:szCs w:val="24"/>
        </w:rPr>
      </w:pPr>
      <w:r w:rsidRPr="009E0A24">
        <w:rPr>
          <w:rFonts w:ascii="Times New Roman" w:hAnsi="Times New Roman"/>
          <w:noProof/>
          <w:sz w:val="24"/>
          <w:szCs w:val="24"/>
        </w:rPr>
        <w:drawing>
          <wp:inline distT="0" distB="0" distL="0" distR="0">
            <wp:extent cx="5943600" cy="2657475"/>
            <wp:effectExtent l="0" t="0" r="0" b="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6A1A" w:rsidRDefault="008E6A1A" w:rsidP="00982B2E">
      <w:pPr>
        <w:spacing w:after="0" w:line="240" w:lineRule="auto"/>
        <w:ind w:firstLine="709"/>
        <w:jc w:val="both"/>
        <w:rPr>
          <w:rFonts w:ascii="Times New Roman" w:hAnsi="Times New Roman"/>
          <w:sz w:val="24"/>
          <w:szCs w:val="24"/>
        </w:rPr>
      </w:pPr>
      <w:proofErr w:type="gramStart"/>
      <w:r w:rsidRPr="009A42FA">
        <w:rPr>
          <w:rFonts w:ascii="Times New Roman" w:hAnsi="Times New Roman"/>
          <w:sz w:val="24"/>
          <w:szCs w:val="24"/>
        </w:rPr>
        <w:t xml:space="preserve">Проведение политики жесткой экономии и оптимизации расходования бюджетных средств выразилось в ослаблении влияния </w:t>
      </w:r>
      <w:r w:rsidRPr="009A42FA">
        <w:rPr>
          <w:rFonts w:ascii="Times New Roman" w:hAnsi="Times New Roman"/>
          <w:b/>
          <w:sz w:val="24"/>
          <w:szCs w:val="24"/>
        </w:rPr>
        <w:t>нерыночного сектора</w:t>
      </w:r>
      <w:r w:rsidRPr="009A42FA">
        <w:rPr>
          <w:rFonts w:ascii="Times New Roman" w:hAnsi="Times New Roman"/>
          <w:sz w:val="24"/>
          <w:szCs w:val="24"/>
        </w:rPr>
        <w:t xml:space="preserve"> на общую динамику ВВП и </w:t>
      </w:r>
      <w:r>
        <w:rPr>
          <w:rFonts w:ascii="Times New Roman" w:hAnsi="Times New Roman"/>
          <w:sz w:val="24"/>
          <w:szCs w:val="24"/>
        </w:rPr>
        <w:t xml:space="preserve">предопределило </w:t>
      </w:r>
      <w:r w:rsidRPr="009A42FA">
        <w:rPr>
          <w:rFonts w:ascii="Times New Roman" w:hAnsi="Times New Roman"/>
          <w:sz w:val="24"/>
          <w:szCs w:val="24"/>
        </w:rPr>
        <w:t>уменьшени</w:t>
      </w:r>
      <w:r>
        <w:rPr>
          <w:rFonts w:ascii="Times New Roman" w:hAnsi="Times New Roman"/>
          <w:sz w:val="24"/>
          <w:szCs w:val="24"/>
        </w:rPr>
        <w:t>е</w:t>
      </w:r>
      <w:r w:rsidRPr="009A42FA">
        <w:rPr>
          <w:rFonts w:ascii="Times New Roman" w:hAnsi="Times New Roman"/>
          <w:sz w:val="24"/>
          <w:szCs w:val="24"/>
        </w:rPr>
        <w:t xml:space="preserve"> его доли как в структуре валового продукта на 3,1 п.п. до 27,5%, так и в ВДС сферы услуг – на 3,0 п.п. до 46,7%. В складывающихся условиях объем вновь созданной добавленной стоимости в секторе нерыночных услуг сократился</w:t>
      </w:r>
      <w:proofErr w:type="gramEnd"/>
      <w:r w:rsidRPr="009A42FA">
        <w:rPr>
          <w:rFonts w:ascii="Times New Roman" w:hAnsi="Times New Roman"/>
          <w:sz w:val="24"/>
          <w:szCs w:val="24"/>
        </w:rPr>
        <w:t xml:space="preserve"> н</w:t>
      </w:r>
      <w:r w:rsidR="001C1BD2">
        <w:rPr>
          <w:rFonts w:ascii="Times New Roman" w:hAnsi="Times New Roman"/>
          <w:sz w:val="24"/>
          <w:szCs w:val="24"/>
        </w:rPr>
        <w:t xml:space="preserve">а 3,3% до 3 378,5 млн руб. (рис. </w:t>
      </w:r>
      <w:r w:rsidRPr="009A42FA">
        <w:rPr>
          <w:rFonts w:ascii="Times New Roman" w:hAnsi="Times New Roman"/>
          <w:sz w:val="24"/>
          <w:szCs w:val="24"/>
        </w:rPr>
        <w:t>5).</w:t>
      </w:r>
    </w:p>
    <w:p w:rsidR="008E6A1A" w:rsidRDefault="008E6A1A" w:rsidP="00982B2E">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Услуги, оказываемые учреждениями </w:t>
      </w:r>
      <w:r w:rsidRPr="004A7009">
        <w:rPr>
          <w:rFonts w:ascii="Times New Roman" w:hAnsi="Times New Roman"/>
          <w:b/>
          <w:sz w:val="24"/>
          <w:szCs w:val="24"/>
        </w:rPr>
        <w:t>здравоохранени</w:t>
      </w:r>
      <w:r>
        <w:rPr>
          <w:rFonts w:ascii="Times New Roman" w:hAnsi="Times New Roman"/>
          <w:b/>
          <w:sz w:val="24"/>
          <w:szCs w:val="24"/>
        </w:rPr>
        <w:t>я</w:t>
      </w:r>
      <w:r w:rsidRPr="004A7009">
        <w:rPr>
          <w:rFonts w:ascii="Times New Roman" w:hAnsi="Times New Roman"/>
          <w:b/>
          <w:sz w:val="24"/>
          <w:szCs w:val="24"/>
        </w:rPr>
        <w:t>, социально</w:t>
      </w:r>
      <w:r>
        <w:rPr>
          <w:rFonts w:ascii="Times New Roman" w:hAnsi="Times New Roman"/>
          <w:b/>
          <w:sz w:val="24"/>
          <w:szCs w:val="24"/>
        </w:rPr>
        <w:t>го</w:t>
      </w:r>
      <w:r w:rsidRPr="004A7009">
        <w:rPr>
          <w:rFonts w:ascii="Times New Roman" w:hAnsi="Times New Roman"/>
          <w:b/>
          <w:sz w:val="24"/>
          <w:szCs w:val="24"/>
        </w:rPr>
        <w:t xml:space="preserve"> обеспечени</w:t>
      </w:r>
      <w:r>
        <w:rPr>
          <w:rFonts w:ascii="Times New Roman" w:hAnsi="Times New Roman"/>
          <w:b/>
          <w:sz w:val="24"/>
          <w:szCs w:val="24"/>
        </w:rPr>
        <w:t>я</w:t>
      </w:r>
      <w:r w:rsidRPr="004A7009">
        <w:rPr>
          <w:rFonts w:ascii="Times New Roman" w:hAnsi="Times New Roman"/>
          <w:b/>
          <w:sz w:val="24"/>
          <w:szCs w:val="24"/>
        </w:rPr>
        <w:t>, образовани</w:t>
      </w:r>
      <w:r>
        <w:rPr>
          <w:rFonts w:ascii="Times New Roman" w:hAnsi="Times New Roman"/>
          <w:b/>
          <w:sz w:val="24"/>
          <w:szCs w:val="24"/>
        </w:rPr>
        <w:t xml:space="preserve">я </w:t>
      </w:r>
      <w:r>
        <w:rPr>
          <w:rFonts w:ascii="Times New Roman" w:hAnsi="Times New Roman"/>
          <w:sz w:val="24"/>
          <w:szCs w:val="24"/>
        </w:rPr>
        <w:t>сформировали в совокупности 13,2%</w:t>
      </w:r>
      <w:r w:rsidRPr="004A7009">
        <w:rPr>
          <w:rFonts w:ascii="Times New Roman" w:hAnsi="Times New Roman"/>
          <w:sz w:val="24"/>
          <w:szCs w:val="24"/>
        </w:rPr>
        <w:t xml:space="preserve"> ВВП</w:t>
      </w:r>
      <w:r>
        <w:rPr>
          <w:rFonts w:ascii="Times New Roman" w:hAnsi="Times New Roman"/>
          <w:sz w:val="24"/>
          <w:szCs w:val="24"/>
        </w:rPr>
        <w:t xml:space="preserve"> и около </w:t>
      </w:r>
      <w:r w:rsidRPr="004A7009">
        <w:rPr>
          <w:rFonts w:ascii="Times New Roman" w:hAnsi="Times New Roman"/>
          <w:sz w:val="24"/>
          <w:szCs w:val="24"/>
        </w:rPr>
        <w:t>половины (</w:t>
      </w:r>
      <w:r>
        <w:rPr>
          <w:rFonts w:ascii="Times New Roman" w:hAnsi="Times New Roman"/>
          <w:sz w:val="24"/>
          <w:szCs w:val="24"/>
        </w:rPr>
        <w:t>48,1</w:t>
      </w:r>
      <w:r w:rsidRPr="004A7009">
        <w:rPr>
          <w:rFonts w:ascii="Times New Roman" w:hAnsi="Times New Roman"/>
          <w:sz w:val="24"/>
          <w:szCs w:val="24"/>
        </w:rPr>
        <w:t xml:space="preserve">%) валовой добавленной стоимости </w:t>
      </w:r>
      <w:r>
        <w:rPr>
          <w:rFonts w:ascii="Times New Roman" w:hAnsi="Times New Roman"/>
          <w:sz w:val="24"/>
          <w:szCs w:val="24"/>
        </w:rPr>
        <w:t xml:space="preserve">в </w:t>
      </w:r>
      <w:r w:rsidRPr="004A7009">
        <w:rPr>
          <w:rFonts w:ascii="Times New Roman" w:hAnsi="Times New Roman"/>
          <w:sz w:val="24"/>
          <w:szCs w:val="24"/>
        </w:rPr>
        <w:t>се</w:t>
      </w:r>
      <w:r>
        <w:rPr>
          <w:rFonts w:ascii="Times New Roman" w:hAnsi="Times New Roman"/>
          <w:sz w:val="24"/>
          <w:szCs w:val="24"/>
        </w:rPr>
        <w:t>гменте</w:t>
      </w:r>
      <w:r w:rsidRPr="004A7009">
        <w:rPr>
          <w:rFonts w:ascii="Times New Roman" w:hAnsi="Times New Roman"/>
          <w:sz w:val="24"/>
          <w:szCs w:val="24"/>
        </w:rPr>
        <w:t xml:space="preserve"> нерыночных услуг</w:t>
      </w:r>
      <w:r>
        <w:rPr>
          <w:rFonts w:ascii="Times New Roman" w:hAnsi="Times New Roman"/>
          <w:sz w:val="24"/>
          <w:szCs w:val="24"/>
        </w:rPr>
        <w:t>, при этом в абсолютном выражении их номинальная величина сократилась на 10,4%.</w:t>
      </w:r>
    </w:p>
    <w:p w:rsidR="008E6A1A" w:rsidRDefault="008E6A1A" w:rsidP="00982B2E">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 остальные </w:t>
      </w:r>
      <w:r w:rsidRPr="00DF35E9">
        <w:rPr>
          <w:rFonts w:ascii="Times New Roman" w:hAnsi="Times New Roman"/>
          <w:sz w:val="24"/>
          <w:szCs w:val="24"/>
        </w:rPr>
        <w:t xml:space="preserve">составляющие нерыночного сектора </w:t>
      </w:r>
      <w:r>
        <w:rPr>
          <w:rFonts w:ascii="Times New Roman" w:hAnsi="Times New Roman"/>
          <w:sz w:val="24"/>
          <w:szCs w:val="24"/>
        </w:rPr>
        <w:t xml:space="preserve">также </w:t>
      </w:r>
      <w:r w:rsidRPr="00DF35E9">
        <w:rPr>
          <w:rFonts w:ascii="Times New Roman" w:hAnsi="Times New Roman"/>
          <w:sz w:val="24"/>
          <w:szCs w:val="24"/>
        </w:rPr>
        <w:t xml:space="preserve">демонстрировали </w:t>
      </w:r>
      <w:r>
        <w:rPr>
          <w:rFonts w:ascii="Times New Roman" w:hAnsi="Times New Roman"/>
          <w:sz w:val="24"/>
          <w:szCs w:val="24"/>
        </w:rPr>
        <w:t>понижающий</w:t>
      </w:r>
      <w:r w:rsidRPr="00DF35E9">
        <w:rPr>
          <w:rFonts w:ascii="Times New Roman" w:hAnsi="Times New Roman"/>
          <w:sz w:val="24"/>
          <w:szCs w:val="24"/>
        </w:rPr>
        <w:t xml:space="preserve"> трен</w:t>
      </w:r>
      <w:r>
        <w:rPr>
          <w:rFonts w:ascii="Times New Roman" w:hAnsi="Times New Roman"/>
          <w:sz w:val="24"/>
          <w:szCs w:val="24"/>
        </w:rPr>
        <w:t>д результативности.</w:t>
      </w:r>
      <w:r w:rsidRPr="00DF35E9">
        <w:rPr>
          <w:rFonts w:ascii="Times New Roman" w:hAnsi="Times New Roman"/>
          <w:sz w:val="24"/>
          <w:szCs w:val="24"/>
        </w:rPr>
        <w:t xml:space="preserve"> </w:t>
      </w:r>
    </w:p>
    <w:p w:rsidR="008E6A1A" w:rsidRDefault="008E6A1A" w:rsidP="00982B2E">
      <w:pPr>
        <w:spacing w:after="0" w:line="240" w:lineRule="auto"/>
        <w:ind w:firstLine="709"/>
        <w:jc w:val="both"/>
        <w:rPr>
          <w:rFonts w:ascii="Times New Roman" w:hAnsi="Times New Roman"/>
          <w:sz w:val="24"/>
          <w:szCs w:val="24"/>
        </w:rPr>
      </w:pPr>
      <w:proofErr w:type="gramStart"/>
      <w:r w:rsidRPr="00EB2F56">
        <w:rPr>
          <w:rFonts w:ascii="Times New Roman" w:hAnsi="Times New Roman"/>
          <w:sz w:val="24"/>
          <w:szCs w:val="24"/>
        </w:rPr>
        <w:t xml:space="preserve">В результате </w:t>
      </w:r>
      <w:r>
        <w:rPr>
          <w:rFonts w:ascii="Times New Roman" w:hAnsi="Times New Roman"/>
          <w:sz w:val="24"/>
          <w:szCs w:val="24"/>
        </w:rPr>
        <w:t>расшир</w:t>
      </w:r>
      <w:r w:rsidRPr="00EB2F56">
        <w:rPr>
          <w:rFonts w:ascii="Times New Roman" w:hAnsi="Times New Roman"/>
          <w:sz w:val="24"/>
          <w:szCs w:val="24"/>
        </w:rPr>
        <w:t xml:space="preserve">ения поступлений по налогам на внешнюю торговлю и внешнеэкономические операции </w:t>
      </w:r>
      <w:r>
        <w:rPr>
          <w:rFonts w:ascii="Times New Roman" w:hAnsi="Times New Roman"/>
          <w:sz w:val="24"/>
          <w:szCs w:val="24"/>
        </w:rPr>
        <w:t>(+17,1</w:t>
      </w:r>
      <w:r w:rsidRPr="00EB2F56">
        <w:rPr>
          <w:rFonts w:ascii="Times New Roman" w:hAnsi="Times New Roman"/>
          <w:sz w:val="24"/>
          <w:szCs w:val="24"/>
        </w:rPr>
        <w:t>%) и акциз</w:t>
      </w:r>
      <w:r>
        <w:rPr>
          <w:rFonts w:ascii="Times New Roman" w:hAnsi="Times New Roman"/>
          <w:sz w:val="24"/>
          <w:szCs w:val="24"/>
        </w:rPr>
        <w:t>ных сборов</w:t>
      </w:r>
      <w:r w:rsidRPr="00EB2F56">
        <w:rPr>
          <w:rFonts w:ascii="Times New Roman" w:hAnsi="Times New Roman"/>
          <w:sz w:val="24"/>
          <w:szCs w:val="24"/>
        </w:rPr>
        <w:t xml:space="preserve"> (</w:t>
      </w:r>
      <w:r>
        <w:rPr>
          <w:rFonts w:ascii="Times New Roman" w:hAnsi="Times New Roman"/>
          <w:sz w:val="24"/>
          <w:szCs w:val="24"/>
        </w:rPr>
        <w:t>в 2,0 р.</w:t>
      </w:r>
      <w:r w:rsidRPr="00EB2F56">
        <w:rPr>
          <w:rFonts w:ascii="Times New Roman" w:hAnsi="Times New Roman"/>
          <w:sz w:val="24"/>
          <w:szCs w:val="24"/>
        </w:rPr>
        <w:t xml:space="preserve">) </w:t>
      </w:r>
      <w:r>
        <w:rPr>
          <w:rFonts w:ascii="Times New Roman" w:hAnsi="Times New Roman"/>
          <w:sz w:val="24"/>
          <w:szCs w:val="24"/>
        </w:rPr>
        <w:t xml:space="preserve">в совокупности с расширением </w:t>
      </w:r>
      <w:r w:rsidRPr="00EB2F56">
        <w:rPr>
          <w:rFonts w:ascii="Times New Roman" w:hAnsi="Times New Roman"/>
          <w:sz w:val="24"/>
          <w:szCs w:val="24"/>
        </w:rPr>
        <w:t xml:space="preserve">субсидирования государством товаров и услуг на </w:t>
      </w:r>
      <w:r>
        <w:rPr>
          <w:rFonts w:ascii="Times New Roman" w:hAnsi="Times New Roman"/>
          <w:sz w:val="24"/>
          <w:szCs w:val="24"/>
        </w:rPr>
        <w:t>26,5</w:t>
      </w:r>
      <w:r w:rsidRPr="00EB2F56">
        <w:rPr>
          <w:rFonts w:ascii="Times New Roman" w:hAnsi="Times New Roman"/>
          <w:sz w:val="24"/>
          <w:szCs w:val="24"/>
        </w:rPr>
        <w:t xml:space="preserve">%, объем доходов государства, суммируемый по статье </w:t>
      </w:r>
      <w:r w:rsidRPr="00EB2F56">
        <w:rPr>
          <w:rFonts w:ascii="Times New Roman" w:hAnsi="Times New Roman"/>
          <w:b/>
          <w:sz w:val="24"/>
          <w:szCs w:val="24"/>
        </w:rPr>
        <w:t xml:space="preserve">«чистые налоги на продукты и импорт» </w:t>
      </w:r>
      <w:r w:rsidRPr="00EB2F56">
        <w:rPr>
          <w:rFonts w:ascii="Times New Roman" w:hAnsi="Times New Roman"/>
          <w:sz w:val="24"/>
          <w:szCs w:val="24"/>
        </w:rPr>
        <w:t xml:space="preserve">(за вычетом </w:t>
      </w:r>
      <w:r w:rsidRPr="00EB2F56">
        <w:rPr>
          <w:rFonts w:ascii="Times New Roman" w:hAnsi="Times New Roman"/>
          <w:sz w:val="24"/>
          <w:szCs w:val="24"/>
        </w:rPr>
        <w:lastRenderedPageBreak/>
        <w:t>субсидий)</w:t>
      </w:r>
      <w:r>
        <w:rPr>
          <w:rFonts w:ascii="Times New Roman" w:hAnsi="Times New Roman"/>
          <w:sz w:val="24"/>
          <w:szCs w:val="24"/>
        </w:rPr>
        <w:t>, по итогам 2017 года сложился в размере 29,0 млн руб. против отрицательного значения годом раннее</w:t>
      </w:r>
      <w:proofErr w:type="gramEnd"/>
      <w:r>
        <w:rPr>
          <w:rFonts w:ascii="Times New Roman" w:hAnsi="Times New Roman"/>
          <w:sz w:val="24"/>
          <w:szCs w:val="24"/>
        </w:rPr>
        <w:t xml:space="preserve"> (-</w:t>
      </w:r>
      <w:proofErr w:type="gramStart"/>
      <w:r>
        <w:rPr>
          <w:rFonts w:ascii="Times New Roman" w:hAnsi="Times New Roman"/>
          <w:sz w:val="24"/>
          <w:szCs w:val="24"/>
        </w:rPr>
        <w:t>4,7 млн руб.), обеспечив 0,2% долевого участия в совокупном показателе.</w:t>
      </w:r>
      <w:proofErr w:type="gramEnd"/>
    </w:p>
    <w:p w:rsidR="008E6A1A" w:rsidRDefault="008E6A1A" w:rsidP="00982B2E">
      <w:pPr>
        <w:spacing w:after="0" w:line="240" w:lineRule="auto"/>
        <w:ind w:firstLine="709"/>
        <w:jc w:val="both"/>
        <w:rPr>
          <w:rFonts w:ascii="Times New Roman" w:hAnsi="Times New Roman"/>
          <w:sz w:val="24"/>
          <w:szCs w:val="24"/>
        </w:rPr>
      </w:pPr>
    </w:p>
    <w:p w:rsidR="008E6A1A" w:rsidRDefault="008E6A1A" w:rsidP="00982B2E">
      <w:pPr>
        <w:spacing w:after="0" w:line="240" w:lineRule="auto"/>
        <w:ind w:firstLine="709"/>
        <w:jc w:val="both"/>
        <w:rPr>
          <w:rFonts w:ascii="Times New Roman" w:hAnsi="Times New Roman"/>
          <w:sz w:val="24"/>
          <w:szCs w:val="24"/>
        </w:rPr>
      </w:pPr>
      <w:proofErr w:type="gramStart"/>
      <w:r w:rsidRPr="00CD0EB3">
        <w:rPr>
          <w:rFonts w:ascii="Times New Roman" w:hAnsi="Times New Roman"/>
          <w:sz w:val="24"/>
          <w:szCs w:val="24"/>
        </w:rPr>
        <w:t xml:space="preserve">Таким образом, результативность экономики в 2017 году определялась </w:t>
      </w:r>
      <w:r>
        <w:rPr>
          <w:rFonts w:ascii="Times New Roman" w:hAnsi="Times New Roman"/>
          <w:sz w:val="24"/>
          <w:szCs w:val="24"/>
        </w:rPr>
        <w:t xml:space="preserve">реализацией мер по налаживанию </w:t>
      </w:r>
      <w:r w:rsidRPr="00E25215">
        <w:rPr>
          <w:rFonts w:ascii="Times New Roman" w:hAnsi="Times New Roman"/>
          <w:sz w:val="24"/>
          <w:szCs w:val="24"/>
        </w:rPr>
        <w:t xml:space="preserve">работы базовых отраслей индустрии </w:t>
      </w:r>
      <w:r>
        <w:rPr>
          <w:rFonts w:ascii="Times New Roman" w:hAnsi="Times New Roman"/>
          <w:sz w:val="24"/>
          <w:szCs w:val="24"/>
        </w:rPr>
        <w:t xml:space="preserve">посредством организации качественного менеджмента на государственных предприятиях, </w:t>
      </w:r>
      <w:r w:rsidRPr="00E25215">
        <w:rPr>
          <w:rFonts w:ascii="Times New Roman" w:hAnsi="Times New Roman"/>
          <w:sz w:val="24"/>
          <w:szCs w:val="24"/>
        </w:rPr>
        <w:t>создани</w:t>
      </w:r>
      <w:r>
        <w:rPr>
          <w:rFonts w:ascii="Times New Roman" w:hAnsi="Times New Roman"/>
          <w:sz w:val="24"/>
          <w:szCs w:val="24"/>
        </w:rPr>
        <w:t>ем</w:t>
      </w:r>
      <w:r w:rsidRPr="00E25215">
        <w:rPr>
          <w:rFonts w:ascii="Times New Roman" w:hAnsi="Times New Roman"/>
          <w:sz w:val="24"/>
          <w:szCs w:val="24"/>
        </w:rPr>
        <w:t xml:space="preserve"> более </w:t>
      </w:r>
      <w:r>
        <w:rPr>
          <w:rFonts w:ascii="Times New Roman" w:hAnsi="Times New Roman"/>
          <w:sz w:val="24"/>
          <w:szCs w:val="24"/>
        </w:rPr>
        <w:t>привлекательных</w:t>
      </w:r>
      <w:r w:rsidRPr="00E25215">
        <w:rPr>
          <w:rFonts w:ascii="Times New Roman" w:hAnsi="Times New Roman"/>
          <w:sz w:val="24"/>
          <w:szCs w:val="24"/>
        </w:rPr>
        <w:t xml:space="preserve"> конъюнктурных условий</w:t>
      </w:r>
      <w:r>
        <w:rPr>
          <w:rFonts w:ascii="Times New Roman" w:hAnsi="Times New Roman"/>
          <w:sz w:val="24"/>
          <w:szCs w:val="24"/>
        </w:rPr>
        <w:t xml:space="preserve">, на фоне </w:t>
      </w:r>
      <w:r w:rsidRPr="00E25215">
        <w:rPr>
          <w:rFonts w:ascii="Times New Roman" w:hAnsi="Times New Roman"/>
          <w:sz w:val="24"/>
          <w:szCs w:val="24"/>
        </w:rPr>
        <w:t>реализуем</w:t>
      </w:r>
      <w:r>
        <w:rPr>
          <w:rFonts w:ascii="Times New Roman" w:hAnsi="Times New Roman"/>
          <w:sz w:val="24"/>
          <w:szCs w:val="24"/>
        </w:rPr>
        <w:t>ых</w:t>
      </w:r>
      <w:r w:rsidRPr="00E25215">
        <w:rPr>
          <w:rFonts w:ascii="Times New Roman" w:hAnsi="Times New Roman"/>
          <w:sz w:val="24"/>
          <w:szCs w:val="24"/>
        </w:rPr>
        <w:t xml:space="preserve"> на государственном уровне </w:t>
      </w:r>
      <w:r>
        <w:rPr>
          <w:rFonts w:ascii="Times New Roman" w:hAnsi="Times New Roman"/>
          <w:sz w:val="24"/>
          <w:szCs w:val="24"/>
        </w:rPr>
        <w:t>действий</w:t>
      </w:r>
      <w:r w:rsidRPr="00E25215">
        <w:rPr>
          <w:rFonts w:ascii="Times New Roman" w:hAnsi="Times New Roman"/>
          <w:sz w:val="24"/>
          <w:szCs w:val="24"/>
        </w:rPr>
        <w:t xml:space="preserve"> по поддержке отечественного бизнеса и оздоровлению банковской системы, </w:t>
      </w:r>
      <w:r>
        <w:rPr>
          <w:rFonts w:ascii="Times New Roman" w:hAnsi="Times New Roman"/>
          <w:sz w:val="24"/>
          <w:szCs w:val="24"/>
        </w:rPr>
        <w:t xml:space="preserve">что в условиях стабилизации ситуации на валютном рынке и </w:t>
      </w:r>
      <w:r w:rsidRPr="00E25215">
        <w:rPr>
          <w:rFonts w:ascii="Times New Roman" w:hAnsi="Times New Roman"/>
          <w:sz w:val="24"/>
          <w:szCs w:val="24"/>
        </w:rPr>
        <w:t>в совокупности с фиксируемыми положительными тенденциями на мировых</w:t>
      </w:r>
      <w:proofErr w:type="gramEnd"/>
      <w:r w:rsidRPr="00E25215">
        <w:rPr>
          <w:rFonts w:ascii="Times New Roman" w:hAnsi="Times New Roman"/>
          <w:sz w:val="24"/>
          <w:szCs w:val="24"/>
        </w:rPr>
        <w:t xml:space="preserve"> товарно-сырьевых </w:t>
      </w:r>
      <w:proofErr w:type="gramStart"/>
      <w:r w:rsidRPr="00E25215">
        <w:rPr>
          <w:rFonts w:ascii="Times New Roman" w:hAnsi="Times New Roman"/>
          <w:sz w:val="24"/>
          <w:szCs w:val="24"/>
        </w:rPr>
        <w:t>рынках</w:t>
      </w:r>
      <w:proofErr w:type="gramEnd"/>
      <w:r>
        <w:rPr>
          <w:rFonts w:ascii="Times New Roman" w:hAnsi="Times New Roman"/>
          <w:sz w:val="24"/>
          <w:szCs w:val="24"/>
        </w:rPr>
        <w:t>,</w:t>
      </w:r>
      <w:r w:rsidRPr="00E25215">
        <w:rPr>
          <w:rFonts w:ascii="Times New Roman" w:hAnsi="Times New Roman"/>
          <w:sz w:val="24"/>
          <w:szCs w:val="24"/>
        </w:rPr>
        <w:t xml:space="preserve"> </w:t>
      </w:r>
      <w:r>
        <w:rPr>
          <w:rFonts w:ascii="Times New Roman" w:hAnsi="Times New Roman"/>
          <w:sz w:val="24"/>
          <w:szCs w:val="24"/>
        </w:rPr>
        <w:t xml:space="preserve">создавало предпосылки для формирования стабильной </w:t>
      </w:r>
      <w:r w:rsidRPr="00CD0EB3">
        <w:rPr>
          <w:rFonts w:ascii="Times New Roman" w:hAnsi="Times New Roman"/>
          <w:sz w:val="24"/>
          <w:szCs w:val="24"/>
        </w:rPr>
        <w:t>хозяйственн</w:t>
      </w:r>
      <w:r>
        <w:rPr>
          <w:rFonts w:ascii="Times New Roman" w:hAnsi="Times New Roman"/>
          <w:sz w:val="24"/>
          <w:szCs w:val="24"/>
        </w:rPr>
        <w:t>ой</w:t>
      </w:r>
      <w:r w:rsidRPr="00CD0EB3">
        <w:rPr>
          <w:rFonts w:ascii="Times New Roman" w:hAnsi="Times New Roman"/>
          <w:sz w:val="24"/>
          <w:szCs w:val="24"/>
        </w:rPr>
        <w:t xml:space="preserve"> деятельност</w:t>
      </w:r>
      <w:r>
        <w:rPr>
          <w:rFonts w:ascii="Times New Roman" w:hAnsi="Times New Roman"/>
          <w:sz w:val="24"/>
          <w:szCs w:val="24"/>
        </w:rPr>
        <w:t>и</w:t>
      </w:r>
      <w:r w:rsidRPr="00CD0EB3">
        <w:rPr>
          <w:rFonts w:ascii="Times New Roman" w:hAnsi="Times New Roman"/>
          <w:sz w:val="24"/>
          <w:szCs w:val="24"/>
        </w:rPr>
        <w:t xml:space="preserve"> крупных промышленных предприятий, а также наращивани</w:t>
      </w:r>
      <w:r>
        <w:rPr>
          <w:rFonts w:ascii="Times New Roman" w:hAnsi="Times New Roman"/>
          <w:sz w:val="24"/>
          <w:szCs w:val="24"/>
        </w:rPr>
        <w:t>я</w:t>
      </w:r>
      <w:r w:rsidRPr="00CD0EB3">
        <w:rPr>
          <w:rFonts w:ascii="Times New Roman" w:hAnsi="Times New Roman"/>
          <w:sz w:val="24"/>
          <w:szCs w:val="24"/>
        </w:rPr>
        <w:t xml:space="preserve"> выпуска в сельском хозяйстве</w:t>
      </w:r>
      <w:r>
        <w:rPr>
          <w:rFonts w:ascii="Times New Roman" w:hAnsi="Times New Roman"/>
          <w:sz w:val="24"/>
          <w:szCs w:val="24"/>
        </w:rPr>
        <w:t xml:space="preserve"> и расширения потребительского спроса в сфере услуг. </w:t>
      </w:r>
    </w:p>
    <w:p w:rsidR="00864AD0" w:rsidRDefault="00864AD0" w:rsidP="00335844">
      <w:pPr>
        <w:spacing w:after="0" w:line="240" w:lineRule="auto"/>
        <w:ind w:firstLine="720"/>
        <w:jc w:val="both"/>
        <w:rPr>
          <w:rFonts w:ascii="Times New Roman" w:hAnsi="Times New Roman"/>
          <w:b/>
          <w:sz w:val="24"/>
          <w:szCs w:val="24"/>
        </w:rPr>
      </w:pPr>
    </w:p>
    <w:p w:rsidR="00146BB8" w:rsidRDefault="00146BB8" w:rsidP="00982B2E">
      <w:pPr>
        <w:spacing w:after="0" w:line="240" w:lineRule="auto"/>
        <w:ind w:firstLine="709"/>
        <w:jc w:val="both"/>
        <w:rPr>
          <w:rFonts w:ascii="Times New Roman" w:hAnsi="Times New Roman"/>
          <w:b/>
          <w:sz w:val="24"/>
          <w:szCs w:val="24"/>
        </w:rPr>
      </w:pPr>
      <w:r w:rsidRPr="0080737A">
        <w:rPr>
          <w:rFonts w:ascii="Times New Roman" w:hAnsi="Times New Roman"/>
          <w:b/>
          <w:sz w:val="24"/>
          <w:szCs w:val="24"/>
        </w:rPr>
        <w:t>Состояние реального сектора экономики</w:t>
      </w:r>
    </w:p>
    <w:p w:rsidR="00146BB8" w:rsidRDefault="00146BB8" w:rsidP="00982B2E">
      <w:pPr>
        <w:spacing w:after="0" w:line="240" w:lineRule="auto"/>
        <w:ind w:firstLine="709"/>
        <w:jc w:val="both"/>
        <w:rPr>
          <w:rFonts w:ascii="Times New Roman" w:hAnsi="Times New Roman"/>
          <w:b/>
          <w:sz w:val="24"/>
          <w:szCs w:val="24"/>
        </w:rPr>
      </w:pPr>
    </w:p>
    <w:p w:rsidR="00EE2F18" w:rsidRPr="00AE3002" w:rsidRDefault="00EE2F18" w:rsidP="00982B2E">
      <w:pPr>
        <w:widowControl w:val="0"/>
        <w:autoSpaceDE w:val="0"/>
        <w:autoSpaceDN w:val="0"/>
        <w:adjustRightInd w:val="0"/>
        <w:spacing w:after="0" w:line="240" w:lineRule="auto"/>
        <w:ind w:firstLine="709"/>
        <w:jc w:val="both"/>
        <w:rPr>
          <w:rFonts w:ascii="Times New Roman" w:hAnsi="Times New Roman"/>
          <w:b/>
          <w:sz w:val="24"/>
          <w:szCs w:val="24"/>
        </w:rPr>
      </w:pPr>
      <w:r w:rsidRPr="007E5212">
        <w:rPr>
          <w:rFonts w:ascii="Times New Roman" w:hAnsi="Times New Roman"/>
          <w:b/>
          <w:sz w:val="24"/>
          <w:szCs w:val="24"/>
        </w:rPr>
        <w:t>Промышленность</w:t>
      </w:r>
    </w:p>
    <w:p w:rsidR="00EE2F18" w:rsidRPr="00AE3002" w:rsidRDefault="00EE2F18" w:rsidP="00982B2E">
      <w:pPr>
        <w:widowControl w:val="0"/>
        <w:autoSpaceDE w:val="0"/>
        <w:autoSpaceDN w:val="0"/>
        <w:adjustRightInd w:val="0"/>
        <w:spacing w:after="0" w:line="240" w:lineRule="auto"/>
        <w:ind w:firstLine="709"/>
        <w:jc w:val="both"/>
        <w:rPr>
          <w:rFonts w:ascii="Times New Roman" w:hAnsi="Times New Roman"/>
          <w:b/>
          <w:sz w:val="24"/>
          <w:szCs w:val="24"/>
        </w:rPr>
      </w:pPr>
    </w:p>
    <w:p w:rsidR="00EE2F18" w:rsidRPr="00837D85" w:rsidRDefault="00EE2F18" w:rsidP="00982B2E">
      <w:pPr>
        <w:spacing w:after="0" w:line="240" w:lineRule="auto"/>
        <w:ind w:firstLine="709"/>
        <w:jc w:val="both"/>
        <w:rPr>
          <w:rFonts w:ascii="Times New Roman" w:hAnsi="Times New Roman"/>
          <w:sz w:val="24"/>
          <w:szCs w:val="24"/>
        </w:rPr>
      </w:pPr>
      <w:proofErr w:type="gramStart"/>
      <w:r w:rsidRPr="00837D85">
        <w:rPr>
          <w:rFonts w:ascii="Times New Roman" w:hAnsi="Times New Roman"/>
          <w:sz w:val="24"/>
          <w:szCs w:val="24"/>
        </w:rPr>
        <w:t>Учитывая масштабы кризисных явлений и принимая во внимание арсенал имеющихся в наличии рычагов воздействия, для обеспечения макроэкономической стабильности был принят ряд первоочередных мер по активизации работы базовых отраслей индустрии посредством организации качественного менеджмента на государственных предприятиях, улучшения конъюнктурных условий путём реализации на государственном уровне действий по поддержке отечественного бизнеса, преодолению валютного кризиса посредством реализации официальной девальвации приднестровского рубля, оздоровлению банковской</w:t>
      </w:r>
      <w:proofErr w:type="gramEnd"/>
      <w:r w:rsidRPr="00837D85">
        <w:rPr>
          <w:rFonts w:ascii="Times New Roman" w:hAnsi="Times New Roman"/>
          <w:sz w:val="24"/>
          <w:szCs w:val="24"/>
        </w:rPr>
        <w:t xml:space="preserve"> системы.</w:t>
      </w:r>
    </w:p>
    <w:p w:rsidR="00EE2F18" w:rsidRDefault="00EE2F18" w:rsidP="00982B2E">
      <w:pPr>
        <w:spacing w:after="0" w:line="240" w:lineRule="auto"/>
        <w:ind w:firstLine="709"/>
        <w:jc w:val="both"/>
        <w:rPr>
          <w:rFonts w:ascii="Times New Roman" w:hAnsi="Times New Roman"/>
          <w:sz w:val="24"/>
          <w:szCs w:val="24"/>
        </w:rPr>
      </w:pPr>
      <w:r w:rsidRPr="00837D85">
        <w:rPr>
          <w:rFonts w:ascii="Times New Roman" w:hAnsi="Times New Roman"/>
          <w:sz w:val="24"/>
          <w:szCs w:val="24"/>
        </w:rPr>
        <w:t>В связи с чем, следует отметить, что по итогам июля-декабря результативность всех отраслей промышленности существенно превысила показатели, сформированные в первом полугодии 2017 года, диапазон приращения варьировал от 19,</w:t>
      </w:r>
      <w:r>
        <w:rPr>
          <w:rFonts w:ascii="Times New Roman" w:hAnsi="Times New Roman"/>
          <w:sz w:val="24"/>
          <w:szCs w:val="24"/>
        </w:rPr>
        <w:t>8</w:t>
      </w:r>
      <w:r w:rsidRPr="00837D85">
        <w:rPr>
          <w:rFonts w:ascii="Times New Roman" w:hAnsi="Times New Roman"/>
          <w:sz w:val="24"/>
          <w:szCs w:val="24"/>
        </w:rPr>
        <w:t>% в электроэнергетике до порядка 3 раз в черной металлургии.</w:t>
      </w:r>
    </w:p>
    <w:p w:rsidR="00EE2F18" w:rsidRPr="00D06E64" w:rsidRDefault="00EE2F18" w:rsidP="00982B2E">
      <w:pPr>
        <w:autoSpaceDE w:val="0"/>
        <w:autoSpaceDN w:val="0"/>
        <w:adjustRightInd w:val="0"/>
        <w:spacing w:after="0" w:line="240" w:lineRule="auto"/>
        <w:ind w:firstLine="709"/>
        <w:jc w:val="both"/>
        <w:rPr>
          <w:rFonts w:ascii="Times New Roman" w:hAnsi="Times New Roman"/>
          <w:snapToGrid w:val="0"/>
          <w:sz w:val="24"/>
          <w:szCs w:val="24"/>
        </w:rPr>
      </w:pPr>
      <w:r w:rsidRPr="004C521D">
        <w:rPr>
          <w:rFonts w:ascii="Times New Roman" w:hAnsi="Times New Roman"/>
          <w:snapToGrid w:val="0"/>
          <w:sz w:val="24"/>
          <w:szCs w:val="24"/>
        </w:rPr>
        <w:t xml:space="preserve">В целом в индустриальном комплексе республики, с учетом </w:t>
      </w:r>
      <w:proofErr w:type="gramStart"/>
      <w:r w:rsidRPr="004C521D">
        <w:rPr>
          <w:rFonts w:ascii="Times New Roman" w:hAnsi="Times New Roman"/>
          <w:snapToGrid w:val="0"/>
          <w:sz w:val="24"/>
          <w:szCs w:val="24"/>
        </w:rPr>
        <w:t>оценки объемов производства субъектов малого предпринимательства</w:t>
      </w:r>
      <w:proofErr w:type="gramEnd"/>
      <w:r w:rsidRPr="004C521D">
        <w:rPr>
          <w:rFonts w:ascii="Times New Roman" w:hAnsi="Times New Roman"/>
          <w:snapToGrid w:val="0"/>
          <w:sz w:val="24"/>
          <w:szCs w:val="24"/>
        </w:rPr>
        <w:t xml:space="preserve"> в 2017 году было произведено </w:t>
      </w:r>
      <w:r w:rsidRPr="00D06E64">
        <w:rPr>
          <w:rFonts w:ascii="Times New Roman" w:hAnsi="Times New Roman"/>
          <w:snapToGrid w:val="0"/>
          <w:sz w:val="24"/>
          <w:szCs w:val="24"/>
        </w:rPr>
        <w:t>продукции на 10 582,4 млн руб., или 123,6% к уровню предыдущего года.</w:t>
      </w:r>
    </w:p>
    <w:p w:rsidR="00EE2F18" w:rsidRPr="00AE3002" w:rsidRDefault="00EE2F18" w:rsidP="00982B2E">
      <w:pPr>
        <w:autoSpaceDE w:val="0"/>
        <w:autoSpaceDN w:val="0"/>
        <w:adjustRightInd w:val="0"/>
        <w:spacing w:after="0" w:line="240" w:lineRule="auto"/>
        <w:ind w:firstLine="709"/>
        <w:jc w:val="both"/>
        <w:rPr>
          <w:rFonts w:ascii="Times New Roman" w:hAnsi="Times New Roman"/>
          <w:snapToGrid w:val="0"/>
          <w:sz w:val="24"/>
          <w:szCs w:val="24"/>
        </w:rPr>
      </w:pPr>
      <w:r w:rsidRPr="00D06E64">
        <w:rPr>
          <w:rFonts w:ascii="Times New Roman" w:hAnsi="Times New Roman"/>
          <w:snapToGrid w:val="0"/>
          <w:sz w:val="24"/>
          <w:szCs w:val="24"/>
        </w:rPr>
        <w:t>Индекс физического объема важнейших видов промышленной продукции в результате увеличения производства проката черных металлов (в 2,0 раза), проводов и шнуров осветительных (на 43,6%), цемента</w:t>
      </w:r>
      <w:r>
        <w:rPr>
          <w:rFonts w:ascii="Times New Roman" w:hAnsi="Times New Roman"/>
          <w:snapToGrid w:val="0"/>
          <w:sz w:val="24"/>
          <w:szCs w:val="24"/>
        </w:rPr>
        <w:t xml:space="preserve"> (на 6,0%) </w:t>
      </w:r>
      <w:r w:rsidRPr="004C521D">
        <w:rPr>
          <w:rFonts w:ascii="Times New Roman" w:hAnsi="Times New Roman"/>
          <w:snapToGrid w:val="0"/>
          <w:sz w:val="24"/>
          <w:szCs w:val="24"/>
        </w:rPr>
        <w:t>составил 114,9% к уровню 2016 года.</w:t>
      </w:r>
    </w:p>
    <w:p w:rsidR="00EE2F18" w:rsidRPr="008C274B" w:rsidRDefault="00EE2F18" w:rsidP="00982B2E">
      <w:pPr>
        <w:spacing w:after="0" w:line="240" w:lineRule="auto"/>
        <w:ind w:firstLine="709"/>
        <w:jc w:val="both"/>
        <w:rPr>
          <w:rFonts w:ascii="Times New Roman" w:hAnsi="Times New Roman"/>
          <w:snapToGrid w:val="0"/>
          <w:sz w:val="24"/>
          <w:szCs w:val="24"/>
        </w:rPr>
      </w:pPr>
      <w:proofErr w:type="gramStart"/>
      <w:r w:rsidRPr="000A70D1">
        <w:rPr>
          <w:rFonts w:ascii="Times New Roman" w:hAnsi="Times New Roman"/>
          <w:sz w:val="24"/>
          <w:szCs w:val="24"/>
        </w:rPr>
        <w:t>Объём п</w:t>
      </w:r>
      <w:r w:rsidRPr="000A70D1">
        <w:rPr>
          <w:rFonts w:ascii="Times New Roman" w:hAnsi="Times New Roman"/>
          <w:snapToGrid w:val="0"/>
          <w:sz w:val="24"/>
          <w:szCs w:val="24"/>
        </w:rPr>
        <w:t xml:space="preserve">ромышленного производства </w:t>
      </w:r>
      <w:r w:rsidRPr="000A70D1">
        <w:rPr>
          <w:rFonts w:ascii="Times New Roman" w:hAnsi="Times New Roman"/>
          <w:sz w:val="24"/>
          <w:szCs w:val="24"/>
        </w:rPr>
        <w:t>по итогам 2017 года (без учёта субъектов малого предпринимательства) составил 9 97</w:t>
      </w:r>
      <w:r>
        <w:rPr>
          <w:rFonts w:ascii="Times New Roman" w:hAnsi="Times New Roman"/>
          <w:sz w:val="24"/>
          <w:szCs w:val="24"/>
        </w:rPr>
        <w:t>1</w:t>
      </w:r>
      <w:r w:rsidRPr="000A70D1">
        <w:rPr>
          <w:rFonts w:ascii="Times New Roman" w:hAnsi="Times New Roman"/>
          <w:sz w:val="24"/>
          <w:szCs w:val="24"/>
        </w:rPr>
        <w:t>,</w:t>
      </w:r>
      <w:r>
        <w:rPr>
          <w:rFonts w:ascii="Times New Roman" w:hAnsi="Times New Roman"/>
          <w:sz w:val="24"/>
          <w:szCs w:val="24"/>
        </w:rPr>
        <w:t>5</w:t>
      </w:r>
      <w:r w:rsidRPr="000A70D1">
        <w:rPr>
          <w:rFonts w:ascii="Times New Roman" w:hAnsi="Times New Roman"/>
          <w:sz w:val="24"/>
          <w:szCs w:val="24"/>
        </w:rPr>
        <w:t xml:space="preserve"> млн руб., увеличившись </w:t>
      </w:r>
      <w:r w:rsidRPr="000A70D1">
        <w:rPr>
          <w:rFonts w:ascii="Times New Roman" w:hAnsi="Times New Roman"/>
          <w:snapToGrid w:val="0"/>
          <w:sz w:val="24"/>
          <w:szCs w:val="24"/>
        </w:rPr>
        <w:t xml:space="preserve">в </w:t>
      </w:r>
      <w:r w:rsidRPr="000A70D1">
        <w:rPr>
          <w:rFonts w:ascii="Times New Roman" w:hAnsi="Times New Roman"/>
          <w:sz w:val="24"/>
          <w:szCs w:val="24"/>
        </w:rPr>
        <w:t>текущих ценах по отношению к базовому показателю предыдущего года на 23,6%, в сопоставимой оценке – на 14,9%. В долларовом эквиваленте объём произведенной продукции сложился на уровне 74</w:t>
      </w:r>
      <w:r>
        <w:rPr>
          <w:rFonts w:ascii="Times New Roman" w:hAnsi="Times New Roman"/>
          <w:sz w:val="24"/>
          <w:szCs w:val="24"/>
        </w:rPr>
        <w:t>6</w:t>
      </w:r>
      <w:r w:rsidRPr="000A70D1">
        <w:rPr>
          <w:rFonts w:ascii="Times New Roman" w:hAnsi="Times New Roman"/>
          <w:sz w:val="24"/>
          <w:szCs w:val="24"/>
        </w:rPr>
        <w:t>,</w:t>
      </w:r>
      <w:r>
        <w:rPr>
          <w:rFonts w:ascii="Times New Roman" w:hAnsi="Times New Roman"/>
          <w:sz w:val="24"/>
          <w:szCs w:val="24"/>
        </w:rPr>
        <w:t>9</w:t>
      </w:r>
      <w:r w:rsidRPr="000A70D1">
        <w:rPr>
          <w:rFonts w:ascii="Times New Roman" w:hAnsi="Times New Roman"/>
          <w:sz w:val="24"/>
          <w:szCs w:val="24"/>
        </w:rPr>
        <w:t xml:space="preserve"> млн долл., что на 4,3% выше показателя 2016 года.</w:t>
      </w:r>
      <w:proofErr w:type="gramEnd"/>
      <w:r w:rsidRPr="000A70D1">
        <w:rPr>
          <w:rFonts w:ascii="Times New Roman" w:hAnsi="Times New Roman"/>
          <w:sz w:val="24"/>
          <w:szCs w:val="24"/>
        </w:rPr>
        <w:t xml:space="preserve"> При этом</w:t>
      </w:r>
      <w:proofErr w:type="gramStart"/>
      <w:r w:rsidRPr="000A70D1">
        <w:rPr>
          <w:rFonts w:ascii="Times New Roman" w:hAnsi="Times New Roman"/>
          <w:sz w:val="24"/>
          <w:szCs w:val="24"/>
        </w:rPr>
        <w:t>,</w:t>
      </w:r>
      <w:proofErr w:type="gramEnd"/>
      <w:r w:rsidRPr="000A70D1">
        <w:rPr>
          <w:rFonts w:ascii="Times New Roman" w:hAnsi="Times New Roman"/>
          <w:sz w:val="24"/>
          <w:szCs w:val="24"/>
        </w:rPr>
        <w:t xml:space="preserve"> </w:t>
      </w:r>
      <w:r w:rsidRPr="000A70D1">
        <w:rPr>
          <w:rFonts w:ascii="Times New Roman" w:hAnsi="Times New Roman"/>
          <w:snapToGrid w:val="0"/>
          <w:sz w:val="24"/>
          <w:szCs w:val="24"/>
        </w:rPr>
        <w:t xml:space="preserve">без учёта параметров </w:t>
      </w:r>
      <w:r w:rsidRPr="000A70D1">
        <w:rPr>
          <w:rFonts w:ascii="Times New Roman" w:hAnsi="Times New Roman"/>
          <w:sz w:val="24"/>
          <w:szCs w:val="24"/>
        </w:rPr>
        <w:t>промышленного производства ведущих предприятий энергетического комплекса, товарный выпуск в текущих ценах вырос на 52,</w:t>
      </w:r>
      <w:r>
        <w:rPr>
          <w:rFonts w:ascii="Times New Roman" w:hAnsi="Times New Roman"/>
          <w:sz w:val="24"/>
          <w:szCs w:val="24"/>
        </w:rPr>
        <w:t>6</w:t>
      </w:r>
      <w:r w:rsidRPr="000A70D1">
        <w:rPr>
          <w:rFonts w:ascii="Times New Roman" w:hAnsi="Times New Roman"/>
          <w:sz w:val="24"/>
          <w:szCs w:val="24"/>
        </w:rPr>
        <w:t>%, в сопоставимых – на 34,0% и в абсолютном выражении достиг 8 25</w:t>
      </w:r>
      <w:r>
        <w:rPr>
          <w:rFonts w:ascii="Times New Roman" w:hAnsi="Times New Roman"/>
          <w:sz w:val="24"/>
          <w:szCs w:val="24"/>
        </w:rPr>
        <w:t>3</w:t>
      </w:r>
      <w:r w:rsidRPr="000A70D1">
        <w:rPr>
          <w:rFonts w:ascii="Times New Roman" w:hAnsi="Times New Roman"/>
          <w:sz w:val="24"/>
          <w:szCs w:val="24"/>
        </w:rPr>
        <w:t>,</w:t>
      </w:r>
      <w:r>
        <w:rPr>
          <w:rFonts w:ascii="Times New Roman" w:hAnsi="Times New Roman"/>
          <w:sz w:val="24"/>
          <w:szCs w:val="24"/>
        </w:rPr>
        <w:t>2</w:t>
      </w:r>
      <w:r w:rsidRPr="000A70D1">
        <w:rPr>
          <w:rFonts w:ascii="Times New Roman" w:hAnsi="Times New Roman"/>
          <w:sz w:val="24"/>
          <w:szCs w:val="24"/>
        </w:rPr>
        <w:t xml:space="preserve"> млн руб.</w:t>
      </w:r>
      <w:r>
        <w:rPr>
          <w:rFonts w:ascii="Times New Roman" w:hAnsi="Times New Roman"/>
          <w:sz w:val="24"/>
          <w:szCs w:val="24"/>
        </w:rPr>
        <w:t xml:space="preserve"> </w:t>
      </w:r>
      <w:r w:rsidRPr="00F45A15">
        <w:rPr>
          <w:rFonts w:ascii="Times New Roman" w:hAnsi="Times New Roman"/>
          <w:sz w:val="24"/>
          <w:szCs w:val="24"/>
        </w:rPr>
        <w:t xml:space="preserve">Доход от реализации промышленной продукции за </w:t>
      </w:r>
      <w:r w:rsidRPr="008C274B">
        <w:rPr>
          <w:rFonts w:ascii="Times New Roman" w:hAnsi="Times New Roman"/>
          <w:sz w:val="24"/>
          <w:szCs w:val="24"/>
        </w:rPr>
        <w:t>отчётный период возрос на 27,6% до 9 926,9 млн руб., или 741,9 млн долл. (+7,2%).</w:t>
      </w:r>
    </w:p>
    <w:p w:rsidR="00EE2F18" w:rsidRPr="00AE3002" w:rsidRDefault="00EE2F18" w:rsidP="00982B2E">
      <w:pPr>
        <w:spacing w:after="0" w:line="240" w:lineRule="auto"/>
        <w:ind w:firstLine="709"/>
        <w:jc w:val="both"/>
        <w:rPr>
          <w:rFonts w:ascii="Times New Roman" w:hAnsi="Times New Roman"/>
          <w:color w:val="000000"/>
          <w:sz w:val="24"/>
          <w:szCs w:val="24"/>
        </w:rPr>
      </w:pPr>
      <w:proofErr w:type="gramStart"/>
      <w:r w:rsidRPr="008C274B">
        <w:rPr>
          <w:rFonts w:ascii="Times New Roman" w:hAnsi="Times New Roman"/>
          <w:color w:val="000000"/>
          <w:sz w:val="24"/>
          <w:szCs w:val="24"/>
        </w:rPr>
        <w:t xml:space="preserve">К концу 2017 года по республике величина остатков готовой продукции на складах по сравнению с началом года </w:t>
      </w:r>
      <w:r w:rsidRPr="009754D2">
        <w:rPr>
          <w:rFonts w:ascii="Times New Roman" w:hAnsi="Times New Roman"/>
          <w:color w:val="000000"/>
          <w:sz w:val="24"/>
          <w:szCs w:val="24"/>
        </w:rPr>
        <w:t>увеличилась на 14,2%, их с</w:t>
      </w:r>
      <w:r w:rsidRPr="009754D2">
        <w:rPr>
          <w:rFonts w:ascii="Times New Roman" w:hAnsi="Times New Roman"/>
          <w:sz w:val="24"/>
          <w:szCs w:val="24"/>
        </w:rPr>
        <w:t>тоимостное значение</w:t>
      </w:r>
      <w:r w:rsidRPr="009754D2">
        <w:rPr>
          <w:rFonts w:ascii="Times New Roman" w:hAnsi="Times New Roman"/>
          <w:color w:val="000000"/>
          <w:sz w:val="24"/>
          <w:szCs w:val="24"/>
        </w:rPr>
        <w:t xml:space="preserve"> </w:t>
      </w:r>
      <w:r w:rsidRPr="009754D2">
        <w:rPr>
          <w:rFonts w:ascii="Times New Roman" w:hAnsi="Times New Roman"/>
          <w:sz w:val="24"/>
          <w:szCs w:val="24"/>
        </w:rPr>
        <w:t>по состоянию</w:t>
      </w:r>
      <w:r w:rsidRPr="009754D2">
        <w:rPr>
          <w:rFonts w:ascii="Times New Roman" w:hAnsi="Times New Roman"/>
          <w:sz w:val="28"/>
          <w:szCs w:val="28"/>
        </w:rPr>
        <w:t xml:space="preserve"> </w:t>
      </w:r>
      <w:r w:rsidRPr="009754D2">
        <w:rPr>
          <w:rFonts w:ascii="Times New Roman" w:hAnsi="Times New Roman"/>
          <w:color w:val="000000"/>
          <w:sz w:val="24"/>
          <w:szCs w:val="24"/>
        </w:rPr>
        <w:t>на 1 января 2018 года составило 335,8</w:t>
      </w:r>
      <w:r w:rsidRPr="009754D2">
        <w:rPr>
          <w:rFonts w:ascii="Times New Roman" w:hAnsi="Times New Roman"/>
          <w:sz w:val="24"/>
          <w:szCs w:val="24"/>
        </w:rPr>
        <w:t xml:space="preserve"> </w:t>
      </w:r>
      <w:r w:rsidRPr="009754D2">
        <w:rPr>
          <w:rFonts w:ascii="Times New Roman" w:hAnsi="Times New Roman"/>
          <w:color w:val="000000"/>
          <w:sz w:val="24"/>
          <w:szCs w:val="24"/>
        </w:rPr>
        <w:t>млн руб. Наибольший удельный вес в составе совокупной величины остатков готовой продукции на складах принадлежит легкой промышленности, сформировавшей порядка 31,6% показателя.</w:t>
      </w:r>
      <w:proofErr w:type="gramEnd"/>
    </w:p>
    <w:p w:rsidR="00EE2F18" w:rsidRDefault="00EE2F18" w:rsidP="00982B2E">
      <w:pPr>
        <w:spacing w:after="0" w:line="240" w:lineRule="auto"/>
        <w:ind w:firstLine="709"/>
        <w:contextualSpacing/>
        <w:jc w:val="both"/>
        <w:rPr>
          <w:rFonts w:ascii="Times New Roman" w:hAnsi="Times New Roman"/>
          <w:sz w:val="24"/>
          <w:szCs w:val="24"/>
        </w:rPr>
      </w:pPr>
      <w:r w:rsidRPr="0098365C">
        <w:rPr>
          <w:rFonts w:ascii="Times New Roman" w:hAnsi="Times New Roman"/>
          <w:sz w:val="24"/>
          <w:szCs w:val="24"/>
        </w:rPr>
        <w:t xml:space="preserve">Отраслевая структура промышленного производства, </w:t>
      </w:r>
      <w:r>
        <w:rPr>
          <w:rFonts w:ascii="Times New Roman" w:hAnsi="Times New Roman"/>
          <w:sz w:val="24"/>
          <w:szCs w:val="24"/>
        </w:rPr>
        <w:t>с учётом</w:t>
      </w:r>
      <w:r w:rsidRPr="0098365C">
        <w:rPr>
          <w:rFonts w:ascii="Times New Roman" w:hAnsi="Times New Roman"/>
          <w:sz w:val="24"/>
          <w:szCs w:val="24"/>
        </w:rPr>
        <w:t xml:space="preserve"> отмечаемых на рынке тенденций, в </w:t>
      </w:r>
      <w:r>
        <w:rPr>
          <w:rFonts w:ascii="Times New Roman" w:hAnsi="Times New Roman"/>
          <w:sz w:val="24"/>
          <w:szCs w:val="24"/>
        </w:rPr>
        <w:t>2017</w:t>
      </w:r>
      <w:r w:rsidRPr="0098365C">
        <w:rPr>
          <w:rFonts w:ascii="Times New Roman" w:hAnsi="Times New Roman"/>
          <w:sz w:val="24"/>
          <w:szCs w:val="24"/>
        </w:rPr>
        <w:t xml:space="preserve"> году </w:t>
      </w:r>
      <w:r w:rsidRPr="0000416A">
        <w:rPr>
          <w:rFonts w:ascii="Times New Roman" w:hAnsi="Times New Roman"/>
          <w:sz w:val="24"/>
          <w:szCs w:val="24"/>
        </w:rPr>
        <w:t>перер</w:t>
      </w:r>
      <w:r w:rsidR="00E93A60">
        <w:rPr>
          <w:rFonts w:ascii="Times New Roman" w:hAnsi="Times New Roman"/>
          <w:sz w:val="24"/>
          <w:szCs w:val="24"/>
        </w:rPr>
        <w:t>аспределилась следующим образом (рис.</w:t>
      </w:r>
      <w:r w:rsidR="00230BFA">
        <w:rPr>
          <w:rFonts w:ascii="Times New Roman" w:hAnsi="Times New Roman"/>
          <w:sz w:val="24"/>
          <w:szCs w:val="24"/>
        </w:rPr>
        <w:t xml:space="preserve"> </w:t>
      </w:r>
      <w:r w:rsidR="00E93A60">
        <w:rPr>
          <w:rFonts w:ascii="Times New Roman" w:hAnsi="Times New Roman"/>
          <w:sz w:val="24"/>
          <w:szCs w:val="24"/>
        </w:rPr>
        <w:t>6).</w:t>
      </w:r>
    </w:p>
    <w:p w:rsidR="001C1BD2" w:rsidRDefault="001C1BD2" w:rsidP="00E93A60">
      <w:pPr>
        <w:spacing w:after="0" w:line="240" w:lineRule="auto"/>
        <w:ind w:firstLine="426"/>
        <w:contextualSpacing/>
        <w:jc w:val="right"/>
        <w:rPr>
          <w:rFonts w:ascii="Times New Roman" w:hAnsi="Times New Roman"/>
          <w:b/>
          <w:i/>
          <w:sz w:val="24"/>
          <w:szCs w:val="24"/>
        </w:rPr>
      </w:pPr>
    </w:p>
    <w:p w:rsidR="00E93A60" w:rsidRDefault="00E93A60" w:rsidP="00E93A60">
      <w:pPr>
        <w:spacing w:after="0" w:line="240" w:lineRule="auto"/>
        <w:ind w:firstLine="426"/>
        <w:contextualSpacing/>
        <w:jc w:val="right"/>
        <w:rPr>
          <w:rFonts w:ascii="Times New Roman" w:hAnsi="Times New Roman"/>
          <w:sz w:val="24"/>
          <w:szCs w:val="24"/>
        </w:rPr>
      </w:pPr>
      <w:r w:rsidRPr="00E93A60">
        <w:rPr>
          <w:rFonts w:ascii="Times New Roman" w:hAnsi="Times New Roman"/>
          <w:b/>
          <w:i/>
          <w:sz w:val="24"/>
          <w:szCs w:val="24"/>
        </w:rPr>
        <w:lastRenderedPageBreak/>
        <w:t>Рисунок</w:t>
      </w:r>
      <w:r>
        <w:rPr>
          <w:rFonts w:ascii="Times New Roman" w:hAnsi="Times New Roman"/>
          <w:b/>
          <w:i/>
          <w:sz w:val="24"/>
          <w:szCs w:val="24"/>
        </w:rPr>
        <w:t xml:space="preserve"> 6</w:t>
      </w:r>
    </w:p>
    <w:p w:rsidR="00EE2F18" w:rsidRDefault="00982B2E" w:rsidP="00BA765C">
      <w:pPr>
        <w:spacing w:after="0" w:line="240" w:lineRule="auto"/>
        <w:ind w:firstLine="709"/>
        <w:contextualSpacing/>
        <w:jc w:val="both"/>
        <w:rPr>
          <w:rFonts w:ascii="Times New Roman" w:hAnsi="Times New Roman"/>
          <w:sz w:val="24"/>
          <w:szCs w:val="24"/>
        </w:rPr>
      </w:pPr>
      <w:r>
        <w:rPr>
          <w:rFonts w:ascii="Times New Roman" w:hAnsi="Times New Roman"/>
          <w:noProof/>
          <w:sz w:val="24"/>
          <w:szCs w:val="24"/>
        </w:rPr>
        <w:drawing>
          <wp:anchor distT="0" distB="25654" distL="114300" distR="117983" simplePos="0" relativeHeight="251692032" behindDoc="1" locked="0" layoutInCell="1" allowOverlap="1">
            <wp:simplePos x="0" y="0"/>
            <wp:positionH relativeFrom="column">
              <wp:posOffset>3815715</wp:posOffset>
            </wp:positionH>
            <wp:positionV relativeFrom="paragraph">
              <wp:posOffset>93345</wp:posOffset>
            </wp:positionV>
            <wp:extent cx="2663825" cy="1876425"/>
            <wp:effectExtent l="19050" t="0" r="3175" b="0"/>
            <wp:wrapTight wrapText="bothSides">
              <wp:wrapPolygon edited="0">
                <wp:start x="-154" y="0"/>
                <wp:lineTo x="-154" y="21271"/>
                <wp:lineTo x="21626" y="21271"/>
                <wp:lineTo x="21626" y="0"/>
                <wp:lineTo x="-154" y="0"/>
              </wp:wrapPolygon>
            </wp:wrapTight>
            <wp:docPr id="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hAnsi="Times New Roman"/>
          <w:noProof/>
          <w:sz w:val="24"/>
          <w:szCs w:val="24"/>
        </w:rPr>
        <w:drawing>
          <wp:anchor distT="0" distB="31369" distL="114300" distR="116713" simplePos="0" relativeHeight="251691008" behindDoc="1" locked="0" layoutInCell="1" allowOverlap="1">
            <wp:simplePos x="0" y="0"/>
            <wp:positionH relativeFrom="column">
              <wp:posOffset>62865</wp:posOffset>
            </wp:positionH>
            <wp:positionV relativeFrom="paragraph">
              <wp:posOffset>93345</wp:posOffset>
            </wp:positionV>
            <wp:extent cx="3883025" cy="1876425"/>
            <wp:effectExtent l="19050" t="0" r="3175" b="0"/>
            <wp:wrapTight wrapText="bothSides">
              <wp:wrapPolygon edited="0">
                <wp:start x="-106" y="0"/>
                <wp:lineTo x="-106" y="21271"/>
                <wp:lineTo x="21618" y="21271"/>
                <wp:lineTo x="21618" y="0"/>
                <wp:lineTo x="-106" y="0"/>
              </wp:wrapPolygon>
            </wp:wrapTight>
            <wp:docPr id="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EE2F18" w:rsidRPr="0000416A">
        <w:rPr>
          <w:rFonts w:ascii="Times New Roman" w:hAnsi="Times New Roman"/>
          <w:sz w:val="24"/>
          <w:szCs w:val="24"/>
        </w:rPr>
        <w:t xml:space="preserve">Ритмичная работа с апреля 2017 года одного из ведущих предприятий индустриального </w:t>
      </w:r>
      <w:r w:rsidR="00EE2F18">
        <w:rPr>
          <w:rFonts w:ascii="Times New Roman" w:hAnsi="Times New Roman"/>
          <w:sz w:val="24"/>
          <w:szCs w:val="24"/>
        </w:rPr>
        <w:t>комплекса</w:t>
      </w:r>
      <w:r w:rsidR="00EE2F18" w:rsidRPr="0000416A">
        <w:rPr>
          <w:rFonts w:ascii="Times New Roman" w:hAnsi="Times New Roman"/>
          <w:sz w:val="24"/>
          <w:szCs w:val="24"/>
        </w:rPr>
        <w:t xml:space="preserve"> ОАО «Молдавский металлургический завод» </w:t>
      </w:r>
      <w:r w:rsidR="00EE2F18">
        <w:rPr>
          <w:rFonts w:ascii="Times New Roman" w:hAnsi="Times New Roman"/>
          <w:sz w:val="24"/>
          <w:szCs w:val="24"/>
        </w:rPr>
        <w:t>на фоне</w:t>
      </w:r>
      <w:r w:rsidR="00EE2F18" w:rsidRPr="0000416A">
        <w:rPr>
          <w:rFonts w:ascii="Times New Roman" w:hAnsi="Times New Roman"/>
          <w:sz w:val="24"/>
          <w:szCs w:val="24"/>
        </w:rPr>
        <w:t xml:space="preserve"> положительной </w:t>
      </w:r>
      <w:r w:rsidR="00EE2F18">
        <w:rPr>
          <w:rFonts w:ascii="Times New Roman" w:hAnsi="Times New Roman"/>
          <w:sz w:val="24"/>
          <w:szCs w:val="24"/>
        </w:rPr>
        <w:t>динамики</w:t>
      </w:r>
      <w:r w:rsidR="00EE2F18" w:rsidRPr="0000416A">
        <w:rPr>
          <w:rFonts w:ascii="Times New Roman" w:hAnsi="Times New Roman"/>
          <w:sz w:val="24"/>
          <w:szCs w:val="24"/>
        </w:rPr>
        <w:t xml:space="preserve"> спроса на </w:t>
      </w:r>
      <w:r w:rsidR="00EE2F18" w:rsidRPr="006A0E8F">
        <w:rPr>
          <w:rFonts w:ascii="Times New Roman" w:hAnsi="Times New Roman"/>
          <w:sz w:val="24"/>
          <w:szCs w:val="24"/>
        </w:rPr>
        <w:t xml:space="preserve">мировых рынках на металлопрокат обусловила расширение долевого участия чёрной металлургии в структуре выпуска до 29,3% против 9,9% в </w:t>
      </w:r>
      <w:r w:rsidR="00EE2F18">
        <w:rPr>
          <w:rFonts w:ascii="Times New Roman" w:hAnsi="Times New Roman"/>
          <w:sz w:val="24"/>
          <w:szCs w:val="24"/>
        </w:rPr>
        <w:t>2016 году</w:t>
      </w:r>
      <w:r w:rsidR="00EE2F18" w:rsidRPr="006A0E8F">
        <w:rPr>
          <w:rFonts w:ascii="Times New Roman" w:hAnsi="Times New Roman"/>
          <w:sz w:val="24"/>
          <w:szCs w:val="24"/>
        </w:rPr>
        <w:t xml:space="preserve">. </w:t>
      </w:r>
      <w:proofErr w:type="gramStart"/>
      <w:r w:rsidR="00EE2F18">
        <w:rPr>
          <w:rFonts w:ascii="Times New Roman" w:hAnsi="Times New Roman"/>
          <w:sz w:val="24"/>
          <w:szCs w:val="24"/>
        </w:rPr>
        <w:t xml:space="preserve">Ввиду этого, а также принимая во внимание отрицательное воздействие </w:t>
      </w:r>
      <w:proofErr w:type="spellStart"/>
      <w:r w:rsidR="00EE2F18">
        <w:rPr>
          <w:rFonts w:ascii="Times New Roman" w:hAnsi="Times New Roman"/>
          <w:sz w:val="24"/>
          <w:szCs w:val="24"/>
        </w:rPr>
        <w:t>спросового</w:t>
      </w:r>
      <w:proofErr w:type="spellEnd"/>
      <w:r w:rsidR="00EE2F18">
        <w:rPr>
          <w:rFonts w:ascii="Times New Roman" w:hAnsi="Times New Roman"/>
          <w:sz w:val="24"/>
          <w:szCs w:val="24"/>
        </w:rPr>
        <w:t xml:space="preserve"> и ценового фактора, удельный вес </w:t>
      </w:r>
      <w:r w:rsidR="00EE2F18" w:rsidRPr="006A0E8F">
        <w:rPr>
          <w:rFonts w:ascii="Times New Roman" w:hAnsi="Times New Roman"/>
          <w:sz w:val="24"/>
          <w:szCs w:val="24"/>
        </w:rPr>
        <w:t>предприяти</w:t>
      </w:r>
      <w:r w:rsidR="00EE2F18">
        <w:rPr>
          <w:rFonts w:ascii="Times New Roman" w:hAnsi="Times New Roman"/>
          <w:sz w:val="24"/>
          <w:szCs w:val="24"/>
        </w:rPr>
        <w:t>й</w:t>
      </w:r>
      <w:r w:rsidR="00EE2F18" w:rsidRPr="006A0E8F">
        <w:rPr>
          <w:rFonts w:ascii="Times New Roman" w:hAnsi="Times New Roman"/>
          <w:sz w:val="24"/>
          <w:szCs w:val="24"/>
        </w:rPr>
        <w:t xml:space="preserve"> энергетического </w:t>
      </w:r>
      <w:r w:rsidR="00EE2F18">
        <w:rPr>
          <w:rFonts w:ascii="Times New Roman" w:hAnsi="Times New Roman"/>
          <w:sz w:val="24"/>
          <w:szCs w:val="24"/>
        </w:rPr>
        <w:t>сектора снизился на 19,4 п.п. до</w:t>
      </w:r>
      <w:r w:rsidR="00EE2F18" w:rsidRPr="00CE527A">
        <w:rPr>
          <w:rFonts w:ascii="Times New Roman" w:hAnsi="Times New Roman"/>
          <w:sz w:val="24"/>
          <w:szCs w:val="24"/>
        </w:rPr>
        <w:t xml:space="preserve"> 30,8%. Вместе с тем достигнутые за рассматриваемый период показатели в лёгкой и пищевой промышленностях сформировали </w:t>
      </w:r>
      <w:r w:rsidR="00EE2F18">
        <w:rPr>
          <w:rFonts w:ascii="Times New Roman" w:hAnsi="Times New Roman"/>
          <w:sz w:val="24"/>
          <w:szCs w:val="24"/>
        </w:rPr>
        <w:t>доли</w:t>
      </w:r>
      <w:r w:rsidR="00EE2F18" w:rsidRPr="00CE527A">
        <w:rPr>
          <w:rFonts w:ascii="Times New Roman" w:hAnsi="Times New Roman"/>
          <w:sz w:val="24"/>
          <w:szCs w:val="24"/>
        </w:rPr>
        <w:t xml:space="preserve"> данных отраслей в совокупном объёме производства на уровне 13,5% (-1,3 п.п.) и 13,3% (+0,2 п.п.) соответственно.</w:t>
      </w:r>
      <w:proofErr w:type="gramEnd"/>
    </w:p>
    <w:p w:rsidR="00EE2F18" w:rsidRDefault="00EE2F18" w:rsidP="00BA765C">
      <w:pPr>
        <w:spacing w:after="0" w:line="240" w:lineRule="auto"/>
        <w:ind w:firstLine="709"/>
        <w:contextualSpacing/>
        <w:jc w:val="both"/>
        <w:rPr>
          <w:rFonts w:ascii="Times New Roman" w:hAnsi="Times New Roman"/>
          <w:sz w:val="24"/>
          <w:szCs w:val="24"/>
        </w:rPr>
      </w:pPr>
      <w:r w:rsidRPr="00F7578D">
        <w:rPr>
          <w:rFonts w:ascii="Times New Roman" w:hAnsi="Times New Roman"/>
          <w:sz w:val="24"/>
          <w:szCs w:val="24"/>
        </w:rPr>
        <w:t xml:space="preserve">В отраслевом разрезе в </w:t>
      </w:r>
      <w:r>
        <w:rPr>
          <w:rFonts w:ascii="Times New Roman" w:hAnsi="Times New Roman"/>
          <w:sz w:val="24"/>
          <w:szCs w:val="24"/>
        </w:rPr>
        <w:t>дека</w:t>
      </w:r>
      <w:r w:rsidRPr="00F7578D">
        <w:rPr>
          <w:rFonts w:ascii="Times New Roman" w:hAnsi="Times New Roman"/>
          <w:sz w:val="24"/>
          <w:szCs w:val="24"/>
        </w:rPr>
        <w:t xml:space="preserve">бре текущего года по отношению к базовому показателю </w:t>
      </w:r>
      <w:r>
        <w:rPr>
          <w:rFonts w:ascii="Times New Roman" w:hAnsi="Times New Roman"/>
          <w:sz w:val="24"/>
          <w:szCs w:val="24"/>
        </w:rPr>
        <w:t xml:space="preserve">              </w:t>
      </w:r>
      <w:r w:rsidRPr="00F7578D">
        <w:rPr>
          <w:rFonts w:ascii="Times New Roman" w:hAnsi="Times New Roman"/>
          <w:sz w:val="24"/>
          <w:szCs w:val="24"/>
        </w:rPr>
        <w:t xml:space="preserve">2016 года </w:t>
      </w:r>
      <w:r w:rsidR="00704B01">
        <w:rPr>
          <w:rFonts w:ascii="Times New Roman" w:hAnsi="Times New Roman"/>
          <w:sz w:val="24"/>
          <w:szCs w:val="24"/>
        </w:rPr>
        <w:t>тенденция</w:t>
      </w:r>
      <w:r w:rsidRPr="00F7578D">
        <w:rPr>
          <w:rFonts w:ascii="Times New Roman" w:hAnsi="Times New Roman"/>
          <w:sz w:val="24"/>
          <w:szCs w:val="24"/>
        </w:rPr>
        <w:t xml:space="preserve"> промышленного производства </w:t>
      </w:r>
      <w:r>
        <w:rPr>
          <w:rFonts w:ascii="Times New Roman" w:hAnsi="Times New Roman"/>
          <w:sz w:val="24"/>
          <w:szCs w:val="24"/>
        </w:rPr>
        <w:t>по большинству</w:t>
      </w:r>
      <w:r w:rsidRPr="00F7578D">
        <w:rPr>
          <w:rFonts w:ascii="Times New Roman" w:hAnsi="Times New Roman"/>
          <w:sz w:val="24"/>
          <w:szCs w:val="24"/>
        </w:rPr>
        <w:t xml:space="preserve"> отраслей характеризо</w:t>
      </w:r>
      <w:r>
        <w:rPr>
          <w:rFonts w:ascii="Times New Roman" w:hAnsi="Times New Roman"/>
          <w:sz w:val="24"/>
          <w:szCs w:val="24"/>
        </w:rPr>
        <w:t>валась повышательной динамикой</w:t>
      </w:r>
      <w:r w:rsidR="00E93A60">
        <w:rPr>
          <w:rFonts w:ascii="Times New Roman" w:hAnsi="Times New Roman"/>
          <w:sz w:val="24"/>
          <w:szCs w:val="24"/>
        </w:rPr>
        <w:t xml:space="preserve"> (рис.</w:t>
      </w:r>
      <w:r w:rsidR="001C1BD2">
        <w:rPr>
          <w:rFonts w:ascii="Times New Roman" w:hAnsi="Times New Roman"/>
          <w:sz w:val="24"/>
          <w:szCs w:val="24"/>
        </w:rPr>
        <w:t xml:space="preserve"> </w:t>
      </w:r>
      <w:r w:rsidR="00E93A60">
        <w:rPr>
          <w:rFonts w:ascii="Times New Roman" w:hAnsi="Times New Roman"/>
          <w:sz w:val="24"/>
          <w:szCs w:val="24"/>
        </w:rPr>
        <w:t>7,</w:t>
      </w:r>
      <w:r w:rsidR="00230BFA">
        <w:rPr>
          <w:rFonts w:ascii="Times New Roman" w:hAnsi="Times New Roman"/>
          <w:sz w:val="24"/>
          <w:szCs w:val="24"/>
        </w:rPr>
        <w:t xml:space="preserve"> </w:t>
      </w:r>
      <w:r w:rsidR="00E93A60">
        <w:rPr>
          <w:rFonts w:ascii="Times New Roman" w:hAnsi="Times New Roman"/>
          <w:sz w:val="24"/>
          <w:szCs w:val="24"/>
        </w:rPr>
        <w:t>8)</w:t>
      </w:r>
      <w:r>
        <w:rPr>
          <w:rFonts w:ascii="Times New Roman" w:hAnsi="Times New Roman"/>
          <w:sz w:val="24"/>
          <w:szCs w:val="24"/>
        </w:rPr>
        <w:t>.</w:t>
      </w:r>
    </w:p>
    <w:p w:rsidR="00E93A60" w:rsidRPr="00B444C0" w:rsidRDefault="00E93A60" w:rsidP="00E93A60">
      <w:pPr>
        <w:spacing w:after="0" w:line="240" w:lineRule="auto"/>
        <w:ind w:firstLine="426"/>
        <w:contextualSpacing/>
        <w:jc w:val="right"/>
        <w:rPr>
          <w:rFonts w:ascii="Times New Roman" w:hAnsi="Times New Roman"/>
          <w:sz w:val="24"/>
          <w:szCs w:val="24"/>
        </w:rPr>
      </w:pPr>
      <w:r w:rsidRPr="00E93A60">
        <w:rPr>
          <w:rFonts w:ascii="Times New Roman" w:hAnsi="Times New Roman"/>
          <w:b/>
          <w:i/>
          <w:sz w:val="24"/>
          <w:szCs w:val="24"/>
        </w:rPr>
        <w:t>Рисунок</w:t>
      </w:r>
      <w:r>
        <w:rPr>
          <w:rFonts w:ascii="Times New Roman" w:hAnsi="Times New Roman"/>
          <w:b/>
          <w:i/>
          <w:sz w:val="24"/>
          <w:szCs w:val="24"/>
        </w:rPr>
        <w:t xml:space="preserve"> 7</w:t>
      </w:r>
    </w:p>
    <w:p w:rsidR="00EE2F18" w:rsidRPr="00E93A60" w:rsidRDefault="00EE2F18" w:rsidP="004165C8">
      <w:pPr>
        <w:spacing w:after="0" w:line="240" w:lineRule="auto"/>
        <w:contextualSpacing/>
        <w:jc w:val="both"/>
        <w:rPr>
          <w:rFonts w:ascii="Times New Roman" w:hAnsi="Times New Roman"/>
          <w:sz w:val="10"/>
          <w:szCs w:val="10"/>
        </w:rPr>
      </w:pPr>
      <w:r w:rsidRPr="006631DB">
        <w:rPr>
          <w:rFonts w:ascii="Times New Roman" w:hAnsi="Times New Roman"/>
          <w:noProof/>
          <w:sz w:val="24"/>
          <w:szCs w:val="24"/>
        </w:rPr>
        <w:drawing>
          <wp:inline distT="0" distB="0" distL="0" distR="0">
            <wp:extent cx="6105525" cy="1819275"/>
            <wp:effectExtent l="0" t="0" r="0" b="0"/>
            <wp:docPr id="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2F18" w:rsidRDefault="00E93A60" w:rsidP="00E93A60">
      <w:pPr>
        <w:spacing w:after="0" w:line="240" w:lineRule="auto"/>
        <w:ind w:firstLine="709"/>
        <w:contextualSpacing/>
        <w:jc w:val="right"/>
        <w:rPr>
          <w:rFonts w:ascii="Times New Roman" w:hAnsi="Times New Roman"/>
          <w:b/>
          <w:i/>
          <w:sz w:val="23"/>
          <w:szCs w:val="23"/>
        </w:rPr>
      </w:pPr>
      <w:r w:rsidRPr="00E93A60">
        <w:rPr>
          <w:rFonts w:ascii="Times New Roman" w:hAnsi="Times New Roman"/>
          <w:b/>
          <w:i/>
          <w:sz w:val="23"/>
          <w:szCs w:val="23"/>
        </w:rPr>
        <w:t>Рисунок</w:t>
      </w:r>
      <w:r>
        <w:rPr>
          <w:rFonts w:ascii="Times New Roman" w:hAnsi="Times New Roman"/>
          <w:b/>
          <w:i/>
          <w:sz w:val="23"/>
          <w:szCs w:val="23"/>
        </w:rPr>
        <w:t xml:space="preserve"> 8</w:t>
      </w:r>
    </w:p>
    <w:p w:rsidR="00E93A60" w:rsidRPr="00E93A60" w:rsidRDefault="00E93A60" w:rsidP="00E93A60">
      <w:pPr>
        <w:spacing w:after="0" w:line="240" w:lineRule="auto"/>
        <w:ind w:firstLine="709"/>
        <w:contextualSpacing/>
        <w:jc w:val="right"/>
        <w:rPr>
          <w:rFonts w:ascii="Times New Roman" w:hAnsi="Times New Roman"/>
          <w:b/>
          <w:sz w:val="10"/>
          <w:szCs w:val="10"/>
        </w:rPr>
      </w:pPr>
    </w:p>
    <w:p w:rsidR="00EE2F18" w:rsidRPr="00117331" w:rsidRDefault="00EE2F18" w:rsidP="00EE2F18">
      <w:pPr>
        <w:spacing w:after="0" w:line="240" w:lineRule="auto"/>
        <w:ind w:firstLine="709"/>
        <w:contextualSpacing/>
        <w:jc w:val="center"/>
        <w:rPr>
          <w:rFonts w:ascii="Times New Roman" w:hAnsi="Times New Roman"/>
          <w:b/>
          <w:sz w:val="23"/>
          <w:szCs w:val="23"/>
        </w:rPr>
      </w:pPr>
      <w:r w:rsidRPr="00117331">
        <w:rPr>
          <w:rFonts w:ascii="Times New Roman" w:hAnsi="Times New Roman"/>
          <w:b/>
          <w:sz w:val="23"/>
          <w:szCs w:val="23"/>
        </w:rPr>
        <w:t xml:space="preserve">Динамика промышленной продукции в разрезе </w:t>
      </w:r>
      <w:proofErr w:type="spellStart"/>
      <w:r w:rsidRPr="00117331">
        <w:rPr>
          <w:rFonts w:ascii="Times New Roman" w:hAnsi="Times New Roman"/>
          <w:b/>
          <w:sz w:val="23"/>
          <w:szCs w:val="23"/>
        </w:rPr>
        <w:t>подотраслей</w:t>
      </w:r>
      <w:proofErr w:type="spellEnd"/>
      <w:r w:rsidRPr="00117331">
        <w:rPr>
          <w:rFonts w:ascii="Times New Roman" w:hAnsi="Times New Roman"/>
          <w:b/>
          <w:sz w:val="23"/>
          <w:szCs w:val="23"/>
        </w:rPr>
        <w:t>, млн руб.</w:t>
      </w:r>
    </w:p>
    <w:p w:rsidR="00EE2F18" w:rsidRPr="00117331" w:rsidRDefault="00EE2F18" w:rsidP="00EE2F18">
      <w:pPr>
        <w:spacing w:after="0" w:line="240" w:lineRule="auto"/>
        <w:ind w:firstLine="709"/>
        <w:contextualSpacing/>
        <w:jc w:val="center"/>
        <w:rPr>
          <w:rFonts w:ascii="Times New Roman" w:hAnsi="Times New Roman"/>
          <w:b/>
          <w:sz w:val="23"/>
          <w:szCs w:val="23"/>
        </w:rPr>
      </w:pPr>
      <w:r w:rsidRPr="00117331">
        <w:rPr>
          <w:rFonts w:ascii="Times New Roman" w:hAnsi="Times New Roman"/>
          <w:b/>
          <w:sz w:val="23"/>
          <w:szCs w:val="23"/>
        </w:rPr>
        <w:t>(в сопоставимых ценах)</w:t>
      </w:r>
    </w:p>
    <w:p w:rsidR="00EE2F18" w:rsidRPr="00FF4E86" w:rsidRDefault="00EE2F18" w:rsidP="00EE2F18">
      <w:pPr>
        <w:spacing w:after="0" w:line="240" w:lineRule="auto"/>
        <w:contextualSpacing/>
        <w:jc w:val="both"/>
        <w:rPr>
          <w:rFonts w:ascii="Times New Roman" w:hAnsi="Times New Roman"/>
          <w:sz w:val="24"/>
          <w:szCs w:val="24"/>
        </w:rPr>
      </w:pPr>
      <w:r>
        <w:rPr>
          <w:rFonts w:ascii="Times New Roman" w:hAnsi="Times New Roman"/>
          <w:b/>
          <w:noProof/>
          <w:sz w:val="24"/>
          <w:szCs w:val="24"/>
        </w:rPr>
        <w:drawing>
          <wp:inline distT="0" distB="0" distL="0" distR="0">
            <wp:extent cx="6229350" cy="2419350"/>
            <wp:effectExtent l="1905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2F18" w:rsidRPr="00124A57" w:rsidRDefault="00EE2F18" w:rsidP="00BA765C">
      <w:pPr>
        <w:spacing w:after="0" w:line="240" w:lineRule="auto"/>
        <w:ind w:firstLine="709"/>
        <w:jc w:val="both"/>
        <w:rPr>
          <w:rFonts w:ascii="Times New Roman" w:hAnsi="Times New Roman"/>
          <w:sz w:val="24"/>
          <w:szCs w:val="24"/>
        </w:rPr>
      </w:pPr>
      <w:r w:rsidRPr="00124A57">
        <w:rPr>
          <w:rFonts w:ascii="Times New Roman" w:hAnsi="Times New Roman"/>
          <w:sz w:val="24"/>
          <w:szCs w:val="24"/>
        </w:rPr>
        <w:lastRenderedPageBreak/>
        <w:t xml:space="preserve">В целом за </w:t>
      </w:r>
      <w:r w:rsidRPr="00124A57">
        <w:rPr>
          <w:rFonts w:ascii="Times New Roman" w:hAnsi="Times New Roman"/>
          <w:color w:val="000000"/>
          <w:sz w:val="24"/>
          <w:szCs w:val="24"/>
        </w:rPr>
        <w:t xml:space="preserve">рассматриваемый период </w:t>
      </w:r>
      <w:r w:rsidRPr="00124A57">
        <w:rPr>
          <w:rFonts w:ascii="Times New Roman" w:hAnsi="Times New Roman"/>
          <w:sz w:val="24"/>
          <w:szCs w:val="24"/>
        </w:rPr>
        <w:t>увеличили выпуск промышленной продукции 50</w:t>
      </w:r>
      <w:r w:rsidRPr="00124A57">
        <w:rPr>
          <w:rFonts w:ascii="Times New Roman" w:hAnsi="Times New Roman"/>
          <w:color w:val="0000FF"/>
          <w:sz w:val="24"/>
          <w:szCs w:val="24"/>
        </w:rPr>
        <w:t xml:space="preserve"> </w:t>
      </w:r>
      <w:r w:rsidRPr="00124A57">
        <w:rPr>
          <w:rFonts w:ascii="Times New Roman" w:hAnsi="Times New Roman"/>
          <w:sz w:val="24"/>
          <w:szCs w:val="24"/>
        </w:rPr>
        <w:t xml:space="preserve">предприятий, или 59,5% от их общего числа (в </w:t>
      </w:r>
      <w:r w:rsidRPr="00124A57">
        <w:rPr>
          <w:rFonts w:ascii="Times New Roman" w:hAnsi="Times New Roman"/>
          <w:color w:val="000000"/>
          <w:sz w:val="24"/>
          <w:szCs w:val="24"/>
        </w:rPr>
        <w:t xml:space="preserve">2016 году </w:t>
      </w:r>
      <w:r w:rsidRPr="00124A57">
        <w:rPr>
          <w:rFonts w:ascii="Times New Roman" w:hAnsi="Times New Roman"/>
          <w:sz w:val="24"/>
          <w:szCs w:val="24"/>
        </w:rPr>
        <w:t xml:space="preserve">- 47 предприятий), спад допущен на 28 предприятиях, что составляет 33,3% соответственно (в </w:t>
      </w:r>
      <w:r w:rsidRPr="00124A57">
        <w:rPr>
          <w:rFonts w:ascii="Times New Roman" w:hAnsi="Times New Roman"/>
          <w:color w:val="000000"/>
          <w:sz w:val="24"/>
          <w:szCs w:val="24"/>
        </w:rPr>
        <w:t xml:space="preserve">2016 году </w:t>
      </w:r>
      <w:r w:rsidRPr="00124A57">
        <w:rPr>
          <w:rFonts w:ascii="Times New Roman" w:hAnsi="Times New Roman"/>
          <w:sz w:val="24"/>
          <w:szCs w:val="24"/>
        </w:rPr>
        <w:t>– 36 предприятий).</w:t>
      </w:r>
    </w:p>
    <w:p w:rsidR="00EE2F18" w:rsidRPr="00124A57" w:rsidRDefault="00EE2F18" w:rsidP="00BA765C">
      <w:pPr>
        <w:spacing w:after="0" w:line="240" w:lineRule="auto"/>
        <w:ind w:firstLine="709"/>
        <w:jc w:val="both"/>
        <w:rPr>
          <w:rFonts w:ascii="Times New Roman" w:hAnsi="Times New Roman"/>
          <w:sz w:val="24"/>
          <w:szCs w:val="24"/>
        </w:rPr>
      </w:pPr>
      <w:r w:rsidRPr="00124A57">
        <w:rPr>
          <w:rFonts w:ascii="Times New Roman" w:hAnsi="Times New Roman"/>
          <w:sz w:val="24"/>
          <w:szCs w:val="24"/>
        </w:rPr>
        <w:t>К выпуску промышленной продукц</w:t>
      </w:r>
      <w:r w:rsidR="00822F11">
        <w:rPr>
          <w:rFonts w:ascii="Times New Roman" w:hAnsi="Times New Roman"/>
          <w:sz w:val="24"/>
          <w:szCs w:val="24"/>
        </w:rPr>
        <w:t>ии с начала года не приступило</w:t>
      </w:r>
      <w:r w:rsidRPr="00124A57">
        <w:rPr>
          <w:rFonts w:ascii="Times New Roman" w:hAnsi="Times New Roman"/>
          <w:sz w:val="24"/>
          <w:szCs w:val="24"/>
        </w:rPr>
        <w:t xml:space="preserve"> 3</w:t>
      </w:r>
      <w:r w:rsidRPr="00124A57">
        <w:rPr>
          <w:rFonts w:ascii="Times New Roman" w:hAnsi="Times New Roman"/>
          <w:color w:val="0000FF"/>
          <w:sz w:val="24"/>
          <w:szCs w:val="24"/>
        </w:rPr>
        <w:t xml:space="preserve"> </w:t>
      </w:r>
      <w:r w:rsidRPr="00124A57">
        <w:rPr>
          <w:rFonts w:ascii="Times New Roman" w:hAnsi="Times New Roman"/>
          <w:sz w:val="24"/>
          <w:szCs w:val="24"/>
        </w:rPr>
        <w:t xml:space="preserve">промышленных предприятия (в </w:t>
      </w:r>
      <w:r w:rsidRPr="00124A57">
        <w:rPr>
          <w:rFonts w:ascii="Times New Roman" w:hAnsi="Times New Roman"/>
          <w:color w:val="000000"/>
          <w:sz w:val="24"/>
          <w:szCs w:val="24"/>
        </w:rPr>
        <w:t xml:space="preserve">2016 году </w:t>
      </w:r>
      <w:r w:rsidRPr="00124A57">
        <w:rPr>
          <w:rFonts w:ascii="Times New Roman" w:hAnsi="Times New Roman"/>
          <w:sz w:val="24"/>
          <w:szCs w:val="24"/>
        </w:rPr>
        <w:t>- 6 предприятий):</w:t>
      </w:r>
    </w:p>
    <w:p w:rsidR="00EE2F18" w:rsidRPr="00124A57" w:rsidRDefault="00EE2F18" w:rsidP="00BA765C">
      <w:pPr>
        <w:tabs>
          <w:tab w:val="left" w:pos="1080"/>
        </w:tabs>
        <w:spacing w:after="0" w:line="240" w:lineRule="auto"/>
        <w:ind w:firstLine="709"/>
        <w:jc w:val="both"/>
        <w:rPr>
          <w:rFonts w:ascii="Times New Roman" w:hAnsi="Times New Roman"/>
          <w:sz w:val="24"/>
          <w:szCs w:val="24"/>
        </w:rPr>
      </w:pPr>
      <w:r w:rsidRPr="00124A57">
        <w:rPr>
          <w:rFonts w:ascii="Times New Roman" w:hAnsi="Times New Roman"/>
          <w:sz w:val="24"/>
          <w:szCs w:val="24"/>
        </w:rPr>
        <w:t>–</w:t>
      </w:r>
      <w:r w:rsidRPr="00124A57">
        <w:rPr>
          <w:rFonts w:ascii="Times New Roman" w:hAnsi="Times New Roman"/>
          <w:sz w:val="24"/>
          <w:szCs w:val="24"/>
        </w:rPr>
        <w:tab/>
        <w:t>ГУП «</w:t>
      </w:r>
      <w:proofErr w:type="spellStart"/>
      <w:r w:rsidRPr="00124A57">
        <w:rPr>
          <w:rFonts w:ascii="Times New Roman" w:hAnsi="Times New Roman"/>
          <w:sz w:val="24"/>
          <w:szCs w:val="24"/>
        </w:rPr>
        <w:t>Дубоссарское</w:t>
      </w:r>
      <w:proofErr w:type="spellEnd"/>
      <w:r w:rsidRPr="00124A57">
        <w:rPr>
          <w:rFonts w:ascii="Times New Roman" w:hAnsi="Times New Roman"/>
          <w:sz w:val="24"/>
          <w:szCs w:val="24"/>
        </w:rPr>
        <w:t xml:space="preserve"> хлебоприемное предприятие», МУП «Автосервис и торговля» </w:t>
      </w:r>
      <w:proofErr w:type="gramStart"/>
      <w:r w:rsidRPr="00124A57">
        <w:rPr>
          <w:rFonts w:ascii="Times New Roman" w:hAnsi="Times New Roman"/>
          <w:sz w:val="24"/>
          <w:szCs w:val="24"/>
        </w:rPr>
        <w:t>г</w:t>
      </w:r>
      <w:proofErr w:type="gramEnd"/>
      <w:r w:rsidRPr="00124A57">
        <w:rPr>
          <w:rFonts w:ascii="Times New Roman" w:hAnsi="Times New Roman"/>
          <w:sz w:val="24"/>
          <w:szCs w:val="24"/>
        </w:rPr>
        <w:t>.</w:t>
      </w:r>
      <w:r w:rsidR="007E5212">
        <w:rPr>
          <w:rFonts w:ascii="Times New Roman" w:hAnsi="Times New Roman"/>
          <w:sz w:val="24"/>
          <w:szCs w:val="24"/>
        </w:rPr>
        <w:t> </w:t>
      </w:r>
      <w:r w:rsidRPr="00124A57">
        <w:rPr>
          <w:rFonts w:ascii="Times New Roman" w:hAnsi="Times New Roman"/>
          <w:sz w:val="24"/>
          <w:szCs w:val="24"/>
        </w:rPr>
        <w:t>Дубоссары, МУП «</w:t>
      </w:r>
      <w:proofErr w:type="spellStart"/>
      <w:r w:rsidRPr="00124A57">
        <w:rPr>
          <w:rFonts w:ascii="Times New Roman" w:hAnsi="Times New Roman"/>
          <w:sz w:val="24"/>
          <w:szCs w:val="24"/>
        </w:rPr>
        <w:t>Ветбиофарм</w:t>
      </w:r>
      <w:proofErr w:type="spellEnd"/>
      <w:r w:rsidRPr="00124A57">
        <w:rPr>
          <w:rFonts w:ascii="Times New Roman" w:hAnsi="Times New Roman"/>
          <w:sz w:val="24"/>
          <w:szCs w:val="24"/>
        </w:rPr>
        <w:t>» - находятся в процессе ликвидации;</w:t>
      </w:r>
    </w:p>
    <w:p w:rsidR="00EE2F18" w:rsidRPr="00113F2D" w:rsidRDefault="00EE2F18" w:rsidP="00BA765C">
      <w:pPr>
        <w:tabs>
          <w:tab w:val="left" w:pos="1080"/>
        </w:tabs>
        <w:spacing w:after="0" w:line="240" w:lineRule="auto"/>
        <w:ind w:firstLine="709"/>
        <w:jc w:val="both"/>
        <w:rPr>
          <w:rFonts w:ascii="Times New Roman" w:hAnsi="Times New Roman"/>
          <w:sz w:val="24"/>
          <w:szCs w:val="24"/>
        </w:rPr>
      </w:pPr>
      <w:r w:rsidRPr="00113F2D">
        <w:rPr>
          <w:rFonts w:ascii="Times New Roman" w:hAnsi="Times New Roman"/>
          <w:sz w:val="24"/>
          <w:szCs w:val="24"/>
        </w:rPr>
        <w:t>-</w:t>
      </w:r>
      <w:r w:rsidRPr="00113F2D">
        <w:rPr>
          <w:rFonts w:ascii="Times New Roman" w:hAnsi="Times New Roman"/>
          <w:sz w:val="24"/>
          <w:szCs w:val="24"/>
        </w:rPr>
        <w:tab/>
        <w:t>ООО «</w:t>
      </w:r>
      <w:proofErr w:type="gramStart"/>
      <w:r w:rsidRPr="00113F2D">
        <w:rPr>
          <w:rFonts w:ascii="Times New Roman" w:hAnsi="Times New Roman"/>
          <w:sz w:val="24"/>
          <w:szCs w:val="24"/>
        </w:rPr>
        <w:t>С</w:t>
      </w:r>
      <w:proofErr w:type="gramEnd"/>
      <w:r w:rsidRPr="00113F2D">
        <w:rPr>
          <w:rFonts w:ascii="Times New Roman" w:hAnsi="Times New Roman"/>
          <w:sz w:val="24"/>
          <w:szCs w:val="24"/>
        </w:rPr>
        <w:t>/</w:t>
      </w:r>
      <w:proofErr w:type="spellStart"/>
      <w:proofErr w:type="gramStart"/>
      <w:r w:rsidRPr="00113F2D">
        <w:rPr>
          <w:rFonts w:ascii="Times New Roman" w:hAnsi="Times New Roman"/>
          <w:sz w:val="24"/>
          <w:szCs w:val="24"/>
        </w:rPr>
        <w:t>х</w:t>
      </w:r>
      <w:proofErr w:type="spellEnd"/>
      <w:proofErr w:type="gramEnd"/>
      <w:r w:rsidRPr="00113F2D">
        <w:rPr>
          <w:rFonts w:ascii="Times New Roman" w:hAnsi="Times New Roman"/>
          <w:sz w:val="24"/>
          <w:szCs w:val="24"/>
        </w:rPr>
        <w:t xml:space="preserve"> фирма </w:t>
      </w:r>
      <w:proofErr w:type="spellStart"/>
      <w:r w:rsidRPr="00113F2D">
        <w:rPr>
          <w:rFonts w:ascii="Times New Roman" w:hAnsi="Times New Roman"/>
          <w:sz w:val="24"/>
          <w:szCs w:val="24"/>
        </w:rPr>
        <w:t>Рустас</w:t>
      </w:r>
      <w:proofErr w:type="spellEnd"/>
      <w:r w:rsidRPr="00113F2D">
        <w:rPr>
          <w:rFonts w:ascii="Times New Roman" w:hAnsi="Times New Roman"/>
          <w:sz w:val="24"/>
          <w:szCs w:val="24"/>
        </w:rPr>
        <w:t>» - перешла полностью на производство сельскохозяйственной продукции;</w:t>
      </w:r>
    </w:p>
    <w:p w:rsidR="00EE2F18" w:rsidRPr="00113F2D" w:rsidRDefault="00EE2F18" w:rsidP="00BA765C">
      <w:pPr>
        <w:tabs>
          <w:tab w:val="left" w:pos="1080"/>
        </w:tabs>
        <w:spacing w:after="0" w:line="240" w:lineRule="auto"/>
        <w:ind w:firstLine="709"/>
        <w:jc w:val="both"/>
        <w:rPr>
          <w:rFonts w:ascii="Times New Roman" w:hAnsi="Times New Roman"/>
          <w:sz w:val="24"/>
          <w:szCs w:val="24"/>
        </w:rPr>
      </w:pPr>
      <w:r w:rsidRPr="00113F2D">
        <w:rPr>
          <w:rFonts w:ascii="Times New Roman" w:hAnsi="Times New Roman"/>
          <w:sz w:val="24"/>
          <w:szCs w:val="24"/>
        </w:rPr>
        <w:t>-</w:t>
      </w:r>
      <w:r w:rsidRPr="00113F2D">
        <w:rPr>
          <w:rFonts w:ascii="Times New Roman" w:hAnsi="Times New Roman"/>
          <w:sz w:val="24"/>
          <w:szCs w:val="24"/>
        </w:rPr>
        <w:tab/>
      </w:r>
      <w:r w:rsidRPr="00113F2D">
        <w:rPr>
          <w:rFonts w:ascii="Times New Roman" w:hAnsi="Times New Roman"/>
          <w:sz w:val="24"/>
          <w:szCs w:val="24"/>
          <w:lang w:val="en-US"/>
        </w:rPr>
        <w:t>OOO</w:t>
      </w:r>
      <w:r w:rsidRPr="00113F2D">
        <w:rPr>
          <w:rFonts w:ascii="Times New Roman" w:hAnsi="Times New Roman"/>
          <w:sz w:val="24"/>
          <w:szCs w:val="24"/>
        </w:rPr>
        <w:t xml:space="preserve"> «Мебельная фабрика </w:t>
      </w:r>
      <w:proofErr w:type="spellStart"/>
      <w:r w:rsidRPr="00113F2D">
        <w:rPr>
          <w:rFonts w:ascii="Times New Roman" w:hAnsi="Times New Roman"/>
          <w:sz w:val="24"/>
          <w:szCs w:val="24"/>
        </w:rPr>
        <w:t>Евростиль</w:t>
      </w:r>
      <w:proofErr w:type="spellEnd"/>
      <w:r w:rsidRPr="00113F2D">
        <w:rPr>
          <w:rFonts w:ascii="Times New Roman" w:hAnsi="Times New Roman"/>
          <w:sz w:val="24"/>
          <w:szCs w:val="24"/>
        </w:rPr>
        <w:t xml:space="preserve">» - в условиях конкуренции на отраслевом рынке, вызвавшей трудности с реализацией продукции, не приступала к производству продукции в целях </w:t>
      </w:r>
      <w:proofErr w:type="spellStart"/>
      <w:r w:rsidRPr="00113F2D">
        <w:rPr>
          <w:rFonts w:ascii="Times New Roman" w:hAnsi="Times New Roman"/>
          <w:sz w:val="24"/>
          <w:szCs w:val="24"/>
        </w:rPr>
        <w:t>незатоваривания</w:t>
      </w:r>
      <w:proofErr w:type="spellEnd"/>
      <w:r w:rsidRPr="00113F2D">
        <w:rPr>
          <w:rFonts w:ascii="Times New Roman" w:hAnsi="Times New Roman"/>
          <w:sz w:val="24"/>
          <w:szCs w:val="24"/>
        </w:rPr>
        <w:t xml:space="preserve"> складов;</w:t>
      </w:r>
    </w:p>
    <w:p w:rsidR="00EE2F18" w:rsidRPr="00372A15" w:rsidRDefault="00EE2F18" w:rsidP="00BA765C">
      <w:pPr>
        <w:tabs>
          <w:tab w:val="left" w:pos="1080"/>
        </w:tabs>
        <w:spacing w:after="0" w:line="240" w:lineRule="auto"/>
        <w:ind w:firstLine="709"/>
        <w:jc w:val="both"/>
        <w:rPr>
          <w:rFonts w:ascii="Times New Roman" w:hAnsi="Times New Roman"/>
          <w:sz w:val="24"/>
          <w:szCs w:val="24"/>
        </w:rPr>
      </w:pPr>
      <w:r w:rsidRPr="00372A15">
        <w:rPr>
          <w:rFonts w:ascii="Times New Roman" w:hAnsi="Times New Roman"/>
          <w:sz w:val="24"/>
          <w:szCs w:val="24"/>
        </w:rPr>
        <w:t>-</w:t>
      </w:r>
      <w:r w:rsidRPr="00372A15">
        <w:rPr>
          <w:rFonts w:ascii="Times New Roman" w:hAnsi="Times New Roman"/>
          <w:sz w:val="24"/>
          <w:szCs w:val="24"/>
        </w:rPr>
        <w:tab/>
        <w:t xml:space="preserve">ОАО «Рыбницкий молочный комбинат» - не приступал к производству промышленной продукции ввиду </w:t>
      </w:r>
      <w:r w:rsidRPr="00372A15">
        <w:rPr>
          <w:rFonts w:ascii="Times New Roman" w:hAnsi="Times New Roman"/>
          <w:sz w:val="24"/>
          <w:szCs w:val="24"/>
          <w:shd w:val="clear" w:color="auto" w:fill="FFFFFF"/>
        </w:rPr>
        <w:t>отсутствия сырья, нехватки оборотных средств, а также наличия задолженности по кредитам и налоговым платежам перед бюджетами различных уровней</w:t>
      </w:r>
      <w:r w:rsidRPr="00372A15">
        <w:rPr>
          <w:rFonts w:ascii="Times New Roman" w:hAnsi="Times New Roman"/>
          <w:sz w:val="24"/>
          <w:szCs w:val="24"/>
        </w:rPr>
        <w:t>.</w:t>
      </w:r>
    </w:p>
    <w:p w:rsidR="00EE2F18" w:rsidRDefault="00EE2F18" w:rsidP="00BA765C">
      <w:pPr>
        <w:pStyle w:val="aa"/>
        <w:ind w:firstLine="709"/>
        <w:jc w:val="both"/>
        <w:rPr>
          <w:rFonts w:ascii="Times New Roman" w:hAnsi="Times New Roman"/>
          <w:sz w:val="24"/>
          <w:szCs w:val="24"/>
        </w:rPr>
      </w:pPr>
      <w:r w:rsidRPr="00372A15">
        <w:rPr>
          <w:rFonts w:ascii="Times New Roman" w:hAnsi="Times New Roman"/>
          <w:sz w:val="24"/>
          <w:szCs w:val="24"/>
        </w:rPr>
        <w:t>В 2017 году в разрезе отраслей ситуация складывалась</w:t>
      </w:r>
      <w:r w:rsidRPr="00AE3002">
        <w:rPr>
          <w:rFonts w:ascii="Times New Roman" w:hAnsi="Times New Roman"/>
          <w:sz w:val="24"/>
          <w:szCs w:val="24"/>
        </w:rPr>
        <w:t xml:space="preserve"> следующим образом:</w:t>
      </w:r>
    </w:p>
    <w:p w:rsidR="00EE2F18" w:rsidRPr="00612AD9" w:rsidRDefault="00EE2F18" w:rsidP="00BA765C">
      <w:pPr>
        <w:pStyle w:val="aa"/>
        <w:ind w:firstLine="709"/>
        <w:jc w:val="both"/>
        <w:rPr>
          <w:rFonts w:ascii="Times New Roman" w:hAnsi="Times New Roman"/>
          <w:sz w:val="24"/>
          <w:szCs w:val="24"/>
        </w:rPr>
      </w:pPr>
      <w:proofErr w:type="gramStart"/>
      <w:r>
        <w:rPr>
          <w:rFonts w:ascii="Times New Roman" w:hAnsi="Times New Roman"/>
          <w:sz w:val="24"/>
          <w:szCs w:val="24"/>
        </w:rPr>
        <w:t>В</w:t>
      </w:r>
      <w:r w:rsidRPr="00866046">
        <w:rPr>
          <w:rFonts w:ascii="Times New Roman" w:hAnsi="Times New Roman"/>
          <w:sz w:val="24"/>
          <w:szCs w:val="24"/>
        </w:rPr>
        <w:t xml:space="preserve"> </w:t>
      </w:r>
      <w:r w:rsidRPr="00866046">
        <w:rPr>
          <w:rFonts w:ascii="Times New Roman" w:hAnsi="Times New Roman"/>
          <w:b/>
          <w:sz w:val="24"/>
          <w:szCs w:val="24"/>
        </w:rPr>
        <w:t>электроэнергетическом комплексе</w:t>
      </w:r>
      <w:r w:rsidRPr="00866046">
        <w:rPr>
          <w:rFonts w:ascii="Times New Roman" w:hAnsi="Times New Roman"/>
          <w:sz w:val="24"/>
          <w:szCs w:val="24"/>
        </w:rPr>
        <w:t xml:space="preserve"> республики перебои в работе </w:t>
      </w:r>
      <w:r>
        <w:rPr>
          <w:rFonts w:ascii="Times New Roman" w:hAnsi="Times New Roman"/>
          <w:sz w:val="24"/>
          <w:szCs w:val="24"/>
        </w:rPr>
        <w:t xml:space="preserve">                               </w:t>
      </w:r>
      <w:r w:rsidRPr="00866046">
        <w:rPr>
          <w:rFonts w:ascii="Times New Roman" w:hAnsi="Times New Roman"/>
          <w:sz w:val="24"/>
          <w:szCs w:val="24"/>
        </w:rPr>
        <w:t xml:space="preserve">ЗАО «Молдавская ГРЭС» в первом полугодии 2017 года, а также снижение в последующем контрактной цены поставляемой на экспорт электроэнергии </w:t>
      </w:r>
      <w:r>
        <w:rPr>
          <w:rFonts w:ascii="Times New Roman" w:hAnsi="Times New Roman"/>
          <w:sz w:val="24"/>
          <w:szCs w:val="24"/>
        </w:rPr>
        <w:t>в условиях</w:t>
      </w:r>
      <w:r w:rsidRPr="00866046">
        <w:rPr>
          <w:rFonts w:ascii="Times New Roman" w:hAnsi="Times New Roman"/>
          <w:sz w:val="24"/>
          <w:szCs w:val="24"/>
        </w:rPr>
        <w:t xml:space="preserve"> </w:t>
      </w:r>
      <w:r>
        <w:rPr>
          <w:rFonts w:ascii="Times New Roman" w:hAnsi="Times New Roman"/>
          <w:sz w:val="24"/>
          <w:szCs w:val="24"/>
        </w:rPr>
        <w:t>наличия</w:t>
      </w:r>
      <w:r w:rsidRPr="00866046">
        <w:rPr>
          <w:rFonts w:ascii="Times New Roman" w:hAnsi="Times New Roman"/>
          <w:sz w:val="24"/>
          <w:szCs w:val="24"/>
        </w:rPr>
        <w:t xml:space="preserve"> избыточных мощностей на мировых рынках электроэнергии, тянущих цен</w:t>
      </w:r>
      <w:r>
        <w:rPr>
          <w:rFonts w:ascii="Times New Roman" w:hAnsi="Times New Roman"/>
          <w:sz w:val="24"/>
          <w:szCs w:val="24"/>
        </w:rPr>
        <w:t>ы на энергоресурсы</w:t>
      </w:r>
      <w:r w:rsidRPr="00866046">
        <w:rPr>
          <w:rFonts w:ascii="Times New Roman" w:hAnsi="Times New Roman"/>
          <w:sz w:val="24"/>
          <w:szCs w:val="24"/>
        </w:rPr>
        <w:t xml:space="preserve"> вниз, обусловили падение товарного выпуска по итогам отчётного </w:t>
      </w:r>
      <w:r>
        <w:rPr>
          <w:rFonts w:ascii="Times New Roman" w:hAnsi="Times New Roman"/>
          <w:sz w:val="24"/>
          <w:szCs w:val="24"/>
        </w:rPr>
        <w:t>года</w:t>
      </w:r>
      <w:r w:rsidRPr="00866046">
        <w:rPr>
          <w:rFonts w:ascii="Times New Roman" w:hAnsi="Times New Roman"/>
          <w:sz w:val="24"/>
          <w:szCs w:val="24"/>
        </w:rPr>
        <w:t xml:space="preserve"> на 857</w:t>
      </w:r>
      <w:r>
        <w:rPr>
          <w:rFonts w:ascii="Times New Roman" w:hAnsi="Times New Roman"/>
          <w:sz w:val="24"/>
          <w:szCs w:val="24"/>
        </w:rPr>
        <w:t xml:space="preserve"> </w:t>
      </w:r>
      <w:r w:rsidRPr="00866046">
        <w:rPr>
          <w:rFonts w:ascii="Times New Roman" w:hAnsi="Times New Roman"/>
          <w:sz w:val="24"/>
          <w:szCs w:val="24"/>
        </w:rPr>
        <w:t xml:space="preserve">622 тыс. кВт/ч </w:t>
      </w:r>
      <w:r>
        <w:rPr>
          <w:rFonts w:ascii="Times New Roman" w:hAnsi="Times New Roman"/>
          <w:sz w:val="24"/>
          <w:szCs w:val="24"/>
        </w:rPr>
        <w:t xml:space="preserve">              </w:t>
      </w:r>
      <w:r w:rsidRPr="00866046">
        <w:rPr>
          <w:rFonts w:ascii="Times New Roman" w:hAnsi="Times New Roman"/>
          <w:sz w:val="24"/>
          <w:szCs w:val="24"/>
        </w:rPr>
        <w:t>(-17,4%), что обусловило</w:t>
      </w:r>
      <w:r>
        <w:rPr>
          <w:rFonts w:ascii="Times New Roman" w:hAnsi="Times New Roman"/>
          <w:sz w:val="24"/>
          <w:szCs w:val="24"/>
        </w:rPr>
        <w:t xml:space="preserve"> в</w:t>
      </w:r>
      <w:r w:rsidRPr="00866046">
        <w:rPr>
          <w:rFonts w:ascii="Times New Roman" w:hAnsi="Times New Roman"/>
          <w:sz w:val="24"/>
          <w:szCs w:val="24"/>
        </w:rPr>
        <w:t xml:space="preserve"> стоимостном выражении</w:t>
      </w:r>
      <w:proofErr w:type="gramEnd"/>
      <w:r w:rsidRPr="00866046">
        <w:rPr>
          <w:rFonts w:ascii="Times New Roman" w:hAnsi="Times New Roman"/>
          <w:sz w:val="24"/>
          <w:szCs w:val="24"/>
        </w:rPr>
        <w:t xml:space="preserve"> падение на 24,</w:t>
      </w:r>
      <w:r>
        <w:rPr>
          <w:rFonts w:ascii="Times New Roman" w:hAnsi="Times New Roman"/>
          <w:sz w:val="24"/>
          <w:szCs w:val="24"/>
        </w:rPr>
        <w:t>3</w:t>
      </w:r>
      <w:r w:rsidRPr="00866046">
        <w:rPr>
          <w:rFonts w:ascii="Times New Roman" w:hAnsi="Times New Roman"/>
          <w:sz w:val="24"/>
          <w:szCs w:val="24"/>
        </w:rPr>
        <w:t>% до 3 06</w:t>
      </w:r>
      <w:r>
        <w:rPr>
          <w:rFonts w:ascii="Times New Roman" w:hAnsi="Times New Roman"/>
          <w:sz w:val="24"/>
          <w:szCs w:val="24"/>
        </w:rPr>
        <w:t>6</w:t>
      </w:r>
      <w:r w:rsidRPr="00866046">
        <w:rPr>
          <w:rFonts w:ascii="Times New Roman" w:hAnsi="Times New Roman"/>
          <w:sz w:val="24"/>
          <w:szCs w:val="24"/>
        </w:rPr>
        <w:t>,</w:t>
      </w:r>
      <w:r>
        <w:rPr>
          <w:rFonts w:ascii="Times New Roman" w:hAnsi="Times New Roman"/>
          <w:sz w:val="24"/>
          <w:szCs w:val="24"/>
        </w:rPr>
        <w:t>5</w:t>
      </w:r>
      <w:r w:rsidRPr="00866046">
        <w:rPr>
          <w:rFonts w:ascii="Times New Roman" w:hAnsi="Times New Roman"/>
          <w:sz w:val="24"/>
          <w:szCs w:val="24"/>
        </w:rPr>
        <w:t xml:space="preserve"> млн руб.</w:t>
      </w:r>
      <w:r w:rsidRPr="00612AD9">
        <w:rPr>
          <w:rFonts w:ascii="Times New Roman" w:hAnsi="Times New Roman"/>
          <w:sz w:val="24"/>
          <w:szCs w:val="24"/>
        </w:rPr>
        <w:t>;</w:t>
      </w:r>
    </w:p>
    <w:p w:rsidR="00EE2F18" w:rsidRPr="00612AD9" w:rsidRDefault="00EE2F18" w:rsidP="00BA765C">
      <w:pPr>
        <w:pStyle w:val="aa"/>
        <w:ind w:firstLine="709"/>
        <w:jc w:val="both"/>
        <w:rPr>
          <w:rFonts w:ascii="Times New Roman" w:hAnsi="Times New Roman"/>
          <w:sz w:val="24"/>
          <w:szCs w:val="24"/>
        </w:rPr>
      </w:pPr>
      <w:proofErr w:type="gramStart"/>
      <w:r>
        <w:rPr>
          <w:rFonts w:ascii="Times New Roman" w:hAnsi="Times New Roman"/>
          <w:sz w:val="24"/>
          <w:szCs w:val="24"/>
        </w:rPr>
        <w:t>В</w:t>
      </w:r>
      <w:r w:rsidRPr="0014496B">
        <w:rPr>
          <w:rFonts w:ascii="Times New Roman" w:hAnsi="Times New Roman"/>
          <w:sz w:val="24"/>
          <w:szCs w:val="24"/>
        </w:rPr>
        <w:t xml:space="preserve"> </w:t>
      </w:r>
      <w:r w:rsidRPr="0014496B">
        <w:rPr>
          <w:rFonts w:ascii="Times New Roman" w:hAnsi="Times New Roman"/>
          <w:b/>
          <w:sz w:val="24"/>
          <w:szCs w:val="24"/>
        </w:rPr>
        <w:t xml:space="preserve">чёрной металлургии </w:t>
      </w:r>
      <w:r w:rsidRPr="0014496B">
        <w:rPr>
          <w:rFonts w:ascii="Times New Roman" w:hAnsi="Times New Roman"/>
          <w:sz w:val="24"/>
          <w:szCs w:val="24"/>
        </w:rPr>
        <w:t xml:space="preserve">рост котировок </w:t>
      </w:r>
      <w:r w:rsidRPr="00227E8D">
        <w:rPr>
          <w:rFonts w:ascii="Times New Roman" w:hAnsi="Times New Roman"/>
          <w:sz w:val="24"/>
          <w:szCs w:val="24"/>
        </w:rPr>
        <w:t>металлопродукции с мая</w:t>
      </w:r>
      <w:r>
        <w:rPr>
          <w:rFonts w:ascii="Times New Roman" w:hAnsi="Times New Roman"/>
          <w:sz w:val="24"/>
          <w:szCs w:val="24"/>
        </w:rPr>
        <w:t>,</w:t>
      </w:r>
      <w:r w:rsidRPr="00227E8D">
        <w:rPr>
          <w:rFonts w:ascii="Times New Roman" w:hAnsi="Times New Roman"/>
          <w:sz w:val="24"/>
          <w:szCs w:val="24"/>
        </w:rPr>
        <w:t xml:space="preserve"> вследствие возросшего спроса на продукцию,</w:t>
      </w:r>
      <w:r w:rsidRPr="00227E8D">
        <w:t xml:space="preserve"> </w:t>
      </w:r>
      <w:r w:rsidRPr="007F5869">
        <w:rPr>
          <w:rFonts w:ascii="Times New Roman" w:hAnsi="Times New Roman"/>
          <w:sz w:val="24"/>
          <w:szCs w:val="24"/>
        </w:rPr>
        <w:t xml:space="preserve">ввиду </w:t>
      </w:r>
      <w:r w:rsidRPr="00227E8D">
        <w:rPr>
          <w:rFonts w:ascii="Times New Roman" w:hAnsi="Times New Roman"/>
          <w:sz w:val="24"/>
          <w:szCs w:val="24"/>
        </w:rPr>
        <w:t>ограничения на выплавку стали в Китае, а также постепенного оживлени</w:t>
      </w:r>
      <w:r>
        <w:rPr>
          <w:rFonts w:ascii="Times New Roman" w:hAnsi="Times New Roman"/>
          <w:sz w:val="24"/>
          <w:szCs w:val="24"/>
        </w:rPr>
        <w:t>я</w:t>
      </w:r>
      <w:r w:rsidRPr="00227E8D">
        <w:rPr>
          <w:rFonts w:ascii="Times New Roman" w:hAnsi="Times New Roman"/>
          <w:sz w:val="24"/>
          <w:szCs w:val="24"/>
        </w:rPr>
        <w:t xml:space="preserve"> инвестиционной активности на мировых рынках</w:t>
      </w:r>
      <w:r>
        <w:rPr>
          <w:rFonts w:ascii="Times New Roman" w:hAnsi="Times New Roman"/>
          <w:sz w:val="24"/>
          <w:szCs w:val="24"/>
        </w:rPr>
        <w:t>,</w:t>
      </w:r>
      <w:r w:rsidRPr="00227E8D">
        <w:rPr>
          <w:rFonts w:ascii="Times New Roman" w:hAnsi="Times New Roman"/>
          <w:sz w:val="24"/>
          <w:szCs w:val="24"/>
        </w:rPr>
        <w:t xml:space="preserve"> обусловил наращивание выпуска проката черных металлов в натуральном выражении (в 2,0</w:t>
      </w:r>
      <w:r>
        <w:rPr>
          <w:rFonts w:ascii="Times New Roman" w:hAnsi="Times New Roman"/>
          <w:sz w:val="24"/>
          <w:szCs w:val="24"/>
        </w:rPr>
        <w:t xml:space="preserve"> </w:t>
      </w:r>
      <w:r w:rsidRPr="00227E8D">
        <w:rPr>
          <w:rFonts w:ascii="Times New Roman" w:hAnsi="Times New Roman"/>
          <w:sz w:val="24"/>
          <w:szCs w:val="24"/>
        </w:rPr>
        <w:t xml:space="preserve">р.), что в условиях ритмичной работы ОАО «Молдавский металлургический завод» </w:t>
      </w:r>
      <w:r>
        <w:rPr>
          <w:rFonts w:ascii="Times New Roman" w:hAnsi="Times New Roman"/>
          <w:sz w:val="24"/>
          <w:szCs w:val="24"/>
        </w:rPr>
        <w:t>сопровождалось</w:t>
      </w:r>
      <w:r w:rsidRPr="00227E8D">
        <w:rPr>
          <w:rFonts w:ascii="Times New Roman" w:hAnsi="Times New Roman"/>
          <w:sz w:val="24"/>
          <w:szCs w:val="24"/>
        </w:rPr>
        <w:t xml:space="preserve"> расширение</w:t>
      </w:r>
      <w:r>
        <w:rPr>
          <w:rFonts w:ascii="Times New Roman" w:hAnsi="Times New Roman"/>
          <w:sz w:val="24"/>
          <w:szCs w:val="24"/>
        </w:rPr>
        <w:t>м</w:t>
      </w:r>
      <w:r w:rsidRPr="00227E8D">
        <w:rPr>
          <w:rFonts w:ascii="Times New Roman" w:hAnsi="Times New Roman"/>
          <w:sz w:val="24"/>
          <w:szCs w:val="24"/>
        </w:rPr>
        <w:t xml:space="preserve"> объёма промышленного </w:t>
      </w:r>
      <w:r w:rsidRPr="00B51331">
        <w:rPr>
          <w:rFonts w:ascii="Times New Roman" w:hAnsi="Times New Roman"/>
          <w:sz w:val="24"/>
          <w:szCs w:val="24"/>
        </w:rPr>
        <w:t>производства в 3,6 раз до 2</w:t>
      </w:r>
      <w:proofErr w:type="gramEnd"/>
      <w:r w:rsidRPr="00B51331">
        <w:rPr>
          <w:rFonts w:ascii="Times New Roman" w:hAnsi="Times New Roman"/>
          <w:sz w:val="24"/>
          <w:szCs w:val="24"/>
        </w:rPr>
        <w:t xml:space="preserve"> 925,9 млн руб., в реальном выражении </w:t>
      </w:r>
      <w:r>
        <w:rPr>
          <w:rFonts w:ascii="Times New Roman" w:hAnsi="Times New Roman"/>
          <w:sz w:val="24"/>
          <w:szCs w:val="24"/>
        </w:rPr>
        <w:t>был зафиксирован двукратный прирост показателя</w:t>
      </w:r>
      <w:r w:rsidRPr="00612AD9">
        <w:rPr>
          <w:rFonts w:ascii="Times New Roman" w:hAnsi="Times New Roman"/>
          <w:sz w:val="24"/>
          <w:szCs w:val="24"/>
        </w:rPr>
        <w:t>;</w:t>
      </w:r>
    </w:p>
    <w:p w:rsidR="00EE2F18" w:rsidRPr="00612AD9" w:rsidRDefault="00EE2F18" w:rsidP="00BA765C">
      <w:pPr>
        <w:spacing w:after="0" w:line="240" w:lineRule="auto"/>
        <w:ind w:firstLine="709"/>
        <w:jc w:val="both"/>
        <w:rPr>
          <w:rFonts w:ascii="Times New Roman" w:hAnsi="Times New Roman"/>
          <w:sz w:val="24"/>
          <w:szCs w:val="24"/>
        </w:rPr>
      </w:pPr>
      <w:proofErr w:type="gramStart"/>
      <w:r w:rsidRPr="00815671">
        <w:rPr>
          <w:rFonts w:ascii="Times New Roman" w:hAnsi="Times New Roman"/>
          <w:sz w:val="24"/>
          <w:szCs w:val="24"/>
        </w:rPr>
        <w:t>В</w:t>
      </w:r>
      <w:r w:rsidRPr="00B51331">
        <w:rPr>
          <w:rFonts w:ascii="Times New Roman" w:hAnsi="Times New Roman"/>
          <w:b/>
          <w:sz w:val="24"/>
          <w:szCs w:val="24"/>
        </w:rPr>
        <w:t xml:space="preserve"> химической промышленности </w:t>
      </w:r>
      <w:r w:rsidRPr="00B51331">
        <w:rPr>
          <w:rFonts w:ascii="Times New Roman" w:hAnsi="Times New Roman"/>
          <w:sz w:val="24"/>
          <w:szCs w:val="24"/>
        </w:rPr>
        <w:t>в результате увеличения производства полимерной пленки (+7,4%), изделий из пластмасс (+11,2%), а также лаков (в 5,6</w:t>
      </w:r>
      <w:r>
        <w:rPr>
          <w:rFonts w:ascii="Times New Roman" w:hAnsi="Times New Roman"/>
          <w:sz w:val="24"/>
          <w:szCs w:val="24"/>
        </w:rPr>
        <w:t xml:space="preserve"> </w:t>
      </w:r>
      <w:r w:rsidRPr="00B51331">
        <w:rPr>
          <w:rFonts w:ascii="Times New Roman" w:hAnsi="Times New Roman"/>
          <w:sz w:val="24"/>
          <w:szCs w:val="24"/>
        </w:rPr>
        <w:t xml:space="preserve">р.), отмечалось наращивание объемов отраслевого выпуска до 191,4 млн руб., или на 25,7% в текущих ценах, при этом </w:t>
      </w:r>
      <w:r w:rsidRPr="007F5869">
        <w:rPr>
          <w:rFonts w:ascii="Times New Roman" w:hAnsi="Times New Roman"/>
          <w:sz w:val="24"/>
          <w:szCs w:val="24"/>
        </w:rPr>
        <w:t xml:space="preserve">отрицательный вектор </w:t>
      </w:r>
      <w:r>
        <w:rPr>
          <w:rFonts w:ascii="Times New Roman" w:hAnsi="Times New Roman"/>
          <w:sz w:val="24"/>
          <w:szCs w:val="24"/>
        </w:rPr>
        <w:t xml:space="preserve">спроса </w:t>
      </w:r>
      <w:r w:rsidRPr="007F5869">
        <w:rPr>
          <w:rFonts w:ascii="Times New Roman" w:hAnsi="Times New Roman"/>
          <w:sz w:val="24"/>
          <w:szCs w:val="24"/>
        </w:rPr>
        <w:t>на продукцию отрасли, начиная с сентября 2017 года</w:t>
      </w:r>
      <w:r>
        <w:rPr>
          <w:rFonts w:ascii="Times New Roman" w:hAnsi="Times New Roman"/>
          <w:sz w:val="24"/>
          <w:szCs w:val="24"/>
        </w:rPr>
        <w:t>,</w:t>
      </w:r>
      <w:r w:rsidRPr="007F5869">
        <w:rPr>
          <w:rFonts w:ascii="Times New Roman" w:hAnsi="Times New Roman"/>
          <w:sz w:val="24"/>
          <w:szCs w:val="24"/>
        </w:rPr>
        <w:t xml:space="preserve"> спровоцировал снижение в сопоставимых ценах на 1,7%</w:t>
      </w:r>
      <w:r w:rsidRPr="00612AD9">
        <w:rPr>
          <w:rFonts w:ascii="Times New Roman" w:hAnsi="Times New Roman"/>
          <w:sz w:val="24"/>
          <w:szCs w:val="24"/>
        </w:rPr>
        <w:t>;</w:t>
      </w:r>
      <w:proofErr w:type="gramEnd"/>
    </w:p>
    <w:p w:rsidR="00EE2F18" w:rsidRPr="00612AD9" w:rsidRDefault="00EE2F18" w:rsidP="00BA765C">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7F5869">
        <w:rPr>
          <w:rFonts w:ascii="Times New Roman" w:hAnsi="Times New Roman"/>
          <w:sz w:val="24"/>
          <w:szCs w:val="24"/>
        </w:rPr>
        <w:t xml:space="preserve">редприятия </w:t>
      </w:r>
      <w:r w:rsidRPr="007F5869">
        <w:rPr>
          <w:rFonts w:ascii="Times New Roman" w:hAnsi="Times New Roman"/>
          <w:b/>
          <w:sz w:val="24"/>
          <w:szCs w:val="24"/>
        </w:rPr>
        <w:t xml:space="preserve">машиностроения и металлообработки, </w:t>
      </w:r>
      <w:r w:rsidRPr="007F5869">
        <w:rPr>
          <w:rFonts w:ascii="Times New Roman" w:hAnsi="Times New Roman"/>
          <w:sz w:val="24"/>
          <w:szCs w:val="24"/>
        </w:rPr>
        <w:t xml:space="preserve">деятельность которых в основном ориентирована на российский рынок, по итогам отчётного периода, </w:t>
      </w:r>
      <w:r w:rsidRPr="00B8214A">
        <w:rPr>
          <w:rFonts w:ascii="Times New Roman" w:hAnsi="Times New Roman"/>
          <w:sz w:val="24"/>
          <w:szCs w:val="24"/>
        </w:rPr>
        <w:t xml:space="preserve">ввиду особенностей производственного процесса, а также тенденций развития рынка </w:t>
      </w:r>
      <w:r w:rsidRPr="001042DF">
        <w:rPr>
          <w:rFonts w:ascii="Times New Roman" w:hAnsi="Times New Roman"/>
          <w:sz w:val="24"/>
          <w:szCs w:val="24"/>
        </w:rPr>
        <w:t>машиностроения, демонстрировали</w:t>
      </w:r>
      <w:r w:rsidRPr="007F5869">
        <w:rPr>
          <w:rFonts w:ascii="Times New Roman" w:hAnsi="Times New Roman"/>
          <w:sz w:val="24"/>
          <w:szCs w:val="24"/>
        </w:rPr>
        <w:t xml:space="preserve"> положительную динамику параметров производства: +47,1% до</w:t>
      </w:r>
      <w:r w:rsidR="00822F11">
        <w:rPr>
          <w:rFonts w:ascii="Times New Roman" w:hAnsi="Times New Roman"/>
          <w:sz w:val="24"/>
          <w:szCs w:val="24"/>
        </w:rPr>
        <w:t xml:space="preserve"> </w:t>
      </w:r>
      <w:r w:rsidRPr="007F5869">
        <w:rPr>
          <w:rFonts w:ascii="Times New Roman" w:hAnsi="Times New Roman"/>
          <w:sz w:val="24"/>
          <w:szCs w:val="24"/>
        </w:rPr>
        <w:t>294,9 млн руб.</w:t>
      </w: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сопоставимых – +</w:t>
      </w:r>
      <w:r w:rsidRPr="005679D9">
        <w:rPr>
          <w:rFonts w:ascii="Times New Roman" w:hAnsi="Times New Roman"/>
          <w:sz w:val="24"/>
          <w:szCs w:val="24"/>
        </w:rPr>
        <w:t>20,5</w:t>
      </w:r>
      <w:r>
        <w:rPr>
          <w:rFonts w:ascii="Times New Roman" w:hAnsi="Times New Roman"/>
          <w:sz w:val="24"/>
          <w:szCs w:val="24"/>
        </w:rPr>
        <w:t>%).</w:t>
      </w:r>
      <w:r w:rsidRPr="007F5869">
        <w:rPr>
          <w:rFonts w:ascii="Times New Roman" w:hAnsi="Times New Roman"/>
          <w:sz w:val="24"/>
          <w:szCs w:val="24"/>
        </w:rPr>
        <w:t xml:space="preserve"> Это обусловлено расширением товарного выпуска на ОАО «</w:t>
      </w:r>
      <w:proofErr w:type="spellStart"/>
      <w:r w:rsidRPr="007F5869">
        <w:rPr>
          <w:rFonts w:ascii="Times New Roman" w:hAnsi="Times New Roman"/>
          <w:sz w:val="24"/>
          <w:szCs w:val="24"/>
        </w:rPr>
        <w:t>Литмаш</w:t>
      </w:r>
      <w:proofErr w:type="spellEnd"/>
      <w:r w:rsidRPr="007F5869">
        <w:rPr>
          <w:rFonts w:ascii="Times New Roman" w:hAnsi="Times New Roman"/>
          <w:sz w:val="24"/>
          <w:szCs w:val="24"/>
        </w:rPr>
        <w:t xml:space="preserve">», </w:t>
      </w:r>
      <w:proofErr w:type="spellStart"/>
      <w:r w:rsidRPr="007F5869">
        <w:rPr>
          <w:rFonts w:ascii="Times New Roman" w:hAnsi="Times New Roman"/>
          <w:sz w:val="24"/>
          <w:szCs w:val="24"/>
        </w:rPr>
        <w:t>ф-л</w:t>
      </w:r>
      <w:proofErr w:type="spellEnd"/>
      <w:r w:rsidRPr="007F5869">
        <w:rPr>
          <w:rFonts w:ascii="Times New Roman" w:hAnsi="Times New Roman"/>
          <w:sz w:val="24"/>
          <w:szCs w:val="24"/>
        </w:rPr>
        <w:t xml:space="preserve"> «Завод «Прибор», ЗАО «Российское предприятие «БМЗ»</w:t>
      </w:r>
      <w:r w:rsidRPr="00612AD9">
        <w:rPr>
          <w:rFonts w:ascii="Times New Roman" w:hAnsi="Times New Roman"/>
          <w:sz w:val="24"/>
          <w:szCs w:val="24"/>
        </w:rPr>
        <w:t>;</w:t>
      </w:r>
    </w:p>
    <w:p w:rsidR="00EE2F18" w:rsidRPr="00B651CA" w:rsidRDefault="00EE2F18" w:rsidP="00BA765C">
      <w:pPr>
        <w:spacing w:after="0" w:line="240" w:lineRule="auto"/>
        <w:ind w:firstLine="709"/>
        <w:jc w:val="both"/>
        <w:rPr>
          <w:rFonts w:ascii="Times New Roman" w:hAnsi="Times New Roman"/>
          <w:sz w:val="24"/>
          <w:szCs w:val="24"/>
        </w:rPr>
      </w:pPr>
      <w:r w:rsidRPr="009677A4">
        <w:rPr>
          <w:rFonts w:ascii="Times New Roman" w:hAnsi="Times New Roman"/>
          <w:sz w:val="24"/>
          <w:szCs w:val="24"/>
        </w:rPr>
        <w:t>В</w:t>
      </w:r>
      <w:r w:rsidRPr="007F5869">
        <w:rPr>
          <w:rFonts w:ascii="Times New Roman" w:hAnsi="Times New Roman"/>
          <w:b/>
          <w:sz w:val="24"/>
          <w:szCs w:val="24"/>
        </w:rPr>
        <w:t xml:space="preserve"> электротехнической промышленности </w:t>
      </w:r>
      <w:r w:rsidRPr="007F5869">
        <w:rPr>
          <w:rFonts w:ascii="Times New Roman" w:hAnsi="Times New Roman"/>
          <w:sz w:val="24"/>
          <w:szCs w:val="24"/>
        </w:rPr>
        <w:t xml:space="preserve">увеличение выпуска кабельной продукции в натуральном выражении (проводов обмоточных – на 75,0%, кабелей силовых – на 56,5%, проводов и шнуров осветительных – на 43,6%) обеспечило прирост промышленного производства в </w:t>
      </w:r>
      <w:r w:rsidRPr="00B651CA">
        <w:rPr>
          <w:rFonts w:ascii="Times New Roman" w:hAnsi="Times New Roman"/>
          <w:sz w:val="24"/>
          <w:szCs w:val="24"/>
        </w:rPr>
        <w:t xml:space="preserve">целом по отрасли в текущих ценах на 76,9% до 187,9 млн руб., в сопоставимых – </w:t>
      </w:r>
      <w:proofErr w:type="gramStart"/>
      <w:r w:rsidRPr="00B651CA">
        <w:rPr>
          <w:rFonts w:ascii="Times New Roman" w:hAnsi="Times New Roman"/>
          <w:sz w:val="24"/>
          <w:szCs w:val="24"/>
        </w:rPr>
        <w:t>на</w:t>
      </w:r>
      <w:proofErr w:type="gramEnd"/>
      <w:r w:rsidRPr="00B651CA">
        <w:rPr>
          <w:rFonts w:ascii="Times New Roman" w:hAnsi="Times New Roman"/>
          <w:sz w:val="24"/>
          <w:szCs w:val="24"/>
        </w:rPr>
        <w:t xml:space="preserve"> 33,8%;</w:t>
      </w:r>
    </w:p>
    <w:p w:rsidR="00EE2F18" w:rsidRPr="00612AD9" w:rsidRDefault="00EE2F18" w:rsidP="00BA765C">
      <w:pPr>
        <w:spacing w:after="0" w:line="240" w:lineRule="auto"/>
        <w:ind w:firstLine="709"/>
        <w:jc w:val="both"/>
        <w:rPr>
          <w:rFonts w:ascii="Times New Roman" w:hAnsi="Times New Roman"/>
          <w:sz w:val="24"/>
          <w:szCs w:val="24"/>
        </w:rPr>
      </w:pPr>
      <w:r w:rsidRPr="00B651CA">
        <w:rPr>
          <w:rFonts w:ascii="Times New Roman" w:hAnsi="Times New Roman"/>
          <w:sz w:val="24"/>
          <w:szCs w:val="24"/>
        </w:rPr>
        <w:t xml:space="preserve">Предприятия </w:t>
      </w:r>
      <w:r w:rsidRPr="00B651CA">
        <w:rPr>
          <w:rFonts w:ascii="Times New Roman" w:hAnsi="Times New Roman"/>
          <w:b/>
          <w:sz w:val="24"/>
          <w:szCs w:val="24"/>
        </w:rPr>
        <w:t>лесной и</w:t>
      </w:r>
      <w:r w:rsidRPr="00B651CA">
        <w:rPr>
          <w:rFonts w:ascii="Times New Roman" w:hAnsi="Times New Roman"/>
          <w:sz w:val="24"/>
          <w:szCs w:val="24"/>
        </w:rPr>
        <w:t xml:space="preserve"> </w:t>
      </w:r>
      <w:r w:rsidRPr="00B651CA">
        <w:rPr>
          <w:rFonts w:ascii="Times New Roman" w:hAnsi="Times New Roman"/>
          <w:b/>
          <w:sz w:val="24"/>
          <w:szCs w:val="24"/>
        </w:rPr>
        <w:t>деревообрабатывающей промышленности</w:t>
      </w:r>
      <w:r w:rsidRPr="00B651CA">
        <w:rPr>
          <w:rFonts w:ascii="Times New Roman" w:hAnsi="Times New Roman"/>
          <w:sz w:val="24"/>
          <w:szCs w:val="24"/>
        </w:rPr>
        <w:t xml:space="preserve"> в 2017 году демонстрировали расширение производственных показателей, в результате чего, объем произведенной продукции отрасли увеличился </w:t>
      </w:r>
      <w:r w:rsidRPr="00B651CA">
        <w:rPr>
          <w:rFonts w:ascii="Times New Roman" w:hAnsi="Times New Roman"/>
          <w:color w:val="000000"/>
          <w:sz w:val="24"/>
          <w:szCs w:val="24"/>
        </w:rPr>
        <w:t>относительно соответствующего показателя предыдущего года</w:t>
      </w:r>
      <w:r w:rsidRPr="00B651CA">
        <w:rPr>
          <w:rFonts w:ascii="Times New Roman" w:hAnsi="Times New Roman"/>
          <w:sz w:val="24"/>
          <w:szCs w:val="24"/>
        </w:rPr>
        <w:t xml:space="preserve"> на 16,5%, достигнув в стоимостном выражении 7,6 млн руб.</w:t>
      </w:r>
      <w:r>
        <w:rPr>
          <w:rFonts w:ascii="Times New Roman" w:hAnsi="Times New Roman"/>
          <w:sz w:val="24"/>
          <w:szCs w:val="24"/>
        </w:rPr>
        <w:t>;</w:t>
      </w:r>
    </w:p>
    <w:p w:rsidR="00EE2F18" w:rsidRPr="00612AD9" w:rsidRDefault="00EE2F18" w:rsidP="00BA765C">
      <w:pPr>
        <w:spacing w:after="0" w:line="240" w:lineRule="auto"/>
        <w:ind w:firstLine="709"/>
        <w:jc w:val="both"/>
        <w:rPr>
          <w:rFonts w:ascii="Times New Roman" w:hAnsi="Times New Roman"/>
          <w:sz w:val="24"/>
          <w:szCs w:val="24"/>
        </w:rPr>
      </w:pPr>
      <w:proofErr w:type="gramStart"/>
      <w:r w:rsidRPr="00AE3002">
        <w:rPr>
          <w:rFonts w:ascii="Times New Roman" w:hAnsi="Times New Roman"/>
          <w:sz w:val="24"/>
          <w:szCs w:val="24"/>
        </w:rPr>
        <w:t xml:space="preserve">В </w:t>
      </w:r>
      <w:r w:rsidRPr="00AA76DA">
        <w:rPr>
          <w:rFonts w:ascii="Times New Roman" w:hAnsi="Times New Roman"/>
          <w:b/>
          <w:sz w:val="24"/>
          <w:szCs w:val="24"/>
        </w:rPr>
        <w:t xml:space="preserve">промышленности строительных материалов </w:t>
      </w:r>
      <w:r w:rsidRPr="00AA76DA">
        <w:rPr>
          <w:rFonts w:ascii="Times New Roman" w:hAnsi="Times New Roman"/>
          <w:sz w:val="24"/>
          <w:szCs w:val="24"/>
        </w:rPr>
        <w:t xml:space="preserve">положительная динамика выпуска на ЗАО «Рыбницкий цементный комбинат», сопровождалась расширением отраслевого показателя в текущих ценах на </w:t>
      </w:r>
      <w:r>
        <w:rPr>
          <w:rFonts w:ascii="Times New Roman" w:hAnsi="Times New Roman"/>
          <w:sz w:val="24"/>
          <w:szCs w:val="24"/>
        </w:rPr>
        <w:t>29,9</w:t>
      </w:r>
      <w:r w:rsidRPr="00AA76DA">
        <w:rPr>
          <w:rFonts w:ascii="Times New Roman" w:hAnsi="Times New Roman"/>
          <w:sz w:val="24"/>
          <w:szCs w:val="24"/>
        </w:rPr>
        <w:t>% до 479,</w:t>
      </w:r>
      <w:r>
        <w:rPr>
          <w:rFonts w:ascii="Times New Roman" w:hAnsi="Times New Roman"/>
          <w:sz w:val="24"/>
          <w:szCs w:val="24"/>
        </w:rPr>
        <w:t>6</w:t>
      </w:r>
      <w:r w:rsidRPr="00AA76DA">
        <w:rPr>
          <w:rFonts w:ascii="Times New Roman" w:hAnsi="Times New Roman"/>
          <w:sz w:val="24"/>
          <w:szCs w:val="24"/>
        </w:rPr>
        <w:t xml:space="preserve"> млн руб.</w:t>
      </w:r>
      <w:r w:rsidRPr="00AA76DA">
        <w:rPr>
          <w:rFonts w:ascii="Times New Roman" w:hAnsi="Times New Roman"/>
          <w:spacing w:val="18"/>
          <w:sz w:val="24"/>
          <w:szCs w:val="24"/>
        </w:rPr>
        <w:t xml:space="preserve"> Между тем</w:t>
      </w:r>
      <w:r w:rsidRPr="00AA76DA">
        <w:rPr>
          <w:rFonts w:ascii="Times New Roman" w:hAnsi="Times New Roman"/>
          <w:sz w:val="24"/>
          <w:szCs w:val="24"/>
          <w:shd w:val="clear" w:color="auto" w:fill="FFFFFF"/>
        </w:rPr>
        <w:t xml:space="preserve">, увеличение цен на </w:t>
      </w:r>
      <w:r w:rsidRPr="00AA76DA">
        <w:rPr>
          <w:rFonts w:ascii="Times New Roman" w:hAnsi="Times New Roman"/>
          <w:sz w:val="24"/>
          <w:szCs w:val="24"/>
          <w:shd w:val="clear" w:color="auto" w:fill="FFFFFF"/>
        </w:rPr>
        <w:lastRenderedPageBreak/>
        <w:t>продукцию отрасли</w:t>
      </w:r>
      <w:r w:rsidRPr="00AA76DA">
        <w:rPr>
          <w:rFonts w:ascii="Times New Roman" w:hAnsi="Times New Roman"/>
          <w:sz w:val="24"/>
          <w:szCs w:val="24"/>
        </w:rPr>
        <w:t xml:space="preserve"> обеспечило прирост производственных показателей в реальном выражении на 4,1%. Следует также отметить активное наращивание выпуска в декабре </w:t>
      </w:r>
      <w:r w:rsidR="00822F11">
        <w:rPr>
          <w:rFonts w:ascii="Times New Roman" w:hAnsi="Times New Roman"/>
          <w:sz w:val="24"/>
          <w:szCs w:val="24"/>
        </w:rPr>
        <w:t xml:space="preserve">              </w:t>
      </w:r>
      <w:r w:rsidRPr="00AA76DA">
        <w:rPr>
          <w:rFonts w:ascii="Times New Roman" w:hAnsi="Times New Roman"/>
          <w:sz w:val="24"/>
          <w:szCs w:val="24"/>
        </w:rPr>
        <w:t>2017 года по отношению к</w:t>
      </w:r>
      <w:r>
        <w:rPr>
          <w:rFonts w:ascii="Times New Roman" w:hAnsi="Times New Roman"/>
          <w:sz w:val="24"/>
          <w:szCs w:val="24"/>
        </w:rPr>
        <w:t xml:space="preserve"> значению </w:t>
      </w:r>
      <w:r w:rsidRPr="00AA76DA">
        <w:rPr>
          <w:rFonts w:ascii="Times New Roman" w:hAnsi="Times New Roman"/>
          <w:sz w:val="24"/>
          <w:szCs w:val="24"/>
        </w:rPr>
        <w:t>декабр</w:t>
      </w:r>
      <w:r>
        <w:rPr>
          <w:rFonts w:ascii="Times New Roman" w:hAnsi="Times New Roman"/>
          <w:sz w:val="24"/>
          <w:szCs w:val="24"/>
        </w:rPr>
        <w:t>я</w:t>
      </w:r>
      <w:r w:rsidRPr="00AA76DA">
        <w:rPr>
          <w:rFonts w:ascii="Times New Roman" w:hAnsi="Times New Roman"/>
          <w:sz w:val="24"/>
          <w:szCs w:val="24"/>
        </w:rPr>
        <w:t xml:space="preserve"> 2016 года (+77,</w:t>
      </w:r>
      <w:r>
        <w:rPr>
          <w:rFonts w:ascii="Times New Roman" w:hAnsi="Times New Roman"/>
          <w:sz w:val="24"/>
          <w:szCs w:val="24"/>
        </w:rPr>
        <w:t>3</w:t>
      </w:r>
      <w:r w:rsidRPr="00AA76DA">
        <w:rPr>
          <w:rFonts w:ascii="Times New Roman" w:hAnsi="Times New Roman"/>
          <w:sz w:val="24"/>
          <w:szCs w:val="24"/>
        </w:rPr>
        <w:t>% в</w:t>
      </w:r>
      <w:proofErr w:type="gramEnd"/>
      <w:r w:rsidRPr="00AA76DA">
        <w:rPr>
          <w:rFonts w:ascii="Times New Roman" w:hAnsi="Times New Roman"/>
          <w:sz w:val="24"/>
          <w:szCs w:val="24"/>
        </w:rPr>
        <w:t xml:space="preserve"> реальном </w:t>
      </w:r>
      <w:proofErr w:type="gramStart"/>
      <w:r w:rsidRPr="00AA76DA">
        <w:rPr>
          <w:rFonts w:ascii="Times New Roman" w:hAnsi="Times New Roman"/>
          <w:sz w:val="24"/>
          <w:szCs w:val="24"/>
        </w:rPr>
        <w:t>выражении</w:t>
      </w:r>
      <w:proofErr w:type="gramEnd"/>
      <w:r w:rsidRPr="00AA76DA">
        <w:rPr>
          <w:rFonts w:ascii="Times New Roman" w:hAnsi="Times New Roman"/>
          <w:sz w:val="24"/>
          <w:szCs w:val="24"/>
        </w:rPr>
        <w:t xml:space="preserve">), </w:t>
      </w:r>
      <w:r>
        <w:rPr>
          <w:rFonts w:ascii="Times New Roman" w:hAnsi="Times New Roman"/>
          <w:sz w:val="24"/>
          <w:szCs w:val="24"/>
        </w:rPr>
        <w:t xml:space="preserve">что в то же время на треть ниже показателя предыдущего месяца, вследствие </w:t>
      </w:r>
      <w:r w:rsidRPr="00AA76DA">
        <w:rPr>
          <w:rFonts w:ascii="Times New Roman" w:hAnsi="Times New Roman"/>
          <w:sz w:val="24"/>
          <w:szCs w:val="24"/>
        </w:rPr>
        <w:t>снижения с</w:t>
      </w:r>
      <w:r>
        <w:rPr>
          <w:rFonts w:ascii="Times New Roman" w:hAnsi="Times New Roman"/>
          <w:sz w:val="24"/>
          <w:szCs w:val="24"/>
        </w:rPr>
        <w:t>проса на стройматериалы в зимний</w:t>
      </w:r>
      <w:r w:rsidRPr="00AA76DA">
        <w:rPr>
          <w:rFonts w:ascii="Times New Roman" w:hAnsi="Times New Roman"/>
          <w:sz w:val="24"/>
          <w:szCs w:val="24"/>
        </w:rPr>
        <w:t xml:space="preserve"> </w:t>
      </w:r>
      <w:r>
        <w:rPr>
          <w:rFonts w:ascii="Times New Roman" w:hAnsi="Times New Roman"/>
          <w:sz w:val="24"/>
          <w:szCs w:val="24"/>
        </w:rPr>
        <w:t>период</w:t>
      </w:r>
      <w:r w:rsidRPr="00612AD9">
        <w:rPr>
          <w:rFonts w:ascii="Times New Roman" w:hAnsi="Times New Roman"/>
          <w:sz w:val="24"/>
          <w:szCs w:val="24"/>
        </w:rPr>
        <w:t>;</w:t>
      </w:r>
    </w:p>
    <w:p w:rsidR="00EE2F18" w:rsidRDefault="00EE2F18" w:rsidP="00BA765C">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На </w:t>
      </w:r>
      <w:r w:rsidRPr="00AA76DA">
        <w:rPr>
          <w:rFonts w:ascii="Times New Roman" w:hAnsi="Times New Roman"/>
          <w:sz w:val="24"/>
          <w:szCs w:val="24"/>
        </w:rPr>
        <w:t>предприятия</w:t>
      </w:r>
      <w:r>
        <w:rPr>
          <w:rFonts w:ascii="Times New Roman" w:hAnsi="Times New Roman"/>
          <w:sz w:val="24"/>
          <w:szCs w:val="24"/>
        </w:rPr>
        <w:t>х</w:t>
      </w:r>
      <w:r w:rsidRPr="00AA76DA">
        <w:rPr>
          <w:rFonts w:ascii="Times New Roman" w:hAnsi="Times New Roman"/>
          <w:sz w:val="24"/>
          <w:szCs w:val="24"/>
        </w:rPr>
        <w:t xml:space="preserve"> </w:t>
      </w:r>
      <w:r w:rsidRPr="00AA76DA">
        <w:rPr>
          <w:rFonts w:ascii="Times New Roman" w:hAnsi="Times New Roman"/>
          <w:b/>
          <w:sz w:val="24"/>
          <w:szCs w:val="24"/>
        </w:rPr>
        <w:t xml:space="preserve">лёгкой </w:t>
      </w:r>
      <w:r w:rsidRPr="00963A42">
        <w:rPr>
          <w:rFonts w:ascii="Times New Roman" w:hAnsi="Times New Roman"/>
          <w:b/>
          <w:sz w:val="24"/>
          <w:szCs w:val="24"/>
        </w:rPr>
        <w:t>промышленности</w:t>
      </w:r>
      <w:r w:rsidRPr="00963A42">
        <w:rPr>
          <w:rFonts w:ascii="Times New Roman" w:hAnsi="Times New Roman"/>
          <w:sz w:val="24"/>
          <w:szCs w:val="24"/>
        </w:rPr>
        <w:t xml:space="preserve"> объём производства в текущих ценах вырос на 13,2% до</w:t>
      </w:r>
      <w:r>
        <w:rPr>
          <w:rFonts w:ascii="Times New Roman" w:hAnsi="Times New Roman"/>
          <w:sz w:val="24"/>
          <w:szCs w:val="24"/>
        </w:rPr>
        <w:t xml:space="preserve"> </w:t>
      </w:r>
      <w:r w:rsidRPr="00963A42">
        <w:rPr>
          <w:rFonts w:ascii="Times New Roman" w:hAnsi="Times New Roman"/>
          <w:sz w:val="24"/>
          <w:szCs w:val="24"/>
        </w:rPr>
        <w:t xml:space="preserve">1 349,5 млн руб., в сопоставимых – на 4,2%. </w:t>
      </w:r>
      <w:r>
        <w:rPr>
          <w:rFonts w:ascii="Times New Roman" w:hAnsi="Times New Roman"/>
          <w:sz w:val="24"/>
          <w:szCs w:val="24"/>
        </w:rPr>
        <w:t>В условиях</w:t>
      </w:r>
      <w:r w:rsidRPr="00963A42">
        <w:rPr>
          <w:rFonts w:ascii="Times New Roman" w:hAnsi="Times New Roman"/>
          <w:sz w:val="24"/>
          <w:szCs w:val="24"/>
        </w:rPr>
        <w:t xml:space="preserve"> </w:t>
      </w:r>
      <w:r>
        <w:rPr>
          <w:rFonts w:ascii="Times New Roman" w:hAnsi="Times New Roman"/>
          <w:sz w:val="24"/>
          <w:szCs w:val="24"/>
        </w:rPr>
        <w:t>повышения</w:t>
      </w:r>
      <w:r w:rsidRPr="00963A42">
        <w:rPr>
          <w:rFonts w:ascii="Times New Roman" w:hAnsi="Times New Roman"/>
          <w:sz w:val="24"/>
          <w:szCs w:val="24"/>
        </w:rPr>
        <w:t xml:space="preserve"> спроса на отечественную продукцию </w:t>
      </w:r>
      <w:r>
        <w:rPr>
          <w:rFonts w:ascii="Times New Roman" w:hAnsi="Times New Roman"/>
          <w:sz w:val="24"/>
          <w:szCs w:val="24"/>
        </w:rPr>
        <w:t>на формирование данных показателей влияло</w:t>
      </w:r>
      <w:r w:rsidRPr="00963A42">
        <w:rPr>
          <w:rFonts w:ascii="Times New Roman" w:hAnsi="Times New Roman"/>
          <w:sz w:val="24"/>
          <w:szCs w:val="24"/>
        </w:rPr>
        <w:t xml:space="preserve"> расширение в натуральном выражении производства товарного выпуска хлопчатобумажных тканей – на 19,1% и отдельных видов швейных изделий, таких как, верхние сорочки – в 16,2 раза, плащи – в 5,6 раз</w:t>
      </w:r>
      <w:proofErr w:type="gramEnd"/>
      <w:r w:rsidRPr="00963A42">
        <w:rPr>
          <w:rFonts w:ascii="Times New Roman" w:hAnsi="Times New Roman"/>
          <w:sz w:val="24"/>
          <w:szCs w:val="24"/>
        </w:rPr>
        <w:t xml:space="preserve">, брюки – в 4,5 раза, платья хлопчатобумажные – в 4,4 раза, одеяла – в 3,2 раза, пальто, полупальто – на 57,2%, блузки – на 39,1%. </w:t>
      </w:r>
      <w:r w:rsidRPr="004A3929">
        <w:rPr>
          <w:rFonts w:ascii="Times New Roman" w:hAnsi="Times New Roman"/>
          <w:sz w:val="24"/>
          <w:szCs w:val="24"/>
        </w:rPr>
        <w:t>При этом следует отметить, что определяющее влияние на отраслевой показатель оказывает работа крупнейшего пре</w:t>
      </w:r>
      <w:r>
        <w:rPr>
          <w:rFonts w:ascii="Times New Roman" w:hAnsi="Times New Roman"/>
          <w:sz w:val="24"/>
          <w:szCs w:val="24"/>
        </w:rPr>
        <w:t>дприятия отрасли ЗАО «</w:t>
      </w:r>
      <w:proofErr w:type="spellStart"/>
      <w:r>
        <w:rPr>
          <w:rFonts w:ascii="Times New Roman" w:hAnsi="Times New Roman"/>
          <w:sz w:val="24"/>
          <w:szCs w:val="24"/>
        </w:rPr>
        <w:t>Тиротекс</w:t>
      </w:r>
      <w:proofErr w:type="spellEnd"/>
      <w:r>
        <w:rPr>
          <w:rFonts w:ascii="Times New Roman" w:hAnsi="Times New Roman"/>
          <w:sz w:val="24"/>
          <w:szCs w:val="24"/>
        </w:rPr>
        <w:t>»</w:t>
      </w:r>
      <w:r w:rsidR="00372A15">
        <w:rPr>
          <w:rFonts w:ascii="Times New Roman" w:hAnsi="Times New Roman"/>
          <w:sz w:val="24"/>
          <w:szCs w:val="24"/>
        </w:rPr>
        <w:t xml:space="preserve"> (рис.</w:t>
      </w:r>
      <w:r w:rsidR="001C1BD2">
        <w:rPr>
          <w:rFonts w:ascii="Times New Roman" w:hAnsi="Times New Roman"/>
          <w:sz w:val="24"/>
          <w:szCs w:val="24"/>
        </w:rPr>
        <w:t xml:space="preserve"> </w:t>
      </w:r>
      <w:r w:rsidR="00372A15">
        <w:rPr>
          <w:rFonts w:ascii="Times New Roman" w:hAnsi="Times New Roman"/>
          <w:sz w:val="24"/>
          <w:szCs w:val="24"/>
        </w:rPr>
        <w:t>9)</w:t>
      </w:r>
      <w:r>
        <w:rPr>
          <w:rFonts w:ascii="Times New Roman" w:hAnsi="Times New Roman"/>
          <w:sz w:val="24"/>
          <w:szCs w:val="24"/>
        </w:rPr>
        <w:t>.</w:t>
      </w:r>
    </w:p>
    <w:p w:rsidR="00EE2F18" w:rsidRDefault="00EE2F18" w:rsidP="00BA765C">
      <w:pPr>
        <w:spacing w:after="0" w:line="240" w:lineRule="auto"/>
        <w:ind w:firstLine="709"/>
        <w:jc w:val="both"/>
        <w:rPr>
          <w:rFonts w:ascii="Times New Roman" w:hAnsi="Times New Roman"/>
          <w:sz w:val="24"/>
          <w:szCs w:val="24"/>
        </w:rPr>
      </w:pPr>
      <w:r w:rsidRPr="00963A42">
        <w:rPr>
          <w:rFonts w:ascii="Times New Roman" w:hAnsi="Times New Roman"/>
          <w:sz w:val="24"/>
          <w:szCs w:val="24"/>
        </w:rPr>
        <w:t>В целом</w:t>
      </w:r>
      <w:r>
        <w:rPr>
          <w:rFonts w:ascii="Times New Roman" w:hAnsi="Times New Roman"/>
          <w:sz w:val="24"/>
          <w:szCs w:val="24"/>
        </w:rPr>
        <w:t xml:space="preserve"> результаты деятельности</w:t>
      </w:r>
      <w:r w:rsidRPr="00963A42">
        <w:rPr>
          <w:rFonts w:ascii="Times New Roman" w:hAnsi="Times New Roman"/>
          <w:sz w:val="24"/>
          <w:szCs w:val="24"/>
        </w:rPr>
        <w:t xml:space="preserve"> отечественн</w:t>
      </w:r>
      <w:r>
        <w:rPr>
          <w:rFonts w:ascii="Times New Roman" w:hAnsi="Times New Roman"/>
          <w:sz w:val="24"/>
          <w:szCs w:val="24"/>
        </w:rPr>
        <w:t>ых</w:t>
      </w:r>
      <w:r w:rsidRPr="00963A42">
        <w:rPr>
          <w:rFonts w:ascii="Times New Roman" w:hAnsi="Times New Roman"/>
          <w:sz w:val="24"/>
          <w:szCs w:val="24"/>
        </w:rPr>
        <w:t xml:space="preserve"> </w:t>
      </w:r>
      <w:r>
        <w:rPr>
          <w:rFonts w:ascii="Times New Roman" w:hAnsi="Times New Roman"/>
          <w:sz w:val="24"/>
          <w:szCs w:val="24"/>
        </w:rPr>
        <w:t xml:space="preserve">предприятий </w:t>
      </w:r>
      <w:r w:rsidRPr="00963A42">
        <w:rPr>
          <w:rFonts w:ascii="Times New Roman" w:hAnsi="Times New Roman"/>
          <w:sz w:val="24"/>
          <w:szCs w:val="24"/>
        </w:rPr>
        <w:t>легк</w:t>
      </w:r>
      <w:r>
        <w:rPr>
          <w:rFonts w:ascii="Times New Roman" w:hAnsi="Times New Roman"/>
          <w:sz w:val="24"/>
          <w:szCs w:val="24"/>
        </w:rPr>
        <w:t>ой промышленности</w:t>
      </w:r>
      <w:r w:rsidRPr="00963A42">
        <w:rPr>
          <w:rFonts w:ascii="Times New Roman" w:hAnsi="Times New Roman"/>
          <w:sz w:val="24"/>
          <w:szCs w:val="24"/>
        </w:rPr>
        <w:t xml:space="preserve"> </w:t>
      </w:r>
      <w:r>
        <w:rPr>
          <w:rFonts w:ascii="Times New Roman" w:hAnsi="Times New Roman"/>
          <w:sz w:val="24"/>
          <w:szCs w:val="24"/>
        </w:rPr>
        <w:t xml:space="preserve">являются следствием </w:t>
      </w:r>
      <w:r w:rsidRPr="00963A42">
        <w:rPr>
          <w:rFonts w:ascii="Times New Roman" w:hAnsi="Times New Roman"/>
          <w:sz w:val="24"/>
          <w:szCs w:val="24"/>
        </w:rPr>
        <w:t>как привлечения покупателей на внутреннем рынке, так и интенсификации взаимодействия с внешними заказчиками, поскольку свыше 45% производимой в легкой промышленности продукции идет на экспорт.</w:t>
      </w:r>
    </w:p>
    <w:p w:rsidR="00372A15" w:rsidRPr="00963A42" w:rsidRDefault="00372A15" w:rsidP="00372A15">
      <w:pPr>
        <w:spacing w:after="0" w:line="240" w:lineRule="auto"/>
        <w:ind w:firstLine="426"/>
        <w:jc w:val="right"/>
        <w:rPr>
          <w:rFonts w:ascii="Times New Roman" w:hAnsi="Times New Roman"/>
          <w:sz w:val="24"/>
          <w:szCs w:val="24"/>
        </w:rPr>
      </w:pPr>
      <w:r w:rsidRPr="00372A15">
        <w:rPr>
          <w:rFonts w:ascii="Times New Roman" w:hAnsi="Times New Roman"/>
          <w:b/>
          <w:i/>
          <w:sz w:val="24"/>
          <w:szCs w:val="24"/>
        </w:rPr>
        <w:t>Рисунок</w:t>
      </w:r>
      <w:r>
        <w:rPr>
          <w:rFonts w:ascii="Times New Roman" w:hAnsi="Times New Roman"/>
          <w:b/>
          <w:i/>
          <w:sz w:val="24"/>
          <w:szCs w:val="24"/>
        </w:rPr>
        <w:t xml:space="preserve"> 9</w:t>
      </w:r>
    </w:p>
    <w:p w:rsidR="00EE2F18" w:rsidRPr="00AE3002" w:rsidRDefault="00EE2F18" w:rsidP="00EE2F18">
      <w:pPr>
        <w:spacing w:after="0" w:line="240" w:lineRule="auto"/>
        <w:ind w:firstLine="142"/>
        <w:jc w:val="both"/>
        <w:rPr>
          <w:rFonts w:ascii="Times New Roman" w:hAnsi="Times New Roman"/>
          <w:sz w:val="24"/>
          <w:szCs w:val="24"/>
        </w:rPr>
      </w:pPr>
      <w:r w:rsidRPr="00AE3002">
        <w:rPr>
          <w:rFonts w:ascii="Times New Roman" w:hAnsi="Times New Roman"/>
          <w:noProof/>
          <w:sz w:val="24"/>
          <w:szCs w:val="24"/>
        </w:rPr>
        <w:drawing>
          <wp:inline distT="0" distB="0" distL="0" distR="0">
            <wp:extent cx="6057900" cy="1314450"/>
            <wp:effectExtent l="19050" t="0" r="0" b="0"/>
            <wp:docPr id="1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2F18" w:rsidRPr="00612AD9" w:rsidRDefault="00EE2F18" w:rsidP="00BA765C">
      <w:pPr>
        <w:spacing w:after="0" w:line="240" w:lineRule="auto"/>
        <w:ind w:firstLine="709"/>
        <w:jc w:val="both"/>
        <w:rPr>
          <w:rFonts w:ascii="Times New Roman" w:hAnsi="Times New Roman"/>
          <w:sz w:val="24"/>
          <w:szCs w:val="24"/>
        </w:rPr>
      </w:pPr>
      <w:r w:rsidRPr="00AE3002">
        <w:rPr>
          <w:rFonts w:ascii="Times New Roman" w:hAnsi="Times New Roman"/>
          <w:sz w:val="24"/>
          <w:szCs w:val="24"/>
        </w:rPr>
        <w:t xml:space="preserve">В </w:t>
      </w:r>
      <w:r w:rsidRPr="00963A42">
        <w:rPr>
          <w:rFonts w:ascii="Times New Roman" w:hAnsi="Times New Roman"/>
          <w:b/>
          <w:snapToGrid w:val="0"/>
          <w:sz w:val="24"/>
          <w:szCs w:val="24"/>
        </w:rPr>
        <w:t xml:space="preserve">пищевой промышленности </w:t>
      </w:r>
      <w:r w:rsidRPr="00963A42">
        <w:rPr>
          <w:rFonts w:ascii="Times New Roman" w:hAnsi="Times New Roman"/>
          <w:sz w:val="24"/>
          <w:szCs w:val="24"/>
        </w:rPr>
        <w:t>прирост составил в текущих ценах 25,</w:t>
      </w:r>
      <w:r>
        <w:rPr>
          <w:rFonts w:ascii="Times New Roman" w:hAnsi="Times New Roman"/>
          <w:sz w:val="24"/>
          <w:szCs w:val="24"/>
        </w:rPr>
        <w:t>4</w:t>
      </w:r>
      <w:r w:rsidRPr="00963A42">
        <w:rPr>
          <w:rFonts w:ascii="Times New Roman" w:hAnsi="Times New Roman"/>
          <w:sz w:val="24"/>
          <w:szCs w:val="24"/>
        </w:rPr>
        <w:t xml:space="preserve">% до </w:t>
      </w:r>
      <w:r w:rsidR="00822F11">
        <w:rPr>
          <w:rFonts w:ascii="Times New Roman" w:hAnsi="Times New Roman"/>
          <w:sz w:val="24"/>
          <w:szCs w:val="24"/>
        </w:rPr>
        <w:t xml:space="preserve">                   </w:t>
      </w:r>
      <w:r w:rsidRPr="00963A42">
        <w:rPr>
          <w:rFonts w:ascii="Times New Roman" w:hAnsi="Times New Roman"/>
          <w:sz w:val="24"/>
          <w:szCs w:val="24"/>
        </w:rPr>
        <w:t>1 32</w:t>
      </w:r>
      <w:r>
        <w:rPr>
          <w:rFonts w:ascii="Times New Roman" w:hAnsi="Times New Roman"/>
          <w:sz w:val="24"/>
          <w:szCs w:val="24"/>
        </w:rPr>
        <w:t>5</w:t>
      </w:r>
      <w:r w:rsidRPr="00963A42">
        <w:rPr>
          <w:rFonts w:ascii="Times New Roman" w:hAnsi="Times New Roman"/>
          <w:sz w:val="24"/>
          <w:szCs w:val="24"/>
        </w:rPr>
        <w:t>,</w:t>
      </w:r>
      <w:r>
        <w:rPr>
          <w:rFonts w:ascii="Times New Roman" w:hAnsi="Times New Roman"/>
          <w:sz w:val="24"/>
          <w:szCs w:val="24"/>
        </w:rPr>
        <w:t xml:space="preserve">2 </w:t>
      </w:r>
      <w:r w:rsidRPr="00963A42">
        <w:rPr>
          <w:rFonts w:ascii="Times New Roman" w:hAnsi="Times New Roman"/>
          <w:sz w:val="24"/>
          <w:szCs w:val="24"/>
        </w:rPr>
        <w:t>млн руб., в реальном выражении – +14,8%, что обусловлен</w:t>
      </w:r>
      <w:r w:rsidR="00822F11">
        <w:rPr>
          <w:rFonts w:ascii="Times New Roman" w:hAnsi="Times New Roman"/>
          <w:sz w:val="24"/>
          <w:szCs w:val="24"/>
        </w:rPr>
        <w:t xml:space="preserve">о наращиванием производства на </w:t>
      </w:r>
      <w:r w:rsidRPr="00963A42">
        <w:rPr>
          <w:rFonts w:ascii="Times New Roman" w:hAnsi="Times New Roman"/>
          <w:sz w:val="24"/>
          <w:szCs w:val="24"/>
        </w:rPr>
        <w:t>ЗАО «Т</w:t>
      </w:r>
      <w:r>
        <w:rPr>
          <w:rFonts w:ascii="Times New Roman" w:hAnsi="Times New Roman"/>
          <w:sz w:val="24"/>
          <w:szCs w:val="24"/>
        </w:rPr>
        <w:t xml:space="preserve">ираспольский молочный комбинат», </w:t>
      </w:r>
      <w:r w:rsidRPr="00963A42">
        <w:rPr>
          <w:rFonts w:ascii="Times New Roman" w:hAnsi="Times New Roman"/>
          <w:sz w:val="24"/>
          <w:szCs w:val="24"/>
        </w:rPr>
        <w:t>ООО «</w:t>
      </w:r>
      <w:proofErr w:type="spellStart"/>
      <w:r w:rsidRPr="00963A42">
        <w:rPr>
          <w:rFonts w:ascii="Times New Roman" w:hAnsi="Times New Roman"/>
          <w:sz w:val="24"/>
          <w:szCs w:val="24"/>
        </w:rPr>
        <w:t>Тавера</w:t>
      </w:r>
      <w:proofErr w:type="spellEnd"/>
      <w:r w:rsidRPr="00963A42">
        <w:rPr>
          <w:rFonts w:ascii="Times New Roman" w:hAnsi="Times New Roman"/>
          <w:sz w:val="24"/>
          <w:szCs w:val="24"/>
        </w:rPr>
        <w:t>»,</w:t>
      </w:r>
      <w:r w:rsidR="00822F11">
        <w:rPr>
          <w:rFonts w:ascii="Times New Roman" w:hAnsi="Times New Roman"/>
          <w:sz w:val="24"/>
          <w:szCs w:val="24"/>
        </w:rPr>
        <w:t xml:space="preserve">                    </w:t>
      </w:r>
      <w:r w:rsidRPr="00963A42">
        <w:rPr>
          <w:rFonts w:ascii="Times New Roman" w:hAnsi="Times New Roman"/>
          <w:sz w:val="24"/>
          <w:szCs w:val="24"/>
        </w:rPr>
        <w:t xml:space="preserve"> ЗАО «Тираспольски</w:t>
      </w:r>
      <w:r>
        <w:rPr>
          <w:rFonts w:ascii="Times New Roman" w:hAnsi="Times New Roman"/>
          <w:sz w:val="24"/>
          <w:szCs w:val="24"/>
        </w:rPr>
        <w:t>й винно-</w:t>
      </w:r>
      <w:r w:rsidRPr="00612AD9">
        <w:rPr>
          <w:rFonts w:ascii="Times New Roman" w:hAnsi="Times New Roman"/>
          <w:sz w:val="24"/>
          <w:szCs w:val="24"/>
        </w:rPr>
        <w:t>коньячный завод «KVINT», ЗАО «Букет Молдавии»,</w:t>
      </w:r>
      <w:r w:rsidR="00822F11">
        <w:rPr>
          <w:rFonts w:ascii="Times New Roman" w:hAnsi="Times New Roman"/>
          <w:sz w:val="24"/>
          <w:szCs w:val="24"/>
        </w:rPr>
        <w:t xml:space="preserve">                    </w:t>
      </w:r>
      <w:r w:rsidRPr="00612AD9">
        <w:rPr>
          <w:rFonts w:ascii="Times New Roman" w:hAnsi="Times New Roman"/>
          <w:sz w:val="24"/>
          <w:szCs w:val="24"/>
        </w:rPr>
        <w:t xml:space="preserve"> ЗАО «Каменский консервный завод» и др.</w:t>
      </w:r>
    </w:p>
    <w:p w:rsidR="00EE2F18" w:rsidRPr="00612AD9" w:rsidRDefault="00EE2F18" w:rsidP="00BA765C">
      <w:pPr>
        <w:spacing w:after="0" w:line="240" w:lineRule="auto"/>
        <w:ind w:firstLine="709"/>
        <w:jc w:val="both"/>
        <w:rPr>
          <w:rFonts w:ascii="Times New Roman" w:hAnsi="Times New Roman"/>
          <w:sz w:val="24"/>
          <w:szCs w:val="24"/>
        </w:rPr>
      </w:pPr>
      <w:r w:rsidRPr="00612AD9">
        <w:rPr>
          <w:rFonts w:ascii="Times New Roman" w:hAnsi="Times New Roman"/>
          <w:sz w:val="24"/>
          <w:szCs w:val="24"/>
        </w:rPr>
        <w:t>В натуральном выражении положительная динамика отмечена по выпуску цельномолочной продукции (в пересчете на молоко) (+20,4%), кондитерских изделий (+40,7%), концентрированных фруктовых соков в картонной таре (+61,1%), коньяков (+77,6%), консервов (в 2,1 раза), вина шампанского игристого (в 2,5 раза) и др.;</w:t>
      </w:r>
    </w:p>
    <w:p w:rsidR="00EE2F18" w:rsidRPr="00B77FAC" w:rsidRDefault="00EE2F18" w:rsidP="00BA765C">
      <w:pPr>
        <w:spacing w:after="0" w:line="240" w:lineRule="auto"/>
        <w:ind w:firstLine="709"/>
        <w:jc w:val="both"/>
        <w:rPr>
          <w:rFonts w:ascii="Times New Roman" w:hAnsi="Times New Roman"/>
          <w:sz w:val="24"/>
          <w:szCs w:val="24"/>
        </w:rPr>
      </w:pPr>
      <w:r w:rsidRPr="00AE3002">
        <w:rPr>
          <w:rFonts w:ascii="Times New Roman" w:hAnsi="Times New Roman"/>
          <w:sz w:val="24"/>
          <w:szCs w:val="24"/>
        </w:rPr>
        <w:t xml:space="preserve">В </w:t>
      </w:r>
      <w:r w:rsidRPr="00866046">
        <w:rPr>
          <w:rFonts w:ascii="Times New Roman" w:hAnsi="Times New Roman"/>
          <w:b/>
          <w:sz w:val="24"/>
          <w:szCs w:val="24"/>
        </w:rPr>
        <w:t xml:space="preserve">мукомольно-крупяной и комбикормовой промышленности </w:t>
      </w:r>
      <w:r w:rsidRPr="00866046">
        <w:rPr>
          <w:rFonts w:ascii="Times New Roman" w:hAnsi="Times New Roman"/>
          <w:sz w:val="24"/>
          <w:szCs w:val="24"/>
        </w:rPr>
        <w:t xml:space="preserve">увеличение производства муки на 14,1% и круп на 41,4% обеспечило расширение совокупного отраслевого товарного выпуска в стоимостном выражении на 16,5% до 122,1 млн руб., однако, учитывая понижательный ценовой тренд на отраслевом рынке, в сопоставимых </w:t>
      </w:r>
      <w:r w:rsidRPr="00B77FAC">
        <w:rPr>
          <w:rFonts w:ascii="Times New Roman" w:hAnsi="Times New Roman"/>
          <w:sz w:val="24"/>
          <w:szCs w:val="24"/>
        </w:rPr>
        <w:t>ценах прирост составил 19,4%;</w:t>
      </w:r>
    </w:p>
    <w:p w:rsidR="00EE2F18" w:rsidRPr="00B77FAC" w:rsidRDefault="00EE2F18" w:rsidP="00BA765C">
      <w:pPr>
        <w:spacing w:after="0" w:line="240" w:lineRule="auto"/>
        <w:ind w:firstLine="709"/>
        <w:jc w:val="both"/>
        <w:rPr>
          <w:rFonts w:ascii="Times New Roman" w:hAnsi="Times New Roman"/>
          <w:color w:val="000000"/>
          <w:sz w:val="24"/>
          <w:szCs w:val="24"/>
        </w:rPr>
      </w:pPr>
      <w:r w:rsidRPr="00B77FAC">
        <w:rPr>
          <w:rFonts w:ascii="Times New Roman" w:hAnsi="Times New Roman"/>
          <w:sz w:val="24"/>
          <w:szCs w:val="24"/>
        </w:rPr>
        <w:t>В</w:t>
      </w:r>
      <w:r w:rsidRPr="00B77FAC">
        <w:rPr>
          <w:rFonts w:ascii="Times New Roman" w:hAnsi="Times New Roman"/>
          <w:b/>
          <w:sz w:val="24"/>
          <w:szCs w:val="24"/>
        </w:rPr>
        <w:t xml:space="preserve"> </w:t>
      </w:r>
      <w:r w:rsidRPr="00B77FAC">
        <w:rPr>
          <w:rFonts w:ascii="Times New Roman" w:hAnsi="Times New Roman"/>
          <w:b/>
          <w:color w:val="000000"/>
          <w:sz w:val="24"/>
          <w:szCs w:val="24"/>
        </w:rPr>
        <w:t xml:space="preserve">полиграфической промышленности </w:t>
      </w:r>
      <w:r w:rsidRPr="00B77FAC">
        <w:rPr>
          <w:rFonts w:ascii="Times New Roman" w:hAnsi="Times New Roman"/>
          <w:color w:val="000000"/>
          <w:sz w:val="24"/>
          <w:szCs w:val="24"/>
        </w:rPr>
        <w:t>отмечалось сжатие производственных параметров до 20,9 млн руб., или 78,1% к уровню 2016 года.</w:t>
      </w:r>
    </w:p>
    <w:p w:rsidR="00EE2F18" w:rsidRPr="002A30AA" w:rsidRDefault="00EE2F18" w:rsidP="00BA765C">
      <w:pPr>
        <w:spacing w:after="0" w:line="240" w:lineRule="auto"/>
        <w:ind w:firstLine="709"/>
        <w:contextualSpacing/>
        <w:jc w:val="both"/>
        <w:rPr>
          <w:rFonts w:ascii="Times New Roman" w:hAnsi="Times New Roman"/>
          <w:sz w:val="24"/>
          <w:szCs w:val="24"/>
        </w:rPr>
      </w:pPr>
      <w:proofErr w:type="gramStart"/>
      <w:r w:rsidRPr="00B77FAC">
        <w:rPr>
          <w:rFonts w:ascii="Times New Roman" w:hAnsi="Times New Roman"/>
          <w:sz w:val="24"/>
          <w:szCs w:val="24"/>
        </w:rPr>
        <w:t>Таким образом, большинство отраслей индустриального комплекса республики по итогам 2017 года демонстрируют положительную динамику развития, что является результатом тенденций складывающихся на отдельных сырьевых и товарных рынках, с которыми у отечественных экономических агентов имеются тесные связи, стабилизации работы базовых отраслей способствующей наращиванию положительной динамики развития приднестровской экономики, а также предпринятых мер по нивелированию последствий валютного кризиса и поддержки банковской системы.</w:t>
      </w:r>
      <w:proofErr w:type="gramEnd"/>
    </w:p>
    <w:p w:rsidR="00EE2F18" w:rsidRDefault="00EE2F18" w:rsidP="00335844">
      <w:pPr>
        <w:spacing w:after="0" w:line="240" w:lineRule="auto"/>
        <w:ind w:firstLine="720"/>
        <w:jc w:val="both"/>
        <w:rPr>
          <w:rFonts w:ascii="Times New Roman" w:hAnsi="Times New Roman"/>
          <w:b/>
          <w:sz w:val="24"/>
          <w:szCs w:val="24"/>
        </w:rPr>
      </w:pPr>
    </w:p>
    <w:p w:rsidR="00B62B2E" w:rsidRPr="0080737A" w:rsidRDefault="00B62B2E" w:rsidP="00BA765C">
      <w:pPr>
        <w:widowControl w:val="0"/>
        <w:autoSpaceDE w:val="0"/>
        <w:autoSpaceDN w:val="0"/>
        <w:adjustRightInd w:val="0"/>
        <w:spacing w:after="0" w:line="240" w:lineRule="auto"/>
        <w:ind w:firstLine="709"/>
        <w:jc w:val="both"/>
        <w:rPr>
          <w:rFonts w:ascii="Times New Roman" w:eastAsia="Calibri" w:hAnsi="Times New Roman"/>
          <w:b/>
          <w:sz w:val="24"/>
          <w:szCs w:val="24"/>
        </w:rPr>
      </w:pPr>
      <w:r w:rsidRPr="007E5212">
        <w:rPr>
          <w:rFonts w:ascii="Times New Roman" w:eastAsia="Calibri" w:hAnsi="Times New Roman"/>
          <w:b/>
          <w:sz w:val="24"/>
          <w:szCs w:val="24"/>
        </w:rPr>
        <w:t>Агропромышленный комплекс</w:t>
      </w:r>
    </w:p>
    <w:p w:rsidR="00B62B2E" w:rsidRDefault="00B62B2E" w:rsidP="00BA765C">
      <w:pPr>
        <w:spacing w:after="0" w:line="240" w:lineRule="auto"/>
        <w:ind w:firstLine="709"/>
        <w:jc w:val="both"/>
        <w:rPr>
          <w:rFonts w:ascii="Times New Roman" w:hAnsi="Times New Roman"/>
          <w:sz w:val="24"/>
          <w:szCs w:val="24"/>
        </w:rPr>
      </w:pPr>
    </w:p>
    <w:p w:rsidR="00B62B2E" w:rsidRPr="00F9400A" w:rsidRDefault="00B62B2E" w:rsidP="00BA765C">
      <w:pPr>
        <w:spacing w:after="0" w:line="240" w:lineRule="auto"/>
        <w:ind w:firstLine="709"/>
        <w:jc w:val="both"/>
        <w:rPr>
          <w:rFonts w:ascii="Times New Roman" w:hAnsi="Times New Roman"/>
          <w:sz w:val="24"/>
          <w:szCs w:val="24"/>
        </w:rPr>
      </w:pPr>
      <w:r w:rsidRPr="00F9400A">
        <w:rPr>
          <w:rFonts w:ascii="Times New Roman" w:eastAsia="Calibri" w:hAnsi="Times New Roman"/>
          <w:sz w:val="24"/>
          <w:szCs w:val="24"/>
        </w:rPr>
        <w:t xml:space="preserve">Общая ситуация в агропромышленном комплексе республики в 2017 году характеризовалась положительной динамикой развития растениеводческой отрасли, чему </w:t>
      </w:r>
      <w:r w:rsidRPr="00F9400A">
        <w:rPr>
          <w:rFonts w:ascii="Times New Roman" w:eastAsia="Calibri" w:hAnsi="Times New Roman"/>
          <w:sz w:val="24"/>
          <w:szCs w:val="24"/>
        </w:rPr>
        <w:lastRenderedPageBreak/>
        <w:t>способствовали предпринимаемые меры со стороны государства с целью поддержки хозяйствующих субъектов агропромышленного комплекса.</w:t>
      </w:r>
    </w:p>
    <w:p w:rsidR="00B62B2E" w:rsidRDefault="00B62B2E" w:rsidP="00BA765C">
      <w:pPr>
        <w:spacing w:after="0" w:line="240" w:lineRule="auto"/>
        <w:ind w:firstLine="709"/>
        <w:jc w:val="both"/>
        <w:rPr>
          <w:rFonts w:ascii="Times New Roman" w:eastAsia="Calibri" w:hAnsi="Times New Roman"/>
          <w:sz w:val="24"/>
          <w:szCs w:val="24"/>
        </w:rPr>
      </w:pPr>
      <w:r w:rsidRPr="00BA47BA">
        <w:rPr>
          <w:rFonts w:ascii="Times New Roman" w:eastAsia="Calibri" w:hAnsi="Times New Roman"/>
          <w:sz w:val="24"/>
          <w:szCs w:val="24"/>
        </w:rPr>
        <w:t>Валовая продукция сельского хозяйства во всех категориях хозяйств в 2017 году оценочно составила 2 209,1 млн руб. (в текущих ценах), что на 27,2% больше сопоставимого показателя базового года</w:t>
      </w:r>
      <w:r w:rsidR="00B97A6D">
        <w:rPr>
          <w:rFonts w:ascii="Times New Roman" w:eastAsia="Calibri" w:hAnsi="Times New Roman"/>
          <w:sz w:val="24"/>
          <w:szCs w:val="24"/>
        </w:rPr>
        <w:t xml:space="preserve"> </w:t>
      </w:r>
      <w:r w:rsidR="00B97A6D" w:rsidRPr="00372A15">
        <w:rPr>
          <w:rFonts w:ascii="Times New Roman" w:eastAsia="Calibri" w:hAnsi="Times New Roman"/>
          <w:sz w:val="24"/>
          <w:szCs w:val="24"/>
        </w:rPr>
        <w:t>(рис.</w:t>
      </w:r>
      <w:r w:rsidR="00372A15" w:rsidRPr="00372A15">
        <w:rPr>
          <w:rFonts w:ascii="Times New Roman" w:eastAsia="Calibri" w:hAnsi="Times New Roman"/>
          <w:sz w:val="24"/>
          <w:szCs w:val="24"/>
        </w:rPr>
        <w:t xml:space="preserve"> 10</w:t>
      </w:r>
      <w:r w:rsidR="00B97A6D" w:rsidRPr="00372A15">
        <w:rPr>
          <w:rFonts w:ascii="Times New Roman" w:eastAsia="Calibri" w:hAnsi="Times New Roman"/>
          <w:sz w:val="24"/>
          <w:szCs w:val="24"/>
        </w:rPr>
        <w:t>)</w:t>
      </w:r>
      <w:r w:rsidRPr="00372A15">
        <w:rPr>
          <w:rFonts w:ascii="Times New Roman" w:eastAsia="Calibri" w:hAnsi="Times New Roman"/>
          <w:sz w:val="24"/>
          <w:szCs w:val="24"/>
        </w:rPr>
        <w:t>.</w:t>
      </w:r>
      <w:r w:rsidRPr="00BA47BA">
        <w:rPr>
          <w:rFonts w:ascii="Times New Roman" w:eastAsia="Calibri" w:hAnsi="Times New Roman"/>
          <w:sz w:val="24"/>
          <w:szCs w:val="24"/>
        </w:rPr>
        <w:t xml:space="preserve"> Индекс физического объёма продукции сельского хозяйства составил 105,7% к уровню 2016 года, в том числе по продукции растениеводства – 105,2%, животноводства – 109,7%. Доля сельского хозяйства в структуре ВВП республики за </w:t>
      </w:r>
      <w:r w:rsidR="00B97A6D">
        <w:rPr>
          <w:rFonts w:ascii="Times New Roman" w:eastAsia="Calibri" w:hAnsi="Times New Roman"/>
          <w:sz w:val="24"/>
          <w:szCs w:val="24"/>
        </w:rPr>
        <w:t xml:space="preserve">              </w:t>
      </w:r>
      <w:r w:rsidRPr="00BA47BA">
        <w:rPr>
          <w:rFonts w:ascii="Times New Roman" w:eastAsia="Calibri" w:hAnsi="Times New Roman"/>
          <w:sz w:val="24"/>
          <w:szCs w:val="24"/>
        </w:rPr>
        <w:t>2017</w:t>
      </w:r>
      <w:r w:rsidR="00B97A6D">
        <w:rPr>
          <w:rFonts w:ascii="Times New Roman" w:eastAsia="Calibri" w:hAnsi="Times New Roman"/>
          <w:sz w:val="24"/>
          <w:szCs w:val="24"/>
        </w:rPr>
        <w:t> </w:t>
      </w:r>
      <w:r w:rsidRPr="00BA47BA">
        <w:rPr>
          <w:rFonts w:ascii="Times New Roman" w:eastAsia="Calibri" w:hAnsi="Times New Roman"/>
          <w:sz w:val="24"/>
          <w:szCs w:val="24"/>
        </w:rPr>
        <w:t>год увеличилась на 1,70 процентных пункта к уровню 2016 года и составила 8,52%.</w:t>
      </w:r>
    </w:p>
    <w:p w:rsidR="00B97A6D" w:rsidRPr="00B97A6D" w:rsidRDefault="00B97A6D" w:rsidP="00B62B2E">
      <w:pPr>
        <w:spacing w:after="0" w:line="240" w:lineRule="auto"/>
        <w:ind w:firstLine="709"/>
        <w:jc w:val="both"/>
        <w:rPr>
          <w:rFonts w:ascii="Times New Roman" w:eastAsia="Calibri" w:hAnsi="Times New Roman"/>
          <w:sz w:val="10"/>
          <w:szCs w:val="10"/>
        </w:rPr>
      </w:pPr>
    </w:p>
    <w:p w:rsidR="00B97A6D" w:rsidRPr="001760AF" w:rsidRDefault="00B97A6D" w:rsidP="00B97A6D">
      <w:pPr>
        <w:pStyle w:val="a4"/>
        <w:jc w:val="right"/>
        <w:rPr>
          <w:b/>
          <w:i/>
        </w:rPr>
      </w:pPr>
      <w:r w:rsidRPr="00372A15">
        <w:rPr>
          <w:b/>
          <w:i/>
        </w:rPr>
        <w:t xml:space="preserve">Рисунок </w:t>
      </w:r>
      <w:r w:rsidR="00372A15" w:rsidRPr="00372A15">
        <w:rPr>
          <w:b/>
          <w:i/>
        </w:rPr>
        <w:t>10</w:t>
      </w:r>
    </w:p>
    <w:p w:rsidR="00B62B2E" w:rsidRPr="00E048BD" w:rsidRDefault="00B62B2E" w:rsidP="00B62B2E">
      <w:pPr>
        <w:spacing w:after="0" w:line="240" w:lineRule="auto"/>
        <w:ind w:firstLine="709"/>
        <w:jc w:val="both"/>
        <w:rPr>
          <w:rFonts w:ascii="Times New Roman" w:eastAsia="Calibri" w:hAnsi="Times New Roman"/>
          <w:sz w:val="10"/>
          <w:szCs w:val="10"/>
        </w:rPr>
      </w:pPr>
    </w:p>
    <w:p w:rsidR="00B62B2E" w:rsidRPr="00E048BD" w:rsidRDefault="00B62B2E" w:rsidP="00B97A6D">
      <w:pPr>
        <w:spacing w:after="0" w:line="240" w:lineRule="auto"/>
        <w:ind w:left="-284"/>
        <w:jc w:val="both"/>
        <w:rPr>
          <w:rFonts w:ascii="Times New Roman" w:eastAsia="Calibri" w:hAnsi="Times New Roman"/>
          <w:sz w:val="10"/>
          <w:szCs w:val="10"/>
        </w:rPr>
      </w:pPr>
      <w:r w:rsidRPr="00CE11D9">
        <w:rPr>
          <w:rFonts w:ascii="Times New Roman" w:hAnsi="Times New Roman"/>
          <w:noProof/>
          <w:sz w:val="24"/>
          <w:szCs w:val="24"/>
        </w:rPr>
        <w:drawing>
          <wp:inline distT="0" distB="0" distL="0" distR="0">
            <wp:extent cx="6410325" cy="2400300"/>
            <wp:effectExtent l="0" t="0" r="0" b="0"/>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2B2E" w:rsidRDefault="00B62B2E" w:rsidP="00BA765C">
      <w:pPr>
        <w:spacing w:after="0" w:line="240" w:lineRule="auto"/>
        <w:ind w:firstLine="709"/>
        <w:jc w:val="both"/>
        <w:rPr>
          <w:rFonts w:ascii="Times New Roman" w:eastAsia="Calibri" w:hAnsi="Times New Roman"/>
          <w:sz w:val="24"/>
          <w:szCs w:val="24"/>
        </w:rPr>
      </w:pPr>
      <w:r w:rsidRPr="00CB63E0">
        <w:rPr>
          <w:rFonts w:ascii="Times New Roman" w:eastAsia="Calibri" w:hAnsi="Times New Roman"/>
          <w:sz w:val="24"/>
          <w:szCs w:val="24"/>
        </w:rPr>
        <w:t>В отчетном году в структуре валовой продукции сельского хозяйства на долю организаций, осуществляющих сельскохозяйственное производство, приходится 54,8% от общего объёма, хозяйств населения – 35,3%, крестьянских (фермерских) хозяйств и арендаторов – 9,9%</w:t>
      </w:r>
      <w:r w:rsidR="00BD60BB">
        <w:rPr>
          <w:rFonts w:ascii="Times New Roman" w:eastAsia="Calibri" w:hAnsi="Times New Roman"/>
          <w:sz w:val="24"/>
          <w:szCs w:val="24"/>
        </w:rPr>
        <w:t xml:space="preserve"> </w:t>
      </w:r>
      <w:r w:rsidR="00BD60BB" w:rsidRPr="00372A15">
        <w:rPr>
          <w:rFonts w:ascii="Times New Roman" w:eastAsia="Calibri" w:hAnsi="Times New Roman"/>
          <w:sz w:val="24"/>
          <w:szCs w:val="24"/>
        </w:rPr>
        <w:t>(рис.</w:t>
      </w:r>
      <w:r w:rsidR="00372A15" w:rsidRPr="00372A15">
        <w:rPr>
          <w:rFonts w:ascii="Times New Roman" w:eastAsia="Calibri" w:hAnsi="Times New Roman"/>
          <w:sz w:val="24"/>
          <w:szCs w:val="24"/>
        </w:rPr>
        <w:t xml:space="preserve"> 11</w:t>
      </w:r>
      <w:r w:rsidR="00BD60BB" w:rsidRPr="00372A15">
        <w:rPr>
          <w:rFonts w:ascii="Times New Roman" w:eastAsia="Calibri" w:hAnsi="Times New Roman"/>
          <w:sz w:val="24"/>
          <w:szCs w:val="24"/>
        </w:rPr>
        <w:t>)</w:t>
      </w:r>
      <w:r w:rsidRPr="00372A15">
        <w:rPr>
          <w:rFonts w:ascii="Times New Roman" w:eastAsia="Calibri" w:hAnsi="Times New Roman"/>
          <w:sz w:val="24"/>
          <w:szCs w:val="24"/>
        </w:rPr>
        <w:t>.</w:t>
      </w:r>
    </w:p>
    <w:p w:rsidR="00BD60BB" w:rsidRPr="001760AF" w:rsidRDefault="00BD60BB" w:rsidP="00BD60BB">
      <w:pPr>
        <w:pStyle w:val="a4"/>
        <w:jc w:val="right"/>
        <w:rPr>
          <w:b/>
          <w:i/>
        </w:rPr>
      </w:pPr>
      <w:r w:rsidRPr="00372A15">
        <w:rPr>
          <w:b/>
          <w:i/>
        </w:rPr>
        <w:t xml:space="preserve">Рисунок </w:t>
      </w:r>
      <w:r w:rsidR="00372A15" w:rsidRPr="00372A15">
        <w:rPr>
          <w:b/>
          <w:i/>
        </w:rPr>
        <w:t>11</w:t>
      </w:r>
    </w:p>
    <w:p w:rsidR="00BD60BB" w:rsidRPr="00BD60BB" w:rsidRDefault="00BD60BB" w:rsidP="00B62B2E">
      <w:pPr>
        <w:spacing w:after="0" w:line="240" w:lineRule="auto"/>
        <w:ind w:firstLine="720"/>
        <w:jc w:val="center"/>
        <w:rPr>
          <w:rFonts w:ascii="Times New Roman" w:eastAsia="Calibri" w:hAnsi="Times New Roman"/>
          <w:b/>
          <w:sz w:val="10"/>
          <w:szCs w:val="10"/>
        </w:rPr>
      </w:pPr>
    </w:p>
    <w:p w:rsidR="00B62B2E" w:rsidRPr="00F06A23" w:rsidRDefault="00B62B2E" w:rsidP="00B62B2E">
      <w:pPr>
        <w:spacing w:after="0" w:line="240" w:lineRule="auto"/>
        <w:ind w:firstLine="720"/>
        <w:jc w:val="center"/>
        <w:rPr>
          <w:rFonts w:ascii="Times New Roman" w:eastAsia="Calibri" w:hAnsi="Times New Roman"/>
          <w:b/>
        </w:rPr>
      </w:pPr>
      <w:r w:rsidRPr="00CB63E0">
        <w:rPr>
          <w:rFonts w:ascii="Times New Roman" w:eastAsia="Calibri" w:hAnsi="Times New Roman"/>
          <w:b/>
        </w:rPr>
        <w:t>Структура валовой продукции сельского хозяйства, в процентах</w:t>
      </w:r>
      <w:r w:rsidRPr="00BB46CA">
        <w:rPr>
          <w:rFonts w:ascii="Times New Roman" w:eastAsia="Calibri" w:hAnsi="Times New Roman"/>
          <w:b/>
        </w:rPr>
        <w:t xml:space="preserve"> </w:t>
      </w:r>
    </w:p>
    <w:p w:rsidR="00B62B2E" w:rsidRDefault="00EE27EB" w:rsidP="00B62B2E">
      <w:pPr>
        <w:ind w:left="-360" w:right="-185"/>
        <w:jc w:val="center"/>
        <w:rPr>
          <w:rFonts w:eastAsia="Calibri"/>
          <w:b/>
        </w:rPr>
      </w:pPr>
      <w:r w:rsidRPr="00EE27EB">
        <w:rPr>
          <w:rFonts w:eastAsia="Calibri"/>
          <w:noProof/>
        </w:rPr>
        <w:pict>
          <v:rect id="_x0000_s1032" style="position:absolute;left:0;text-align:left;margin-left:287.85pt;margin-top:122.05pt;width:135.15pt;height:33.35pt;z-index:251700224" filled="f" stroked="f">
            <v:textbox style="mso-next-textbox:#_x0000_s1032" inset="0,0,0,0">
              <w:txbxContent>
                <w:p w:rsidR="008D5EC6" w:rsidRPr="00AE1B05" w:rsidRDefault="008D5EC6" w:rsidP="00B62B2E">
                  <w:pPr>
                    <w:spacing w:after="0" w:line="240" w:lineRule="auto"/>
                    <w:rPr>
                      <w:rFonts w:ascii="Times New Roman" w:hAnsi="Times New Roman"/>
                      <w:sz w:val="18"/>
                      <w:szCs w:val="18"/>
                    </w:rPr>
                  </w:pPr>
                  <w:r w:rsidRPr="00AE1B05">
                    <w:rPr>
                      <w:rFonts w:ascii="Times New Roman" w:hAnsi="Times New Roman"/>
                      <w:color w:val="000000"/>
                      <w:sz w:val="18"/>
                      <w:szCs w:val="18"/>
                    </w:rPr>
                    <w:t>Крестьянские (фер</w:t>
                  </w:r>
                  <w:r>
                    <w:rPr>
                      <w:rFonts w:ascii="Times New Roman" w:hAnsi="Times New Roman"/>
                      <w:color w:val="000000"/>
                      <w:sz w:val="18"/>
                      <w:szCs w:val="18"/>
                    </w:rPr>
                    <w:t xml:space="preserve">мерские хозяйства) хозяйства и </w:t>
                  </w:r>
                  <w:r w:rsidRPr="00AE1B05">
                    <w:rPr>
                      <w:rFonts w:ascii="Times New Roman" w:hAnsi="Times New Roman"/>
                      <w:color w:val="000000"/>
                      <w:sz w:val="18"/>
                      <w:szCs w:val="18"/>
                    </w:rPr>
                    <w:t>арендаторы</w:t>
                  </w:r>
                </w:p>
              </w:txbxContent>
            </v:textbox>
          </v:rect>
        </w:pict>
      </w:r>
      <w:r w:rsidRPr="00EE27EB">
        <w:rPr>
          <w:rFonts w:eastAsia="Calibri"/>
          <w:noProof/>
        </w:rPr>
        <w:pict>
          <v:rect id="_x0000_s1026" style="position:absolute;left:0;text-align:left;margin-left:36pt;margin-top:116.25pt;width:18pt;height:13.9pt;z-index:251694080" fillcolor="aqua">
            <v:fill r:id="rId21" o:title="Широкий диагональный 2" type="pattern"/>
          </v:rect>
        </w:pict>
      </w:r>
      <w:r w:rsidRPr="00EE27EB">
        <w:rPr>
          <w:rFonts w:eastAsia="Calibri"/>
          <w:noProof/>
        </w:rPr>
        <w:pict>
          <v:rect id="_x0000_s1027" style="position:absolute;left:0;text-align:left;margin-left:63pt;margin-top:116.25pt;width:171pt;height:32.3pt;z-index:251695104" filled="f" stroked="f">
            <v:textbox style="mso-next-textbox:#_x0000_s1027" inset="0,0,0,0">
              <w:txbxContent>
                <w:p w:rsidR="008D5EC6" w:rsidRPr="00AE1B05" w:rsidRDefault="008D5EC6" w:rsidP="00B62B2E">
                  <w:pPr>
                    <w:spacing w:after="0" w:line="240" w:lineRule="auto"/>
                    <w:rPr>
                      <w:rFonts w:ascii="Times New Roman" w:hAnsi="Times New Roman"/>
                      <w:color w:val="000000"/>
                      <w:sz w:val="18"/>
                      <w:szCs w:val="18"/>
                    </w:rPr>
                  </w:pPr>
                  <w:r w:rsidRPr="00AE1B05">
                    <w:rPr>
                      <w:rFonts w:ascii="Times New Roman" w:hAnsi="Times New Roman"/>
                      <w:color w:val="000000"/>
                      <w:sz w:val="18"/>
                      <w:szCs w:val="18"/>
                    </w:rPr>
                    <w:t xml:space="preserve">Сельскохозяйственные </w:t>
                  </w:r>
                </w:p>
                <w:p w:rsidR="008D5EC6" w:rsidRDefault="008D5EC6" w:rsidP="00B62B2E">
                  <w:pPr>
                    <w:spacing w:after="0" w:line="240" w:lineRule="auto"/>
                    <w:rPr>
                      <w:rFonts w:ascii="Times New Roman" w:hAnsi="Times New Roman"/>
                      <w:color w:val="000000"/>
                      <w:sz w:val="18"/>
                      <w:szCs w:val="18"/>
                    </w:rPr>
                  </w:pPr>
                  <w:r w:rsidRPr="00AE1B05">
                    <w:rPr>
                      <w:rFonts w:ascii="Times New Roman" w:hAnsi="Times New Roman"/>
                      <w:color w:val="000000"/>
                      <w:sz w:val="18"/>
                      <w:szCs w:val="18"/>
                    </w:rPr>
                    <w:t xml:space="preserve">организации </w:t>
                  </w:r>
                </w:p>
                <w:p w:rsidR="008D5EC6" w:rsidRPr="0006785A" w:rsidRDefault="008D5EC6" w:rsidP="00B62B2E">
                  <w:pPr>
                    <w:spacing w:after="0" w:line="240" w:lineRule="auto"/>
                    <w:rPr>
                      <w:rFonts w:ascii="Times New Roman" w:hAnsi="Times New Roman"/>
                      <w:b/>
                      <w:color w:val="000000"/>
                      <w:sz w:val="18"/>
                      <w:szCs w:val="18"/>
                    </w:rPr>
                  </w:pPr>
                </w:p>
                <w:p w:rsidR="008D5EC6" w:rsidRPr="00AE1B05" w:rsidRDefault="008D5EC6" w:rsidP="00B62B2E">
                  <w:pPr>
                    <w:spacing w:after="0" w:line="240" w:lineRule="auto"/>
                    <w:rPr>
                      <w:sz w:val="18"/>
                      <w:szCs w:val="18"/>
                    </w:rPr>
                  </w:pPr>
                </w:p>
              </w:txbxContent>
            </v:textbox>
          </v:rect>
        </w:pict>
      </w:r>
      <w:r w:rsidR="00B62B2E" w:rsidRPr="00F06A23">
        <w:rPr>
          <w:rFonts w:ascii="Times New Roman" w:eastAsia="Calibri" w:hAnsi="Times New Roman"/>
          <w:noProof/>
          <w:sz w:val="24"/>
          <w:szCs w:val="24"/>
        </w:rPr>
        <w:drawing>
          <wp:inline distT="0" distB="0" distL="0" distR="0">
            <wp:extent cx="3169920" cy="1455420"/>
            <wp:effectExtent l="0" t="0" r="0" b="0"/>
            <wp:docPr id="3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62B2E" w:rsidRPr="00F06A23">
        <w:rPr>
          <w:rFonts w:ascii="Times New Roman" w:eastAsia="Calibri" w:hAnsi="Times New Roman"/>
          <w:noProof/>
          <w:sz w:val="24"/>
          <w:szCs w:val="24"/>
        </w:rPr>
        <w:drawing>
          <wp:inline distT="0" distB="0" distL="0" distR="0">
            <wp:extent cx="3032760" cy="1455420"/>
            <wp:effectExtent l="0" t="0" r="0" b="0"/>
            <wp:docPr id="1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2B2E" w:rsidRDefault="00EE27EB" w:rsidP="00B62B2E">
      <w:pPr>
        <w:ind w:left="-360" w:right="-185"/>
        <w:jc w:val="center"/>
        <w:rPr>
          <w:rFonts w:eastAsia="Calibri"/>
          <w:b/>
        </w:rPr>
      </w:pPr>
      <w:r w:rsidRPr="00EE27EB">
        <w:rPr>
          <w:rFonts w:eastAsia="Calibri"/>
          <w:noProof/>
        </w:rPr>
        <w:pict>
          <v:rect id="_x0000_s1031" style="position:absolute;left:0;text-align:left;margin-left:256.2pt;margin-top:-.45pt;width:22.8pt;height:16.7pt;flip:y;z-index:251699200" fillcolor="maroon">
            <v:fill color2="#cfc"/>
          </v:rect>
        </w:pict>
      </w:r>
      <w:r w:rsidRPr="00EE27EB">
        <w:rPr>
          <w:rFonts w:eastAsia="Calibri"/>
          <w:noProof/>
        </w:rPr>
        <w:pict>
          <v:rect id="_x0000_s1029" style="position:absolute;left:0;text-align:left;margin-left:62.7pt;margin-top:16.25pt;width:171pt;height:18pt;z-index:251697152" filled="f" stroked="f">
            <v:textbox style="mso-next-textbox:#_x0000_s1029" inset="0,0,0,0">
              <w:txbxContent>
                <w:p w:rsidR="008D5EC6" w:rsidRPr="00AE1B05" w:rsidRDefault="008D5EC6" w:rsidP="00B62B2E">
                  <w:pPr>
                    <w:rPr>
                      <w:rFonts w:ascii="Times New Roman" w:hAnsi="Times New Roman"/>
                      <w:sz w:val="18"/>
                      <w:szCs w:val="18"/>
                    </w:rPr>
                  </w:pPr>
                  <w:r w:rsidRPr="00AE1B05">
                    <w:rPr>
                      <w:rFonts w:ascii="Times New Roman" w:hAnsi="Times New Roman"/>
                      <w:color w:val="000000"/>
                      <w:sz w:val="18"/>
                      <w:szCs w:val="18"/>
                    </w:rPr>
                    <w:t>Хозяйства населения</w:t>
                  </w:r>
                </w:p>
              </w:txbxContent>
            </v:textbox>
          </v:rect>
        </w:pict>
      </w:r>
      <w:r w:rsidRPr="00EE27EB">
        <w:rPr>
          <w:rFonts w:eastAsia="Calibri"/>
          <w:noProof/>
        </w:rPr>
        <w:pict>
          <v:rect id="_x0000_s1028" style="position:absolute;left:0;text-align:left;margin-left:36pt;margin-top:16.25pt;width:18pt;height:12.55pt;z-index:251696128" fillcolor="#ddd">
            <v:fill r:id="rId24" o:title="Гранит" rotate="t" type="tile"/>
          </v:rect>
        </w:pict>
      </w:r>
      <w:r w:rsidRPr="00EE27EB">
        <w:rPr>
          <w:rFonts w:eastAsia="Calibri"/>
          <w:noProof/>
        </w:rPr>
        <w:pict>
          <v:rect id="_x0000_s1030" style="position:absolute;left:0;text-align:left;margin-left:287.85pt;margin-top:8.05pt;width:171.15pt;height:32.3pt;z-index:251698176" filled="f" stroked="f">
            <v:textbox style="mso-next-textbox:#_x0000_s1030" inset="0,0,0,0">
              <w:txbxContent>
                <w:p w:rsidR="008D5EC6" w:rsidRPr="00841775" w:rsidRDefault="008D5EC6" w:rsidP="00B62B2E">
                  <w:pPr>
                    <w:rPr>
                      <w:szCs w:val="23"/>
                    </w:rPr>
                  </w:pPr>
                </w:p>
              </w:txbxContent>
            </v:textbox>
          </v:rect>
        </w:pict>
      </w:r>
    </w:p>
    <w:p w:rsidR="00B62B2E" w:rsidRDefault="00B62B2E" w:rsidP="00B62B2E">
      <w:pPr>
        <w:tabs>
          <w:tab w:val="left" w:pos="4253"/>
          <w:tab w:val="left" w:pos="5529"/>
        </w:tabs>
        <w:spacing w:after="0" w:line="240" w:lineRule="auto"/>
        <w:ind w:firstLine="567"/>
        <w:jc w:val="both"/>
        <w:rPr>
          <w:rFonts w:ascii="Times New Roman" w:hAnsi="Times New Roman"/>
          <w:b/>
          <w:i/>
          <w:sz w:val="24"/>
          <w:szCs w:val="24"/>
        </w:rPr>
      </w:pPr>
    </w:p>
    <w:p w:rsidR="00B62B2E" w:rsidRPr="00080C05" w:rsidRDefault="00B62B2E" w:rsidP="00BA765C">
      <w:pPr>
        <w:tabs>
          <w:tab w:val="left" w:pos="4253"/>
          <w:tab w:val="left" w:pos="5529"/>
        </w:tabs>
        <w:spacing w:after="0" w:line="240" w:lineRule="auto"/>
        <w:ind w:firstLine="709"/>
        <w:jc w:val="both"/>
        <w:rPr>
          <w:rFonts w:ascii="Times New Roman" w:hAnsi="Times New Roman"/>
          <w:sz w:val="24"/>
          <w:szCs w:val="24"/>
        </w:rPr>
      </w:pPr>
      <w:r w:rsidRPr="00080C05">
        <w:rPr>
          <w:rFonts w:ascii="Times New Roman" w:hAnsi="Times New Roman"/>
          <w:b/>
          <w:i/>
          <w:sz w:val="24"/>
          <w:szCs w:val="24"/>
        </w:rPr>
        <w:t>Растениеводство.</w:t>
      </w:r>
      <w:r w:rsidRPr="00080C05">
        <w:rPr>
          <w:rFonts w:ascii="Times New Roman" w:hAnsi="Times New Roman"/>
          <w:sz w:val="24"/>
          <w:szCs w:val="24"/>
        </w:rPr>
        <w:t xml:space="preserve"> Подводя итоги прошедшего сельскохозяйственного года, необходимо отметить, что, несмотря на некоторые опасения по недобору урожая вследствие аномальных погодных условий в конце апреля – начале мая 2017 года, получен хороший результат по производству всех основных сельскохозяйственных культур. Вместе с этим, наблюдалась отрицательная динамика валового сбора озимой пшеницы («-»19,7%) и картофеля («-»25,4%) к уровню 2016 года.</w:t>
      </w:r>
      <w:r w:rsidRPr="00080C05">
        <w:rPr>
          <w:rFonts w:ascii="Times New Roman" w:hAnsi="Times New Roman"/>
          <w:color w:val="000000"/>
          <w:sz w:val="24"/>
          <w:szCs w:val="24"/>
        </w:rPr>
        <w:t xml:space="preserve"> </w:t>
      </w:r>
      <w:r w:rsidRPr="00080C05">
        <w:rPr>
          <w:rFonts w:ascii="Times New Roman" w:hAnsi="Times New Roman"/>
          <w:sz w:val="24"/>
          <w:szCs w:val="24"/>
        </w:rPr>
        <w:t>Полученный урожай зерновых ниже рекордных за последние несколько лет показателей 2016 года, но объем зерна продовольственной пшеницы позволяет полностью удовлетворить потребность республики в хлебе и обеспечить наличие переходящих запасов зерна.</w:t>
      </w:r>
    </w:p>
    <w:p w:rsidR="00B62B2E" w:rsidRPr="00080C05" w:rsidRDefault="00B62B2E" w:rsidP="00BA765C">
      <w:pPr>
        <w:spacing w:after="0" w:line="240" w:lineRule="auto"/>
        <w:ind w:firstLine="709"/>
        <w:jc w:val="both"/>
        <w:rPr>
          <w:rFonts w:ascii="Times New Roman" w:hAnsi="Times New Roman"/>
          <w:sz w:val="24"/>
          <w:szCs w:val="24"/>
        </w:rPr>
      </w:pPr>
      <w:r w:rsidRPr="00080C05">
        <w:rPr>
          <w:rFonts w:ascii="Times New Roman" w:hAnsi="Times New Roman"/>
          <w:sz w:val="24"/>
          <w:szCs w:val="24"/>
        </w:rPr>
        <w:t xml:space="preserve">Производство и урожайность основных видов продукции растениеводства представлены следующими данными. </w:t>
      </w:r>
    </w:p>
    <w:p w:rsidR="00BA765C" w:rsidRDefault="00BA765C" w:rsidP="00B62B2E">
      <w:pPr>
        <w:spacing w:after="0" w:line="240" w:lineRule="auto"/>
        <w:ind w:firstLine="708"/>
        <w:jc w:val="right"/>
        <w:rPr>
          <w:rFonts w:ascii="Times New Roman" w:hAnsi="Times New Roman"/>
          <w:sz w:val="24"/>
          <w:szCs w:val="24"/>
        </w:rPr>
      </w:pPr>
    </w:p>
    <w:p w:rsidR="00B62B2E" w:rsidRPr="00080C05" w:rsidRDefault="00B62B2E" w:rsidP="00B62B2E">
      <w:pPr>
        <w:spacing w:after="0" w:line="240" w:lineRule="auto"/>
        <w:ind w:firstLine="708"/>
        <w:jc w:val="right"/>
        <w:rPr>
          <w:rFonts w:ascii="Times New Roman" w:hAnsi="Times New Roman"/>
          <w:sz w:val="24"/>
          <w:szCs w:val="24"/>
        </w:rPr>
      </w:pPr>
      <w:r w:rsidRPr="00080C05">
        <w:rPr>
          <w:rFonts w:ascii="Times New Roman" w:hAnsi="Times New Roman"/>
          <w:sz w:val="24"/>
          <w:szCs w:val="24"/>
        </w:rPr>
        <w:lastRenderedPageBreak/>
        <w:t>Таблица №</w:t>
      </w:r>
      <w:r w:rsidR="00B97A6D">
        <w:rPr>
          <w:rFonts w:ascii="Times New Roman" w:hAnsi="Times New Roman"/>
          <w:sz w:val="24"/>
          <w:szCs w:val="24"/>
        </w:rPr>
        <w:t>1</w:t>
      </w:r>
    </w:p>
    <w:p w:rsidR="00B62B2E" w:rsidRPr="00080C05" w:rsidRDefault="00B62B2E" w:rsidP="00B62B2E">
      <w:pPr>
        <w:spacing w:after="0" w:line="240" w:lineRule="auto"/>
        <w:jc w:val="center"/>
        <w:rPr>
          <w:rFonts w:ascii="Times New Roman" w:eastAsia="Calibri" w:hAnsi="Times New Roman"/>
          <w:b/>
        </w:rPr>
      </w:pPr>
      <w:r w:rsidRPr="00080C05">
        <w:rPr>
          <w:rFonts w:ascii="Times New Roman" w:eastAsia="Calibri" w:hAnsi="Times New Roman"/>
          <w:b/>
        </w:rPr>
        <w:t xml:space="preserve">Производство основных сельскохозяйственных культур </w:t>
      </w:r>
    </w:p>
    <w:p w:rsidR="00B62B2E" w:rsidRPr="00080C05" w:rsidRDefault="00B62B2E" w:rsidP="00B62B2E">
      <w:pPr>
        <w:spacing w:after="0" w:line="240" w:lineRule="auto"/>
        <w:jc w:val="center"/>
        <w:rPr>
          <w:rFonts w:ascii="Times New Roman" w:eastAsia="Calibri" w:hAnsi="Times New Roman"/>
          <w:b/>
        </w:rPr>
      </w:pPr>
      <w:r w:rsidRPr="00080C05">
        <w:rPr>
          <w:rFonts w:ascii="Times New Roman" w:eastAsia="Calibri" w:hAnsi="Times New Roman"/>
          <w:b/>
        </w:rPr>
        <w:t>во всех категориях хозяйств за 2016 -2017 годы</w:t>
      </w:r>
    </w:p>
    <w:tbl>
      <w:tblPr>
        <w:tblW w:w="9355" w:type="dxa"/>
        <w:tblInd w:w="108" w:type="dxa"/>
        <w:tblLayout w:type="fixed"/>
        <w:tblLook w:val="0000"/>
      </w:tblPr>
      <w:tblGrid>
        <w:gridCol w:w="2552"/>
        <w:gridCol w:w="992"/>
        <w:gridCol w:w="1134"/>
        <w:gridCol w:w="1276"/>
        <w:gridCol w:w="992"/>
        <w:gridCol w:w="992"/>
        <w:gridCol w:w="1417"/>
      </w:tblGrid>
      <w:tr w:rsidR="00B62B2E" w:rsidRPr="00080C05" w:rsidTr="00FB1F46">
        <w:trPr>
          <w:trHeight w:val="285"/>
        </w:trPr>
        <w:tc>
          <w:tcPr>
            <w:tcW w:w="255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B62B2E" w:rsidRPr="00080C05" w:rsidRDefault="00B62B2E" w:rsidP="002A03A2">
            <w:pPr>
              <w:spacing w:after="0" w:line="240" w:lineRule="auto"/>
              <w:jc w:val="center"/>
              <w:rPr>
                <w:rFonts w:ascii="Times New Roman" w:eastAsia="Calibri" w:hAnsi="Times New Roman"/>
                <w:bCs/>
              </w:rPr>
            </w:pPr>
            <w:r w:rsidRPr="00080C05">
              <w:rPr>
                <w:rFonts w:ascii="Times New Roman" w:eastAsia="Calibri" w:hAnsi="Times New Roman"/>
                <w:bCs/>
              </w:rPr>
              <w:t>Культуры</w:t>
            </w:r>
          </w:p>
        </w:tc>
        <w:tc>
          <w:tcPr>
            <w:tcW w:w="340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B62B2E" w:rsidRPr="00080C05" w:rsidRDefault="00B62B2E" w:rsidP="002A03A2">
            <w:pPr>
              <w:spacing w:after="0" w:line="240" w:lineRule="auto"/>
              <w:jc w:val="center"/>
              <w:rPr>
                <w:rFonts w:ascii="Times New Roman" w:eastAsia="Calibri" w:hAnsi="Times New Roman"/>
                <w:bCs/>
              </w:rPr>
            </w:pPr>
            <w:r w:rsidRPr="00080C05">
              <w:rPr>
                <w:rFonts w:ascii="Times New Roman" w:eastAsia="Calibri" w:hAnsi="Times New Roman"/>
                <w:bCs/>
              </w:rPr>
              <w:t>Валовой сбор, тыс. тонн</w:t>
            </w:r>
          </w:p>
        </w:tc>
        <w:tc>
          <w:tcPr>
            <w:tcW w:w="3401"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tcPr>
          <w:p w:rsidR="00B62B2E" w:rsidRPr="00080C05" w:rsidRDefault="00B62B2E" w:rsidP="002A03A2">
            <w:pPr>
              <w:spacing w:after="0" w:line="240" w:lineRule="auto"/>
              <w:ind w:left="-288"/>
              <w:jc w:val="center"/>
              <w:rPr>
                <w:rFonts w:ascii="Times New Roman" w:eastAsia="Calibri" w:hAnsi="Times New Roman"/>
                <w:bCs/>
              </w:rPr>
            </w:pPr>
            <w:r w:rsidRPr="00080C05">
              <w:rPr>
                <w:rFonts w:ascii="Times New Roman" w:eastAsia="Calibri" w:hAnsi="Times New Roman"/>
                <w:bCs/>
              </w:rPr>
              <w:t xml:space="preserve">Средняя урожайность, </w:t>
            </w:r>
            <w:proofErr w:type="spellStart"/>
            <w:r w:rsidRPr="00080C05">
              <w:rPr>
                <w:rFonts w:ascii="Times New Roman" w:eastAsia="Calibri" w:hAnsi="Times New Roman"/>
                <w:bCs/>
              </w:rPr>
              <w:t>ц</w:t>
            </w:r>
            <w:proofErr w:type="spellEnd"/>
            <w:r w:rsidRPr="00080C05">
              <w:rPr>
                <w:rFonts w:ascii="Times New Roman" w:eastAsia="Calibri" w:hAnsi="Times New Roman"/>
                <w:bCs/>
              </w:rPr>
              <w:t>/га*</w:t>
            </w:r>
          </w:p>
        </w:tc>
      </w:tr>
      <w:tr w:rsidR="00B62B2E" w:rsidRPr="00080C05" w:rsidTr="00FB1F46">
        <w:trPr>
          <w:trHeight w:val="385"/>
        </w:trPr>
        <w:tc>
          <w:tcPr>
            <w:tcW w:w="25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2B2E" w:rsidRPr="00080C05" w:rsidRDefault="00B62B2E" w:rsidP="002A03A2">
            <w:pPr>
              <w:spacing w:after="0" w:line="240" w:lineRule="auto"/>
              <w:rPr>
                <w:rFonts w:ascii="Times New Roman" w:eastAsia="Calibri" w:hAnsi="Times New Roman"/>
                <w:bCs/>
              </w:rPr>
            </w:pP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rsidR="00B62B2E" w:rsidRPr="00080C05" w:rsidRDefault="00B62B2E" w:rsidP="002A03A2">
            <w:pPr>
              <w:spacing w:after="0" w:line="240" w:lineRule="auto"/>
              <w:ind w:left="-108" w:right="-108"/>
              <w:jc w:val="center"/>
              <w:rPr>
                <w:rFonts w:ascii="Times New Roman" w:eastAsia="Calibri" w:hAnsi="Times New Roman"/>
                <w:bCs/>
              </w:rPr>
            </w:pPr>
            <w:r w:rsidRPr="00080C05">
              <w:rPr>
                <w:rFonts w:ascii="Times New Roman" w:eastAsia="Calibri" w:hAnsi="Times New Roman"/>
                <w:bCs/>
              </w:rPr>
              <w:t>2016 год</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rsidR="00B62B2E" w:rsidRPr="00080C05" w:rsidRDefault="00B62B2E" w:rsidP="002A03A2">
            <w:pPr>
              <w:spacing w:after="0" w:line="240" w:lineRule="auto"/>
              <w:ind w:left="-108" w:right="-109"/>
              <w:jc w:val="center"/>
              <w:rPr>
                <w:rFonts w:ascii="Times New Roman" w:eastAsia="Calibri" w:hAnsi="Times New Roman"/>
                <w:bCs/>
              </w:rPr>
            </w:pPr>
            <w:r w:rsidRPr="00080C05">
              <w:rPr>
                <w:rFonts w:ascii="Times New Roman" w:eastAsia="Calibri" w:hAnsi="Times New Roman"/>
                <w:bCs/>
              </w:rPr>
              <w:t>2017 год</w:t>
            </w:r>
          </w:p>
        </w:tc>
        <w:tc>
          <w:tcPr>
            <w:tcW w:w="1276" w:type="dxa"/>
            <w:tcBorders>
              <w:top w:val="nil"/>
              <w:left w:val="nil"/>
              <w:bottom w:val="single" w:sz="4" w:space="0" w:color="auto"/>
              <w:right w:val="single" w:sz="4" w:space="0" w:color="auto"/>
            </w:tcBorders>
            <w:shd w:val="clear" w:color="auto" w:fill="D9D9D9" w:themeFill="background1" w:themeFillShade="D9"/>
            <w:vAlign w:val="center"/>
          </w:tcPr>
          <w:p w:rsidR="00B62B2E" w:rsidRPr="00080C05" w:rsidRDefault="00B62B2E" w:rsidP="002A03A2">
            <w:pPr>
              <w:spacing w:after="0" w:line="240" w:lineRule="auto"/>
              <w:ind w:left="-108"/>
              <w:jc w:val="center"/>
              <w:rPr>
                <w:rFonts w:ascii="Times New Roman" w:eastAsia="Calibri" w:hAnsi="Times New Roman"/>
                <w:bCs/>
              </w:rPr>
            </w:pPr>
            <w:r w:rsidRPr="00080C05">
              <w:rPr>
                <w:rFonts w:ascii="Times New Roman" w:eastAsia="Calibri" w:hAnsi="Times New Roman"/>
                <w:bCs/>
              </w:rPr>
              <w:t xml:space="preserve">Темп роста </w:t>
            </w:r>
          </w:p>
          <w:p w:rsidR="00B62B2E" w:rsidRPr="00080C05" w:rsidRDefault="00B62B2E" w:rsidP="002A03A2">
            <w:pPr>
              <w:spacing w:after="0" w:line="240" w:lineRule="auto"/>
              <w:ind w:left="-108" w:right="-108"/>
              <w:jc w:val="center"/>
              <w:rPr>
                <w:rFonts w:ascii="Times New Roman" w:eastAsia="Calibri" w:hAnsi="Times New Roman"/>
                <w:bCs/>
              </w:rPr>
            </w:pPr>
            <w:r w:rsidRPr="00080C05">
              <w:rPr>
                <w:rFonts w:ascii="Times New Roman" w:eastAsia="Calibri" w:hAnsi="Times New Roman"/>
                <w:bCs/>
              </w:rPr>
              <w:t>в % к 2016 г.</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rsidR="00B62B2E" w:rsidRPr="00080C05" w:rsidRDefault="00B62B2E" w:rsidP="002A03A2">
            <w:pPr>
              <w:spacing w:after="0" w:line="240" w:lineRule="auto"/>
              <w:ind w:left="-109" w:right="-108"/>
              <w:jc w:val="center"/>
              <w:rPr>
                <w:rFonts w:ascii="Times New Roman" w:eastAsia="Calibri" w:hAnsi="Times New Roman"/>
                <w:bCs/>
              </w:rPr>
            </w:pPr>
            <w:r w:rsidRPr="00080C05">
              <w:rPr>
                <w:rFonts w:ascii="Times New Roman" w:eastAsia="Calibri" w:hAnsi="Times New Roman"/>
                <w:bCs/>
              </w:rPr>
              <w:t>2016 год</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rsidR="00B62B2E" w:rsidRPr="00080C05" w:rsidRDefault="00B62B2E" w:rsidP="002A03A2">
            <w:pPr>
              <w:spacing w:after="0" w:line="240" w:lineRule="auto"/>
              <w:ind w:left="-109" w:right="-107"/>
              <w:jc w:val="center"/>
              <w:rPr>
                <w:rFonts w:ascii="Times New Roman" w:eastAsia="Calibri" w:hAnsi="Times New Roman"/>
                <w:bCs/>
              </w:rPr>
            </w:pPr>
            <w:r w:rsidRPr="00080C05">
              <w:rPr>
                <w:rFonts w:ascii="Times New Roman" w:eastAsia="Calibri" w:hAnsi="Times New Roman"/>
                <w:bCs/>
              </w:rPr>
              <w:t>2017 год</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B62B2E" w:rsidRPr="00080C05" w:rsidRDefault="00B62B2E" w:rsidP="002A03A2">
            <w:pPr>
              <w:spacing w:after="0" w:line="240" w:lineRule="auto"/>
              <w:ind w:left="-141"/>
              <w:jc w:val="center"/>
              <w:rPr>
                <w:rFonts w:ascii="Times New Roman" w:eastAsia="Calibri" w:hAnsi="Times New Roman"/>
                <w:bCs/>
              </w:rPr>
            </w:pPr>
            <w:r w:rsidRPr="00080C05">
              <w:rPr>
                <w:rFonts w:ascii="Times New Roman" w:eastAsia="Calibri" w:hAnsi="Times New Roman"/>
                <w:bCs/>
              </w:rPr>
              <w:t>Темп роста</w:t>
            </w:r>
          </w:p>
          <w:p w:rsidR="00B62B2E" w:rsidRPr="00080C05" w:rsidRDefault="00B62B2E" w:rsidP="002A03A2">
            <w:pPr>
              <w:spacing w:after="0" w:line="240" w:lineRule="auto"/>
              <w:ind w:left="-141"/>
              <w:jc w:val="center"/>
              <w:rPr>
                <w:rFonts w:ascii="Times New Roman" w:eastAsia="Calibri" w:hAnsi="Times New Roman"/>
                <w:bCs/>
              </w:rPr>
            </w:pPr>
            <w:r w:rsidRPr="00080C05">
              <w:rPr>
                <w:rFonts w:ascii="Times New Roman" w:eastAsia="Calibri" w:hAnsi="Times New Roman"/>
                <w:bCs/>
              </w:rPr>
              <w:t xml:space="preserve"> в % к 2016 г.</w:t>
            </w:r>
          </w:p>
        </w:tc>
      </w:tr>
      <w:tr w:rsidR="00B62B2E" w:rsidRPr="00080C05" w:rsidTr="002A03A2">
        <w:trPr>
          <w:trHeight w:val="30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62B2E" w:rsidRPr="00080C05" w:rsidRDefault="00B62B2E" w:rsidP="002A03A2">
            <w:pPr>
              <w:spacing w:after="0" w:line="240" w:lineRule="auto"/>
              <w:ind w:right="-108"/>
              <w:rPr>
                <w:rFonts w:ascii="Times New Roman" w:eastAsia="Calibri" w:hAnsi="Times New Roman"/>
                <w:bCs/>
              </w:rPr>
            </w:pPr>
            <w:r w:rsidRPr="00080C05">
              <w:rPr>
                <w:rFonts w:ascii="Times New Roman" w:eastAsia="Calibri" w:hAnsi="Times New Roman"/>
                <w:bCs/>
              </w:rPr>
              <w:t>Зерновые и зернобобовые культуры, из них:</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538,7</w:t>
            </w:r>
          </w:p>
        </w:tc>
        <w:tc>
          <w:tcPr>
            <w:tcW w:w="1134"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458,6</w:t>
            </w:r>
          </w:p>
        </w:tc>
        <w:tc>
          <w:tcPr>
            <w:tcW w:w="1276"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85,1</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ind w:left="-250" w:firstLine="44"/>
              <w:jc w:val="right"/>
              <w:rPr>
                <w:rFonts w:ascii="Times New Roman" w:hAnsi="Times New Roman"/>
              </w:rPr>
            </w:pPr>
            <w:r w:rsidRPr="00080C05">
              <w:rPr>
                <w:rFonts w:ascii="Times New Roman" w:hAnsi="Times New Roman"/>
              </w:rPr>
              <w:t>44,1</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ind w:left="-250" w:firstLine="44"/>
              <w:jc w:val="right"/>
              <w:rPr>
                <w:rFonts w:ascii="Times New Roman" w:hAnsi="Times New Roman"/>
              </w:rPr>
            </w:pPr>
            <w:r w:rsidRPr="00080C05">
              <w:rPr>
                <w:rFonts w:ascii="Times New Roman" w:hAnsi="Times New Roman"/>
              </w:rPr>
              <w:t>40,2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91,2</w:t>
            </w:r>
          </w:p>
        </w:tc>
      </w:tr>
      <w:tr w:rsidR="00B62B2E" w:rsidRPr="00080C05" w:rsidTr="002A03A2">
        <w:trPr>
          <w:trHeight w:val="213"/>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62B2E" w:rsidRPr="00080C05" w:rsidRDefault="00B62B2E" w:rsidP="002A03A2">
            <w:pPr>
              <w:spacing w:after="0" w:line="240" w:lineRule="auto"/>
              <w:ind w:right="-108"/>
              <w:rPr>
                <w:rFonts w:ascii="Times New Roman" w:eastAsia="Calibri" w:hAnsi="Times New Roman"/>
                <w:bCs/>
              </w:rPr>
            </w:pPr>
            <w:r w:rsidRPr="00080C05">
              <w:rPr>
                <w:rFonts w:ascii="Times New Roman" w:eastAsia="Calibri" w:hAnsi="Times New Roman"/>
                <w:bCs/>
              </w:rPr>
              <w:t>озимая пшеница</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361,8</w:t>
            </w:r>
          </w:p>
        </w:tc>
        <w:tc>
          <w:tcPr>
            <w:tcW w:w="1134"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290,6</w:t>
            </w:r>
          </w:p>
        </w:tc>
        <w:tc>
          <w:tcPr>
            <w:tcW w:w="1276"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80,3</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44,9</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40,1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89,3</w:t>
            </w:r>
          </w:p>
        </w:tc>
      </w:tr>
      <w:tr w:rsidR="00B62B2E" w:rsidRPr="00080C05" w:rsidTr="002A03A2">
        <w:trPr>
          <w:trHeight w:val="138"/>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62B2E" w:rsidRPr="00080C05" w:rsidRDefault="00B62B2E" w:rsidP="002A03A2">
            <w:pPr>
              <w:spacing w:after="0" w:line="240" w:lineRule="auto"/>
              <w:ind w:right="-108"/>
              <w:rPr>
                <w:rFonts w:ascii="Times New Roman" w:eastAsia="Calibri" w:hAnsi="Times New Roman"/>
                <w:bCs/>
              </w:rPr>
            </w:pPr>
            <w:r w:rsidRPr="00080C05">
              <w:rPr>
                <w:rFonts w:ascii="Times New Roman" w:eastAsia="Calibri" w:hAnsi="Times New Roman"/>
                <w:bCs/>
              </w:rPr>
              <w:t>кукуруза на зерно</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93,3</w:t>
            </w:r>
          </w:p>
        </w:tc>
        <w:tc>
          <w:tcPr>
            <w:tcW w:w="1134"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98,5</w:t>
            </w:r>
          </w:p>
        </w:tc>
        <w:tc>
          <w:tcPr>
            <w:tcW w:w="1276"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105,6</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55,3</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50,7</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91,7</w:t>
            </w:r>
          </w:p>
        </w:tc>
      </w:tr>
      <w:tr w:rsidR="00B62B2E" w:rsidRPr="00080C05" w:rsidTr="002A03A2">
        <w:trPr>
          <w:trHeight w:val="214"/>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62B2E" w:rsidRPr="00080C05" w:rsidRDefault="00B62B2E" w:rsidP="002A03A2">
            <w:pPr>
              <w:spacing w:after="0" w:line="240" w:lineRule="auto"/>
              <w:ind w:right="-108"/>
              <w:rPr>
                <w:rFonts w:ascii="Times New Roman" w:eastAsia="Calibri" w:hAnsi="Times New Roman"/>
                <w:bCs/>
              </w:rPr>
            </w:pPr>
            <w:r w:rsidRPr="00080C05">
              <w:rPr>
                <w:rFonts w:ascii="Times New Roman" w:eastAsia="Calibri" w:hAnsi="Times New Roman"/>
                <w:bCs/>
              </w:rPr>
              <w:t>Подсолнечник на зерно</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112,3</w:t>
            </w:r>
          </w:p>
        </w:tc>
        <w:tc>
          <w:tcPr>
            <w:tcW w:w="1134"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121,3</w:t>
            </w:r>
          </w:p>
        </w:tc>
        <w:tc>
          <w:tcPr>
            <w:tcW w:w="1276"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108,0</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20,9</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18,3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87,6</w:t>
            </w:r>
          </w:p>
        </w:tc>
      </w:tr>
      <w:tr w:rsidR="00B62B2E" w:rsidRPr="00080C05" w:rsidTr="002A03A2">
        <w:trPr>
          <w:trHeight w:val="127"/>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62B2E" w:rsidRPr="00080C05" w:rsidRDefault="00B62B2E" w:rsidP="002A03A2">
            <w:pPr>
              <w:spacing w:after="0" w:line="240" w:lineRule="auto"/>
              <w:ind w:right="-108"/>
              <w:rPr>
                <w:rFonts w:ascii="Times New Roman" w:eastAsia="Calibri" w:hAnsi="Times New Roman"/>
                <w:bCs/>
              </w:rPr>
            </w:pPr>
            <w:r w:rsidRPr="00080C05">
              <w:rPr>
                <w:rFonts w:ascii="Times New Roman" w:eastAsia="Calibri" w:hAnsi="Times New Roman"/>
                <w:bCs/>
              </w:rPr>
              <w:t>Картофель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6,3</w:t>
            </w:r>
          </w:p>
        </w:tc>
        <w:tc>
          <w:tcPr>
            <w:tcW w:w="1134"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4,7</w:t>
            </w:r>
          </w:p>
        </w:tc>
        <w:tc>
          <w:tcPr>
            <w:tcW w:w="1276"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74,6</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262,9</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237,7</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90,4</w:t>
            </w:r>
          </w:p>
        </w:tc>
      </w:tr>
      <w:tr w:rsidR="00B62B2E" w:rsidRPr="00080C05" w:rsidTr="002A03A2">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62B2E" w:rsidRPr="00080C05" w:rsidRDefault="00B62B2E" w:rsidP="002A03A2">
            <w:pPr>
              <w:spacing w:after="0" w:line="240" w:lineRule="auto"/>
              <w:ind w:right="-108"/>
              <w:rPr>
                <w:rFonts w:ascii="Times New Roman" w:eastAsia="Calibri" w:hAnsi="Times New Roman"/>
                <w:iCs/>
              </w:rPr>
            </w:pPr>
            <w:r w:rsidRPr="00080C05">
              <w:rPr>
                <w:rFonts w:ascii="Times New Roman" w:eastAsia="Calibri" w:hAnsi="Times New Roman"/>
                <w:iCs/>
              </w:rPr>
              <w:t>Овощи открытого грунта</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39,8</w:t>
            </w:r>
          </w:p>
        </w:tc>
        <w:tc>
          <w:tcPr>
            <w:tcW w:w="1134"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44,1</w:t>
            </w:r>
          </w:p>
        </w:tc>
        <w:tc>
          <w:tcPr>
            <w:tcW w:w="1276"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110,8</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164,3</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203,9</w:t>
            </w:r>
          </w:p>
        </w:tc>
        <w:tc>
          <w:tcPr>
            <w:tcW w:w="1417"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124,1</w:t>
            </w:r>
          </w:p>
        </w:tc>
      </w:tr>
      <w:tr w:rsidR="00B62B2E" w:rsidRPr="00080C05" w:rsidTr="002A03A2">
        <w:trPr>
          <w:trHeight w:val="92"/>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62B2E" w:rsidRPr="00080C05" w:rsidRDefault="00B62B2E" w:rsidP="002A03A2">
            <w:pPr>
              <w:spacing w:after="0" w:line="240" w:lineRule="auto"/>
              <w:ind w:right="-108"/>
              <w:rPr>
                <w:rFonts w:ascii="Times New Roman" w:eastAsia="Calibri" w:hAnsi="Times New Roman"/>
                <w:iCs/>
              </w:rPr>
            </w:pPr>
            <w:r w:rsidRPr="00080C05">
              <w:rPr>
                <w:rFonts w:ascii="Times New Roman" w:eastAsia="Calibri" w:hAnsi="Times New Roman"/>
                <w:iCs/>
              </w:rPr>
              <w:t>Плоды</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14,2</w:t>
            </w:r>
          </w:p>
        </w:tc>
        <w:tc>
          <w:tcPr>
            <w:tcW w:w="1134"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14,3</w:t>
            </w:r>
          </w:p>
        </w:tc>
        <w:tc>
          <w:tcPr>
            <w:tcW w:w="1276" w:type="dxa"/>
            <w:tcBorders>
              <w:top w:val="single" w:sz="4" w:space="0" w:color="auto"/>
              <w:left w:val="nil"/>
              <w:bottom w:val="single" w:sz="4" w:space="0" w:color="auto"/>
              <w:right w:val="single" w:sz="4" w:space="0" w:color="auto"/>
            </w:tcBorders>
            <w:shd w:val="clear" w:color="auto" w:fill="auto"/>
            <w:vAlign w:val="center"/>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100,7</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84,5**</w:t>
            </w:r>
          </w:p>
        </w:tc>
        <w:tc>
          <w:tcPr>
            <w:tcW w:w="992" w:type="dxa"/>
            <w:tcBorders>
              <w:top w:val="single" w:sz="4" w:space="0" w:color="auto"/>
              <w:left w:val="nil"/>
              <w:bottom w:val="single" w:sz="4" w:space="0" w:color="auto"/>
              <w:right w:val="single" w:sz="4" w:space="0" w:color="auto"/>
            </w:tcBorders>
            <w:shd w:val="clear" w:color="auto" w:fill="auto"/>
            <w:vAlign w:val="bottom"/>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86,6**</w:t>
            </w:r>
          </w:p>
        </w:tc>
        <w:tc>
          <w:tcPr>
            <w:tcW w:w="1417" w:type="dxa"/>
            <w:tcBorders>
              <w:top w:val="single" w:sz="4" w:space="0" w:color="auto"/>
              <w:left w:val="nil"/>
              <w:bottom w:val="single" w:sz="4" w:space="0" w:color="auto"/>
              <w:right w:val="single" w:sz="4" w:space="0" w:color="auto"/>
            </w:tcBorders>
            <w:shd w:val="clear" w:color="auto" w:fill="auto"/>
            <w:vAlign w:val="center"/>
          </w:tcPr>
          <w:p w:rsidR="00B62B2E" w:rsidRPr="00080C05" w:rsidRDefault="00B62B2E" w:rsidP="002A03A2">
            <w:pPr>
              <w:tabs>
                <w:tab w:val="left" w:pos="867"/>
              </w:tabs>
              <w:spacing w:after="0" w:line="240" w:lineRule="auto"/>
              <w:jc w:val="right"/>
              <w:rPr>
                <w:rFonts w:ascii="Times New Roman" w:eastAsia="Calibri" w:hAnsi="Times New Roman"/>
              </w:rPr>
            </w:pPr>
            <w:r w:rsidRPr="00080C05">
              <w:rPr>
                <w:rFonts w:ascii="Times New Roman" w:eastAsia="Calibri" w:hAnsi="Times New Roman"/>
              </w:rPr>
              <w:t>102,5</w:t>
            </w:r>
          </w:p>
        </w:tc>
      </w:tr>
      <w:tr w:rsidR="00B62B2E" w:rsidRPr="00080C05" w:rsidTr="002A03A2">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tcPr>
          <w:p w:rsidR="00B62B2E" w:rsidRPr="00080C05" w:rsidRDefault="00B62B2E" w:rsidP="002A03A2">
            <w:pPr>
              <w:spacing w:after="0" w:line="240" w:lineRule="auto"/>
              <w:ind w:right="-108"/>
              <w:rPr>
                <w:rFonts w:ascii="Times New Roman" w:eastAsia="Calibri" w:hAnsi="Times New Roman"/>
                <w:iCs/>
              </w:rPr>
            </w:pPr>
            <w:r w:rsidRPr="00080C05">
              <w:rPr>
                <w:rFonts w:ascii="Times New Roman" w:eastAsia="Calibri" w:hAnsi="Times New Roman"/>
                <w:iCs/>
              </w:rPr>
              <w:t>Виноград</w:t>
            </w:r>
          </w:p>
        </w:tc>
        <w:tc>
          <w:tcPr>
            <w:tcW w:w="992" w:type="dxa"/>
            <w:tcBorders>
              <w:top w:val="single" w:sz="4" w:space="0" w:color="auto"/>
              <w:left w:val="nil"/>
              <w:bottom w:val="single" w:sz="4" w:space="0" w:color="auto"/>
              <w:right w:val="single" w:sz="4" w:space="0" w:color="auto"/>
            </w:tcBorders>
            <w:shd w:val="clear" w:color="auto" w:fill="auto"/>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17,9</w:t>
            </w:r>
          </w:p>
        </w:tc>
        <w:tc>
          <w:tcPr>
            <w:tcW w:w="1134" w:type="dxa"/>
            <w:tcBorders>
              <w:top w:val="single" w:sz="4" w:space="0" w:color="auto"/>
              <w:left w:val="nil"/>
              <w:bottom w:val="single" w:sz="4" w:space="0" w:color="auto"/>
              <w:right w:val="single" w:sz="4" w:space="0" w:color="auto"/>
            </w:tcBorders>
            <w:shd w:val="clear" w:color="auto" w:fill="auto"/>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25,5</w:t>
            </w:r>
          </w:p>
        </w:tc>
        <w:tc>
          <w:tcPr>
            <w:tcW w:w="1276" w:type="dxa"/>
            <w:tcBorders>
              <w:top w:val="single" w:sz="4" w:space="0" w:color="auto"/>
              <w:left w:val="nil"/>
              <w:bottom w:val="single" w:sz="4" w:space="0" w:color="auto"/>
              <w:right w:val="single" w:sz="4" w:space="0" w:color="auto"/>
            </w:tcBorders>
            <w:shd w:val="clear" w:color="auto" w:fill="auto"/>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142,5</w:t>
            </w:r>
          </w:p>
        </w:tc>
        <w:tc>
          <w:tcPr>
            <w:tcW w:w="992" w:type="dxa"/>
            <w:tcBorders>
              <w:top w:val="single" w:sz="4" w:space="0" w:color="auto"/>
              <w:left w:val="nil"/>
              <w:bottom w:val="single" w:sz="4" w:space="0" w:color="auto"/>
              <w:right w:val="single" w:sz="4" w:space="0" w:color="auto"/>
            </w:tcBorders>
            <w:shd w:val="clear" w:color="auto" w:fill="auto"/>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74,3**</w:t>
            </w:r>
          </w:p>
        </w:tc>
        <w:tc>
          <w:tcPr>
            <w:tcW w:w="992" w:type="dxa"/>
            <w:tcBorders>
              <w:top w:val="single" w:sz="4" w:space="0" w:color="auto"/>
              <w:left w:val="nil"/>
              <w:bottom w:val="single" w:sz="4" w:space="0" w:color="auto"/>
              <w:right w:val="single" w:sz="4" w:space="0" w:color="auto"/>
            </w:tcBorders>
            <w:shd w:val="clear" w:color="auto" w:fill="auto"/>
          </w:tcPr>
          <w:p w:rsidR="00B62B2E" w:rsidRPr="00080C05" w:rsidRDefault="00B62B2E" w:rsidP="002A03A2">
            <w:pPr>
              <w:spacing w:after="0" w:line="240" w:lineRule="auto"/>
              <w:jc w:val="right"/>
              <w:rPr>
                <w:rFonts w:ascii="Times New Roman" w:hAnsi="Times New Roman"/>
              </w:rPr>
            </w:pPr>
            <w:r w:rsidRPr="00080C05">
              <w:rPr>
                <w:rFonts w:ascii="Times New Roman" w:hAnsi="Times New Roman"/>
              </w:rPr>
              <w:t>102,7**</w:t>
            </w:r>
          </w:p>
        </w:tc>
        <w:tc>
          <w:tcPr>
            <w:tcW w:w="1417" w:type="dxa"/>
            <w:tcBorders>
              <w:top w:val="single" w:sz="4" w:space="0" w:color="auto"/>
              <w:left w:val="nil"/>
              <w:bottom w:val="single" w:sz="4" w:space="0" w:color="auto"/>
              <w:right w:val="single" w:sz="4" w:space="0" w:color="auto"/>
            </w:tcBorders>
            <w:shd w:val="clear" w:color="auto" w:fill="auto"/>
          </w:tcPr>
          <w:p w:rsidR="00B62B2E" w:rsidRPr="00080C05" w:rsidRDefault="00B62B2E" w:rsidP="002A03A2">
            <w:pPr>
              <w:spacing w:after="0" w:line="240" w:lineRule="auto"/>
              <w:jc w:val="right"/>
              <w:rPr>
                <w:rFonts w:ascii="Times New Roman" w:eastAsia="Calibri" w:hAnsi="Times New Roman"/>
              </w:rPr>
            </w:pPr>
            <w:r w:rsidRPr="00080C05">
              <w:rPr>
                <w:rFonts w:ascii="Times New Roman" w:eastAsia="Calibri" w:hAnsi="Times New Roman"/>
              </w:rPr>
              <w:t>138,2</w:t>
            </w:r>
          </w:p>
        </w:tc>
      </w:tr>
    </w:tbl>
    <w:p w:rsidR="00B62B2E" w:rsidRPr="00080C05" w:rsidRDefault="00B62B2E" w:rsidP="00B62B2E">
      <w:pPr>
        <w:tabs>
          <w:tab w:val="left" w:pos="7020"/>
          <w:tab w:val="left" w:pos="8460"/>
        </w:tabs>
        <w:spacing w:after="0" w:line="240" w:lineRule="auto"/>
        <w:rPr>
          <w:rFonts w:ascii="Times New Roman" w:eastAsia="Calibri" w:hAnsi="Times New Roman"/>
          <w:sz w:val="20"/>
          <w:szCs w:val="20"/>
        </w:rPr>
      </w:pPr>
      <w:r w:rsidRPr="00080C05">
        <w:rPr>
          <w:rFonts w:ascii="Times New Roman" w:eastAsia="Calibri" w:hAnsi="Times New Roman"/>
          <w:sz w:val="20"/>
          <w:szCs w:val="20"/>
        </w:rPr>
        <w:t xml:space="preserve"> *- средняя урожайность, </w:t>
      </w:r>
      <w:proofErr w:type="spellStart"/>
      <w:r w:rsidRPr="00080C05">
        <w:rPr>
          <w:rFonts w:ascii="Times New Roman" w:eastAsia="Calibri" w:hAnsi="Times New Roman"/>
          <w:sz w:val="20"/>
          <w:szCs w:val="20"/>
        </w:rPr>
        <w:t>ц</w:t>
      </w:r>
      <w:proofErr w:type="spellEnd"/>
      <w:r w:rsidRPr="00080C05">
        <w:rPr>
          <w:rFonts w:ascii="Times New Roman" w:eastAsia="Calibri" w:hAnsi="Times New Roman"/>
          <w:sz w:val="20"/>
          <w:szCs w:val="20"/>
        </w:rPr>
        <w:t>/га  с уборочной площади;</w:t>
      </w:r>
    </w:p>
    <w:p w:rsidR="00B62B2E" w:rsidRPr="00080C05" w:rsidRDefault="00B62B2E" w:rsidP="00B62B2E">
      <w:pPr>
        <w:tabs>
          <w:tab w:val="left" w:pos="8460"/>
        </w:tabs>
        <w:spacing w:after="0"/>
        <w:ind w:left="-567" w:firstLine="567"/>
        <w:rPr>
          <w:rFonts w:ascii="Times New Roman" w:eastAsia="Calibri" w:hAnsi="Times New Roman"/>
          <w:sz w:val="20"/>
          <w:szCs w:val="20"/>
        </w:rPr>
      </w:pPr>
      <w:r w:rsidRPr="00080C05">
        <w:rPr>
          <w:rFonts w:ascii="Times New Roman" w:eastAsia="Calibri" w:hAnsi="Times New Roman"/>
          <w:sz w:val="20"/>
          <w:szCs w:val="20"/>
        </w:rPr>
        <w:t xml:space="preserve"> **- средняя урожайность, </w:t>
      </w:r>
      <w:proofErr w:type="spellStart"/>
      <w:r w:rsidRPr="00080C05">
        <w:rPr>
          <w:rFonts w:ascii="Times New Roman" w:eastAsia="Calibri" w:hAnsi="Times New Roman"/>
          <w:sz w:val="20"/>
          <w:szCs w:val="20"/>
        </w:rPr>
        <w:t>ц</w:t>
      </w:r>
      <w:proofErr w:type="spellEnd"/>
      <w:r w:rsidRPr="00080C05">
        <w:rPr>
          <w:rFonts w:ascii="Times New Roman" w:eastAsia="Calibri" w:hAnsi="Times New Roman"/>
          <w:sz w:val="20"/>
          <w:szCs w:val="20"/>
        </w:rPr>
        <w:t xml:space="preserve">/га с площади в плодоносящем возрасте </w:t>
      </w:r>
    </w:p>
    <w:p w:rsidR="00B62B2E" w:rsidRPr="00080C05" w:rsidRDefault="00B62B2E" w:rsidP="00B62B2E">
      <w:pPr>
        <w:tabs>
          <w:tab w:val="left" w:pos="8460"/>
        </w:tabs>
        <w:spacing w:after="0"/>
        <w:ind w:left="-567" w:firstLine="567"/>
        <w:rPr>
          <w:rFonts w:ascii="Times New Roman" w:eastAsia="Calibri" w:hAnsi="Times New Roman"/>
          <w:sz w:val="10"/>
          <w:szCs w:val="10"/>
        </w:rPr>
      </w:pPr>
    </w:p>
    <w:p w:rsidR="00B62B2E" w:rsidRPr="00080C05" w:rsidRDefault="00B62B2E" w:rsidP="00BA765C">
      <w:pPr>
        <w:spacing w:after="0" w:line="240" w:lineRule="auto"/>
        <w:ind w:firstLine="709"/>
        <w:jc w:val="both"/>
        <w:rPr>
          <w:rFonts w:ascii="Times New Roman" w:hAnsi="Times New Roman"/>
          <w:sz w:val="24"/>
          <w:szCs w:val="24"/>
        </w:rPr>
      </w:pPr>
      <w:r w:rsidRPr="00080C05">
        <w:rPr>
          <w:rFonts w:ascii="Times New Roman" w:hAnsi="Times New Roman"/>
          <w:sz w:val="24"/>
          <w:szCs w:val="24"/>
        </w:rPr>
        <w:t>Добиваться рекордных показателей в растениеводстве без развития мелиорации в условиях учащающихся периодов засухи практически невозможно. Поэтому развитие мелиоративного комплекса остается одной из приоритетных задач государства в долгосрочной перспективе. Для обеспечения полива в объемах, предусмотренных заключенными договорами по оказанию услуг на цели орошения, в 2017 году была подготовлена 51 насосная станция. По всем запланированным к поливу насосным станциям были реализованы мероприятия по ремонту и ревизии насосно-силового оборудования, обследования технического состояния водозаборных сооружений, проведению пуско-наладочных работ, а также аттестации обслуживающего персонала насосных станций.</w:t>
      </w:r>
      <w:r w:rsidRPr="00080C05">
        <w:rPr>
          <w:rFonts w:ascii="Times New Roman" w:hAnsi="Times New Roman"/>
          <w:color w:val="FF0000"/>
          <w:sz w:val="24"/>
          <w:szCs w:val="24"/>
        </w:rPr>
        <w:t xml:space="preserve"> </w:t>
      </w:r>
      <w:r w:rsidRPr="00080C05">
        <w:rPr>
          <w:rFonts w:ascii="Times New Roman" w:hAnsi="Times New Roman"/>
          <w:sz w:val="24"/>
          <w:szCs w:val="24"/>
        </w:rPr>
        <w:t>При финансовой поддержке Российской Федерации в 2017 году начата реализация инвестиционной программы «Развитие мелиорации в Приднестровской Молдавской Республике на 2017 – 2021 годы»</w:t>
      </w:r>
    </w:p>
    <w:p w:rsidR="00B62B2E" w:rsidRPr="00080C05" w:rsidRDefault="00B62B2E" w:rsidP="00BA765C">
      <w:pPr>
        <w:spacing w:after="0" w:line="240" w:lineRule="auto"/>
        <w:ind w:firstLine="709"/>
        <w:jc w:val="both"/>
        <w:rPr>
          <w:rFonts w:ascii="Times New Roman" w:hAnsi="Times New Roman"/>
          <w:sz w:val="24"/>
          <w:szCs w:val="24"/>
        </w:rPr>
      </w:pPr>
      <w:r w:rsidRPr="00080C05">
        <w:rPr>
          <w:rFonts w:ascii="Times New Roman" w:hAnsi="Times New Roman"/>
          <w:sz w:val="24"/>
          <w:szCs w:val="24"/>
        </w:rPr>
        <w:t xml:space="preserve">ГУ «Приднестровские оросительные системы» в отчетном году было заключено </w:t>
      </w:r>
      <w:r w:rsidR="00372A15">
        <w:rPr>
          <w:rFonts w:ascii="Times New Roman" w:hAnsi="Times New Roman"/>
          <w:sz w:val="24"/>
          <w:szCs w:val="24"/>
        </w:rPr>
        <w:t xml:space="preserve">               </w:t>
      </w:r>
      <w:r w:rsidRPr="00080C05">
        <w:rPr>
          <w:rFonts w:ascii="Times New Roman" w:hAnsi="Times New Roman"/>
          <w:sz w:val="24"/>
          <w:szCs w:val="24"/>
        </w:rPr>
        <w:t>68 договоров с хозяйствами-водопользователями на оказание услуг по подаче воды для целей орошения (в 2016 году - 55 договоров). Плановый охват поливом физических площадей составил 9,6 тыс. га.</w:t>
      </w:r>
    </w:p>
    <w:p w:rsidR="00B62B2E" w:rsidRPr="00080C05" w:rsidRDefault="00B62B2E" w:rsidP="00BA765C">
      <w:pPr>
        <w:spacing w:after="0" w:line="240" w:lineRule="auto"/>
        <w:ind w:firstLine="709"/>
        <w:jc w:val="both"/>
        <w:rPr>
          <w:rFonts w:ascii="Times New Roman" w:hAnsi="Times New Roman"/>
          <w:sz w:val="24"/>
          <w:szCs w:val="24"/>
        </w:rPr>
      </w:pPr>
      <w:r w:rsidRPr="00080C05">
        <w:rPr>
          <w:rFonts w:ascii="Times New Roman" w:hAnsi="Times New Roman"/>
          <w:sz w:val="24"/>
          <w:szCs w:val="24"/>
        </w:rPr>
        <w:t xml:space="preserve">Следует отметить, что в настоящее время практически все земли сельскохозяйственного назначения используются, за исключением </w:t>
      </w:r>
      <w:proofErr w:type="spellStart"/>
      <w:r w:rsidRPr="00080C05">
        <w:rPr>
          <w:rFonts w:ascii="Times New Roman" w:hAnsi="Times New Roman"/>
          <w:sz w:val="24"/>
          <w:szCs w:val="24"/>
        </w:rPr>
        <w:t>неудобий</w:t>
      </w:r>
      <w:proofErr w:type="spellEnd"/>
      <w:r w:rsidRPr="00080C05">
        <w:rPr>
          <w:rFonts w:ascii="Times New Roman" w:hAnsi="Times New Roman"/>
          <w:sz w:val="24"/>
          <w:szCs w:val="24"/>
        </w:rPr>
        <w:t xml:space="preserve">, </w:t>
      </w:r>
      <w:proofErr w:type="spellStart"/>
      <w:r w:rsidRPr="00080C05">
        <w:rPr>
          <w:rFonts w:ascii="Times New Roman" w:hAnsi="Times New Roman"/>
          <w:sz w:val="24"/>
          <w:szCs w:val="24"/>
        </w:rPr>
        <w:t>нераскорчеванных</w:t>
      </w:r>
      <w:proofErr w:type="spellEnd"/>
      <w:r w:rsidRPr="00080C05">
        <w:rPr>
          <w:rFonts w:ascii="Times New Roman" w:hAnsi="Times New Roman"/>
          <w:sz w:val="24"/>
          <w:szCs w:val="24"/>
        </w:rPr>
        <w:t xml:space="preserve"> до конца списанных многолетних насаждений, заброшенных огородов, пастбищ и сенокосов. Общая площадь раскорчеванных многолетних насаждений в               2017 году составила 1 198,9 га (в 2016 году – 1 325,9 га). Наряду с раскорчевкой списанных многолетних насаждений с последующим переводом земель в пашню, производилась закладка новых садов интенсивного типа. Также велась закладка виноградников, орехоплодных насаждений и ягодников. Всего в 2017 году произведена закладка многолетних насаждений на площади 223,6 га (в 2016 году - 223 га).</w:t>
      </w:r>
    </w:p>
    <w:p w:rsidR="00B62B2E" w:rsidRPr="00080C05" w:rsidRDefault="00B62B2E" w:rsidP="00BA765C">
      <w:pPr>
        <w:suppressAutoHyphens/>
        <w:spacing w:after="0" w:line="240" w:lineRule="auto"/>
        <w:ind w:firstLine="709"/>
        <w:jc w:val="both"/>
        <w:rPr>
          <w:rFonts w:ascii="Times New Roman" w:hAnsi="Times New Roman"/>
          <w:sz w:val="24"/>
          <w:szCs w:val="24"/>
        </w:rPr>
      </w:pPr>
      <w:r w:rsidRPr="00080C05">
        <w:rPr>
          <w:rFonts w:ascii="Times New Roman" w:hAnsi="Times New Roman"/>
          <w:sz w:val="24"/>
          <w:szCs w:val="24"/>
        </w:rPr>
        <w:t xml:space="preserve">В отчетном году регулярно проводился мониторинг по защите растений на выявление и распространение вредителей, возбудителей болезней растений и сорных растений, соблюдения применения пестицидов и ядохимикатов. </w:t>
      </w:r>
    </w:p>
    <w:p w:rsidR="00B62B2E" w:rsidRPr="00080C05" w:rsidRDefault="00B62B2E" w:rsidP="00BA765C">
      <w:pPr>
        <w:spacing w:after="0" w:line="240" w:lineRule="auto"/>
        <w:ind w:firstLine="709"/>
        <w:jc w:val="both"/>
        <w:rPr>
          <w:rFonts w:ascii="Times New Roman" w:hAnsi="Times New Roman"/>
          <w:sz w:val="24"/>
          <w:szCs w:val="24"/>
        </w:rPr>
      </w:pPr>
      <w:r w:rsidRPr="00080C05">
        <w:rPr>
          <w:rFonts w:ascii="Times New Roman" w:hAnsi="Times New Roman"/>
          <w:sz w:val="24"/>
          <w:szCs w:val="24"/>
        </w:rPr>
        <w:t>С целью своевременного выявления очагов карантинных сорняков, вредителей и возбудителей болезней растений в 2017 году было проведено обследование 87,5 тыс. га земель сельскохозяйственного назначения, что в 1,7 раза меньше, чем в 2016 году. Карантинные объекты выявлены на 1,7 тыс. га земельных угодий, на которых локализация и ликвидация очагов вредных организмов была успешно проведена. В 2017 году всего применено 454,8 тонн средств защиты растений (в 2016 году – 350,4 тонн).</w:t>
      </w:r>
    </w:p>
    <w:p w:rsidR="00B62B2E" w:rsidRDefault="00B62B2E" w:rsidP="00BA765C">
      <w:pPr>
        <w:pStyle w:val="af0"/>
        <w:spacing w:before="0" w:beforeAutospacing="0" w:after="0" w:afterAutospacing="0"/>
        <w:ind w:firstLine="709"/>
        <w:jc w:val="both"/>
      </w:pPr>
      <w:r w:rsidRPr="00080C05">
        <w:rPr>
          <w:b/>
          <w:i/>
        </w:rPr>
        <w:t>Животноводство.</w:t>
      </w:r>
      <w:r w:rsidRPr="00080C05">
        <w:t xml:space="preserve"> Данная отрасль всегда была и остается одной из ведущих отраслей сельского хозяйства республики, ситуация в которой остается достаточно сложной</w:t>
      </w:r>
      <w:r w:rsidRPr="00080C05">
        <w:rPr>
          <w:rFonts w:eastAsia="Calibri"/>
        </w:rPr>
        <w:t xml:space="preserve">. </w:t>
      </w:r>
      <w:proofErr w:type="gramStart"/>
      <w:r w:rsidRPr="00080C05">
        <w:t xml:space="preserve">По состоянию на 1 января 2018 года к соответствующей дате 2017 года в хозяйствах всех </w:t>
      </w:r>
      <w:r w:rsidRPr="00080C05">
        <w:lastRenderedPageBreak/>
        <w:t>категорий (с учетом хозяйств населения) зафиксирован спад поголовья крупного рогатого скота («-»1,5%» до 16 042 голов), овец и коз («-»1,1% до 9 100 голов) в основном за счет сокращения поголовья преимущественно в частном секторе, а также птицы («-»5,7% до 512 589 голов), что связано с</w:t>
      </w:r>
      <w:proofErr w:type="gramEnd"/>
      <w:r w:rsidRPr="00080C05">
        <w:t xml:space="preserve"> перепрофилированием производственных мощностей на производство мяса птицы ввиду резкого снижения рентабельности производства яйца в</w:t>
      </w:r>
      <w:r w:rsidR="00372A15">
        <w:t xml:space="preserve">                </w:t>
      </w:r>
      <w:r w:rsidRPr="00080C05">
        <w:t xml:space="preserve"> 2016 году. В то же время отмечен прирост поголовья свиней («+»16,4% до 30 226 голов), что обусловлено ростом реализации на внутреннем рынке продукции местных производителей, связанное с усилением контроля ввоза живых животных, продуктов и сырья животного и растительного происхождения из соседних государств.</w:t>
      </w:r>
    </w:p>
    <w:p w:rsidR="00BD60BB" w:rsidRPr="001760AF" w:rsidRDefault="00BD60BB" w:rsidP="00BD60BB">
      <w:pPr>
        <w:pStyle w:val="a4"/>
        <w:jc w:val="right"/>
        <w:rPr>
          <w:b/>
          <w:i/>
        </w:rPr>
      </w:pPr>
      <w:r w:rsidRPr="00372A15">
        <w:rPr>
          <w:b/>
          <w:i/>
        </w:rPr>
        <w:t>Рисунок</w:t>
      </w:r>
      <w:r w:rsidR="00372A15" w:rsidRPr="00372A15">
        <w:rPr>
          <w:b/>
          <w:i/>
        </w:rPr>
        <w:t xml:space="preserve"> 1</w:t>
      </w:r>
      <w:r w:rsidR="00372A15">
        <w:rPr>
          <w:b/>
          <w:i/>
        </w:rPr>
        <w:t>2</w:t>
      </w:r>
      <w:r w:rsidRPr="001760AF">
        <w:rPr>
          <w:b/>
          <w:i/>
        </w:rPr>
        <w:t xml:space="preserve"> </w:t>
      </w:r>
    </w:p>
    <w:p w:rsidR="00B62B2E" w:rsidRPr="00E048BD" w:rsidRDefault="00B62B2E" w:rsidP="00B62B2E">
      <w:pPr>
        <w:spacing w:after="0" w:line="240" w:lineRule="auto"/>
        <w:ind w:firstLine="708"/>
        <w:jc w:val="both"/>
        <w:rPr>
          <w:rFonts w:ascii="Times New Roman" w:hAnsi="Times New Roman"/>
          <w:sz w:val="10"/>
          <w:szCs w:val="10"/>
        </w:rPr>
      </w:pPr>
    </w:p>
    <w:p w:rsidR="005139AE" w:rsidRDefault="00B62B2E" w:rsidP="005139AE">
      <w:pPr>
        <w:spacing w:after="0" w:line="240" w:lineRule="auto"/>
        <w:jc w:val="both"/>
        <w:rPr>
          <w:rFonts w:ascii="Times New Roman" w:eastAsia="Calibri" w:hAnsi="Times New Roman"/>
          <w:sz w:val="24"/>
          <w:szCs w:val="24"/>
        </w:rPr>
      </w:pPr>
      <w:r w:rsidRPr="000077C4">
        <w:rPr>
          <w:rFonts w:eastAsia="Calibri"/>
          <w:noProof/>
          <w:color w:val="D99594" w:themeColor="accent2" w:themeTint="99"/>
        </w:rPr>
        <w:drawing>
          <wp:inline distT="0" distB="0" distL="0" distR="0">
            <wp:extent cx="6000750" cy="1552575"/>
            <wp:effectExtent l="0" t="0" r="0"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39AE" w:rsidRPr="005139AE" w:rsidRDefault="005139AE" w:rsidP="005139AE">
      <w:pPr>
        <w:spacing w:after="0" w:line="240" w:lineRule="auto"/>
        <w:ind w:firstLine="426"/>
        <w:jc w:val="both"/>
        <w:rPr>
          <w:rFonts w:ascii="Times New Roman" w:eastAsia="Calibri" w:hAnsi="Times New Roman"/>
          <w:sz w:val="10"/>
          <w:szCs w:val="10"/>
        </w:rPr>
      </w:pPr>
    </w:p>
    <w:p w:rsidR="00B62B2E" w:rsidRPr="00080C05" w:rsidRDefault="00B62B2E" w:rsidP="00BA765C">
      <w:pPr>
        <w:spacing w:after="0" w:line="240" w:lineRule="auto"/>
        <w:ind w:firstLine="709"/>
        <w:jc w:val="both"/>
        <w:rPr>
          <w:rFonts w:ascii="Times New Roman" w:eastAsia="Calibri" w:hAnsi="Times New Roman"/>
          <w:sz w:val="24"/>
          <w:szCs w:val="24"/>
        </w:rPr>
      </w:pPr>
      <w:r w:rsidRPr="00080C05">
        <w:rPr>
          <w:rFonts w:ascii="Times New Roman" w:eastAsia="Calibri" w:hAnsi="Times New Roman"/>
          <w:sz w:val="24"/>
          <w:szCs w:val="24"/>
        </w:rPr>
        <w:t xml:space="preserve">Основное поголовье животных сосредоточено в хозяйствах населения. </w:t>
      </w:r>
      <w:proofErr w:type="gramStart"/>
      <w:r w:rsidRPr="00080C05">
        <w:rPr>
          <w:rFonts w:ascii="Times New Roman" w:eastAsia="Calibri" w:hAnsi="Times New Roman"/>
          <w:sz w:val="24"/>
          <w:szCs w:val="24"/>
        </w:rPr>
        <w:t>Доля их в общем объёме поголовья крупного рогатого скота на 1 января 201</w:t>
      </w:r>
      <w:r w:rsidR="00866E20">
        <w:rPr>
          <w:rFonts w:ascii="Times New Roman" w:eastAsia="Calibri" w:hAnsi="Times New Roman"/>
          <w:sz w:val="24"/>
          <w:szCs w:val="24"/>
        </w:rPr>
        <w:t>8</w:t>
      </w:r>
      <w:r w:rsidRPr="00080C05">
        <w:rPr>
          <w:rFonts w:ascii="Times New Roman" w:eastAsia="Calibri" w:hAnsi="Times New Roman"/>
          <w:sz w:val="24"/>
          <w:szCs w:val="24"/>
        </w:rPr>
        <w:t xml:space="preserve"> года составляет 61,0%, что ниже на 1,9 п.п. прошлогоднего уровня, свиней – 40,4% (на 1 января 2017 года – 42,3%), овец и коз – 64,2% (на 1 января 2017 года – 67,9%), птицы – 29,1% (на 1 января 2017 года – 29,2%)</w:t>
      </w:r>
      <w:r w:rsidR="00BA765C">
        <w:rPr>
          <w:rFonts w:ascii="Times New Roman" w:eastAsia="Calibri" w:hAnsi="Times New Roman"/>
          <w:sz w:val="24"/>
          <w:szCs w:val="24"/>
        </w:rPr>
        <w:t xml:space="preserve"> </w:t>
      </w:r>
      <w:r w:rsidR="00BD60BB" w:rsidRPr="00372A15">
        <w:rPr>
          <w:rFonts w:ascii="Times New Roman" w:eastAsia="Calibri" w:hAnsi="Times New Roman"/>
          <w:sz w:val="24"/>
          <w:szCs w:val="24"/>
        </w:rPr>
        <w:t>(рис.</w:t>
      </w:r>
      <w:r w:rsidR="00372A15" w:rsidRPr="00372A15">
        <w:rPr>
          <w:rFonts w:ascii="Times New Roman" w:eastAsia="Calibri" w:hAnsi="Times New Roman"/>
          <w:sz w:val="24"/>
          <w:szCs w:val="24"/>
        </w:rPr>
        <w:t xml:space="preserve"> 12</w:t>
      </w:r>
      <w:r w:rsidR="00BD60BB" w:rsidRPr="00372A15">
        <w:rPr>
          <w:rFonts w:ascii="Times New Roman" w:eastAsia="Calibri" w:hAnsi="Times New Roman"/>
          <w:sz w:val="24"/>
          <w:szCs w:val="24"/>
        </w:rPr>
        <w:t>)</w:t>
      </w:r>
      <w:r w:rsidRPr="00372A15">
        <w:rPr>
          <w:rFonts w:ascii="Times New Roman" w:eastAsia="Calibri" w:hAnsi="Times New Roman"/>
          <w:sz w:val="24"/>
          <w:szCs w:val="24"/>
        </w:rPr>
        <w:t>.</w:t>
      </w:r>
      <w:proofErr w:type="gramEnd"/>
    </w:p>
    <w:p w:rsidR="00B62B2E" w:rsidRPr="00080C05" w:rsidRDefault="00B62B2E" w:rsidP="00BA765C">
      <w:pPr>
        <w:tabs>
          <w:tab w:val="left" w:pos="8647"/>
        </w:tabs>
        <w:spacing w:after="0" w:line="240" w:lineRule="auto"/>
        <w:ind w:firstLine="709"/>
        <w:jc w:val="both"/>
        <w:rPr>
          <w:rFonts w:ascii="Times New Roman" w:hAnsi="Times New Roman"/>
          <w:sz w:val="24"/>
          <w:szCs w:val="24"/>
        </w:rPr>
      </w:pPr>
      <w:r w:rsidRPr="00080C05">
        <w:rPr>
          <w:rFonts w:ascii="Times New Roman" w:hAnsi="Times New Roman"/>
          <w:sz w:val="24"/>
          <w:szCs w:val="24"/>
        </w:rPr>
        <w:t>В 2017 году по сравнению с уровнем 2016 года в хозяйствах всех категорий (без учета хозяйств населения) отмечалось увеличение производства молока коровьего на 9,3%</w:t>
      </w:r>
      <w:r w:rsidRPr="00080C05">
        <w:rPr>
          <w:rFonts w:ascii="Times New Roman" w:hAnsi="Times New Roman"/>
          <w:color w:val="000000"/>
          <w:sz w:val="24"/>
          <w:szCs w:val="24"/>
        </w:rPr>
        <w:t>, что обусловлено</w:t>
      </w:r>
      <w:r w:rsidRPr="00080C05">
        <w:rPr>
          <w:rFonts w:ascii="Times New Roman" w:hAnsi="Times New Roman"/>
          <w:sz w:val="24"/>
          <w:szCs w:val="24"/>
        </w:rPr>
        <w:t xml:space="preserve"> повышением продуктивности коров в общественном секторе на 15,8%. Этому способствовало обновление дойного стада, в том числе за счет завезенных племенных нетелей.</w:t>
      </w:r>
    </w:p>
    <w:p w:rsidR="00B62B2E" w:rsidRPr="00080C05" w:rsidRDefault="00B62B2E" w:rsidP="00BA765C">
      <w:pPr>
        <w:tabs>
          <w:tab w:val="left" w:pos="8647"/>
        </w:tabs>
        <w:spacing w:after="0" w:line="240" w:lineRule="auto"/>
        <w:ind w:firstLine="709"/>
        <w:jc w:val="both"/>
        <w:rPr>
          <w:rFonts w:ascii="Times New Roman" w:hAnsi="Times New Roman"/>
          <w:sz w:val="24"/>
          <w:szCs w:val="24"/>
        </w:rPr>
      </w:pPr>
      <w:r w:rsidRPr="00080C05">
        <w:rPr>
          <w:rFonts w:ascii="Times New Roman" w:hAnsi="Times New Roman"/>
          <w:sz w:val="24"/>
          <w:szCs w:val="24"/>
        </w:rPr>
        <w:t xml:space="preserve">Производство куриных яиц в 2017 году сократилось на 30,5% </w:t>
      </w:r>
      <w:proofErr w:type="gramStart"/>
      <w:r w:rsidRPr="00080C05">
        <w:rPr>
          <w:rFonts w:ascii="Times New Roman" w:hAnsi="Times New Roman"/>
          <w:sz w:val="24"/>
          <w:szCs w:val="24"/>
        </w:rPr>
        <w:t>к уровню базового года в основном за счет перепрофилирования части производственных мощностей некоторых птицеводческих предприятий с выращивания кур-несушек на выращивание</w:t>
      </w:r>
      <w:proofErr w:type="gramEnd"/>
      <w:r w:rsidRPr="00080C05">
        <w:rPr>
          <w:rFonts w:ascii="Times New Roman" w:hAnsi="Times New Roman"/>
          <w:sz w:val="24"/>
          <w:szCs w:val="24"/>
        </w:rPr>
        <w:t xml:space="preserve"> цыплят – бройлеров в связи с изменением в импортном тарифном регулировании и более низкой стоимостью птицеводческой продукции в сопредельных странах. </w:t>
      </w:r>
    </w:p>
    <w:p w:rsidR="00B62B2E" w:rsidRDefault="00B62B2E" w:rsidP="00BA765C">
      <w:pPr>
        <w:tabs>
          <w:tab w:val="left" w:pos="8647"/>
        </w:tabs>
        <w:spacing w:after="0" w:line="240" w:lineRule="auto"/>
        <w:ind w:firstLine="709"/>
        <w:jc w:val="both"/>
        <w:rPr>
          <w:rFonts w:ascii="Times New Roman" w:hAnsi="Times New Roman"/>
          <w:sz w:val="24"/>
          <w:szCs w:val="24"/>
        </w:rPr>
      </w:pPr>
      <w:r w:rsidRPr="00080C05">
        <w:rPr>
          <w:rFonts w:ascii="Times New Roman" w:hAnsi="Times New Roman"/>
          <w:sz w:val="24"/>
          <w:szCs w:val="24"/>
        </w:rPr>
        <w:t>При этом в отчетном году объем реализации скота и птицы на убой реализовано на уровне прошлого года, что свидетельствует о прекращении рез</w:t>
      </w:r>
      <w:r w:rsidR="00956488">
        <w:rPr>
          <w:rFonts w:ascii="Times New Roman" w:hAnsi="Times New Roman"/>
          <w:sz w:val="24"/>
          <w:szCs w:val="24"/>
        </w:rPr>
        <w:t>кого сокращения поголовья скота (рис. 13).</w:t>
      </w:r>
    </w:p>
    <w:p w:rsidR="00956488" w:rsidRDefault="00956488" w:rsidP="00956488">
      <w:pPr>
        <w:tabs>
          <w:tab w:val="left" w:pos="8647"/>
        </w:tabs>
        <w:spacing w:after="0" w:line="240" w:lineRule="auto"/>
        <w:ind w:firstLine="709"/>
        <w:jc w:val="right"/>
        <w:rPr>
          <w:rFonts w:ascii="Times New Roman" w:hAnsi="Times New Roman"/>
          <w:sz w:val="24"/>
          <w:szCs w:val="24"/>
        </w:rPr>
      </w:pPr>
      <w:r w:rsidRPr="00956488">
        <w:rPr>
          <w:rFonts w:ascii="Times New Roman" w:hAnsi="Times New Roman"/>
          <w:b/>
          <w:i/>
          <w:sz w:val="24"/>
          <w:szCs w:val="24"/>
        </w:rPr>
        <w:t>Рисунок</w:t>
      </w:r>
      <w:r>
        <w:rPr>
          <w:rFonts w:ascii="Times New Roman" w:hAnsi="Times New Roman"/>
          <w:b/>
          <w:i/>
          <w:sz w:val="24"/>
          <w:szCs w:val="24"/>
        </w:rPr>
        <w:t xml:space="preserve"> 13</w:t>
      </w:r>
    </w:p>
    <w:p w:rsidR="00B62B2E" w:rsidRDefault="00B62B2E" w:rsidP="00B62B2E">
      <w:pPr>
        <w:rPr>
          <w:rFonts w:eastAsia="Calibri"/>
        </w:rPr>
      </w:pPr>
      <w:r w:rsidRPr="00BB46CA">
        <w:rPr>
          <w:rFonts w:eastAsia="Calibri"/>
          <w:noProof/>
        </w:rPr>
        <w:drawing>
          <wp:inline distT="0" distB="0" distL="0" distR="0">
            <wp:extent cx="6076950" cy="2571750"/>
            <wp:effectExtent l="0" t="0" r="0" b="0"/>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2B2E" w:rsidRPr="00080C05" w:rsidRDefault="00B62B2E" w:rsidP="001B20A6">
      <w:pPr>
        <w:spacing w:after="0" w:line="240" w:lineRule="auto"/>
        <w:ind w:firstLine="709"/>
        <w:jc w:val="both"/>
        <w:rPr>
          <w:rFonts w:ascii="Times New Roman" w:hAnsi="Times New Roman"/>
          <w:sz w:val="24"/>
          <w:szCs w:val="24"/>
        </w:rPr>
      </w:pPr>
      <w:r w:rsidRPr="00080C05">
        <w:rPr>
          <w:rFonts w:ascii="Times New Roman" w:hAnsi="Times New Roman"/>
          <w:sz w:val="24"/>
          <w:szCs w:val="24"/>
        </w:rPr>
        <w:lastRenderedPageBreak/>
        <w:t>С целью поддержания эпизоотического благополучия и недопущения заболевания африканской чумы свиней на территории Приднестровской Молдавской Республики были введены ограничения, которые позволили снизить риск заноса вируса африканской чумы свиней на территорию республики, а также дали возможность ввоза безопасной продукции в ветеринарном отношении с благополучных территорий.</w:t>
      </w:r>
    </w:p>
    <w:p w:rsidR="00B62B2E" w:rsidRPr="00080C05" w:rsidRDefault="00B62B2E" w:rsidP="001B20A6">
      <w:pPr>
        <w:tabs>
          <w:tab w:val="left" w:pos="8647"/>
        </w:tabs>
        <w:spacing w:after="0" w:line="240" w:lineRule="auto"/>
        <w:ind w:firstLine="709"/>
        <w:jc w:val="both"/>
        <w:rPr>
          <w:rFonts w:ascii="Times New Roman" w:hAnsi="Times New Roman"/>
          <w:b/>
          <w:i/>
          <w:sz w:val="24"/>
          <w:szCs w:val="24"/>
        </w:rPr>
      </w:pPr>
      <w:r w:rsidRPr="00080C05">
        <w:rPr>
          <w:rFonts w:ascii="Times New Roman" w:hAnsi="Times New Roman"/>
          <w:b/>
          <w:i/>
          <w:sz w:val="24"/>
          <w:szCs w:val="24"/>
        </w:rPr>
        <w:t>Государственная поддержка хозяйствующим субъектам АПК</w:t>
      </w:r>
    </w:p>
    <w:p w:rsidR="00B62B2E" w:rsidRPr="00080C05" w:rsidRDefault="00B62B2E" w:rsidP="001B20A6">
      <w:pPr>
        <w:tabs>
          <w:tab w:val="left" w:pos="709"/>
        </w:tabs>
        <w:spacing w:after="0" w:line="240" w:lineRule="auto"/>
        <w:ind w:firstLine="709"/>
        <w:jc w:val="both"/>
        <w:rPr>
          <w:rFonts w:ascii="Times New Roman" w:hAnsi="Times New Roman"/>
          <w:sz w:val="24"/>
          <w:szCs w:val="24"/>
        </w:rPr>
      </w:pPr>
      <w:r w:rsidRPr="00080C05">
        <w:rPr>
          <w:rFonts w:ascii="Times New Roman" w:hAnsi="Times New Roman"/>
          <w:sz w:val="24"/>
          <w:szCs w:val="24"/>
        </w:rPr>
        <w:t>В 2016 году продолжилось кредитование хозяйствующих субъектов агропромышленного комплекса республики из средств помощи, полученной от Российской Федерации в 2008 и 2011 годах, кредитными организациями через Фонд государственного резерва Приднестровской Молдавской Республики. Наблюдательным советом Фонда государственного резерва Приднестровской Молдавской Республики было принято решение о выделении хозяйствующим субъектам агропромышленного комплекса республики беспроцентных займов (кредитов) в сумме 138,3 млн руб. РФ, что в 1,5 раза больше, чем в прошлом году. Кредитование осуществлялось в разрезе следующих направлений:</w:t>
      </w:r>
    </w:p>
    <w:p w:rsidR="00B62B2E" w:rsidRPr="00080C05" w:rsidRDefault="00B62B2E" w:rsidP="001B20A6">
      <w:pPr>
        <w:numPr>
          <w:ilvl w:val="0"/>
          <w:numId w:val="15"/>
        </w:numPr>
        <w:tabs>
          <w:tab w:val="left" w:pos="709"/>
        </w:tabs>
        <w:spacing w:after="0" w:line="240" w:lineRule="auto"/>
        <w:ind w:left="0" w:firstLine="709"/>
        <w:jc w:val="both"/>
        <w:rPr>
          <w:rFonts w:ascii="Times New Roman" w:hAnsi="Times New Roman"/>
          <w:sz w:val="24"/>
          <w:szCs w:val="24"/>
        </w:rPr>
      </w:pPr>
      <w:r w:rsidRPr="00080C05">
        <w:rPr>
          <w:rFonts w:ascii="Times New Roman" w:hAnsi="Times New Roman"/>
          <w:sz w:val="24"/>
          <w:szCs w:val="24"/>
        </w:rPr>
        <w:t>Овощеводство и растениеводство – 50,6 млн руб. РФ;</w:t>
      </w:r>
    </w:p>
    <w:p w:rsidR="00B62B2E" w:rsidRPr="00080C05" w:rsidRDefault="00B62B2E" w:rsidP="001B20A6">
      <w:pPr>
        <w:numPr>
          <w:ilvl w:val="0"/>
          <w:numId w:val="15"/>
        </w:numPr>
        <w:tabs>
          <w:tab w:val="left" w:pos="709"/>
        </w:tabs>
        <w:spacing w:after="0" w:line="240" w:lineRule="auto"/>
        <w:ind w:left="0" w:firstLine="709"/>
        <w:jc w:val="both"/>
        <w:rPr>
          <w:rFonts w:ascii="Times New Roman" w:hAnsi="Times New Roman"/>
          <w:sz w:val="24"/>
          <w:szCs w:val="24"/>
        </w:rPr>
      </w:pPr>
      <w:r w:rsidRPr="00080C05">
        <w:rPr>
          <w:rFonts w:ascii="Times New Roman" w:hAnsi="Times New Roman"/>
          <w:sz w:val="24"/>
          <w:szCs w:val="24"/>
        </w:rPr>
        <w:t xml:space="preserve">Животноводство – 38,9 млн руб. РФ; </w:t>
      </w:r>
    </w:p>
    <w:p w:rsidR="00B62B2E" w:rsidRPr="00080C05" w:rsidRDefault="00B62B2E" w:rsidP="001B20A6">
      <w:pPr>
        <w:numPr>
          <w:ilvl w:val="0"/>
          <w:numId w:val="15"/>
        </w:numPr>
        <w:tabs>
          <w:tab w:val="left" w:pos="709"/>
        </w:tabs>
        <w:spacing w:after="0" w:line="240" w:lineRule="auto"/>
        <w:ind w:left="0" w:firstLine="709"/>
        <w:jc w:val="both"/>
        <w:rPr>
          <w:rFonts w:ascii="Times New Roman" w:hAnsi="Times New Roman"/>
          <w:sz w:val="24"/>
          <w:szCs w:val="24"/>
        </w:rPr>
      </w:pPr>
      <w:r w:rsidRPr="00080C05">
        <w:rPr>
          <w:rFonts w:ascii="Times New Roman" w:hAnsi="Times New Roman"/>
          <w:sz w:val="24"/>
          <w:szCs w:val="24"/>
        </w:rPr>
        <w:t>Переработка сельскохозяйственной продукции – 48,8 млн руб. РФ.</w:t>
      </w:r>
    </w:p>
    <w:p w:rsidR="00B62B2E" w:rsidRPr="00080C05" w:rsidRDefault="00B62B2E" w:rsidP="001B20A6">
      <w:pPr>
        <w:tabs>
          <w:tab w:val="left" w:pos="709"/>
        </w:tabs>
        <w:spacing w:after="0" w:line="240" w:lineRule="auto"/>
        <w:ind w:firstLine="709"/>
        <w:jc w:val="both"/>
        <w:rPr>
          <w:rFonts w:ascii="Times New Roman" w:hAnsi="Times New Roman"/>
          <w:sz w:val="24"/>
          <w:szCs w:val="24"/>
        </w:rPr>
      </w:pPr>
      <w:r w:rsidRPr="00080C05">
        <w:rPr>
          <w:rFonts w:ascii="Times New Roman" w:hAnsi="Times New Roman"/>
          <w:sz w:val="24"/>
          <w:szCs w:val="24"/>
        </w:rPr>
        <w:t xml:space="preserve">Кроме того, на развитие личного подсобного хозяйства физическим лицам выделено </w:t>
      </w:r>
      <w:r w:rsidR="006C7592">
        <w:rPr>
          <w:rFonts w:ascii="Times New Roman" w:hAnsi="Times New Roman"/>
          <w:sz w:val="24"/>
          <w:szCs w:val="24"/>
        </w:rPr>
        <w:t xml:space="preserve">              </w:t>
      </w:r>
      <w:r w:rsidRPr="00080C05">
        <w:rPr>
          <w:rFonts w:ascii="Times New Roman" w:hAnsi="Times New Roman"/>
          <w:sz w:val="24"/>
          <w:szCs w:val="24"/>
        </w:rPr>
        <w:t>9,2 млн руб. ПМР, что на 0,8 млн руб. меньше, чем в 2016 году.</w:t>
      </w:r>
    </w:p>
    <w:p w:rsidR="00B62B2E" w:rsidRPr="00080C05" w:rsidRDefault="00B62B2E" w:rsidP="001B20A6">
      <w:pPr>
        <w:spacing w:after="0" w:line="240" w:lineRule="auto"/>
        <w:ind w:firstLine="709"/>
        <w:jc w:val="both"/>
        <w:rPr>
          <w:rFonts w:ascii="Times New Roman" w:hAnsi="Times New Roman"/>
          <w:sz w:val="24"/>
          <w:szCs w:val="24"/>
        </w:rPr>
      </w:pPr>
      <w:r w:rsidRPr="00080C05">
        <w:rPr>
          <w:rFonts w:ascii="Times New Roman" w:hAnsi="Times New Roman"/>
          <w:sz w:val="24"/>
          <w:szCs w:val="24"/>
        </w:rPr>
        <w:t>В целях поддержки производителей и переработчиков животноводческой продукции были установлены льготные тарифы на услуги по газоснабжению и на у</w:t>
      </w:r>
      <w:r w:rsidRPr="00080C05">
        <w:rPr>
          <w:rFonts w:ascii="Times New Roman" w:hAnsi="Times New Roman"/>
          <w:b/>
          <w:sz w:val="24"/>
          <w:szCs w:val="24"/>
        </w:rPr>
        <w:t>с</w:t>
      </w:r>
      <w:r w:rsidRPr="00080C05">
        <w:rPr>
          <w:rFonts w:ascii="Times New Roman" w:hAnsi="Times New Roman"/>
          <w:sz w:val="24"/>
          <w:szCs w:val="24"/>
        </w:rPr>
        <w:t xml:space="preserve">луги в сфере электроэнергетики. </w:t>
      </w:r>
    </w:p>
    <w:p w:rsidR="00B62B2E" w:rsidRPr="00080C05" w:rsidRDefault="00B62B2E" w:rsidP="001B20A6">
      <w:pPr>
        <w:spacing w:after="0" w:line="240" w:lineRule="auto"/>
        <w:ind w:firstLine="709"/>
        <w:jc w:val="both"/>
        <w:rPr>
          <w:rFonts w:ascii="Times New Roman" w:hAnsi="Times New Roman"/>
          <w:sz w:val="24"/>
          <w:szCs w:val="24"/>
        </w:rPr>
      </w:pPr>
      <w:r w:rsidRPr="00080C05">
        <w:rPr>
          <w:rFonts w:ascii="Times New Roman" w:hAnsi="Times New Roman"/>
          <w:sz w:val="24"/>
          <w:szCs w:val="24"/>
        </w:rPr>
        <w:t>Оказание поддержки сельскохозяйственным предприятиям также выражается в мерах, способствующих снижению себестоимости произведенной продукции:</w:t>
      </w:r>
    </w:p>
    <w:p w:rsidR="00B62B2E" w:rsidRPr="00080C05" w:rsidRDefault="00B62B2E" w:rsidP="001B20A6">
      <w:pPr>
        <w:pStyle w:val="24"/>
      </w:pPr>
      <w:r w:rsidRPr="00080C05">
        <w:t>- льготный тариф на оказание услуги по подаче поливной воды на орошение: 70 копеек за один метр кубический и без оплаты в засушливый период (в засуху);</w:t>
      </w:r>
    </w:p>
    <w:p w:rsidR="00B62B2E" w:rsidRPr="00080C05" w:rsidRDefault="00B62B2E" w:rsidP="001B20A6">
      <w:pPr>
        <w:pStyle w:val="24"/>
      </w:pPr>
      <w:r w:rsidRPr="00080C05">
        <w:t>- снижение таможенных пошлин и их обнуление на номенклатуру товаров для сельскохозяйственного производства – тракторов, сельскохозяйственных машин и механизмов;</w:t>
      </w:r>
    </w:p>
    <w:p w:rsidR="00B62B2E" w:rsidRPr="00080C05" w:rsidRDefault="00B62B2E" w:rsidP="001B20A6">
      <w:pPr>
        <w:pStyle w:val="24"/>
      </w:pPr>
      <w:r w:rsidRPr="00080C05">
        <w:t>- упрощение оформления товаров, используемых в технологическом процессе: семян, удобрений, посадочного материала, средств защиты растений.</w:t>
      </w:r>
    </w:p>
    <w:p w:rsidR="00B62B2E" w:rsidRPr="00164105" w:rsidRDefault="00B62B2E" w:rsidP="001B20A6">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sidRPr="00080C05">
        <w:rPr>
          <w:rFonts w:ascii="Times New Roman" w:hAnsi="Times New Roman"/>
          <w:sz w:val="24"/>
          <w:szCs w:val="24"/>
        </w:rPr>
        <w:t xml:space="preserve">С 2017 года все сельскохозяйственные организации, имеющие в пользовании (аренде) земли сельскохозяйственного назначения, могут применять льготную форму </w:t>
      </w:r>
      <w:r w:rsidRPr="00103EDC">
        <w:rPr>
          <w:rFonts w:ascii="Times New Roman" w:hAnsi="Times New Roman"/>
          <w:sz w:val="24"/>
          <w:szCs w:val="24"/>
        </w:rPr>
        <w:t>налогообложения в виде фиксированного сельскохозяйственного налога на долгосрочную перспективу.</w:t>
      </w:r>
    </w:p>
    <w:p w:rsidR="00B62B2E" w:rsidRDefault="00B62B2E" w:rsidP="001B20A6">
      <w:pPr>
        <w:widowControl w:val="0"/>
        <w:autoSpaceDE w:val="0"/>
        <w:autoSpaceDN w:val="0"/>
        <w:adjustRightInd w:val="0"/>
        <w:spacing w:after="0" w:line="240" w:lineRule="auto"/>
        <w:ind w:firstLine="709"/>
        <w:jc w:val="both"/>
        <w:rPr>
          <w:rFonts w:ascii="Times New Roman" w:eastAsia="Calibri" w:hAnsi="Times New Roman"/>
          <w:sz w:val="24"/>
          <w:szCs w:val="24"/>
        </w:rPr>
      </w:pPr>
    </w:p>
    <w:p w:rsidR="00146BB8" w:rsidRPr="007F6F7C" w:rsidRDefault="00146BB8" w:rsidP="00146BB8">
      <w:pPr>
        <w:spacing w:after="0" w:line="240" w:lineRule="auto"/>
        <w:ind w:firstLine="709"/>
        <w:rPr>
          <w:rFonts w:ascii="Times New Roman" w:hAnsi="Times New Roman"/>
          <w:b/>
          <w:sz w:val="24"/>
          <w:szCs w:val="24"/>
        </w:rPr>
      </w:pPr>
      <w:r w:rsidRPr="00396711">
        <w:rPr>
          <w:rFonts w:ascii="Times New Roman" w:hAnsi="Times New Roman"/>
          <w:b/>
          <w:sz w:val="24"/>
          <w:szCs w:val="24"/>
        </w:rPr>
        <w:t>Транспорт</w:t>
      </w:r>
    </w:p>
    <w:p w:rsidR="00146BB8" w:rsidRDefault="00146BB8" w:rsidP="00146BB8">
      <w:pPr>
        <w:spacing w:after="0" w:line="240" w:lineRule="auto"/>
        <w:ind w:firstLine="709"/>
        <w:rPr>
          <w:rFonts w:ascii="Times New Roman" w:hAnsi="Times New Roman"/>
          <w:b/>
          <w:sz w:val="24"/>
          <w:szCs w:val="24"/>
        </w:rPr>
      </w:pPr>
    </w:p>
    <w:p w:rsidR="00552560" w:rsidRPr="00A4450C" w:rsidRDefault="00552560" w:rsidP="00552560">
      <w:pPr>
        <w:spacing w:after="0" w:line="240" w:lineRule="auto"/>
        <w:ind w:firstLine="709"/>
        <w:jc w:val="both"/>
        <w:rPr>
          <w:rFonts w:ascii="Times New Roman" w:hAnsi="Times New Roman"/>
          <w:sz w:val="24"/>
          <w:szCs w:val="24"/>
        </w:rPr>
      </w:pPr>
      <w:proofErr w:type="gramStart"/>
      <w:r w:rsidRPr="00A4450C">
        <w:rPr>
          <w:rFonts w:ascii="Times New Roman" w:hAnsi="Times New Roman"/>
          <w:sz w:val="24"/>
          <w:szCs w:val="24"/>
        </w:rPr>
        <w:t xml:space="preserve">Сформировавшаяся, на фоне принятия ряда первоочередных мер по активизации работы базовых отраслей индустрии и реализации на государственном уровне действий по поддержке отечественного бизнеса, динамика отраслей реального сектора экономики, ограничения и барьеры при транспортировке грузов на экспорт, </w:t>
      </w:r>
      <w:r w:rsidRPr="00A4450C">
        <w:rPr>
          <w:rFonts w:ascii="Times New Roman" w:hAnsi="Times New Roman"/>
          <w:color w:val="000000"/>
          <w:sz w:val="24"/>
          <w:szCs w:val="24"/>
          <w:shd w:val="clear" w:color="auto" w:fill="FFFFFF"/>
        </w:rPr>
        <w:t>рост уровня автомобилизации населения</w:t>
      </w:r>
      <w:r w:rsidRPr="00A4450C">
        <w:rPr>
          <w:rFonts w:ascii="Times New Roman" w:hAnsi="Times New Roman"/>
          <w:sz w:val="24"/>
          <w:szCs w:val="24"/>
        </w:rPr>
        <w:t xml:space="preserve">, </w:t>
      </w:r>
      <w:r w:rsidRPr="00A4450C">
        <w:rPr>
          <w:rFonts w:ascii="Times New Roman" w:hAnsi="Times New Roman"/>
          <w:color w:val="000000"/>
          <w:sz w:val="24"/>
          <w:szCs w:val="24"/>
          <w:shd w:val="clear" w:color="auto" w:fill="FFFFFF"/>
        </w:rPr>
        <w:t>недостаток средств на о</w:t>
      </w:r>
      <w:r w:rsidRPr="00A4450C">
        <w:rPr>
          <w:rFonts w:ascii="Times New Roman" w:hAnsi="Times New Roman"/>
          <w:sz w:val="24"/>
          <w:szCs w:val="24"/>
        </w:rPr>
        <w:t>бновление основных фондов, оказывают влияние на результаты финансово-хозяйственной деятельности транспортных организаций.</w:t>
      </w:r>
      <w:proofErr w:type="gramEnd"/>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t xml:space="preserve">Показатели деятельности организаций </w:t>
      </w:r>
      <w:r w:rsidRPr="00A4450C">
        <w:rPr>
          <w:rFonts w:ascii="Times New Roman" w:hAnsi="Times New Roman"/>
          <w:b/>
          <w:i/>
          <w:sz w:val="24"/>
          <w:szCs w:val="24"/>
        </w:rPr>
        <w:t xml:space="preserve">грузового автомобильного транспорта </w:t>
      </w:r>
      <w:r w:rsidRPr="00A4450C">
        <w:rPr>
          <w:rFonts w:ascii="Times New Roman" w:hAnsi="Times New Roman"/>
          <w:sz w:val="24"/>
          <w:szCs w:val="24"/>
        </w:rPr>
        <w:t xml:space="preserve">в </w:t>
      </w:r>
      <w:r w:rsidR="001B20A6">
        <w:rPr>
          <w:rFonts w:ascii="Times New Roman" w:hAnsi="Times New Roman"/>
          <w:sz w:val="24"/>
          <w:szCs w:val="24"/>
        </w:rPr>
        <w:t xml:space="preserve"> </w:t>
      </w:r>
      <w:r w:rsidRPr="00A4450C">
        <w:rPr>
          <w:rFonts w:ascii="Times New Roman" w:hAnsi="Times New Roman"/>
          <w:sz w:val="24"/>
          <w:szCs w:val="24"/>
        </w:rPr>
        <w:t xml:space="preserve">2017 году на фоне снижения деловой активности и действия различных ограничений и барьеров при осуществлении транспортировки грузов за пределы Приднестровской Молдавской Республики демонстрировали </w:t>
      </w:r>
      <w:proofErr w:type="spellStart"/>
      <w:r w:rsidRPr="00A4450C">
        <w:rPr>
          <w:rFonts w:ascii="Times New Roman" w:hAnsi="Times New Roman"/>
          <w:sz w:val="24"/>
          <w:szCs w:val="24"/>
        </w:rPr>
        <w:t>разновектроную</w:t>
      </w:r>
      <w:proofErr w:type="spellEnd"/>
      <w:r w:rsidRPr="00A4450C">
        <w:rPr>
          <w:rFonts w:ascii="Times New Roman" w:hAnsi="Times New Roman"/>
          <w:sz w:val="24"/>
          <w:szCs w:val="24"/>
        </w:rPr>
        <w:t xml:space="preserve"> динамику. Грузооборот по автотранспортным организациям общего пользования в 2017 году, на фоне снижения общего объема перевезенных грузов автомобильным транспортом на 31,7% до 1 739,8 тыс. тонн и роста средней</w:t>
      </w:r>
      <w:r w:rsidRPr="00A4450C">
        <w:rPr>
          <w:rFonts w:ascii="Times New Roman" w:hAnsi="Times New Roman"/>
          <w:spacing w:val="3"/>
          <w:sz w:val="24"/>
          <w:szCs w:val="24"/>
        </w:rPr>
        <w:t xml:space="preserve"> дальности перевозки 1 тонны груза на 26,7% до 12,8 км сократился на 12,8%, составив 22 355,9 тыс. т-км.</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lastRenderedPageBreak/>
        <w:t>Доходы от оказания услуг автомобильным транспортом увеличились на 11,9% и составили 50 055,5 тыс. руб., что в условиях снижения грузооборота обусловлено ростом средней дальности предоставляемых услуг по перевозке грузов.</w:t>
      </w:r>
    </w:p>
    <w:p w:rsidR="00552560" w:rsidRPr="00A4450C" w:rsidRDefault="00552560" w:rsidP="00552560">
      <w:pPr>
        <w:spacing w:after="0" w:line="240" w:lineRule="auto"/>
        <w:ind w:firstLine="709"/>
        <w:jc w:val="right"/>
        <w:rPr>
          <w:rFonts w:ascii="Times New Roman" w:hAnsi="Times New Roman"/>
          <w:spacing w:val="3"/>
          <w:sz w:val="24"/>
          <w:szCs w:val="24"/>
        </w:rPr>
      </w:pPr>
      <w:r w:rsidRPr="00A4450C">
        <w:rPr>
          <w:rFonts w:ascii="Times New Roman" w:hAnsi="Times New Roman"/>
          <w:spacing w:val="3"/>
          <w:sz w:val="24"/>
          <w:szCs w:val="24"/>
        </w:rPr>
        <w:t>Таблица №</w:t>
      </w:r>
      <w:r w:rsidR="001B20A6">
        <w:rPr>
          <w:rFonts w:ascii="Times New Roman" w:hAnsi="Times New Roman"/>
          <w:spacing w:val="3"/>
          <w:sz w:val="24"/>
          <w:szCs w:val="24"/>
        </w:rPr>
        <w:t>2</w:t>
      </w:r>
    </w:p>
    <w:p w:rsidR="00552560" w:rsidRPr="00A4450C" w:rsidRDefault="00552560" w:rsidP="00552560">
      <w:pPr>
        <w:spacing w:after="0" w:line="240" w:lineRule="auto"/>
        <w:jc w:val="center"/>
        <w:rPr>
          <w:rFonts w:ascii="Times New Roman" w:hAnsi="Times New Roman"/>
          <w:b/>
          <w:sz w:val="24"/>
          <w:szCs w:val="24"/>
        </w:rPr>
      </w:pPr>
      <w:r w:rsidRPr="00A4450C">
        <w:rPr>
          <w:rFonts w:ascii="Times New Roman" w:hAnsi="Times New Roman"/>
          <w:b/>
          <w:sz w:val="24"/>
          <w:szCs w:val="24"/>
        </w:rPr>
        <w:t>Показатели работы грузового транспорта общего пользования</w:t>
      </w: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9"/>
        <w:gridCol w:w="1368"/>
        <w:gridCol w:w="1156"/>
        <w:gridCol w:w="1300"/>
        <w:gridCol w:w="1301"/>
      </w:tblGrid>
      <w:tr w:rsidR="00552560" w:rsidRPr="00A4450C" w:rsidTr="00A73BD0">
        <w:trPr>
          <w:trHeight w:val="522"/>
        </w:trPr>
        <w:tc>
          <w:tcPr>
            <w:tcW w:w="4269" w:type="dxa"/>
            <w:shd w:val="clear" w:color="auto" w:fill="D9D9D9" w:themeFill="background1" w:themeFillShade="D9"/>
            <w:vAlign w:val="center"/>
          </w:tcPr>
          <w:p w:rsidR="00552560" w:rsidRPr="00A4450C" w:rsidRDefault="00552560" w:rsidP="002A03A2">
            <w:pPr>
              <w:spacing w:after="0" w:line="240" w:lineRule="auto"/>
              <w:jc w:val="center"/>
              <w:rPr>
                <w:rFonts w:ascii="Times New Roman" w:hAnsi="Times New Roman"/>
                <w:b/>
              </w:rPr>
            </w:pPr>
            <w:r w:rsidRPr="00A4450C">
              <w:rPr>
                <w:rFonts w:ascii="Times New Roman" w:hAnsi="Times New Roman"/>
                <w:b/>
              </w:rPr>
              <w:t>Показатели</w:t>
            </w:r>
          </w:p>
        </w:tc>
        <w:tc>
          <w:tcPr>
            <w:tcW w:w="1368" w:type="dxa"/>
            <w:shd w:val="clear" w:color="auto" w:fill="D9D9D9" w:themeFill="background1" w:themeFillShade="D9"/>
            <w:vAlign w:val="center"/>
          </w:tcPr>
          <w:p w:rsidR="00552560" w:rsidRPr="00A4450C" w:rsidRDefault="00552560" w:rsidP="002A03A2">
            <w:pPr>
              <w:spacing w:after="0" w:line="240" w:lineRule="auto"/>
              <w:jc w:val="center"/>
              <w:rPr>
                <w:rFonts w:ascii="Times New Roman" w:hAnsi="Times New Roman"/>
                <w:b/>
              </w:rPr>
            </w:pPr>
            <w:r w:rsidRPr="00A4450C">
              <w:rPr>
                <w:rFonts w:ascii="Times New Roman" w:hAnsi="Times New Roman"/>
                <w:b/>
              </w:rPr>
              <w:t xml:space="preserve">Ед. </w:t>
            </w:r>
            <w:proofErr w:type="spellStart"/>
            <w:r w:rsidRPr="00A4450C">
              <w:rPr>
                <w:rFonts w:ascii="Times New Roman" w:hAnsi="Times New Roman"/>
                <w:b/>
              </w:rPr>
              <w:t>изм</w:t>
            </w:r>
            <w:proofErr w:type="spellEnd"/>
            <w:r w:rsidRPr="00A4450C">
              <w:rPr>
                <w:rFonts w:ascii="Times New Roman" w:hAnsi="Times New Roman"/>
                <w:b/>
              </w:rPr>
              <w:t>.</w:t>
            </w:r>
          </w:p>
        </w:tc>
        <w:tc>
          <w:tcPr>
            <w:tcW w:w="1156" w:type="dxa"/>
            <w:shd w:val="clear" w:color="auto" w:fill="D9D9D9" w:themeFill="background1" w:themeFillShade="D9"/>
            <w:vAlign w:val="center"/>
          </w:tcPr>
          <w:p w:rsidR="00552560" w:rsidRPr="00A4450C" w:rsidRDefault="00552560" w:rsidP="002A03A2">
            <w:pPr>
              <w:spacing w:after="0" w:line="240" w:lineRule="auto"/>
              <w:jc w:val="center"/>
              <w:rPr>
                <w:rFonts w:ascii="Times New Roman" w:hAnsi="Times New Roman"/>
                <w:b/>
              </w:rPr>
            </w:pPr>
            <w:r w:rsidRPr="00A4450C">
              <w:rPr>
                <w:rFonts w:ascii="Times New Roman" w:hAnsi="Times New Roman"/>
                <w:b/>
              </w:rPr>
              <w:t>2016 г.</w:t>
            </w:r>
          </w:p>
        </w:tc>
        <w:tc>
          <w:tcPr>
            <w:tcW w:w="1300" w:type="dxa"/>
            <w:shd w:val="clear" w:color="auto" w:fill="D9D9D9" w:themeFill="background1" w:themeFillShade="D9"/>
            <w:vAlign w:val="center"/>
          </w:tcPr>
          <w:p w:rsidR="00552560" w:rsidRPr="00A4450C" w:rsidRDefault="00552560" w:rsidP="002A03A2">
            <w:pPr>
              <w:spacing w:after="0" w:line="240" w:lineRule="auto"/>
              <w:jc w:val="center"/>
              <w:rPr>
                <w:rFonts w:ascii="Times New Roman" w:hAnsi="Times New Roman"/>
                <w:b/>
              </w:rPr>
            </w:pPr>
            <w:r w:rsidRPr="00A4450C">
              <w:rPr>
                <w:rFonts w:ascii="Times New Roman" w:hAnsi="Times New Roman"/>
                <w:b/>
              </w:rPr>
              <w:t>2017 г.</w:t>
            </w:r>
          </w:p>
        </w:tc>
        <w:tc>
          <w:tcPr>
            <w:tcW w:w="1301" w:type="dxa"/>
            <w:shd w:val="clear" w:color="auto" w:fill="D9D9D9" w:themeFill="background1" w:themeFillShade="D9"/>
            <w:vAlign w:val="center"/>
          </w:tcPr>
          <w:p w:rsidR="00552560" w:rsidRPr="00A4450C" w:rsidRDefault="00552560" w:rsidP="002A03A2">
            <w:pPr>
              <w:spacing w:after="0" w:line="240" w:lineRule="auto"/>
              <w:ind w:left="-108" w:right="-51"/>
              <w:jc w:val="center"/>
              <w:rPr>
                <w:rFonts w:ascii="Times New Roman" w:hAnsi="Times New Roman"/>
                <w:b/>
                <w:i/>
              </w:rPr>
            </w:pPr>
            <w:r w:rsidRPr="00A4450C">
              <w:rPr>
                <w:rFonts w:ascii="Times New Roman" w:hAnsi="Times New Roman"/>
                <w:b/>
                <w:i/>
              </w:rPr>
              <w:t xml:space="preserve">2017 г. </w:t>
            </w:r>
            <w:proofErr w:type="gramStart"/>
            <w:r w:rsidRPr="00A4450C">
              <w:rPr>
                <w:rFonts w:ascii="Times New Roman" w:hAnsi="Times New Roman"/>
                <w:b/>
                <w:i/>
              </w:rPr>
              <w:t>в</w:t>
            </w:r>
            <w:proofErr w:type="gramEnd"/>
            <w:r w:rsidRPr="00A4450C">
              <w:rPr>
                <w:rFonts w:ascii="Times New Roman" w:hAnsi="Times New Roman"/>
                <w:b/>
                <w:i/>
              </w:rPr>
              <w:t xml:space="preserve"> % к</w:t>
            </w:r>
          </w:p>
          <w:p w:rsidR="00552560" w:rsidRPr="00A4450C" w:rsidRDefault="00552560" w:rsidP="002A03A2">
            <w:pPr>
              <w:spacing w:after="0" w:line="240" w:lineRule="auto"/>
              <w:ind w:left="-108" w:right="-51"/>
              <w:jc w:val="center"/>
              <w:rPr>
                <w:rFonts w:ascii="Times New Roman" w:hAnsi="Times New Roman"/>
                <w:b/>
                <w:i/>
              </w:rPr>
            </w:pPr>
            <w:r w:rsidRPr="00A4450C">
              <w:rPr>
                <w:rFonts w:ascii="Times New Roman" w:hAnsi="Times New Roman"/>
                <w:b/>
                <w:i/>
              </w:rPr>
              <w:t>2016 г.</w:t>
            </w:r>
          </w:p>
        </w:tc>
      </w:tr>
      <w:tr w:rsidR="00552560" w:rsidRPr="00A4450C" w:rsidTr="002A03A2">
        <w:trPr>
          <w:trHeight w:val="286"/>
        </w:trPr>
        <w:tc>
          <w:tcPr>
            <w:tcW w:w="4269" w:type="dxa"/>
            <w:vAlign w:val="center"/>
          </w:tcPr>
          <w:p w:rsidR="00552560" w:rsidRPr="00A4450C" w:rsidRDefault="00552560" w:rsidP="002A03A2">
            <w:pPr>
              <w:spacing w:after="0" w:line="240" w:lineRule="auto"/>
              <w:rPr>
                <w:rFonts w:ascii="Times New Roman" w:hAnsi="Times New Roman"/>
                <w:vertAlign w:val="superscript"/>
              </w:rPr>
            </w:pPr>
            <w:r w:rsidRPr="00A4450C">
              <w:rPr>
                <w:rFonts w:ascii="Times New Roman" w:hAnsi="Times New Roman"/>
                <w:b/>
              </w:rPr>
              <w:t>Объем перевезенных грузов</w:t>
            </w:r>
          </w:p>
        </w:tc>
        <w:tc>
          <w:tcPr>
            <w:tcW w:w="1368"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тыс. т</w:t>
            </w:r>
          </w:p>
        </w:tc>
        <w:tc>
          <w:tcPr>
            <w:tcW w:w="1156"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2 546,2</w:t>
            </w:r>
          </w:p>
        </w:tc>
        <w:tc>
          <w:tcPr>
            <w:tcW w:w="1300"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1 739,8</w:t>
            </w:r>
          </w:p>
        </w:tc>
        <w:tc>
          <w:tcPr>
            <w:tcW w:w="1301" w:type="dxa"/>
            <w:vAlign w:val="center"/>
          </w:tcPr>
          <w:p w:rsidR="00552560" w:rsidRPr="00A4450C" w:rsidRDefault="00552560" w:rsidP="002A03A2">
            <w:pPr>
              <w:spacing w:after="0" w:line="240" w:lineRule="auto"/>
              <w:ind w:left="-108" w:right="-51"/>
              <w:jc w:val="center"/>
              <w:rPr>
                <w:rFonts w:ascii="Times New Roman" w:hAnsi="Times New Roman"/>
                <w:i/>
              </w:rPr>
            </w:pPr>
            <w:r w:rsidRPr="00A4450C">
              <w:rPr>
                <w:rFonts w:ascii="Times New Roman" w:hAnsi="Times New Roman"/>
                <w:i/>
              </w:rPr>
              <w:t>68,3</w:t>
            </w:r>
          </w:p>
        </w:tc>
      </w:tr>
      <w:tr w:rsidR="00552560" w:rsidRPr="00A4450C" w:rsidTr="002A03A2">
        <w:trPr>
          <w:trHeight w:val="334"/>
        </w:trPr>
        <w:tc>
          <w:tcPr>
            <w:tcW w:w="4269" w:type="dxa"/>
            <w:vAlign w:val="center"/>
          </w:tcPr>
          <w:p w:rsidR="00552560" w:rsidRPr="00A4450C" w:rsidRDefault="00552560" w:rsidP="002A03A2">
            <w:pPr>
              <w:spacing w:after="0" w:line="240" w:lineRule="auto"/>
              <w:rPr>
                <w:rFonts w:ascii="Times New Roman" w:hAnsi="Times New Roman"/>
              </w:rPr>
            </w:pPr>
            <w:r w:rsidRPr="00A4450C">
              <w:rPr>
                <w:rFonts w:ascii="Times New Roman" w:hAnsi="Times New Roman"/>
                <w:b/>
              </w:rPr>
              <w:t>Грузооборот</w:t>
            </w:r>
          </w:p>
        </w:tc>
        <w:tc>
          <w:tcPr>
            <w:tcW w:w="1368"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тыс. т-км.</w:t>
            </w:r>
          </w:p>
        </w:tc>
        <w:tc>
          <w:tcPr>
            <w:tcW w:w="1156"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25 629,9</w:t>
            </w:r>
          </w:p>
        </w:tc>
        <w:tc>
          <w:tcPr>
            <w:tcW w:w="1300" w:type="dxa"/>
            <w:vAlign w:val="center"/>
          </w:tcPr>
          <w:p w:rsidR="00552560" w:rsidRPr="00A4450C" w:rsidRDefault="00552560" w:rsidP="002A03A2">
            <w:pPr>
              <w:spacing w:after="0" w:line="240" w:lineRule="auto"/>
              <w:ind w:right="113"/>
              <w:jc w:val="center"/>
              <w:rPr>
                <w:rFonts w:ascii="Times New Roman" w:hAnsi="Times New Roman"/>
                <w:lang w:val="en-US"/>
              </w:rPr>
            </w:pPr>
            <w:r w:rsidRPr="00A4450C">
              <w:rPr>
                <w:rFonts w:ascii="Times New Roman" w:hAnsi="Times New Roman"/>
              </w:rPr>
              <w:t>22 355,9</w:t>
            </w:r>
          </w:p>
        </w:tc>
        <w:tc>
          <w:tcPr>
            <w:tcW w:w="1301" w:type="dxa"/>
            <w:vAlign w:val="center"/>
          </w:tcPr>
          <w:p w:rsidR="00552560" w:rsidRPr="00A4450C" w:rsidRDefault="00552560" w:rsidP="002A03A2">
            <w:pPr>
              <w:spacing w:after="0" w:line="240" w:lineRule="auto"/>
              <w:ind w:left="-108" w:right="-51"/>
              <w:jc w:val="center"/>
              <w:rPr>
                <w:rFonts w:ascii="Times New Roman" w:hAnsi="Times New Roman"/>
                <w:i/>
                <w:lang w:val="en-US"/>
              </w:rPr>
            </w:pPr>
            <w:r w:rsidRPr="00A4450C">
              <w:rPr>
                <w:rFonts w:ascii="Times New Roman" w:hAnsi="Times New Roman"/>
                <w:i/>
              </w:rPr>
              <w:t>87,2</w:t>
            </w:r>
          </w:p>
        </w:tc>
      </w:tr>
      <w:tr w:rsidR="00552560" w:rsidRPr="00A4450C" w:rsidTr="002A03A2">
        <w:trPr>
          <w:trHeight w:val="325"/>
        </w:trPr>
        <w:tc>
          <w:tcPr>
            <w:tcW w:w="4269" w:type="dxa"/>
            <w:vAlign w:val="center"/>
          </w:tcPr>
          <w:p w:rsidR="00552560" w:rsidRPr="00A4450C" w:rsidRDefault="00552560" w:rsidP="002A03A2">
            <w:pPr>
              <w:spacing w:after="0" w:line="240" w:lineRule="auto"/>
              <w:rPr>
                <w:rFonts w:ascii="Times New Roman" w:hAnsi="Times New Roman"/>
                <w:b/>
              </w:rPr>
            </w:pPr>
            <w:r w:rsidRPr="00A4450C">
              <w:rPr>
                <w:rFonts w:ascii="Times New Roman" w:hAnsi="Times New Roman"/>
                <w:b/>
              </w:rPr>
              <w:t>Средняя дальность перевозки 1 т груза</w:t>
            </w:r>
          </w:p>
        </w:tc>
        <w:tc>
          <w:tcPr>
            <w:tcW w:w="1368"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км</w:t>
            </w:r>
          </w:p>
        </w:tc>
        <w:tc>
          <w:tcPr>
            <w:tcW w:w="1156" w:type="dxa"/>
            <w:vAlign w:val="center"/>
          </w:tcPr>
          <w:p w:rsidR="00552560" w:rsidRPr="00A4450C" w:rsidRDefault="00552560" w:rsidP="002A03A2">
            <w:pPr>
              <w:spacing w:after="0" w:line="240" w:lineRule="auto"/>
              <w:ind w:right="113"/>
              <w:jc w:val="center"/>
              <w:rPr>
                <w:rFonts w:ascii="Times New Roman" w:hAnsi="Times New Roman"/>
                <w:lang w:val="en-US"/>
              </w:rPr>
            </w:pPr>
            <w:r w:rsidRPr="00A4450C">
              <w:rPr>
                <w:rFonts w:ascii="Times New Roman" w:hAnsi="Times New Roman"/>
              </w:rPr>
              <w:t>10,1</w:t>
            </w:r>
          </w:p>
        </w:tc>
        <w:tc>
          <w:tcPr>
            <w:tcW w:w="1300" w:type="dxa"/>
            <w:vAlign w:val="center"/>
          </w:tcPr>
          <w:p w:rsidR="00552560" w:rsidRPr="00A4450C" w:rsidRDefault="00552560" w:rsidP="002A03A2">
            <w:pPr>
              <w:spacing w:after="0" w:line="240" w:lineRule="auto"/>
              <w:ind w:right="113"/>
              <w:jc w:val="center"/>
              <w:rPr>
                <w:rFonts w:ascii="Times New Roman" w:hAnsi="Times New Roman"/>
                <w:lang w:val="en-US"/>
              </w:rPr>
            </w:pPr>
            <w:r w:rsidRPr="00A4450C">
              <w:rPr>
                <w:rFonts w:ascii="Times New Roman" w:hAnsi="Times New Roman"/>
              </w:rPr>
              <w:t>12,8</w:t>
            </w:r>
          </w:p>
        </w:tc>
        <w:tc>
          <w:tcPr>
            <w:tcW w:w="1301" w:type="dxa"/>
            <w:vAlign w:val="center"/>
          </w:tcPr>
          <w:p w:rsidR="00552560" w:rsidRPr="00A4450C" w:rsidRDefault="00552560" w:rsidP="002A03A2">
            <w:pPr>
              <w:spacing w:after="0" w:line="240" w:lineRule="auto"/>
              <w:ind w:left="-108" w:right="-51"/>
              <w:jc w:val="center"/>
              <w:rPr>
                <w:rFonts w:ascii="Times New Roman" w:hAnsi="Times New Roman"/>
                <w:i/>
              </w:rPr>
            </w:pPr>
            <w:r w:rsidRPr="00A4450C">
              <w:rPr>
                <w:rFonts w:ascii="Times New Roman" w:hAnsi="Times New Roman"/>
                <w:i/>
              </w:rPr>
              <w:t>126,7</w:t>
            </w:r>
          </w:p>
        </w:tc>
      </w:tr>
      <w:tr w:rsidR="00552560" w:rsidRPr="00A4450C" w:rsidTr="002A03A2">
        <w:trPr>
          <w:trHeight w:val="325"/>
        </w:trPr>
        <w:tc>
          <w:tcPr>
            <w:tcW w:w="4269" w:type="dxa"/>
            <w:vAlign w:val="center"/>
          </w:tcPr>
          <w:p w:rsidR="00552560" w:rsidRPr="00A4450C" w:rsidRDefault="00552560" w:rsidP="002A03A2">
            <w:pPr>
              <w:spacing w:after="0" w:line="240" w:lineRule="auto"/>
              <w:rPr>
                <w:rFonts w:ascii="Times New Roman" w:hAnsi="Times New Roman"/>
                <w:lang w:val="en-US"/>
              </w:rPr>
            </w:pPr>
            <w:r w:rsidRPr="00A4450C">
              <w:rPr>
                <w:rFonts w:ascii="Times New Roman" w:hAnsi="Times New Roman"/>
                <w:b/>
              </w:rPr>
              <w:t>Наличие грузовых автомобилей</w:t>
            </w:r>
          </w:p>
        </w:tc>
        <w:tc>
          <w:tcPr>
            <w:tcW w:w="1368"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ед.</w:t>
            </w:r>
          </w:p>
        </w:tc>
        <w:tc>
          <w:tcPr>
            <w:tcW w:w="1156" w:type="dxa"/>
            <w:vAlign w:val="center"/>
          </w:tcPr>
          <w:p w:rsidR="00552560" w:rsidRPr="00A4450C" w:rsidRDefault="00552560" w:rsidP="002A03A2">
            <w:pPr>
              <w:spacing w:after="0" w:line="240" w:lineRule="auto"/>
              <w:ind w:right="113"/>
              <w:jc w:val="center"/>
              <w:rPr>
                <w:rFonts w:ascii="Times New Roman" w:hAnsi="Times New Roman"/>
                <w:lang w:val="en-US"/>
              </w:rPr>
            </w:pPr>
            <w:r w:rsidRPr="00A4450C">
              <w:rPr>
                <w:rFonts w:ascii="Times New Roman" w:hAnsi="Times New Roman"/>
              </w:rPr>
              <w:t>867</w:t>
            </w:r>
          </w:p>
        </w:tc>
        <w:tc>
          <w:tcPr>
            <w:tcW w:w="1300"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863</w:t>
            </w:r>
          </w:p>
        </w:tc>
        <w:tc>
          <w:tcPr>
            <w:tcW w:w="1301" w:type="dxa"/>
            <w:vAlign w:val="center"/>
          </w:tcPr>
          <w:p w:rsidR="00552560" w:rsidRPr="00A4450C" w:rsidRDefault="00552560" w:rsidP="002A03A2">
            <w:pPr>
              <w:spacing w:after="0" w:line="240" w:lineRule="auto"/>
              <w:ind w:left="-108" w:right="-51"/>
              <w:jc w:val="center"/>
              <w:rPr>
                <w:rFonts w:ascii="Times New Roman" w:hAnsi="Times New Roman"/>
                <w:i/>
              </w:rPr>
            </w:pPr>
            <w:r w:rsidRPr="00A4450C">
              <w:rPr>
                <w:rFonts w:ascii="Times New Roman" w:hAnsi="Times New Roman"/>
                <w:i/>
              </w:rPr>
              <w:t>99,5</w:t>
            </w:r>
          </w:p>
        </w:tc>
      </w:tr>
      <w:tr w:rsidR="00552560" w:rsidRPr="00A4450C" w:rsidTr="002A03A2">
        <w:trPr>
          <w:trHeight w:val="251"/>
        </w:trPr>
        <w:tc>
          <w:tcPr>
            <w:tcW w:w="4269" w:type="dxa"/>
            <w:vAlign w:val="center"/>
          </w:tcPr>
          <w:p w:rsidR="00552560" w:rsidRPr="00A4450C" w:rsidRDefault="00552560" w:rsidP="002A03A2">
            <w:pPr>
              <w:spacing w:after="0" w:line="240" w:lineRule="auto"/>
              <w:rPr>
                <w:rFonts w:ascii="Times New Roman" w:hAnsi="Times New Roman"/>
              </w:rPr>
            </w:pPr>
            <w:r w:rsidRPr="00A4450C">
              <w:rPr>
                <w:rFonts w:ascii="Times New Roman" w:hAnsi="Times New Roman"/>
                <w:b/>
              </w:rPr>
              <w:t>Доход от доставки грузов</w:t>
            </w:r>
          </w:p>
        </w:tc>
        <w:tc>
          <w:tcPr>
            <w:tcW w:w="1368"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тыс. руб.</w:t>
            </w:r>
          </w:p>
        </w:tc>
        <w:tc>
          <w:tcPr>
            <w:tcW w:w="1156" w:type="dxa"/>
            <w:vAlign w:val="center"/>
          </w:tcPr>
          <w:p w:rsidR="00552560" w:rsidRPr="00A4450C" w:rsidRDefault="00552560" w:rsidP="002A03A2">
            <w:pPr>
              <w:spacing w:after="0" w:line="240" w:lineRule="auto"/>
              <w:ind w:right="113"/>
              <w:jc w:val="center"/>
              <w:rPr>
                <w:rFonts w:ascii="Times New Roman" w:hAnsi="Times New Roman"/>
                <w:lang w:val="en-US"/>
              </w:rPr>
            </w:pPr>
            <w:r w:rsidRPr="00A4450C">
              <w:rPr>
                <w:rFonts w:ascii="Times New Roman" w:hAnsi="Times New Roman"/>
              </w:rPr>
              <w:t>44 746,7</w:t>
            </w:r>
          </w:p>
        </w:tc>
        <w:tc>
          <w:tcPr>
            <w:tcW w:w="1300" w:type="dxa"/>
            <w:vAlign w:val="center"/>
          </w:tcPr>
          <w:p w:rsidR="00552560" w:rsidRPr="00A4450C" w:rsidRDefault="00552560" w:rsidP="002A03A2">
            <w:pPr>
              <w:spacing w:after="0" w:line="240" w:lineRule="auto"/>
              <w:ind w:right="113"/>
              <w:jc w:val="center"/>
              <w:rPr>
                <w:rFonts w:ascii="Times New Roman" w:hAnsi="Times New Roman"/>
                <w:lang w:val="en-US"/>
              </w:rPr>
            </w:pPr>
            <w:r w:rsidRPr="00A4450C">
              <w:rPr>
                <w:rFonts w:ascii="Times New Roman" w:hAnsi="Times New Roman"/>
              </w:rPr>
              <w:t>50 055,5</w:t>
            </w:r>
          </w:p>
        </w:tc>
        <w:tc>
          <w:tcPr>
            <w:tcW w:w="1301" w:type="dxa"/>
            <w:vAlign w:val="center"/>
          </w:tcPr>
          <w:p w:rsidR="00552560" w:rsidRPr="00A4450C" w:rsidRDefault="00552560" w:rsidP="002A03A2">
            <w:pPr>
              <w:spacing w:after="0" w:line="240" w:lineRule="auto"/>
              <w:ind w:left="-108" w:right="-51"/>
              <w:jc w:val="center"/>
              <w:rPr>
                <w:rFonts w:ascii="Times New Roman" w:hAnsi="Times New Roman"/>
                <w:i/>
                <w:lang w:val="en-US"/>
              </w:rPr>
            </w:pPr>
            <w:r w:rsidRPr="00A4450C">
              <w:rPr>
                <w:rFonts w:ascii="Times New Roman" w:hAnsi="Times New Roman"/>
                <w:i/>
              </w:rPr>
              <w:t>111,9</w:t>
            </w:r>
          </w:p>
        </w:tc>
      </w:tr>
    </w:tbl>
    <w:p w:rsidR="00552560" w:rsidRPr="00A4450C" w:rsidRDefault="00552560" w:rsidP="00552560">
      <w:pPr>
        <w:spacing w:after="0" w:line="240" w:lineRule="auto"/>
        <w:ind w:firstLine="709"/>
        <w:jc w:val="both"/>
        <w:rPr>
          <w:rFonts w:ascii="Times New Roman" w:hAnsi="Times New Roman"/>
          <w:spacing w:val="3"/>
          <w:sz w:val="24"/>
          <w:szCs w:val="24"/>
        </w:rPr>
      </w:pPr>
    </w:p>
    <w:p w:rsidR="00552560" w:rsidRPr="00A4450C" w:rsidRDefault="00552560" w:rsidP="00552560">
      <w:pPr>
        <w:spacing w:after="0" w:line="240" w:lineRule="auto"/>
        <w:ind w:firstLine="709"/>
        <w:jc w:val="both"/>
        <w:rPr>
          <w:rFonts w:ascii="Times New Roman" w:hAnsi="Times New Roman"/>
          <w:spacing w:val="4"/>
          <w:sz w:val="24"/>
          <w:szCs w:val="24"/>
        </w:rPr>
      </w:pPr>
      <w:r w:rsidRPr="00A4450C">
        <w:rPr>
          <w:rFonts w:ascii="Times New Roman" w:hAnsi="Times New Roman"/>
          <w:spacing w:val="4"/>
          <w:sz w:val="24"/>
          <w:szCs w:val="24"/>
        </w:rPr>
        <w:t xml:space="preserve">Основные показатели работы </w:t>
      </w:r>
      <w:r w:rsidRPr="00A4450C">
        <w:rPr>
          <w:rFonts w:ascii="Times New Roman" w:hAnsi="Times New Roman"/>
          <w:b/>
          <w:i/>
          <w:spacing w:val="4"/>
          <w:sz w:val="24"/>
          <w:szCs w:val="24"/>
        </w:rPr>
        <w:t>автомобильного транспорта общего пользования</w:t>
      </w:r>
      <w:r w:rsidRPr="00A4450C">
        <w:rPr>
          <w:rFonts w:ascii="Times New Roman" w:hAnsi="Times New Roman"/>
          <w:spacing w:val="4"/>
          <w:sz w:val="24"/>
          <w:szCs w:val="24"/>
        </w:rPr>
        <w:t xml:space="preserve"> в рассматриваемом периоде в целом демонстрировали повышательную динамику развития, что в совокупности с ростом пассажиропотока, обусловлено понижением стоимости патента на предоставление услуг по перевозке пассажиров</w:t>
      </w:r>
      <w:r w:rsidRPr="00A4450C">
        <w:rPr>
          <w:rFonts w:ascii="Times New Roman" w:hAnsi="Times New Roman"/>
          <w:sz w:val="24"/>
          <w:szCs w:val="24"/>
        </w:rPr>
        <w:t xml:space="preserve">. В результате </w:t>
      </w:r>
      <w:r w:rsidRPr="00A4450C">
        <w:rPr>
          <w:rFonts w:ascii="Times New Roman" w:hAnsi="Times New Roman"/>
          <w:spacing w:val="4"/>
          <w:sz w:val="24"/>
          <w:szCs w:val="24"/>
        </w:rPr>
        <w:t>автоперевозчиками региона, специализирующимися на предоставлении услуг физическим лицам, перевезено 26,2 млн пассажиров, что на 12,6% выше уровня 2016 года.</w:t>
      </w:r>
    </w:p>
    <w:p w:rsidR="00552560" w:rsidRPr="00A4450C" w:rsidRDefault="00552560" w:rsidP="00552560">
      <w:pPr>
        <w:spacing w:after="0" w:line="240" w:lineRule="auto"/>
        <w:ind w:firstLine="709"/>
        <w:jc w:val="both"/>
        <w:rPr>
          <w:rFonts w:ascii="Times New Roman" w:hAnsi="Times New Roman"/>
          <w:spacing w:val="2"/>
          <w:sz w:val="24"/>
          <w:szCs w:val="24"/>
        </w:rPr>
      </w:pPr>
      <w:r w:rsidRPr="00A4450C">
        <w:rPr>
          <w:rFonts w:ascii="Times New Roman" w:hAnsi="Times New Roman"/>
          <w:spacing w:val="3"/>
          <w:sz w:val="24"/>
          <w:szCs w:val="24"/>
        </w:rPr>
        <w:t xml:space="preserve">На фоне роста объема пассажиропотока (+12,6%), и сокращения средней дальности поездки одного пассажира (-3,3%) </w:t>
      </w:r>
      <w:r w:rsidRPr="00A4450C">
        <w:rPr>
          <w:rFonts w:ascii="Times New Roman" w:hAnsi="Times New Roman"/>
          <w:spacing w:val="4"/>
          <w:sz w:val="24"/>
          <w:szCs w:val="24"/>
        </w:rPr>
        <w:t>пассажирооборот в рассматриваемом периоде увеличился по сравнению с 2016 годом на 8,7% и составил 233,2</w:t>
      </w:r>
      <w:r w:rsidR="001B20A6">
        <w:rPr>
          <w:rFonts w:ascii="Times New Roman" w:hAnsi="Times New Roman"/>
          <w:spacing w:val="4"/>
          <w:sz w:val="24"/>
          <w:szCs w:val="24"/>
        </w:rPr>
        <w:t xml:space="preserve"> </w:t>
      </w:r>
      <w:r w:rsidRPr="00A4450C">
        <w:rPr>
          <w:rFonts w:ascii="Times New Roman" w:hAnsi="Times New Roman"/>
          <w:spacing w:val="4"/>
          <w:sz w:val="24"/>
          <w:szCs w:val="24"/>
        </w:rPr>
        <w:t xml:space="preserve">млн </w:t>
      </w:r>
      <w:proofErr w:type="spellStart"/>
      <w:r w:rsidRPr="00A4450C">
        <w:rPr>
          <w:rFonts w:ascii="Times New Roman" w:hAnsi="Times New Roman"/>
          <w:spacing w:val="4"/>
          <w:sz w:val="24"/>
          <w:szCs w:val="24"/>
        </w:rPr>
        <w:t>пассажиро</w:t>
      </w:r>
      <w:proofErr w:type="spellEnd"/>
      <w:r w:rsidRPr="00A4450C">
        <w:rPr>
          <w:rFonts w:ascii="Times New Roman" w:hAnsi="Times New Roman"/>
          <w:spacing w:val="4"/>
          <w:sz w:val="24"/>
          <w:szCs w:val="24"/>
        </w:rPr>
        <w:t>–километров</w:t>
      </w:r>
      <w:r w:rsidRPr="00A4450C">
        <w:rPr>
          <w:rFonts w:ascii="Times New Roman" w:hAnsi="Times New Roman"/>
          <w:spacing w:val="3"/>
          <w:sz w:val="24"/>
          <w:szCs w:val="24"/>
        </w:rPr>
        <w:t>. При этом</w:t>
      </w:r>
      <w:proofErr w:type="gramStart"/>
      <w:r w:rsidRPr="00A4450C">
        <w:rPr>
          <w:rFonts w:ascii="Times New Roman" w:hAnsi="Times New Roman"/>
          <w:spacing w:val="3"/>
          <w:sz w:val="24"/>
          <w:szCs w:val="24"/>
        </w:rPr>
        <w:t>,</w:t>
      </w:r>
      <w:proofErr w:type="gramEnd"/>
      <w:r w:rsidRPr="00A4450C">
        <w:rPr>
          <w:rFonts w:ascii="Times New Roman" w:hAnsi="Times New Roman"/>
          <w:spacing w:val="3"/>
          <w:sz w:val="24"/>
          <w:szCs w:val="24"/>
        </w:rPr>
        <w:t xml:space="preserve"> доходы организаций пассажирского автотранспорта в рассматриваемом периоде</w:t>
      </w:r>
      <w:r w:rsidRPr="00A4450C">
        <w:rPr>
          <w:rFonts w:ascii="Times New Roman" w:hAnsi="Times New Roman"/>
          <w:spacing w:val="2"/>
          <w:sz w:val="24"/>
          <w:szCs w:val="24"/>
        </w:rPr>
        <w:t xml:space="preserve"> выросли на 12,5% и сложились в сумме 138,7</w:t>
      </w:r>
      <w:r w:rsidRPr="00A4450C">
        <w:rPr>
          <w:rFonts w:ascii="Times New Roman" w:hAnsi="Times New Roman"/>
          <w:spacing w:val="3"/>
          <w:sz w:val="24"/>
          <w:szCs w:val="24"/>
        </w:rPr>
        <w:t xml:space="preserve"> млн руб</w:t>
      </w:r>
      <w:r w:rsidRPr="00A4450C">
        <w:rPr>
          <w:rFonts w:ascii="Times New Roman" w:hAnsi="Times New Roman"/>
          <w:spacing w:val="2"/>
          <w:sz w:val="24"/>
          <w:szCs w:val="24"/>
        </w:rPr>
        <w:t>.</w:t>
      </w:r>
    </w:p>
    <w:p w:rsidR="00552560" w:rsidRPr="001B20A6" w:rsidRDefault="00552560" w:rsidP="00552560">
      <w:pPr>
        <w:spacing w:after="0" w:line="240" w:lineRule="auto"/>
        <w:ind w:firstLine="709"/>
        <w:jc w:val="both"/>
        <w:rPr>
          <w:rFonts w:ascii="Times New Roman" w:hAnsi="Times New Roman"/>
          <w:spacing w:val="2"/>
          <w:sz w:val="10"/>
          <w:szCs w:val="10"/>
        </w:rPr>
      </w:pPr>
    </w:p>
    <w:p w:rsidR="00552560" w:rsidRPr="00A4450C" w:rsidRDefault="00552560" w:rsidP="00552560">
      <w:pPr>
        <w:spacing w:after="0" w:line="240" w:lineRule="auto"/>
        <w:ind w:firstLine="709"/>
        <w:jc w:val="right"/>
        <w:rPr>
          <w:rFonts w:ascii="Times New Roman" w:hAnsi="Times New Roman"/>
          <w:spacing w:val="2"/>
          <w:sz w:val="24"/>
          <w:szCs w:val="24"/>
        </w:rPr>
      </w:pPr>
      <w:r w:rsidRPr="00A4450C">
        <w:rPr>
          <w:rFonts w:ascii="Times New Roman" w:hAnsi="Times New Roman"/>
          <w:spacing w:val="2"/>
          <w:sz w:val="24"/>
          <w:szCs w:val="24"/>
        </w:rPr>
        <w:t>Таблица №</w:t>
      </w:r>
      <w:r w:rsidR="001B20A6">
        <w:rPr>
          <w:rFonts w:ascii="Times New Roman" w:hAnsi="Times New Roman"/>
          <w:spacing w:val="2"/>
          <w:sz w:val="24"/>
          <w:szCs w:val="24"/>
        </w:rPr>
        <w:t>3</w:t>
      </w:r>
    </w:p>
    <w:p w:rsidR="00552560" w:rsidRPr="00A4450C" w:rsidRDefault="00552560" w:rsidP="00552560">
      <w:pPr>
        <w:spacing w:after="0" w:line="240" w:lineRule="auto"/>
        <w:jc w:val="center"/>
        <w:rPr>
          <w:rFonts w:ascii="Times New Roman" w:hAnsi="Times New Roman"/>
          <w:b/>
          <w:sz w:val="24"/>
          <w:szCs w:val="24"/>
        </w:rPr>
      </w:pPr>
      <w:r w:rsidRPr="00A4450C">
        <w:rPr>
          <w:rFonts w:ascii="Times New Roman" w:hAnsi="Times New Roman"/>
          <w:b/>
          <w:sz w:val="24"/>
          <w:szCs w:val="24"/>
        </w:rPr>
        <w:t xml:space="preserve">Показатели работы пассажирского автотранспорта </w:t>
      </w:r>
    </w:p>
    <w:p w:rsidR="00552560" w:rsidRPr="00A4450C" w:rsidRDefault="00552560" w:rsidP="00552560">
      <w:pPr>
        <w:spacing w:after="0" w:line="240" w:lineRule="auto"/>
        <w:jc w:val="center"/>
        <w:rPr>
          <w:rFonts w:ascii="Times New Roman" w:hAnsi="Times New Roman"/>
          <w:b/>
          <w:sz w:val="24"/>
          <w:szCs w:val="24"/>
        </w:rPr>
      </w:pPr>
      <w:r w:rsidRPr="00A4450C">
        <w:rPr>
          <w:rFonts w:ascii="Times New Roman" w:hAnsi="Times New Roman"/>
          <w:b/>
          <w:sz w:val="24"/>
          <w:szCs w:val="24"/>
        </w:rPr>
        <w:t>общего пользования</w:t>
      </w: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518"/>
        <w:gridCol w:w="1328"/>
        <w:gridCol w:w="1328"/>
        <w:gridCol w:w="1364"/>
      </w:tblGrid>
      <w:tr w:rsidR="00552560" w:rsidRPr="00A4450C" w:rsidTr="00A73BD0">
        <w:trPr>
          <w:trHeight w:val="528"/>
        </w:trPr>
        <w:tc>
          <w:tcPr>
            <w:tcW w:w="4173" w:type="dxa"/>
            <w:shd w:val="clear" w:color="auto" w:fill="D9D9D9" w:themeFill="background1" w:themeFillShade="D9"/>
            <w:vAlign w:val="center"/>
          </w:tcPr>
          <w:p w:rsidR="00552560" w:rsidRPr="00A4450C" w:rsidRDefault="00552560" w:rsidP="002A03A2">
            <w:pPr>
              <w:spacing w:after="0" w:line="240" w:lineRule="auto"/>
              <w:jc w:val="center"/>
              <w:rPr>
                <w:rFonts w:ascii="Times New Roman" w:hAnsi="Times New Roman"/>
                <w:b/>
              </w:rPr>
            </w:pPr>
            <w:r w:rsidRPr="00A4450C">
              <w:rPr>
                <w:rFonts w:ascii="Times New Roman" w:hAnsi="Times New Roman"/>
                <w:b/>
              </w:rPr>
              <w:t>Показатели</w:t>
            </w:r>
          </w:p>
        </w:tc>
        <w:tc>
          <w:tcPr>
            <w:tcW w:w="1518" w:type="dxa"/>
            <w:shd w:val="clear" w:color="auto" w:fill="D9D9D9" w:themeFill="background1" w:themeFillShade="D9"/>
            <w:vAlign w:val="center"/>
          </w:tcPr>
          <w:p w:rsidR="00552560" w:rsidRPr="00A4450C" w:rsidRDefault="00552560" w:rsidP="002A03A2">
            <w:pPr>
              <w:spacing w:after="0" w:line="240" w:lineRule="auto"/>
              <w:jc w:val="center"/>
              <w:rPr>
                <w:rFonts w:ascii="Times New Roman" w:hAnsi="Times New Roman"/>
                <w:b/>
              </w:rPr>
            </w:pPr>
            <w:r w:rsidRPr="00A4450C">
              <w:rPr>
                <w:rFonts w:ascii="Times New Roman" w:hAnsi="Times New Roman"/>
                <w:b/>
              </w:rPr>
              <w:t xml:space="preserve">Ед. </w:t>
            </w:r>
            <w:proofErr w:type="spellStart"/>
            <w:r w:rsidRPr="00A4450C">
              <w:rPr>
                <w:rFonts w:ascii="Times New Roman" w:hAnsi="Times New Roman"/>
                <w:b/>
              </w:rPr>
              <w:t>изм</w:t>
            </w:r>
            <w:proofErr w:type="spellEnd"/>
            <w:r w:rsidRPr="00A4450C">
              <w:rPr>
                <w:rFonts w:ascii="Times New Roman" w:hAnsi="Times New Roman"/>
                <w:b/>
              </w:rPr>
              <w:t>.</w:t>
            </w:r>
          </w:p>
        </w:tc>
        <w:tc>
          <w:tcPr>
            <w:tcW w:w="1328" w:type="dxa"/>
            <w:shd w:val="clear" w:color="auto" w:fill="D9D9D9" w:themeFill="background1" w:themeFillShade="D9"/>
            <w:vAlign w:val="center"/>
          </w:tcPr>
          <w:p w:rsidR="00552560" w:rsidRPr="00A4450C" w:rsidRDefault="00552560" w:rsidP="002A03A2">
            <w:pPr>
              <w:spacing w:after="0" w:line="240" w:lineRule="auto"/>
              <w:jc w:val="center"/>
              <w:rPr>
                <w:rFonts w:ascii="Times New Roman" w:hAnsi="Times New Roman"/>
                <w:b/>
              </w:rPr>
            </w:pPr>
            <w:r w:rsidRPr="00A4450C">
              <w:rPr>
                <w:rFonts w:ascii="Times New Roman" w:hAnsi="Times New Roman"/>
                <w:b/>
              </w:rPr>
              <w:t>2016 г.</w:t>
            </w:r>
          </w:p>
        </w:tc>
        <w:tc>
          <w:tcPr>
            <w:tcW w:w="1328" w:type="dxa"/>
            <w:shd w:val="clear" w:color="auto" w:fill="D9D9D9" w:themeFill="background1" w:themeFillShade="D9"/>
            <w:vAlign w:val="center"/>
          </w:tcPr>
          <w:p w:rsidR="00552560" w:rsidRPr="00A4450C" w:rsidRDefault="00552560" w:rsidP="002A03A2">
            <w:pPr>
              <w:spacing w:after="0" w:line="240" w:lineRule="auto"/>
              <w:jc w:val="center"/>
              <w:rPr>
                <w:rFonts w:ascii="Times New Roman" w:hAnsi="Times New Roman"/>
                <w:b/>
              </w:rPr>
            </w:pPr>
            <w:r w:rsidRPr="00A4450C">
              <w:rPr>
                <w:rFonts w:ascii="Times New Roman" w:hAnsi="Times New Roman"/>
                <w:b/>
              </w:rPr>
              <w:t>2017 г.</w:t>
            </w:r>
          </w:p>
        </w:tc>
        <w:tc>
          <w:tcPr>
            <w:tcW w:w="1364" w:type="dxa"/>
            <w:shd w:val="clear" w:color="auto" w:fill="D9D9D9" w:themeFill="background1" w:themeFillShade="D9"/>
            <w:vAlign w:val="center"/>
          </w:tcPr>
          <w:p w:rsidR="00552560" w:rsidRPr="00A4450C" w:rsidRDefault="00552560" w:rsidP="002A03A2">
            <w:pPr>
              <w:spacing w:after="0" w:line="240" w:lineRule="auto"/>
              <w:ind w:left="-108" w:right="-51"/>
              <w:jc w:val="center"/>
              <w:rPr>
                <w:rFonts w:ascii="Times New Roman" w:hAnsi="Times New Roman"/>
                <w:b/>
                <w:i/>
              </w:rPr>
            </w:pPr>
            <w:r w:rsidRPr="00A4450C">
              <w:rPr>
                <w:rFonts w:ascii="Times New Roman" w:hAnsi="Times New Roman"/>
                <w:b/>
                <w:i/>
              </w:rPr>
              <w:t xml:space="preserve">2017 г. </w:t>
            </w:r>
            <w:proofErr w:type="gramStart"/>
            <w:r w:rsidRPr="00A4450C">
              <w:rPr>
                <w:rFonts w:ascii="Times New Roman" w:hAnsi="Times New Roman"/>
                <w:b/>
                <w:i/>
              </w:rPr>
              <w:t>в</w:t>
            </w:r>
            <w:proofErr w:type="gramEnd"/>
            <w:r w:rsidRPr="00A4450C">
              <w:rPr>
                <w:rFonts w:ascii="Times New Roman" w:hAnsi="Times New Roman"/>
                <w:b/>
                <w:i/>
              </w:rPr>
              <w:t xml:space="preserve"> % к</w:t>
            </w:r>
          </w:p>
          <w:p w:rsidR="00552560" w:rsidRPr="00A4450C" w:rsidRDefault="00552560" w:rsidP="002A03A2">
            <w:pPr>
              <w:spacing w:after="0" w:line="240" w:lineRule="auto"/>
              <w:ind w:left="-108" w:right="-51"/>
              <w:jc w:val="center"/>
              <w:rPr>
                <w:rFonts w:ascii="Times New Roman" w:hAnsi="Times New Roman"/>
                <w:b/>
                <w:i/>
              </w:rPr>
            </w:pPr>
            <w:r w:rsidRPr="00A4450C">
              <w:rPr>
                <w:rFonts w:ascii="Times New Roman" w:hAnsi="Times New Roman"/>
                <w:b/>
                <w:i/>
              </w:rPr>
              <w:t>2016 г.</w:t>
            </w:r>
          </w:p>
        </w:tc>
      </w:tr>
      <w:tr w:rsidR="00552560" w:rsidRPr="00A4450C" w:rsidTr="00A73BD0">
        <w:trPr>
          <w:trHeight w:val="169"/>
        </w:trPr>
        <w:tc>
          <w:tcPr>
            <w:tcW w:w="4173" w:type="dxa"/>
          </w:tcPr>
          <w:p w:rsidR="00552560" w:rsidRPr="00A4450C" w:rsidRDefault="00552560" w:rsidP="002A03A2">
            <w:pPr>
              <w:spacing w:after="0" w:line="240" w:lineRule="auto"/>
              <w:rPr>
                <w:rFonts w:ascii="Times New Roman" w:hAnsi="Times New Roman"/>
                <w:vertAlign w:val="superscript"/>
              </w:rPr>
            </w:pPr>
            <w:r w:rsidRPr="00A4450C">
              <w:rPr>
                <w:rFonts w:ascii="Times New Roman" w:hAnsi="Times New Roman"/>
                <w:b/>
              </w:rPr>
              <w:t>Перевезено пассажиров</w:t>
            </w:r>
          </w:p>
        </w:tc>
        <w:tc>
          <w:tcPr>
            <w:tcW w:w="1518"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тыс. чел.</w:t>
            </w:r>
          </w:p>
        </w:tc>
        <w:tc>
          <w:tcPr>
            <w:tcW w:w="1328" w:type="dxa"/>
            <w:shd w:val="clear" w:color="auto" w:fill="auto"/>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23 260,7</w:t>
            </w:r>
          </w:p>
        </w:tc>
        <w:tc>
          <w:tcPr>
            <w:tcW w:w="1328" w:type="dxa"/>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26 187,0</w:t>
            </w:r>
          </w:p>
        </w:tc>
        <w:tc>
          <w:tcPr>
            <w:tcW w:w="1364" w:type="dxa"/>
            <w:vAlign w:val="center"/>
          </w:tcPr>
          <w:p w:rsidR="00552560" w:rsidRPr="00A4450C" w:rsidRDefault="00552560" w:rsidP="002A03A2">
            <w:pPr>
              <w:spacing w:after="0" w:line="240" w:lineRule="auto"/>
              <w:ind w:right="113"/>
              <w:jc w:val="right"/>
              <w:rPr>
                <w:rFonts w:ascii="Times New Roman" w:hAnsi="Times New Roman"/>
                <w:i/>
              </w:rPr>
            </w:pPr>
            <w:r w:rsidRPr="00A4450C">
              <w:rPr>
                <w:rFonts w:ascii="Times New Roman" w:hAnsi="Times New Roman"/>
                <w:i/>
              </w:rPr>
              <w:t>112,6</w:t>
            </w:r>
          </w:p>
        </w:tc>
      </w:tr>
      <w:tr w:rsidR="00552560" w:rsidRPr="00A4450C" w:rsidTr="00A73BD0">
        <w:trPr>
          <w:trHeight w:val="248"/>
        </w:trPr>
        <w:tc>
          <w:tcPr>
            <w:tcW w:w="4173" w:type="dxa"/>
          </w:tcPr>
          <w:p w:rsidR="00552560" w:rsidRPr="00A4450C" w:rsidRDefault="00552560" w:rsidP="002A03A2">
            <w:pPr>
              <w:spacing w:after="0" w:line="240" w:lineRule="auto"/>
              <w:rPr>
                <w:rFonts w:ascii="Times New Roman" w:hAnsi="Times New Roman"/>
              </w:rPr>
            </w:pPr>
            <w:r w:rsidRPr="00A4450C">
              <w:rPr>
                <w:rFonts w:ascii="Times New Roman" w:hAnsi="Times New Roman"/>
                <w:b/>
              </w:rPr>
              <w:t>Пассажирооборот</w:t>
            </w:r>
          </w:p>
        </w:tc>
        <w:tc>
          <w:tcPr>
            <w:tcW w:w="1518" w:type="dxa"/>
            <w:vAlign w:val="center"/>
          </w:tcPr>
          <w:p w:rsidR="00552560" w:rsidRPr="00A4450C" w:rsidRDefault="00552560" w:rsidP="002A03A2">
            <w:pPr>
              <w:spacing w:after="0" w:line="240" w:lineRule="auto"/>
              <w:ind w:left="-108" w:right="-108"/>
              <w:jc w:val="center"/>
              <w:rPr>
                <w:rFonts w:ascii="Times New Roman" w:hAnsi="Times New Roman"/>
              </w:rPr>
            </w:pPr>
            <w:r w:rsidRPr="00A4450C">
              <w:rPr>
                <w:rFonts w:ascii="Times New Roman" w:hAnsi="Times New Roman"/>
              </w:rPr>
              <w:t xml:space="preserve">тыс. пас - </w:t>
            </w:r>
            <w:proofErr w:type="gramStart"/>
            <w:r w:rsidRPr="00A4450C">
              <w:rPr>
                <w:rFonts w:ascii="Times New Roman" w:hAnsi="Times New Roman"/>
              </w:rPr>
              <w:t>км</w:t>
            </w:r>
            <w:proofErr w:type="gramEnd"/>
          </w:p>
        </w:tc>
        <w:tc>
          <w:tcPr>
            <w:tcW w:w="1328" w:type="dxa"/>
            <w:shd w:val="clear" w:color="auto" w:fill="auto"/>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214 456,7</w:t>
            </w:r>
          </w:p>
        </w:tc>
        <w:tc>
          <w:tcPr>
            <w:tcW w:w="1328" w:type="dxa"/>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233 160,9</w:t>
            </w:r>
          </w:p>
        </w:tc>
        <w:tc>
          <w:tcPr>
            <w:tcW w:w="1364" w:type="dxa"/>
            <w:vAlign w:val="center"/>
          </w:tcPr>
          <w:p w:rsidR="00552560" w:rsidRPr="00A4450C" w:rsidRDefault="00552560" w:rsidP="002A03A2">
            <w:pPr>
              <w:spacing w:after="0" w:line="240" w:lineRule="auto"/>
              <w:ind w:right="113"/>
              <w:jc w:val="right"/>
              <w:rPr>
                <w:rFonts w:ascii="Times New Roman" w:hAnsi="Times New Roman"/>
                <w:i/>
              </w:rPr>
            </w:pPr>
            <w:r w:rsidRPr="00A4450C">
              <w:rPr>
                <w:rFonts w:ascii="Times New Roman" w:hAnsi="Times New Roman"/>
                <w:i/>
              </w:rPr>
              <w:t>108,7</w:t>
            </w:r>
          </w:p>
        </w:tc>
      </w:tr>
      <w:tr w:rsidR="00552560" w:rsidRPr="00A4450C" w:rsidTr="00A73BD0">
        <w:trPr>
          <w:trHeight w:val="528"/>
        </w:trPr>
        <w:tc>
          <w:tcPr>
            <w:tcW w:w="4173" w:type="dxa"/>
          </w:tcPr>
          <w:p w:rsidR="00552560" w:rsidRPr="00A4450C" w:rsidRDefault="00552560" w:rsidP="002A03A2">
            <w:pPr>
              <w:spacing w:after="0" w:line="240" w:lineRule="auto"/>
              <w:rPr>
                <w:rFonts w:ascii="Times New Roman" w:hAnsi="Times New Roman"/>
                <w:vertAlign w:val="superscript"/>
              </w:rPr>
            </w:pPr>
            <w:r w:rsidRPr="00A4450C">
              <w:rPr>
                <w:rFonts w:ascii="Times New Roman" w:hAnsi="Times New Roman"/>
                <w:b/>
              </w:rPr>
              <w:t>Средняя дальность поездки одного пассажира</w:t>
            </w:r>
          </w:p>
        </w:tc>
        <w:tc>
          <w:tcPr>
            <w:tcW w:w="1518"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км</w:t>
            </w:r>
          </w:p>
        </w:tc>
        <w:tc>
          <w:tcPr>
            <w:tcW w:w="1328" w:type="dxa"/>
            <w:shd w:val="clear" w:color="auto" w:fill="auto"/>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9,2</w:t>
            </w:r>
          </w:p>
        </w:tc>
        <w:tc>
          <w:tcPr>
            <w:tcW w:w="1328" w:type="dxa"/>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8,9</w:t>
            </w:r>
          </w:p>
        </w:tc>
        <w:tc>
          <w:tcPr>
            <w:tcW w:w="1364" w:type="dxa"/>
            <w:vAlign w:val="center"/>
          </w:tcPr>
          <w:p w:rsidR="00552560" w:rsidRPr="00A4450C" w:rsidRDefault="00552560" w:rsidP="002A03A2">
            <w:pPr>
              <w:spacing w:after="0" w:line="240" w:lineRule="auto"/>
              <w:ind w:right="113"/>
              <w:jc w:val="right"/>
              <w:rPr>
                <w:rFonts w:ascii="Times New Roman" w:hAnsi="Times New Roman"/>
                <w:i/>
              </w:rPr>
            </w:pPr>
            <w:r w:rsidRPr="00A4450C">
              <w:rPr>
                <w:rFonts w:ascii="Times New Roman" w:hAnsi="Times New Roman"/>
                <w:i/>
              </w:rPr>
              <w:t>96,7</w:t>
            </w:r>
          </w:p>
        </w:tc>
      </w:tr>
      <w:tr w:rsidR="00552560" w:rsidRPr="00A4450C" w:rsidTr="00A73BD0">
        <w:trPr>
          <w:trHeight w:val="528"/>
        </w:trPr>
        <w:tc>
          <w:tcPr>
            <w:tcW w:w="4173" w:type="dxa"/>
            <w:vAlign w:val="center"/>
          </w:tcPr>
          <w:p w:rsidR="00552560" w:rsidRPr="00A4450C" w:rsidRDefault="00552560" w:rsidP="002A03A2">
            <w:pPr>
              <w:spacing w:after="0" w:line="240" w:lineRule="auto"/>
              <w:rPr>
                <w:rFonts w:ascii="Times New Roman" w:hAnsi="Times New Roman"/>
                <w:b/>
              </w:rPr>
            </w:pPr>
            <w:r w:rsidRPr="00A4450C">
              <w:rPr>
                <w:rFonts w:ascii="Times New Roman" w:hAnsi="Times New Roman"/>
                <w:b/>
              </w:rPr>
              <w:t>Наличие автобусов (включая маршрутные такси)</w:t>
            </w:r>
          </w:p>
        </w:tc>
        <w:tc>
          <w:tcPr>
            <w:tcW w:w="1518"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ед.</w:t>
            </w:r>
          </w:p>
        </w:tc>
        <w:tc>
          <w:tcPr>
            <w:tcW w:w="1328" w:type="dxa"/>
            <w:shd w:val="clear" w:color="auto" w:fill="auto"/>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487</w:t>
            </w:r>
          </w:p>
        </w:tc>
        <w:tc>
          <w:tcPr>
            <w:tcW w:w="1328" w:type="dxa"/>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592</w:t>
            </w:r>
          </w:p>
        </w:tc>
        <w:tc>
          <w:tcPr>
            <w:tcW w:w="1364" w:type="dxa"/>
            <w:vAlign w:val="center"/>
          </w:tcPr>
          <w:p w:rsidR="00552560" w:rsidRPr="00A4450C" w:rsidRDefault="00552560" w:rsidP="002A03A2">
            <w:pPr>
              <w:spacing w:after="0" w:line="240" w:lineRule="auto"/>
              <w:ind w:right="113"/>
              <w:jc w:val="right"/>
              <w:rPr>
                <w:rFonts w:ascii="Times New Roman" w:hAnsi="Times New Roman"/>
                <w:i/>
              </w:rPr>
            </w:pPr>
            <w:r w:rsidRPr="00A4450C">
              <w:rPr>
                <w:rFonts w:ascii="Times New Roman" w:hAnsi="Times New Roman"/>
                <w:i/>
              </w:rPr>
              <w:t>121,6</w:t>
            </w:r>
          </w:p>
        </w:tc>
      </w:tr>
      <w:tr w:rsidR="00552560" w:rsidRPr="00A4450C" w:rsidTr="00A73BD0">
        <w:trPr>
          <w:trHeight w:val="528"/>
        </w:trPr>
        <w:tc>
          <w:tcPr>
            <w:tcW w:w="4173" w:type="dxa"/>
          </w:tcPr>
          <w:p w:rsidR="00552560" w:rsidRPr="00A4450C" w:rsidRDefault="00552560" w:rsidP="002A03A2">
            <w:pPr>
              <w:spacing w:after="0" w:line="240" w:lineRule="auto"/>
              <w:rPr>
                <w:rFonts w:ascii="Times New Roman" w:hAnsi="Times New Roman"/>
                <w:vertAlign w:val="superscript"/>
              </w:rPr>
            </w:pPr>
            <w:r w:rsidRPr="00A4450C">
              <w:rPr>
                <w:rFonts w:ascii="Times New Roman" w:hAnsi="Times New Roman"/>
                <w:b/>
              </w:rPr>
              <w:t>Доходы от перевозки пассажиров автобусами и легковыми такси</w:t>
            </w:r>
          </w:p>
        </w:tc>
        <w:tc>
          <w:tcPr>
            <w:tcW w:w="1518" w:type="dxa"/>
            <w:vAlign w:val="center"/>
          </w:tcPr>
          <w:p w:rsidR="00552560" w:rsidRPr="00A4450C" w:rsidRDefault="00552560" w:rsidP="002A03A2">
            <w:pPr>
              <w:spacing w:after="0" w:line="240" w:lineRule="auto"/>
              <w:ind w:right="113"/>
              <w:jc w:val="center"/>
              <w:rPr>
                <w:rFonts w:ascii="Times New Roman" w:hAnsi="Times New Roman"/>
              </w:rPr>
            </w:pPr>
            <w:r w:rsidRPr="00A4450C">
              <w:rPr>
                <w:rFonts w:ascii="Times New Roman" w:hAnsi="Times New Roman"/>
              </w:rPr>
              <w:t>тыс. руб.</w:t>
            </w:r>
          </w:p>
        </w:tc>
        <w:tc>
          <w:tcPr>
            <w:tcW w:w="1328" w:type="dxa"/>
            <w:shd w:val="clear" w:color="auto" w:fill="auto"/>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123 307,4</w:t>
            </w:r>
          </w:p>
        </w:tc>
        <w:tc>
          <w:tcPr>
            <w:tcW w:w="1328" w:type="dxa"/>
            <w:vAlign w:val="center"/>
          </w:tcPr>
          <w:p w:rsidR="00552560" w:rsidRPr="00A4450C" w:rsidRDefault="00552560" w:rsidP="002A03A2">
            <w:pPr>
              <w:spacing w:after="0" w:line="240" w:lineRule="auto"/>
              <w:ind w:right="113"/>
              <w:jc w:val="right"/>
              <w:rPr>
                <w:rFonts w:ascii="Times New Roman" w:hAnsi="Times New Roman"/>
              </w:rPr>
            </w:pPr>
            <w:r w:rsidRPr="00A4450C">
              <w:rPr>
                <w:rFonts w:ascii="Times New Roman" w:hAnsi="Times New Roman"/>
              </w:rPr>
              <w:t>138 708,2</w:t>
            </w:r>
          </w:p>
        </w:tc>
        <w:tc>
          <w:tcPr>
            <w:tcW w:w="1364" w:type="dxa"/>
            <w:vAlign w:val="center"/>
          </w:tcPr>
          <w:p w:rsidR="00552560" w:rsidRPr="00A4450C" w:rsidRDefault="00552560" w:rsidP="002A03A2">
            <w:pPr>
              <w:spacing w:after="0" w:line="240" w:lineRule="auto"/>
              <w:ind w:right="113"/>
              <w:jc w:val="right"/>
              <w:rPr>
                <w:rFonts w:ascii="Times New Roman" w:hAnsi="Times New Roman"/>
                <w:i/>
              </w:rPr>
            </w:pPr>
            <w:r w:rsidRPr="00A4450C">
              <w:rPr>
                <w:rFonts w:ascii="Times New Roman" w:hAnsi="Times New Roman"/>
                <w:i/>
              </w:rPr>
              <w:t>112,5</w:t>
            </w:r>
          </w:p>
        </w:tc>
      </w:tr>
    </w:tbl>
    <w:p w:rsidR="00552560" w:rsidRPr="00A4450C" w:rsidRDefault="00552560" w:rsidP="00552560">
      <w:pPr>
        <w:spacing w:after="0" w:line="240" w:lineRule="auto"/>
        <w:ind w:firstLine="709"/>
        <w:jc w:val="both"/>
        <w:rPr>
          <w:rFonts w:ascii="Times New Roman" w:hAnsi="Times New Roman"/>
          <w:sz w:val="20"/>
          <w:szCs w:val="20"/>
        </w:rPr>
      </w:pP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t xml:space="preserve">В 2017 году </w:t>
      </w:r>
      <w:r w:rsidRPr="00A4450C">
        <w:rPr>
          <w:rFonts w:ascii="Times New Roman" w:hAnsi="Times New Roman"/>
          <w:b/>
          <w:i/>
          <w:sz w:val="24"/>
          <w:szCs w:val="24"/>
        </w:rPr>
        <w:t xml:space="preserve">электрическим транспортом, </w:t>
      </w:r>
      <w:r w:rsidRPr="00A4450C">
        <w:rPr>
          <w:rFonts w:ascii="Times New Roman" w:hAnsi="Times New Roman"/>
          <w:sz w:val="24"/>
          <w:szCs w:val="24"/>
        </w:rPr>
        <w:t xml:space="preserve">действующим в двух городах республики (Тирасполь, Бендеры), перевезено 16,6 млн пассажиров, что на 9,6% больше уровня </w:t>
      </w:r>
      <w:r w:rsidR="001B20A6">
        <w:rPr>
          <w:rFonts w:ascii="Times New Roman" w:hAnsi="Times New Roman"/>
          <w:sz w:val="24"/>
          <w:szCs w:val="24"/>
        </w:rPr>
        <w:t xml:space="preserve">                 </w:t>
      </w:r>
      <w:r w:rsidRPr="00A4450C">
        <w:rPr>
          <w:rFonts w:ascii="Times New Roman" w:hAnsi="Times New Roman"/>
          <w:sz w:val="24"/>
          <w:szCs w:val="24"/>
        </w:rPr>
        <w:t>2016 года.</w:t>
      </w:r>
    </w:p>
    <w:p w:rsidR="00552560" w:rsidRPr="00A4450C" w:rsidRDefault="00552560" w:rsidP="00552560">
      <w:pPr>
        <w:spacing w:after="0" w:line="240" w:lineRule="auto"/>
        <w:ind w:firstLine="709"/>
        <w:jc w:val="both"/>
        <w:rPr>
          <w:rFonts w:ascii="Times New Roman" w:hAnsi="Times New Roman"/>
          <w:spacing w:val="2"/>
          <w:sz w:val="24"/>
          <w:szCs w:val="24"/>
        </w:rPr>
      </w:pPr>
      <w:r w:rsidRPr="00A4450C">
        <w:rPr>
          <w:rFonts w:ascii="Times New Roman" w:hAnsi="Times New Roman"/>
          <w:spacing w:val="2"/>
          <w:sz w:val="24"/>
          <w:szCs w:val="24"/>
        </w:rPr>
        <w:t xml:space="preserve">На фоне роста пассажиропотока отмечается увеличение пассажирооборота электрического транспорта по отношению к уровню 2016 года на 9,3% до </w:t>
      </w:r>
      <w:r w:rsidR="001B20A6">
        <w:rPr>
          <w:rFonts w:ascii="Times New Roman" w:hAnsi="Times New Roman"/>
          <w:spacing w:val="2"/>
          <w:sz w:val="24"/>
          <w:szCs w:val="24"/>
        </w:rPr>
        <w:t xml:space="preserve">                            </w:t>
      </w:r>
      <w:r w:rsidRPr="00A4450C">
        <w:rPr>
          <w:rFonts w:ascii="Times New Roman" w:hAnsi="Times New Roman"/>
          <w:spacing w:val="2"/>
          <w:sz w:val="24"/>
          <w:szCs w:val="24"/>
        </w:rPr>
        <w:t xml:space="preserve">168,8 млн </w:t>
      </w:r>
      <w:proofErr w:type="spellStart"/>
      <w:r w:rsidRPr="00A4450C">
        <w:rPr>
          <w:rFonts w:ascii="Times New Roman" w:hAnsi="Times New Roman"/>
          <w:spacing w:val="2"/>
          <w:sz w:val="24"/>
          <w:szCs w:val="24"/>
        </w:rPr>
        <w:t>пассажиро</w:t>
      </w:r>
      <w:proofErr w:type="spellEnd"/>
      <w:r w:rsidRPr="00A4450C">
        <w:rPr>
          <w:rFonts w:ascii="Times New Roman" w:hAnsi="Times New Roman"/>
          <w:spacing w:val="2"/>
          <w:sz w:val="24"/>
          <w:szCs w:val="24"/>
        </w:rPr>
        <w:t xml:space="preserve">–километров. При этом доходы троллейбусных парков </w:t>
      </w:r>
      <w:r w:rsidRPr="00A4450C">
        <w:rPr>
          <w:rFonts w:ascii="Times New Roman" w:hAnsi="Times New Roman"/>
          <w:sz w:val="24"/>
          <w:szCs w:val="24"/>
        </w:rPr>
        <w:t xml:space="preserve">от перевозки пассажиров и багажа </w:t>
      </w:r>
      <w:r w:rsidRPr="00A4450C">
        <w:rPr>
          <w:rFonts w:ascii="Times New Roman" w:hAnsi="Times New Roman"/>
          <w:spacing w:val="2"/>
          <w:sz w:val="24"/>
          <w:szCs w:val="24"/>
        </w:rPr>
        <w:t>(включая трансферты на покрытие потерь от предоставления льгот), на фоне расширения предоставляемых льгот,</w:t>
      </w:r>
      <w:r w:rsidRPr="00A4450C">
        <w:rPr>
          <w:rFonts w:ascii="Times New Roman" w:hAnsi="Times New Roman"/>
          <w:sz w:val="24"/>
          <w:szCs w:val="24"/>
        </w:rPr>
        <w:t xml:space="preserve"> </w:t>
      </w:r>
      <w:r w:rsidRPr="00A4450C">
        <w:rPr>
          <w:rFonts w:ascii="Times New Roman" w:hAnsi="Times New Roman"/>
          <w:spacing w:val="2"/>
          <w:sz w:val="24"/>
          <w:szCs w:val="24"/>
        </w:rPr>
        <w:t>сократились на 6,1% до 33,8 млн руб. в стоимостном выражении. При этом выручка от продажи пассажирских билетов сократилась на 37,1% и составила 12,5 млн руб.</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b/>
          <w:i/>
          <w:sz w:val="24"/>
          <w:szCs w:val="24"/>
        </w:rPr>
        <w:t>Железнодорожный транспорт</w:t>
      </w:r>
      <w:r w:rsidRPr="00A4450C">
        <w:rPr>
          <w:rFonts w:ascii="Times New Roman" w:hAnsi="Times New Roman"/>
          <w:sz w:val="24"/>
          <w:szCs w:val="24"/>
        </w:rPr>
        <w:t xml:space="preserve"> республики представлен ГУКП «Приднестровская железная дорога».</w:t>
      </w:r>
    </w:p>
    <w:p w:rsidR="00552560" w:rsidRPr="00A4450C" w:rsidRDefault="00552560" w:rsidP="00552560">
      <w:pPr>
        <w:tabs>
          <w:tab w:val="left" w:pos="1080"/>
          <w:tab w:val="left" w:pos="1260"/>
        </w:tabs>
        <w:spacing w:after="0" w:line="240" w:lineRule="auto"/>
        <w:ind w:firstLine="709"/>
        <w:jc w:val="both"/>
        <w:rPr>
          <w:rFonts w:ascii="Times New Roman" w:hAnsi="Times New Roman"/>
          <w:spacing w:val="1"/>
          <w:sz w:val="24"/>
          <w:szCs w:val="24"/>
        </w:rPr>
      </w:pPr>
      <w:r w:rsidRPr="00A4450C">
        <w:rPr>
          <w:rFonts w:ascii="Times New Roman" w:hAnsi="Times New Roman"/>
          <w:spacing w:val="1"/>
          <w:sz w:val="24"/>
          <w:szCs w:val="24"/>
        </w:rPr>
        <w:t xml:space="preserve">На фоне увеличения объемов перевозок грузов в прямом и местном сообщении в </w:t>
      </w:r>
      <w:r w:rsidR="001B20A6">
        <w:rPr>
          <w:rFonts w:ascii="Times New Roman" w:hAnsi="Times New Roman"/>
          <w:spacing w:val="1"/>
          <w:sz w:val="24"/>
          <w:szCs w:val="24"/>
        </w:rPr>
        <w:t xml:space="preserve">           </w:t>
      </w:r>
      <w:r w:rsidRPr="00A4450C">
        <w:rPr>
          <w:rFonts w:ascii="Times New Roman" w:hAnsi="Times New Roman"/>
          <w:spacing w:val="1"/>
          <w:sz w:val="24"/>
          <w:szCs w:val="24"/>
        </w:rPr>
        <w:t>2,1 раза и транзита на 4,0% общий объем грузовых перевозок на ГУКП «Приднестровская железная дорога» в 2017 году вырос на 21,3% и составил 2 886,8 тыс. тонн.</w:t>
      </w:r>
    </w:p>
    <w:p w:rsidR="00552560" w:rsidRPr="00A4450C" w:rsidRDefault="00552560" w:rsidP="00552560">
      <w:pPr>
        <w:tabs>
          <w:tab w:val="left" w:pos="1080"/>
          <w:tab w:val="left" w:pos="1260"/>
        </w:tabs>
        <w:spacing w:after="0" w:line="240" w:lineRule="auto"/>
        <w:ind w:firstLine="709"/>
        <w:jc w:val="both"/>
        <w:rPr>
          <w:rFonts w:ascii="Times New Roman" w:hAnsi="Times New Roman"/>
          <w:spacing w:val="1"/>
          <w:sz w:val="24"/>
          <w:szCs w:val="24"/>
        </w:rPr>
      </w:pPr>
      <w:r w:rsidRPr="00A4450C">
        <w:rPr>
          <w:rFonts w:ascii="Times New Roman" w:hAnsi="Times New Roman"/>
          <w:spacing w:val="1"/>
          <w:sz w:val="24"/>
          <w:szCs w:val="24"/>
        </w:rPr>
        <w:lastRenderedPageBreak/>
        <w:t xml:space="preserve">Сложившаяся в экономике ситуация, в совокупности с рядом внешних факторов оказывают непосредственное </w:t>
      </w:r>
      <w:proofErr w:type="gramStart"/>
      <w:r w:rsidRPr="00A4450C">
        <w:rPr>
          <w:rFonts w:ascii="Times New Roman" w:hAnsi="Times New Roman"/>
          <w:spacing w:val="1"/>
          <w:sz w:val="24"/>
          <w:szCs w:val="24"/>
        </w:rPr>
        <w:t>влияние</w:t>
      </w:r>
      <w:proofErr w:type="gramEnd"/>
      <w:r w:rsidRPr="00A4450C">
        <w:rPr>
          <w:rFonts w:ascii="Times New Roman" w:hAnsi="Times New Roman"/>
          <w:spacing w:val="1"/>
          <w:sz w:val="24"/>
          <w:szCs w:val="24"/>
        </w:rPr>
        <w:t xml:space="preserve"> как на формируемую транспортную логистику, так и на основополагающие параметры рынка труда. Так количество обслуженных в                   2017 год</w:t>
      </w:r>
      <w:r>
        <w:rPr>
          <w:rFonts w:ascii="Times New Roman" w:hAnsi="Times New Roman"/>
          <w:spacing w:val="1"/>
          <w:sz w:val="24"/>
          <w:szCs w:val="24"/>
        </w:rPr>
        <w:t>у</w:t>
      </w:r>
      <w:r w:rsidRPr="00A4450C">
        <w:rPr>
          <w:rFonts w:ascii="Times New Roman" w:hAnsi="Times New Roman"/>
          <w:spacing w:val="1"/>
          <w:sz w:val="24"/>
          <w:szCs w:val="24"/>
        </w:rPr>
        <w:t xml:space="preserve"> пассажиров, увеличилось по сравнению с 2016 год</w:t>
      </w:r>
      <w:r>
        <w:rPr>
          <w:rFonts w:ascii="Times New Roman" w:hAnsi="Times New Roman"/>
          <w:spacing w:val="1"/>
          <w:sz w:val="24"/>
          <w:szCs w:val="24"/>
        </w:rPr>
        <w:t>ом</w:t>
      </w:r>
      <w:r w:rsidRPr="00A4450C">
        <w:rPr>
          <w:rFonts w:ascii="Times New Roman" w:hAnsi="Times New Roman"/>
          <w:spacing w:val="1"/>
          <w:sz w:val="24"/>
          <w:szCs w:val="24"/>
        </w:rPr>
        <w:t xml:space="preserve"> на 2,1% и составило </w:t>
      </w:r>
      <w:r>
        <w:rPr>
          <w:rFonts w:ascii="Times New Roman" w:hAnsi="Times New Roman"/>
          <w:spacing w:val="1"/>
          <w:sz w:val="24"/>
          <w:szCs w:val="24"/>
        </w:rPr>
        <w:t xml:space="preserve">            </w:t>
      </w:r>
      <w:r w:rsidRPr="00A4450C">
        <w:rPr>
          <w:rFonts w:ascii="Times New Roman" w:hAnsi="Times New Roman"/>
          <w:spacing w:val="1"/>
          <w:sz w:val="24"/>
          <w:szCs w:val="24"/>
        </w:rPr>
        <w:t>19,3 тыс. человек. Рост числа пассажиров, в совокупности с положительной динамикой стоимости билетов на железнодорожный транспорт обеспечили прирост доходов от оказания услуг пассажирам в рассматриваемом периоде на 8,3% до 837,1 тыс. руб. в стоимостном выражении. Общий объем реализованных предприятием услуг в 2017 году в денежном выражении составил 76 213,3 тыс. руб., что на 56,1% выше уровня 2016 года.</w:t>
      </w:r>
    </w:p>
    <w:p w:rsidR="00552560" w:rsidRPr="00A4450C" w:rsidRDefault="00552560" w:rsidP="00552560">
      <w:pPr>
        <w:spacing w:after="0" w:line="240" w:lineRule="auto"/>
        <w:ind w:firstLine="709"/>
        <w:jc w:val="both"/>
        <w:rPr>
          <w:rFonts w:ascii="Times New Roman" w:hAnsi="Times New Roman"/>
          <w:spacing w:val="1"/>
          <w:sz w:val="24"/>
          <w:szCs w:val="24"/>
        </w:rPr>
      </w:pPr>
      <w:r w:rsidRPr="00A4450C">
        <w:rPr>
          <w:rFonts w:ascii="Times New Roman" w:hAnsi="Times New Roman"/>
          <w:sz w:val="24"/>
          <w:szCs w:val="24"/>
        </w:rPr>
        <w:t xml:space="preserve">По итогам 2017 года </w:t>
      </w:r>
      <w:r w:rsidRPr="00A4450C">
        <w:rPr>
          <w:rFonts w:ascii="Times New Roman" w:hAnsi="Times New Roman"/>
          <w:spacing w:val="1"/>
          <w:sz w:val="24"/>
          <w:szCs w:val="24"/>
        </w:rPr>
        <w:t>после уплаты налогов ГУКП «Приднестровская железная дорога» получен положительный финансовый результат, позволивший вывести предприятие на режим полного рабочего дня, гарантировать доплаты до среднего заработка к пособиям по временной нетрудоспособности. При этом, следует отметить формирование величины чистой прибыли против убытка сформированного в 2016 году, что стало результатом сокращения величины затрат на 1 рубль реализованной продукции</w:t>
      </w:r>
      <w:r>
        <w:rPr>
          <w:rFonts w:ascii="Times New Roman" w:hAnsi="Times New Roman"/>
          <w:spacing w:val="1"/>
          <w:sz w:val="24"/>
          <w:szCs w:val="24"/>
        </w:rPr>
        <w:t xml:space="preserve"> на 33 коп</w:t>
      </w:r>
      <w:proofErr w:type="gramStart"/>
      <w:r>
        <w:rPr>
          <w:rFonts w:ascii="Times New Roman" w:hAnsi="Times New Roman"/>
          <w:spacing w:val="1"/>
          <w:sz w:val="24"/>
          <w:szCs w:val="24"/>
        </w:rPr>
        <w:t>.</w:t>
      </w:r>
      <w:proofErr w:type="gramEnd"/>
      <w:r>
        <w:rPr>
          <w:rFonts w:ascii="Times New Roman" w:hAnsi="Times New Roman"/>
          <w:spacing w:val="1"/>
          <w:sz w:val="24"/>
          <w:szCs w:val="24"/>
        </w:rPr>
        <w:t xml:space="preserve"> </w:t>
      </w:r>
      <w:proofErr w:type="gramStart"/>
      <w:r>
        <w:rPr>
          <w:rFonts w:ascii="Times New Roman" w:hAnsi="Times New Roman"/>
          <w:spacing w:val="1"/>
          <w:sz w:val="24"/>
          <w:szCs w:val="24"/>
        </w:rPr>
        <w:t>и</w:t>
      </w:r>
      <w:proofErr w:type="gramEnd"/>
      <w:r>
        <w:rPr>
          <w:rFonts w:ascii="Times New Roman" w:hAnsi="Times New Roman"/>
          <w:spacing w:val="1"/>
          <w:sz w:val="24"/>
          <w:szCs w:val="24"/>
        </w:rPr>
        <w:t>ли 28,2%</w:t>
      </w:r>
      <w:r w:rsidRPr="00A4450C">
        <w:rPr>
          <w:rFonts w:ascii="Times New Roman" w:hAnsi="Times New Roman"/>
          <w:spacing w:val="1"/>
          <w:sz w:val="24"/>
          <w:szCs w:val="24"/>
        </w:rPr>
        <w:t>, а также роста производительности труда</w:t>
      </w:r>
      <w:r>
        <w:rPr>
          <w:rFonts w:ascii="Times New Roman" w:hAnsi="Times New Roman"/>
          <w:spacing w:val="1"/>
          <w:sz w:val="24"/>
          <w:szCs w:val="24"/>
        </w:rPr>
        <w:t xml:space="preserve"> на 71,0%</w:t>
      </w:r>
      <w:r w:rsidRPr="00A4450C">
        <w:rPr>
          <w:rFonts w:ascii="Times New Roman" w:hAnsi="Times New Roman"/>
          <w:spacing w:val="1"/>
          <w:sz w:val="24"/>
          <w:szCs w:val="24"/>
        </w:rPr>
        <w:t>.</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b/>
          <w:bCs/>
          <w:i/>
          <w:sz w:val="24"/>
          <w:szCs w:val="24"/>
        </w:rPr>
        <w:t>Внутренний водный (речной) транспорт</w:t>
      </w:r>
      <w:r w:rsidRPr="00A4450C">
        <w:rPr>
          <w:rFonts w:ascii="Times New Roman" w:hAnsi="Times New Roman"/>
          <w:sz w:val="24"/>
          <w:szCs w:val="24"/>
        </w:rPr>
        <w:t xml:space="preserve"> республики представлен </w:t>
      </w:r>
      <w:proofErr w:type="spellStart"/>
      <w:r w:rsidRPr="00A4450C">
        <w:rPr>
          <w:rFonts w:ascii="Times New Roman" w:hAnsi="Times New Roman"/>
          <w:sz w:val="24"/>
          <w:szCs w:val="24"/>
        </w:rPr>
        <w:t>Рыбницким</w:t>
      </w:r>
      <w:proofErr w:type="spellEnd"/>
      <w:r w:rsidRPr="00A4450C">
        <w:rPr>
          <w:rFonts w:ascii="Times New Roman" w:hAnsi="Times New Roman"/>
          <w:sz w:val="24"/>
          <w:szCs w:val="24"/>
        </w:rPr>
        <w:t xml:space="preserve"> и Бендерским речными портами.</w:t>
      </w:r>
      <w:r w:rsidRPr="00A4450C">
        <w:rPr>
          <w:rFonts w:ascii="Times New Roman" w:hAnsi="Times New Roman"/>
          <w:spacing w:val="1"/>
          <w:sz w:val="24"/>
          <w:szCs w:val="24"/>
        </w:rPr>
        <w:t xml:space="preserve"> </w:t>
      </w:r>
      <w:proofErr w:type="gramStart"/>
      <w:r w:rsidRPr="00A4450C">
        <w:rPr>
          <w:rFonts w:ascii="Times New Roman" w:hAnsi="Times New Roman"/>
          <w:sz w:val="24"/>
          <w:szCs w:val="24"/>
        </w:rPr>
        <w:t xml:space="preserve">Несмотря на рост объема реализации песчано-гравийной смеси в 2,4 раза, доходы от услуг плавучего крана сократились </w:t>
      </w:r>
      <w:r>
        <w:rPr>
          <w:rFonts w:ascii="Times New Roman" w:hAnsi="Times New Roman"/>
          <w:sz w:val="24"/>
          <w:szCs w:val="24"/>
        </w:rPr>
        <w:t xml:space="preserve">на 80,9% </w:t>
      </w:r>
      <w:r w:rsidRPr="00A4450C">
        <w:rPr>
          <w:rFonts w:ascii="Times New Roman" w:hAnsi="Times New Roman"/>
          <w:sz w:val="24"/>
          <w:szCs w:val="24"/>
        </w:rPr>
        <w:t xml:space="preserve">до 285 917,0 руб., ввиду выполнения государственного заказа по очистке Набережной р. Днестр в </w:t>
      </w:r>
      <w:r>
        <w:rPr>
          <w:rFonts w:ascii="Times New Roman" w:hAnsi="Times New Roman"/>
          <w:sz w:val="24"/>
          <w:szCs w:val="24"/>
        </w:rPr>
        <w:t xml:space="preserve">                       </w:t>
      </w:r>
      <w:r w:rsidRPr="00A4450C">
        <w:rPr>
          <w:rFonts w:ascii="Times New Roman" w:hAnsi="Times New Roman"/>
          <w:sz w:val="24"/>
          <w:szCs w:val="24"/>
        </w:rPr>
        <w:t>г. Рыбница в 2016 году, в 2017 году лишь завершили работу по данному заказу, что связано со сложной экономической ситуацией.</w:t>
      </w:r>
      <w:proofErr w:type="gramEnd"/>
      <w:r w:rsidRPr="00A4450C">
        <w:rPr>
          <w:rFonts w:ascii="Times New Roman" w:hAnsi="Times New Roman"/>
          <w:sz w:val="24"/>
          <w:szCs w:val="24"/>
        </w:rPr>
        <w:t xml:space="preserve"> Также в рассматриваемом периоде отмечено сокращение коммерческих расходов (-2,2%) с одновременным ростом административных расходов (+0,7%)</w:t>
      </w:r>
      <w:r w:rsidR="00F41E61">
        <w:rPr>
          <w:rFonts w:ascii="Times New Roman" w:hAnsi="Times New Roman"/>
          <w:sz w:val="24"/>
          <w:szCs w:val="24"/>
        </w:rPr>
        <w:t>.</w:t>
      </w:r>
      <w:r w:rsidRPr="00A4450C">
        <w:rPr>
          <w:rFonts w:ascii="Times New Roman" w:hAnsi="Times New Roman"/>
          <w:sz w:val="24"/>
          <w:szCs w:val="24"/>
        </w:rPr>
        <w:t xml:space="preserve"> Данные обстоятельства обусловили формирование на «ОАО Рыбницкий речной порт» по итогам 2017 года минимальной величины положительного финансового результата после уплаты налогов (+1,3 тыс. руб.).</w:t>
      </w:r>
    </w:p>
    <w:p w:rsidR="00552560" w:rsidRPr="00A4450C" w:rsidRDefault="00552560" w:rsidP="00552560">
      <w:pPr>
        <w:spacing w:after="0" w:line="240" w:lineRule="auto"/>
        <w:ind w:firstLine="709"/>
        <w:jc w:val="both"/>
        <w:rPr>
          <w:rFonts w:ascii="Times New Roman" w:hAnsi="Times New Roman"/>
          <w:spacing w:val="1"/>
          <w:sz w:val="24"/>
          <w:szCs w:val="24"/>
        </w:rPr>
      </w:pPr>
      <w:r w:rsidRPr="00A4450C">
        <w:rPr>
          <w:rFonts w:ascii="Times New Roman" w:hAnsi="Times New Roman"/>
          <w:sz w:val="24"/>
          <w:szCs w:val="24"/>
        </w:rPr>
        <w:t xml:space="preserve">На ОАО «Бендерский речной порт» </w:t>
      </w:r>
      <w:r>
        <w:rPr>
          <w:rFonts w:ascii="Times New Roman" w:hAnsi="Times New Roman"/>
          <w:sz w:val="24"/>
          <w:szCs w:val="24"/>
        </w:rPr>
        <w:t>в сложившихся социально-экономических условиях, на фоне</w:t>
      </w:r>
      <w:r w:rsidRPr="00836240">
        <w:rPr>
          <w:rFonts w:ascii="Times New Roman" w:hAnsi="Times New Roman"/>
          <w:sz w:val="24"/>
          <w:szCs w:val="24"/>
        </w:rPr>
        <w:t xml:space="preserve"> </w:t>
      </w:r>
      <w:r>
        <w:rPr>
          <w:rFonts w:ascii="Times New Roman" w:hAnsi="Times New Roman"/>
          <w:sz w:val="24"/>
          <w:szCs w:val="24"/>
        </w:rPr>
        <w:t>снижения</w:t>
      </w:r>
      <w:r w:rsidRPr="00A4450C">
        <w:rPr>
          <w:rFonts w:ascii="Times New Roman" w:hAnsi="Times New Roman"/>
          <w:sz w:val="24"/>
          <w:szCs w:val="24"/>
        </w:rPr>
        <w:t xml:space="preserve"> спроса на стройматериалы</w:t>
      </w:r>
      <w:r>
        <w:rPr>
          <w:rFonts w:ascii="Times New Roman" w:hAnsi="Times New Roman"/>
          <w:sz w:val="24"/>
          <w:szCs w:val="24"/>
        </w:rPr>
        <w:t xml:space="preserve">, а также ввиду отсутствия в </w:t>
      </w:r>
      <w:r w:rsidR="001B20A6">
        <w:rPr>
          <w:rFonts w:ascii="Times New Roman" w:hAnsi="Times New Roman"/>
          <w:sz w:val="24"/>
          <w:szCs w:val="24"/>
        </w:rPr>
        <w:t xml:space="preserve">                 </w:t>
      </w:r>
      <w:r>
        <w:rPr>
          <w:rFonts w:ascii="Times New Roman" w:hAnsi="Times New Roman"/>
          <w:sz w:val="24"/>
          <w:szCs w:val="24"/>
        </w:rPr>
        <w:t xml:space="preserve">2017 году работ на </w:t>
      </w:r>
      <w:proofErr w:type="spellStart"/>
      <w:r>
        <w:rPr>
          <w:rFonts w:ascii="Times New Roman" w:hAnsi="Times New Roman"/>
          <w:sz w:val="24"/>
          <w:szCs w:val="24"/>
        </w:rPr>
        <w:t>Дубоссарской</w:t>
      </w:r>
      <w:proofErr w:type="spellEnd"/>
      <w:r>
        <w:rPr>
          <w:rFonts w:ascii="Times New Roman" w:hAnsi="Times New Roman"/>
          <w:sz w:val="24"/>
          <w:szCs w:val="24"/>
        </w:rPr>
        <w:t xml:space="preserve"> ГЭС и буксировки судов отмечается сокращение практически по всем видам доходов</w:t>
      </w:r>
      <w:r w:rsidRPr="00836240">
        <w:rPr>
          <w:rFonts w:ascii="Times New Roman" w:hAnsi="Times New Roman"/>
          <w:sz w:val="24"/>
          <w:szCs w:val="24"/>
        </w:rPr>
        <w:t>. Т</w:t>
      </w:r>
      <w:r>
        <w:rPr>
          <w:rFonts w:ascii="Times New Roman" w:hAnsi="Times New Roman"/>
          <w:sz w:val="24"/>
          <w:szCs w:val="24"/>
        </w:rPr>
        <w:t xml:space="preserve">ак, </w:t>
      </w:r>
      <w:r w:rsidRPr="00A4450C">
        <w:rPr>
          <w:rFonts w:ascii="Times New Roman" w:hAnsi="Times New Roman"/>
          <w:sz w:val="24"/>
          <w:szCs w:val="24"/>
        </w:rPr>
        <w:t>доход</w:t>
      </w:r>
      <w:r>
        <w:rPr>
          <w:rFonts w:ascii="Times New Roman" w:hAnsi="Times New Roman"/>
          <w:sz w:val="24"/>
          <w:szCs w:val="24"/>
        </w:rPr>
        <w:t>ы</w:t>
      </w:r>
      <w:r w:rsidRPr="00A4450C">
        <w:rPr>
          <w:rFonts w:ascii="Times New Roman" w:hAnsi="Times New Roman"/>
          <w:sz w:val="24"/>
          <w:szCs w:val="24"/>
        </w:rPr>
        <w:t xml:space="preserve"> от реализации песчано-гравийной смеси </w:t>
      </w:r>
      <w:r>
        <w:rPr>
          <w:rFonts w:ascii="Times New Roman" w:hAnsi="Times New Roman"/>
          <w:sz w:val="24"/>
          <w:szCs w:val="24"/>
        </w:rPr>
        <w:t xml:space="preserve">сократились на </w:t>
      </w:r>
      <w:r w:rsidRPr="00A4450C">
        <w:rPr>
          <w:rFonts w:ascii="Times New Roman" w:hAnsi="Times New Roman"/>
          <w:sz w:val="24"/>
          <w:szCs w:val="24"/>
        </w:rPr>
        <w:t xml:space="preserve">21,7%, </w:t>
      </w:r>
      <w:r>
        <w:rPr>
          <w:rFonts w:ascii="Times New Roman" w:hAnsi="Times New Roman"/>
          <w:sz w:val="24"/>
          <w:szCs w:val="24"/>
        </w:rPr>
        <w:t>доходы от пассажирских перевозок снизились на 89,2%</w:t>
      </w:r>
      <w:r w:rsidRPr="00A4450C">
        <w:rPr>
          <w:rFonts w:ascii="Times New Roman" w:hAnsi="Times New Roman"/>
          <w:sz w:val="24"/>
          <w:szCs w:val="24"/>
        </w:rPr>
        <w:t>,</w:t>
      </w:r>
      <w:r>
        <w:rPr>
          <w:rFonts w:ascii="Times New Roman" w:hAnsi="Times New Roman"/>
          <w:sz w:val="24"/>
          <w:szCs w:val="24"/>
        </w:rPr>
        <w:t xml:space="preserve"> а доходы от расчистки водозаборов насосных станций сложились на 66,1% ниже уровня 2016 года</w:t>
      </w:r>
      <w:r w:rsidRPr="00A4450C">
        <w:rPr>
          <w:rFonts w:ascii="Times New Roman" w:hAnsi="Times New Roman"/>
          <w:sz w:val="24"/>
          <w:szCs w:val="24"/>
        </w:rPr>
        <w:t>. Снижение объема доходов по итогам 2017 года по основным видам деятельности предприятия обусловило отрицательное значение финансового результата до налогообложения в размере 1 307,9 тыс. руб.</w:t>
      </w:r>
      <w:r>
        <w:rPr>
          <w:rFonts w:ascii="Times New Roman" w:hAnsi="Times New Roman"/>
          <w:sz w:val="24"/>
          <w:szCs w:val="24"/>
        </w:rPr>
        <w:t>, по итогам 2016 года убыток до налогообложения составил 692,7 тыс. руб.</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t>Наиболее значимыми негативными факторами, оказывающими влияние на результаты работы предприятий речного транспорта, являются:</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t>- пробелы в нормативно-правовой базе, регламентирующей деятельность в области внутреннего водного транспорта;</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t xml:space="preserve">- </w:t>
      </w:r>
      <w:proofErr w:type="spellStart"/>
      <w:r w:rsidRPr="00A4450C">
        <w:rPr>
          <w:rFonts w:ascii="Times New Roman" w:hAnsi="Times New Roman"/>
          <w:sz w:val="24"/>
          <w:szCs w:val="24"/>
        </w:rPr>
        <w:t>неурегулированность</w:t>
      </w:r>
      <w:proofErr w:type="spellEnd"/>
      <w:r w:rsidRPr="00A4450C">
        <w:rPr>
          <w:rFonts w:ascii="Times New Roman" w:hAnsi="Times New Roman"/>
          <w:sz w:val="24"/>
          <w:szCs w:val="24"/>
        </w:rPr>
        <w:t xml:space="preserve"> межгосударственных отношений в сфере грузовых перевозок водным транспортом, а также таможенного оформления грузов, что непосредственно отражается на финансовом состоянии хозяйствующих субъектов;</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t>- снижение пассажиропотока и падение спроса на прогулочные катания по реке;</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t>- отсутствие государственной программы по очистке русла р. Днестр по судовому ходу;</w:t>
      </w:r>
    </w:p>
    <w:p w:rsidR="00552560" w:rsidRPr="00B53C26"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t>- состояние парка плавучих средств;</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z w:val="24"/>
          <w:szCs w:val="24"/>
        </w:rPr>
        <w:t>- навигационная обстановка водных путей находится в критической ситуации, а именно, в настоящее время протяженность эксплуатируемых водных путей на р. Днестр сократилась до 170 км.</w:t>
      </w:r>
    </w:p>
    <w:p w:rsidR="00552560" w:rsidRPr="00A4450C" w:rsidRDefault="00552560" w:rsidP="00552560">
      <w:pPr>
        <w:spacing w:after="0" w:line="240" w:lineRule="auto"/>
        <w:ind w:firstLine="709"/>
        <w:jc w:val="both"/>
        <w:rPr>
          <w:rFonts w:ascii="Times New Roman" w:hAnsi="Times New Roman"/>
          <w:sz w:val="24"/>
          <w:szCs w:val="24"/>
        </w:rPr>
      </w:pPr>
      <w:r w:rsidRPr="00A4450C">
        <w:rPr>
          <w:rFonts w:ascii="Times New Roman" w:hAnsi="Times New Roman"/>
          <w:spacing w:val="6"/>
          <w:sz w:val="24"/>
          <w:szCs w:val="24"/>
        </w:rPr>
        <w:t xml:space="preserve">Принимая во внимание сложившуюся в транспортной сфере республики ситуацию, </w:t>
      </w:r>
      <w:r w:rsidRPr="00A4450C">
        <w:rPr>
          <w:rFonts w:ascii="Times New Roman" w:hAnsi="Times New Roman"/>
          <w:b/>
          <w:i/>
          <w:spacing w:val="6"/>
          <w:sz w:val="24"/>
          <w:szCs w:val="24"/>
        </w:rPr>
        <w:t>государственная политика в области координации и развития транспорта</w:t>
      </w:r>
      <w:r w:rsidRPr="00A4450C">
        <w:rPr>
          <w:rFonts w:ascii="Times New Roman" w:hAnsi="Times New Roman"/>
          <w:spacing w:val="6"/>
          <w:sz w:val="24"/>
          <w:szCs w:val="24"/>
        </w:rPr>
        <w:t xml:space="preserve"> </w:t>
      </w:r>
      <w:r w:rsidRPr="00A4450C">
        <w:rPr>
          <w:rFonts w:ascii="Times New Roman" w:hAnsi="Times New Roman"/>
          <w:sz w:val="24"/>
          <w:szCs w:val="24"/>
        </w:rPr>
        <w:t>была</w:t>
      </w:r>
      <w:r w:rsidRPr="00A4450C">
        <w:rPr>
          <w:rFonts w:ascii="Times New Roman" w:hAnsi="Times New Roman"/>
          <w:spacing w:val="6"/>
          <w:sz w:val="24"/>
          <w:szCs w:val="24"/>
        </w:rPr>
        <w:t xml:space="preserve"> направлена на </w:t>
      </w:r>
      <w:r w:rsidRPr="00A4450C">
        <w:rPr>
          <w:rFonts w:ascii="Times New Roman" w:hAnsi="Times New Roman"/>
          <w:sz w:val="24"/>
          <w:szCs w:val="24"/>
        </w:rPr>
        <w:t xml:space="preserve">улучшение качества обслуживания пассажиров, поддержание парка машин и оборудования в надлежащем состоянии, а также на </w:t>
      </w:r>
      <w:r w:rsidRPr="00A4450C">
        <w:rPr>
          <w:rFonts w:ascii="Times New Roman" w:hAnsi="Times New Roman"/>
          <w:sz w:val="24"/>
          <w:szCs w:val="24"/>
        </w:rPr>
        <w:lastRenderedPageBreak/>
        <w:t>рациональное использование средств республиканского бюджета при финансировании льготных категорий граждан</w:t>
      </w:r>
      <w:r w:rsidRPr="00A4450C">
        <w:rPr>
          <w:rFonts w:ascii="Times New Roman" w:hAnsi="Times New Roman"/>
          <w:spacing w:val="6"/>
          <w:sz w:val="24"/>
          <w:szCs w:val="24"/>
        </w:rPr>
        <w:t xml:space="preserve">. По итогам 2017 года число льготных пассажиров выросло на 27,9%, а общая сумма предоставленных льгот составила 3 657,5 тыс. руб. в стоимостном выражении. </w:t>
      </w:r>
      <w:r w:rsidRPr="00A4450C">
        <w:rPr>
          <w:rFonts w:ascii="Times New Roman" w:hAnsi="Times New Roman"/>
          <w:sz w:val="24"/>
          <w:szCs w:val="24"/>
        </w:rPr>
        <w:t xml:space="preserve">В целях проведения контроля корректности предоставления транспортными организациями сумм потерь от перевозки льготных категорий граждан, представляемых к возмещению из Республиканского бюджета, </w:t>
      </w:r>
      <w:r>
        <w:rPr>
          <w:rFonts w:ascii="Times New Roman" w:hAnsi="Times New Roman"/>
          <w:sz w:val="24"/>
          <w:szCs w:val="24"/>
        </w:rPr>
        <w:t>профильным ведомством</w:t>
      </w:r>
      <w:r w:rsidRPr="00A4450C">
        <w:rPr>
          <w:rFonts w:ascii="Times New Roman" w:hAnsi="Times New Roman"/>
          <w:sz w:val="24"/>
          <w:szCs w:val="24"/>
        </w:rPr>
        <w:t xml:space="preserve"> проводится аналитический учет информации об объемах оказанных услуг организациями-перевозчиками.</w:t>
      </w:r>
    </w:p>
    <w:p w:rsidR="00552560" w:rsidRPr="00F05C39" w:rsidRDefault="00552560" w:rsidP="00552560">
      <w:pPr>
        <w:spacing w:after="0" w:line="240" w:lineRule="auto"/>
        <w:ind w:firstLine="709"/>
        <w:jc w:val="both"/>
        <w:rPr>
          <w:rFonts w:ascii="Times New Roman" w:hAnsi="Times New Roman"/>
          <w:color w:val="000000" w:themeColor="text1"/>
          <w:sz w:val="24"/>
          <w:szCs w:val="24"/>
        </w:rPr>
      </w:pPr>
      <w:proofErr w:type="gramStart"/>
      <w:r w:rsidRPr="00F05C39">
        <w:rPr>
          <w:rFonts w:ascii="Times New Roman" w:hAnsi="Times New Roman"/>
          <w:color w:val="000000" w:themeColor="text1"/>
          <w:sz w:val="24"/>
          <w:szCs w:val="24"/>
        </w:rPr>
        <w:t xml:space="preserve">Таким образом, ряд сложностей, связанных с взаимным признанием документов при осуществлении перевозок пассажиров, багажа и прочих грузов, </w:t>
      </w:r>
      <w:r w:rsidRPr="00F05C39">
        <w:rPr>
          <w:rFonts w:ascii="Times New Roman" w:hAnsi="Times New Roman"/>
          <w:bCs/>
          <w:color w:val="000000" w:themeColor="text1"/>
          <w:sz w:val="24"/>
          <w:szCs w:val="24"/>
          <w:shd w:val="clear" w:color="auto" w:fill="FFFFFF"/>
        </w:rPr>
        <w:t xml:space="preserve">особенности построения транспортной логистики, ввиду </w:t>
      </w:r>
      <w:proofErr w:type="spellStart"/>
      <w:r w:rsidRPr="00F05C39">
        <w:rPr>
          <w:rFonts w:ascii="Times New Roman" w:hAnsi="Times New Roman"/>
          <w:bCs/>
          <w:color w:val="000000" w:themeColor="text1"/>
          <w:sz w:val="24"/>
          <w:szCs w:val="24"/>
          <w:shd w:val="clear" w:color="auto" w:fill="FFFFFF"/>
        </w:rPr>
        <w:t>непризнанности</w:t>
      </w:r>
      <w:proofErr w:type="spellEnd"/>
      <w:r w:rsidRPr="00F05C39">
        <w:rPr>
          <w:rFonts w:ascii="Times New Roman" w:hAnsi="Times New Roman"/>
          <w:color w:val="000000" w:themeColor="text1"/>
          <w:sz w:val="24"/>
          <w:szCs w:val="24"/>
        </w:rPr>
        <w:t xml:space="preserve">, </w:t>
      </w:r>
      <w:r w:rsidRPr="00F05C39">
        <w:rPr>
          <w:rStyle w:val="syntaxerr"/>
          <w:rFonts w:ascii="Times New Roman" w:hAnsi="Times New Roman"/>
          <w:bCs/>
          <w:color w:val="000000" w:themeColor="text1"/>
          <w:sz w:val="24"/>
          <w:szCs w:val="24"/>
          <w:shd w:val="clear" w:color="auto" w:fill="FFFFFF"/>
        </w:rPr>
        <w:t>недогруз</w:t>
      </w:r>
      <w:r w:rsidRPr="00F05C39">
        <w:rPr>
          <w:rStyle w:val="apple-converted-space"/>
          <w:rFonts w:ascii="Times New Roman" w:hAnsi="Times New Roman"/>
          <w:bCs/>
          <w:color w:val="000000" w:themeColor="text1"/>
          <w:sz w:val="24"/>
          <w:szCs w:val="24"/>
          <w:shd w:val="clear" w:color="auto" w:fill="FFFFFF"/>
        </w:rPr>
        <w:t xml:space="preserve"> </w:t>
      </w:r>
      <w:r w:rsidRPr="00F05C39">
        <w:rPr>
          <w:rFonts w:ascii="Times New Roman" w:hAnsi="Times New Roman"/>
          <w:bCs/>
          <w:color w:val="000000" w:themeColor="text1"/>
          <w:sz w:val="24"/>
          <w:szCs w:val="24"/>
          <w:shd w:val="clear" w:color="auto" w:fill="FFFFFF"/>
        </w:rPr>
        <w:t xml:space="preserve">подвижного состава, а также предпринимаемые на государственном уровне меры по улучшению функционирования сферы транспорта и включения отечественных перевозчиков в международный транспортный коридор </w:t>
      </w:r>
      <w:r w:rsidRPr="00F05C39">
        <w:rPr>
          <w:rFonts w:ascii="Times New Roman" w:hAnsi="Times New Roman"/>
          <w:color w:val="000000" w:themeColor="text1"/>
          <w:sz w:val="24"/>
          <w:szCs w:val="24"/>
        </w:rPr>
        <w:t>оказали определяющее влияние на развитие транспортной отрасли в 2017 году.</w:t>
      </w:r>
      <w:proofErr w:type="gramEnd"/>
    </w:p>
    <w:p w:rsidR="00146BB8" w:rsidRPr="0080737A" w:rsidRDefault="00146BB8" w:rsidP="00146BB8">
      <w:pPr>
        <w:shd w:val="clear" w:color="auto" w:fill="FFFFFF"/>
        <w:spacing w:after="0" w:line="240" w:lineRule="auto"/>
        <w:ind w:firstLine="709"/>
        <w:jc w:val="both"/>
        <w:rPr>
          <w:rFonts w:ascii="Times New Roman" w:hAnsi="Times New Roman"/>
          <w:sz w:val="24"/>
          <w:szCs w:val="24"/>
        </w:rPr>
      </w:pPr>
    </w:p>
    <w:p w:rsidR="00146BB8" w:rsidRDefault="00146BB8" w:rsidP="00146BB8">
      <w:pPr>
        <w:widowControl w:val="0"/>
        <w:autoSpaceDE w:val="0"/>
        <w:autoSpaceDN w:val="0"/>
        <w:adjustRightInd w:val="0"/>
        <w:spacing w:after="0" w:line="240" w:lineRule="auto"/>
        <w:ind w:firstLine="709"/>
        <w:jc w:val="both"/>
        <w:rPr>
          <w:rFonts w:ascii="Times New Roman" w:hAnsi="Times New Roman"/>
          <w:b/>
          <w:sz w:val="24"/>
          <w:szCs w:val="24"/>
        </w:rPr>
      </w:pPr>
      <w:r w:rsidRPr="00396711">
        <w:rPr>
          <w:rFonts w:ascii="Times New Roman" w:hAnsi="Times New Roman"/>
          <w:b/>
          <w:sz w:val="24"/>
          <w:szCs w:val="24"/>
        </w:rPr>
        <w:t>Связь</w:t>
      </w:r>
    </w:p>
    <w:p w:rsidR="00146BB8" w:rsidRDefault="00146BB8" w:rsidP="00146BB8">
      <w:pPr>
        <w:pStyle w:val="ae"/>
        <w:ind w:firstLine="709"/>
        <w:jc w:val="left"/>
        <w:rPr>
          <w:b/>
          <w:sz w:val="24"/>
          <w:szCs w:val="24"/>
        </w:rPr>
      </w:pPr>
    </w:p>
    <w:p w:rsidR="00C07388" w:rsidRPr="00965466" w:rsidRDefault="00C07388" w:rsidP="00C07388">
      <w:pPr>
        <w:spacing w:after="0" w:line="240" w:lineRule="auto"/>
        <w:ind w:firstLine="709"/>
        <w:jc w:val="both"/>
        <w:rPr>
          <w:rFonts w:ascii="Times New Roman" w:hAnsi="Times New Roman"/>
          <w:sz w:val="24"/>
          <w:szCs w:val="24"/>
        </w:rPr>
      </w:pPr>
      <w:r w:rsidRPr="00B5791E">
        <w:rPr>
          <w:rFonts w:ascii="Times New Roman" w:hAnsi="Times New Roman"/>
          <w:sz w:val="24"/>
          <w:szCs w:val="24"/>
        </w:rPr>
        <w:t xml:space="preserve">Связь является одной из наиболее конструктивно развивающихся отраслей экономики Приднестровья. </w:t>
      </w:r>
      <w:r w:rsidRPr="00B5791E">
        <w:rPr>
          <w:rFonts w:ascii="Times New Roman" w:hAnsi="Times New Roman"/>
          <w:bCs/>
          <w:sz w:val="24"/>
          <w:szCs w:val="24"/>
        </w:rPr>
        <w:t xml:space="preserve">Повышение качества предоставляемых услуг, поиск и внедрение новых форм обслуживания населения </w:t>
      </w:r>
      <w:r>
        <w:rPr>
          <w:rFonts w:ascii="Times New Roman" w:hAnsi="Times New Roman"/>
          <w:bCs/>
          <w:sz w:val="24"/>
          <w:szCs w:val="24"/>
        </w:rPr>
        <w:t>обусловили</w:t>
      </w:r>
      <w:r w:rsidRPr="00B5791E">
        <w:rPr>
          <w:rFonts w:ascii="Times New Roman" w:hAnsi="Times New Roman"/>
          <w:bCs/>
          <w:sz w:val="24"/>
          <w:szCs w:val="24"/>
        </w:rPr>
        <w:t xml:space="preserve"> </w:t>
      </w:r>
      <w:r w:rsidRPr="00B5791E">
        <w:rPr>
          <w:rFonts w:ascii="Times New Roman" w:hAnsi="Times New Roman"/>
          <w:sz w:val="24"/>
          <w:szCs w:val="24"/>
        </w:rPr>
        <w:t>в 201</w:t>
      </w:r>
      <w:r>
        <w:rPr>
          <w:rFonts w:ascii="Times New Roman" w:hAnsi="Times New Roman"/>
          <w:sz w:val="24"/>
          <w:szCs w:val="24"/>
        </w:rPr>
        <w:t>7</w:t>
      </w:r>
      <w:r w:rsidRPr="00B5791E">
        <w:rPr>
          <w:rFonts w:ascii="Times New Roman" w:hAnsi="Times New Roman"/>
          <w:sz w:val="24"/>
          <w:szCs w:val="24"/>
        </w:rPr>
        <w:t xml:space="preserve"> году </w:t>
      </w:r>
      <w:r>
        <w:rPr>
          <w:rFonts w:ascii="Times New Roman" w:hAnsi="Times New Roman"/>
          <w:sz w:val="24"/>
          <w:szCs w:val="24"/>
        </w:rPr>
        <w:t>прирост</w:t>
      </w:r>
      <w:r w:rsidRPr="00884BDA">
        <w:rPr>
          <w:rFonts w:ascii="Times New Roman" w:hAnsi="Times New Roman"/>
          <w:sz w:val="24"/>
          <w:szCs w:val="24"/>
        </w:rPr>
        <w:t xml:space="preserve"> суммарного дохода от предоставления услуг связи.</w:t>
      </w:r>
      <w:r>
        <w:rPr>
          <w:rFonts w:ascii="Times New Roman" w:hAnsi="Times New Roman"/>
          <w:sz w:val="24"/>
          <w:szCs w:val="24"/>
        </w:rPr>
        <w:t xml:space="preserve"> </w:t>
      </w:r>
      <w:r w:rsidRPr="00965466">
        <w:rPr>
          <w:rFonts w:ascii="Times New Roman" w:hAnsi="Times New Roman"/>
          <w:sz w:val="24"/>
          <w:szCs w:val="24"/>
        </w:rPr>
        <w:t>Так, по данным Государственной службы связи ПМР</w:t>
      </w:r>
      <w:r>
        <w:rPr>
          <w:rFonts w:ascii="Times New Roman" w:hAnsi="Times New Roman"/>
          <w:sz w:val="24"/>
          <w:szCs w:val="24"/>
        </w:rPr>
        <w:t xml:space="preserve"> </w:t>
      </w:r>
      <w:r w:rsidRPr="00965466">
        <w:rPr>
          <w:rFonts w:ascii="Times New Roman" w:hAnsi="Times New Roman"/>
          <w:sz w:val="24"/>
          <w:szCs w:val="24"/>
        </w:rPr>
        <w:t>совокупный доход от основной деятельности организаций, предо</w:t>
      </w:r>
      <w:r w:rsidR="00E0387E">
        <w:rPr>
          <w:rFonts w:ascii="Times New Roman" w:hAnsi="Times New Roman"/>
          <w:sz w:val="24"/>
          <w:szCs w:val="24"/>
        </w:rPr>
        <w:t>ставляющих услуги связи, сложил</w:t>
      </w:r>
      <w:r w:rsidRPr="00965466">
        <w:rPr>
          <w:rFonts w:ascii="Times New Roman" w:hAnsi="Times New Roman"/>
          <w:sz w:val="24"/>
          <w:szCs w:val="24"/>
        </w:rPr>
        <w:t>с</w:t>
      </w:r>
      <w:r w:rsidR="00E0387E">
        <w:rPr>
          <w:rFonts w:ascii="Times New Roman" w:hAnsi="Times New Roman"/>
          <w:sz w:val="24"/>
          <w:szCs w:val="24"/>
        </w:rPr>
        <w:t>я</w:t>
      </w:r>
      <w:r w:rsidRPr="00965466">
        <w:rPr>
          <w:rFonts w:ascii="Times New Roman" w:hAnsi="Times New Roman"/>
          <w:sz w:val="24"/>
          <w:szCs w:val="24"/>
        </w:rPr>
        <w:t xml:space="preserve"> в размере 725,</w:t>
      </w:r>
      <w:r>
        <w:rPr>
          <w:rFonts w:ascii="Times New Roman" w:hAnsi="Times New Roman"/>
          <w:sz w:val="24"/>
          <w:szCs w:val="24"/>
        </w:rPr>
        <w:t>2</w:t>
      </w:r>
      <w:r w:rsidRPr="00965466">
        <w:rPr>
          <w:rFonts w:ascii="Times New Roman" w:hAnsi="Times New Roman"/>
          <w:sz w:val="24"/>
          <w:szCs w:val="24"/>
        </w:rPr>
        <w:t xml:space="preserve"> млн руб., что на </w:t>
      </w:r>
      <w:r>
        <w:rPr>
          <w:rFonts w:ascii="Times New Roman" w:hAnsi="Times New Roman"/>
          <w:sz w:val="24"/>
          <w:szCs w:val="24"/>
        </w:rPr>
        <w:t>0,9</w:t>
      </w:r>
      <w:r w:rsidRPr="00965466">
        <w:rPr>
          <w:rFonts w:ascii="Times New Roman" w:hAnsi="Times New Roman"/>
          <w:sz w:val="24"/>
          <w:szCs w:val="24"/>
        </w:rPr>
        <w:t xml:space="preserve">% превышает базовый </w:t>
      </w:r>
      <w:r>
        <w:rPr>
          <w:rFonts w:ascii="Times New Roman" w:hAnsi="Times New Roman"/>
          <w:sz w:val="24"/>
          <w:szCs w:val="24"/>
        </w:rPr>
        <w:t>показатель</w:t>
      </w:r>
      <w:r w:rsidRPr="00965466">
        <w:rPr>
          <w:rFonts w:ascii="Times New Roman" w:hAnsi="Times New Roman"/>
          <w:sz w:val="24"/>
          <w:szCs w:val="24"/>
        </w:rPr>
        <w:t xml:space="preserve"> 2016 года. Основная часть полученных доходов приходится на услуги электросвязи (телекоммуникации) - 99,0% или 718,</w:t>
      </w:r>
      <w:r>
        <w:rPr>
          <w:rFonts w:ascii="Times New Roman" w:hAnsi="Times New Roman"/>
          <w:sz w:val="24"/>
          <w:szCs w:val="24"/>
        </w:rPr>
        <w:t>3</w:t>
      </w:r>
      <w:r w:rsidRPr="00965466">
        <w:rPr>
          <w:rFonts w:ascii="Times New Roman" w:hAnsi="Times New Roman"/>
          <w:sz w:val="24"/>
          <w:szCs w:val="24"/>
        </w:rPr>
        <w:t xml:space="preserve"> млн руб., </w:t>
      </w:r>
      <w:r w:rsidR="00921D17">
        <w:rPr>
          <w:rFonts w:ascii="Times New Roman" w:hAnsi="Times New Roman"/>
          <w:sz w:val="24"/>
          <w:szCs w:val="24"/>
        </w:rPr>
        <w:t xml:space="preserve">на </w:t>
      </w:r>
      <w:r w:rsidRPr="00965466">
        <w:rPr>
          <w:rFonts w:ascii="Times New Roman" w:hAnsi="Times New Roman"/>
          <w:sz w:val="24"/>
          <w:szCs w:val="24"/>
        </w:rPr>
        <w:t>доходы от услуг предоставления почтовой связи соответственно всего 1,0% или 6,9 млн руб.</w:t>
      </w:r>
      <w:r w:rsidRPr="00965466">
        <w:rPr>
          <w:noProof/>
          <w:sz w:val="24"/>
          <w:szCs w:val="24"/>
        </w:rPr>
        <w:t xml:space="preserve"> </w:t>
      </w:r>
    </w:p>
    <w:p w:rsidR="00C07388" w:rsidRDefault="00C07388" w:rsidP="00C07388">
      <w:pPr>
        <w:spacing w:after="0" w:line="240" w:lineRule="auto"/>
        <w:ind w:firstLine="709"/>
        <w:jc w:val="both"/>
        <w:rPr>
          <w:rFonts w:ascii="Times New Roman" w:hAnsi="Times New Roman"/>
          <w:sz w:val="24"/>
          <w:szCs w:val="24"/>
        </w:rPr>
      </w:pPr>
      <w:proofErr w:type="gramStart"/>
      <w:r w:rsidRPr="00965466">
        <w:rPr>
          <w:rFonts w:ascii="Times New Roman" w:hAnsi="Times New Roman"/>
          <w:sz w:val="24"/>
          <w:szCs w:val="24"/>
        </w:rPr>
        <w:t>Несмотря на увеличение доходов от предоставления услуг по передаче данных и доступа к глобальной сети Интернет (+16,5%), телевизионного вещания (+7,0%) и радиовещания (+30,</w:t>
      </w:r>
      <w:r>
        <w:rPr>
          <w:rFonts w:ascii="Times New Roman" w:hAnsi="Times New Roman"/>
          <w:sz w:val="24"/>
          <w:szCs w:val="24"/>
        </w:rPr>
        <w:t>6</w:t>
      </w:r>
      <w:r w:rsidRPr="00965466">
        <w:rPr>
          <w:rFonts w:ascii="Times New Roman" w:hAnsi="Times New Roman"/>
          <w:sz w:val="24"/>
          <w:szCs w:val="24"/>
        </w:rPr>
        <w:t>%), минимальные темпы прироста совокупной величины доходов от предоставления услуг электросвязи в 2017 году</w:t>
      </w:r>
      <w:r>
        <w:rPr>
          <w:rFonts w:ascii="Times New Roman" w:hAnsi="Times New Roman"/>
          <w:sz w:val="24"/>
          <w:szCs w:val="24"/>
        </w:rPr>
        <w:t xml:space="preserve"> </w:t>
      </w:r>
      <w:r w:rsidRPr="00C07388">
        <w:rPr>
          <w:rFonts w:ascii="Times New Roman" w:hAnsi="Times New Roman"/>
          <w:sz w:val="24"/>
          <w:szCs w:val="24"/>
        </w:rPr>
        <w:t>(рис. 14),</w:t>
      </w:r>
      <w:r w:rsidRPr="00965466">
        <w:rPr>
          <w:rFonts w:ascii="Times New Roman" w:hAnsi="Times New Roman"/>
          <w:sz w:val="24"/>
          <w:szCs w:val="24"/>
        </w:rPr>
        <w:t xml:space="preserve"> объясняются снижением суммы доходов по двум основным структурным составляющим телекоммуникаций: фиксированной связи (-7,1%) и мобильной связи (-9,9%). </w:t>
      </w:r>
      <w:proofErr w:type="gramEnd"/>
    </w:p>
    <w:p w:rsidR="00C07388" w:rsidRDefault="00C07388" w:rsidP="00C07388">
      <w:pPr>
        <w:spacing w:after="0" w:line="240" w:lineRule="auto"/>
        <w:ind w:firstLine="709"/>
        <w:jc w:val="right"/>
        <w:rPr>
          <w:rFonts w:ascii="Times New Roman" w:hAnsi="Times New Roman"/>
          <w:b/>
          <w:i/>
          <w:sz w:val="24"/>
          <w:szCs w:val="24"/>
        </w:rPr>
      </w:pPr>
      <w:r>
        <w:rPr>
          <w:rFonts w:ascii="Times New Roman" w:hAnsi="Times New Roman"/>
          <w:b/>
          <w:i/>
          <w:sz w:val="24"/>
          <w:szCs w:val="24"/>
        </w:rPr>
        <w:t>Рисунок 14</w:t>
      </w:r>
    </w:p>
    <w:p w:rsidR="00C07388" w:rsidRPr="00C07388" w:rsidRDefault="00C07388" w:rsidP="00C07388">
      <w:pPr>
        <w:spacing w:after="0" w:line="240" w:lineRule="auto"/>
        <w:ind w:firstLine="709"/>
        <w:jc w:val="right"/>
        <w:rPr>
          <w:rFonts w:ascii="Times New Roman" w:hAnsi="Times New Roman"/>
          <w:b/>
          <w:i/>
          <w:sz w:val="10"/>
          <w:szCs w:val="10"/>
        </w:rPr>
      </w:pPr>
    </w:p>
    <w:p w:rsidR="00C07388" w:rsidRPr="00C07388" w:rsidRDefault="00C07388" w:rsidP="00C07388">
      <w:pPr>
        <w:spacing w:after="0" w:line="240" w:lineRule="auto"/>
        <w:ind w:right="-1"/>
        <w:jc w:val="both"/>
        <w:rPr>
          <w:rFonts w:ascii="Times New Roman" w:hAnsi="Times New Roman"/>
          <w:sz w:val="10"/>
          <w:szCs w:val="10"/>
        </w:rPr>
      </w:pPr>
      <w:r w:rsidRPr="00FB1E29">
        <w:rPr>
          <w:rFonts w:ascii="Times New Roman" w:hAnsi="Times New Roman"/>
          <w:noProof/>
          <w:sz w:val="24"/>
          <w:szCs w:val="24"/>
        </w:rPr>
        <w:drawing>
          <wp:inline distT="0" distB="0" distL="0" distR="0">
            <wp:extent cx="6134100" cy="3467100"/>
            <wp:effectExtent l="0" t="0" r="0" b="0"/>
            <wp:docPr id="4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7388" w:rsidRPr="00965466" w:rsidRDefault="00C07388" w:rsidP="00C07388">
      <w:pPr>
        <w:spacing w:after="0" w:line="240" w:lineRule="auto"/>
        <w:ind w:right="-1" w:firstLine="709"/>
        <w:jc w:val="both"/>
        <w:rPr>
          <w:rFonts w:ascii="Times New Roman" w:hAnsi="Times New Roman"/>
          <w:bCs/>
          <w:sz w:val="24"/>
          <w:szCs w:val="24"/>
        </w:rPr>
      </w:pPr>
      <w:r w:rsidRPr="00965466">
        <w:rPr>
          <w:rFonts w:ascii="Times New Roman" w:hAnsi="Times New Roman"/>
          <w:sz w:val="24"/>
          <w:szCs w:val="24"/>
        </w:rPr>
        <w:lastRenderedPageBreak/>
        <w:t>Смещение потребительского спрос</w:t>
      </w:r>
      <w:r w:rsidR="003B52DF">
        <w:rPr>
          <w:rFonts w:ascii="Times New Roman" w:hAnsi="Times New Roman"/>
          <w:sz w:val="24"/>
          <w:szCs w:val="24"/>
        </w:rPr>
        <w:t>а</w:t>
      </w:r>
      <w:r w:rsidRPr="00965466">
        <w:rPr>
          <w:rFonts w:ascii="Times New Roman" w:hAnsi="Times New Roman"/>
          <w:sz w:val="24"/>
          <w:szCs w:val="24"/>
        </w:rPr>
        <w:t xml:space="preserve"> в сторону наиболее доступных и высокотехнологичных услуг на базе IP технологий, стало причиной сокращения в 2017 году количества зарегистрированных абонентов </w:t>
      </w:r>
      <w:r w:rsidRPr="00965466">
        <w:rPr>
          <w:rFonts w:ascii="Times New Roman" w:hAnsi="Times New Roman"/>
          <w:sz w:val="24"/>
          <w:szCs w:val="24"/>
          <w:u w:val="single"/>
        </w:rPr>
        <w:t>фиксированной электросвязи</w:t>
      </w:r>
      <w:r w:rsidRPr="00965466">
        <w:rPr>
          <w:rFonts w:ascii="Times New Roman" w:hAnsi="Times New Roman"/>
          <w:sz w:val="24"/>
          <w:szCs w:val="24"/>
        </w:rPr>
        <w:t xml:space="preserve">. Так в рассматриваемом периоде общее число абонентов фиксированной телефонной связи  сократилось к сопоставимому уровню 2016 года на </w:t>
      </w:r>
      <w:r w:rsidRPr="00965466">
        <w:rPr>
          <w:rFonts w:ascii="Times New Roman" w:hAnsi="Times New Roman"/>
          <w:bCs/>
          <w:sz w:val="24"/>
          <w:szCs w:val="24"/>
        </w:rPr>
        <w:t xml:space="preserve">1,9% до 184 903 абонентов, из которых 169 898 – </w:t>
      </w:r>
      <w:r w:rsidRPr="00965466">
        <w:rPr>
          <w:rFonts w:ascii="Times New Roman" w:hAnsi="Times New Roman"/>
          <w:sz w:val="24"/>
          <w:szCs w:val="24"/>
        </w:rPr>
        <w:t>физические лица,</w:t>
      </w:r>
      <w:r w:rsidRPr="00965466">
        <w:rPr>
          <w:rFonts w:ascii="Times New Roman" w:hAnsi="Times New Roman"/>
          <w:bCs/>
          <w:sz w:val="24"/>
          <w:szCs w:val="24"/>
        </w:rPr>
        <w:t xml:space="preserve"> 15 005 – юридические лица.</w:t>
      </w:r>
    </w:p>
    <w:p w:rsidR="00C07388" w:rsidRPr="00965466" w:rsidRDefault="00C07388" w:rsidP="00C07388">
      <w:pPr>
        <w:spacing w:after="0" w:line="240" w:lineRule="auto"/>
        <w:ind w:firstLine="709"/>
        <w:contextualSpacing/>
        <w:jc w:val="both"/>
        <w:rPr>
          <w:rFonts w:ascii="Times New Roman" w:hAnsi="Times New Roman"/>
          <w:sz w:val="24"/>
          <w:szCs w:val="24"/>
        </w:rPr>
      </w:pPr>
      <w:r w:rsidRPr="00965466">
        <w:rPr>
          <w:rFonts w:ascii="Times New Roman" w:hAnsi="Times New Roman"/>
          <w:sz w:val="24"/>
          <w:szCs w:val="24"/>
        </w:rPr>
        <w:t>Наибольший удельный вес в голосовом исходящем трафике фиксированной телефонной связи принадлежит трафику по местной телефонной сети – 73,1%, соединения с абонентами сотовой мобильной связью составляют 17,4%, трафик к междугородным и международным сетям составляет 6,1% и 3,4% соответственно.</w:t>
      </w:r>
    </w:p>
    <w:p w:rsidR="00C07388" w:rsidRPr="00965466" w:rsidRDefault="00C07388" w:rsidP="00C07388">
      <w:pPr>
        <w:spacing w:after="0" w:line="240" w:lineRule="auto"/>
        <w:ind w:firstLine="709"/>
        <w:contextualSpacing/>
        <w:jc w:val="both"/>
        <w:rPr>
          <w:rFonts w:ascii="Times New Roman" w:hAnsi="Times New Roman"/>
          <w:sz w:val="24"/>
          <w:szCs w:val="24"/>
        </w:rPr>
      </w:pPr>
      <w:r w:rsidRPr="00965466">
        <w:rPr>
          <w:rFonts w:ascii="Times New Roman" w:hAnsi="Times New Roman"/>
          <w:sz w:val="24"/>
          <w:szCs w:val="24"/>
        </w:rPr>
        <w:t>Соединения между абонентами местной телефонной сети в январе-декабре 2017 года по сравнению с аналогичным периодом прошлого года уменьшился на 6,6%, составив 209 805,1 тыс. минут. При этом соединения между абонентами местной телефонной сети с абонентами сетей сотовой мобильной связи увеличились на 5,8% до 50 089,5 тыс. минут.</w:t>
      </w:r>
    </w:p>
    <w:p w:rsidR="00C07388" w:rsidRPr="00965466" w:rsidRDefault="00C07388" w:rsidP="00C07388">
      <w:pPr>
        <w:spacing w:after="0" w:line="240" w:lineRule="auto"/>
        <w:ind w:firstLine="709"/>
        <w:jc w:val="both"/>
        <w:rPr>
          <w:rFonts w:ascii="Times New Roman" w:hAnsi="Times New Roman"/>
          <w:sz w:val="24"/>
          <w:szCs w:val="24"/>
        </w:rPr>
      </w:pPr>
      <w:r w:rsidRPr="00965466">
        <w:rPr>
          <w:rFonts w:ascii="Times New Roman" w:hAnsi="Times New Roman"/>
          <w:bCs/>
          <w:sz w:val="24"/>
          <w:szCs w:val="24"/>
        </w:rPr>
        <w:t xml:space="preserve">Количество абонентов </w:t>
      </w:r>
      <w:r w:rsidRPr="00965466">
        <w:rPr>
          <w:rFonts w:ascii="Times New Roman" w:hAnsi="Times New Roman"/>
          <w:bCs/>
          <w:sz w:val="24"/>
          <w:szCs w:val="24"/>
          <w:u w:val="single"/>
        </w:rPr>
        <w:t>мобильной сотовой связи</w:t>
      </w:r>
      <w:r w:rsidRPr="00965466">
        <w:rPr>
          <w:rFonts w:ascii="Times New Roman" w:hAnsi="Times New Roman"/>
          <w:bCs/>
          <w:sz w:val="24"/>
          <w:szCs w:val="24"/>
        </w:rPr>
        <w:t xml:space="preserve"> в отчетном периоде превысило уровень 2016 года на 0,7% и составляло 330 220 абонентов. О</w:t>
      </w:r>
      <w:r w:rsidRPr="00965466">
        <w:rPr>
          <w:rFonts w:ascii="Times New Roman" w:hAnsi="Times New Roman"/>
          <w:sz w:val="24"/>
          <w:szCs w:val="24"/>
        </w:rPr>
        <w:t>бщий объем исходящего голосового трафика в сетях мобильн</w:t>
      </w:r>
      <w:r w:rsidR="00887FFD">
        <w:rPr>
          <w:rFonts w:ascii="Times New Roman" w:hAnsi="Times New Roman"/>
          <w:sz w:val="24"/>
          <w:szCs w:val="24"/>
        </w:rPr>
        <w:t>ой</w:t>
      </w:r>
      <w:r w:rsidRPr="00965466">
        <w:rPr>
          <w:rFonts w:ascii="Times New Roman" w:hAnsi="Times New Roman"/>
          <w:sz w:val="24"/>
          <w:szCs w:val="24"/>
        </w:rPr>
        <w:t xml:space="preserve"> связи составил 347 132 тыс. минут (5 785,5 тыс. часов), что на 0,1% превышает уровень января-декабря 2016 года.</w:t>
      </w:r>
    </w:p>
    <w:p w:rsidR="00C07388" w:rsidRPr="00965466" w:rsidRDefault="00C07388" w:rsidP="00C07388">
      <w:pPr>
        <w:spacing w:after="0" w:line="240" w:lineRule="auto"/>
        <w:ind w:firstLine="709"/>
        <w:jc w:val="both"/>
        <w:rPr>
          <w:rFonts w:ascii="Times New Roman" w:hAnsi="Times New Roman"/>
          <w:sz w:val="24"/>
          <w:szCs w:val="24"/>
        </w:rPr>
      </w:pPr>
      <w:r w:rsidRPr="00965466">
        <w:rPr>
          <w:rFonts w:ascii="Times New Roman" w:hAnsi="Times New Roman"/>
          <w:sz w:val="24"/>
          <w:szCs w:val="24"/>
        </w:rPr>
        <w:t>Среднемесячное количество исходящих минут, потребленных одним пользователем в мобильных сетях (показатель M</w:t>
      </w:r>
      <w:proofErr w:type="gramStart"/>
      <w:r w:rsidRPr="00965466">
        <w:rPr>
          <w:rFonts w:ascii="Times New Roman" w:hAnsi="Times New Roman"/>
          <w:sz w:val="24"/>
          <w:szCs w:val="24"/>
        </w:rPr>
        <w:t>О</w:t>
      </w:r>
      <w:proofErr w:type="gramEnd"/>
      <w:r w:rsidRPr="00965466">
        <w:rPr>
          <w:rFonts w:ascii="Times New Roman" w:hAnsi="Times New Roman"/>
          <w:sz w:val="24"/>
          <w:szCs w:val="24"/>
        </w:rPr>
        <w:t xml:space="preserve">U), в 2017 году остался на уровне минувшего года, составив 88,0 минут (1,5 часа) в месяц. Из общего количества потребленных минут одним пользователем, соединения по территории республики составляют 85,0 минут. </w:t>
      </w:r>
    </w:p>
    <w:p w:rsidR="00C07388" w:rsidRPr="00965466" w:rsidRDefault="00C07388" w:rsidP="00C07388">
      <w:pPr>
        <w:spacing w:after="0" w:line="240" w:lineRule="auto"/>
        <w:ind w:firstLine="709"/>
        <w:jc w:val="both"/>
        <w:rPr>
          <w:rFonts w:ascii="Times New Roman" w:hAnsi="Times New Roman"/>
          <w:sz w:val="24"/>
          <w:szCs w:val="24"/>
        </w:rPr>
      </w:pPr>
      <w:r w:rsidRPr="00965466">
        <w:rPr>
          <w:rFonts w:ascii="Times New Roman" w:hAnsi="Times New Roman"/>
          <w:sz w:val="24"/>
          <w:szCs w:val="24"/>
        </w:rPr>
        <w:t>В январе–декабре 2017 года объем продаж услуг мобильной сотовой связи по сравнению сопоставимым уровнем минувшего годом снизился на 9,9%, составив 238,8 млн руб., при этом показатель ARPU (среднемесячный доход на одного пользователя) поставщика мобильных коммуникаций сложился на уровне 60,3 руб. в месяц, что на 10,4% ниже уровня 2016 года.</w:t>
      </w:r>
    </w:p>
    <w:p w:rsidR="00C07388" w:rsidRPr="00965466" w:rsidRDefault="00C07388" w:rsidP="00C07388">
      <w:pPr>
        <w:spacing w:after="0" w:line="240" w:lineRule="auto"/>
        <w:ind w:firstLine="709"/>
        <w:jc w:val="both"/>
        <w:rPr>
          <w:rFonts w:ascii="Times New Roman" w:hAnsi="Times New Roman"/>
          <w:sz w:val="24"/>
          <w:szCs w:val="24"/>
        </w:rPr>
      </w:pPr>
      <w:r w:rsidRPr="00965466">
        <w:rPr>
          <w:rFonts w:ascii="Times New Roman" w:hAnsi="Times New Roman"/>
          <w:sz w:val="24"/>
          <w:szCs w:val="24"/>
        </w:rPr>
        <w:t xml:space="preserve">Для абонентов сотовой мобильной связи обеспечена услуга международного роуминга более чем с 200 странами, также предоставлена возможность высокоскоростного доступа к глобальной сети Интернет, услуги мобильного телевидения. Запущен новый полнофункциональный сервис </w:t>
      </w:r>
      <w:proofErr w:type="spellStart"/>
      <w:r w:rsidRPr="00965466">
        <w:rPr>
          <w:rFonts w:ascii="Times New Roman" w:hAnsi="Times New Roman"/>
          <w:sz w:val="24"/>
          <w:szCs w:val="24"/>
        </w:rPr>
        <w:t>VoLTE</w:t>
      </w:r>
      <w:proofErr w:type="spellEnd"/>
      <w:r w:rsidRPr="00965466">
        <w:rPr>
          <w:rFonts w:ascii="Times New Roman" w:hAnsi="Times New Roman"/>
          <w:sz w:val="24"/>
          <w:szCs w:val="24"/>
        </w:rPr>
        <w:t>, позволяющий передавать голосовой трафик по сети передачи данных LTE.</w:t>
      </w:r>
    </w:p>
    <w:p w:rsidR="00C07388" w:rsidRPr="00965466" w:rsidRDefault="00C07388" w:rsidP="00C07388">
      <w:pPr>
        <w:spacing w:after="0" w:line="240" w:lineRule="auto"/>
        <w:ind w:firstLine="709"/>
        <w:jc w:val="both"/>
        <w:rPr>
          <w:rFonts w:ascii="Times New Roman" w:hAnsi="Times New Roman"/>
          <w:sz w:val="24"/>
          <w:szCs w:val="24"/>
        </w:rPr>
      </w:pPr>
      <w:r w:rsidRPr="00965466">
        <w:rPr>
          <w:rFonts w:ascii="Times New Roman" w:hAnsi="Times New Roman"/>
          <w:sz w:val="24"/>
          <w:szCs w:val="24"/>
        </w:rPr>
        <w:t xml:space="preserve">Построение на всей территории республики </w:t>
      </w:r>
      <w:proofErr w:type="spellStart"/>
      <w:r w:rsidRPr="00965466">
        <w:rPr>
          <w:rFonts w:ascii="Times New Roman" w:hAnsi="Times New Roman"/>
          <w:sz w:val="24"/>
          <w:szCs w:val="24"/>
        </w:rPr>
        <w:t>мультисервисной</w:t>
      </w:r>
      <w:proofErr w:type="spellEnd"/>
      <w:r w:rsidRPr="00965466">
        <w:rPr>
          <w:rFonts w:ascii="Times New Roman" w:hAnsi="Times New Roman"/>
          <w:sz w:val="24"/>
          <w:szCs w:val="24"/>
        </w:rPr>
        <w:t xml:space="preserve"> транспортной высокоскоростной сети на базе технологии I</w:t>
      </w:r>
      <w:r w:rsidRPr="00965466">
        <w:rPr>
          <w:rFonts w:ascii="Times New Roman" w:hAnsi="Times New Roman"/>
          <w:sz w:val="24"/>
          <w:szCs w:val="24"/>
          <w:lang w:val="en-US"/>
        </w:rPr>
        <w:t>P</w:t>
      </w:r>
      <w:r w:rsidRPr="00965466">
        <w:rPr>
          <w:rFonts w:ascii="Times New Roman" w:hAnsi="Times New Roman"/>
          <w:sz w:val="24"/>
          <w:szCs w:val="24"/>
        </w:rPr>
        <w:t xml:space="preserve">, позволяющей передавать трафик любого типа, дало возможность обеспечить широкополосный доступ в Интернет, внедрить комплекс современных </w:t>
      </w:r>
      <w:proofErr w:type="spellStart"/>
      <w:r w:rsidRPr="00965466">
        <w:rPr>
          <w:rFonts w:ascii="Times New Roman" w:hAnsi="Times New Roman"/>
          <w:sz w:val="24"/>
          <w:szCs w:val="24"/>
        </w:rPr>
        <w:t>мультимедийных</w:t>
      </w:r>
      <w:proofErr w:type="spellEnd"/>
      <w:r w:rsidRPr="00965466">
        <w:rPr>
          <w:rFonts w:ascii="Times New Roman" w:hAnsi="Times New Roman"/>
          <w:sz w:val="24"/>
          <w:szCs w:val="24"/>
        </w:rPr>
        <w:t xml:space="preserve"> услуг и как следствие увеличить численность абонентов подключенных к </w:t>
      </w:r>
      <w:r w:rsidRPr="00965466">
        <w:rPr>
          <w:rFonts w:ascii="Times New Roman" w:hAnsi="Times New Roman"/>
          <w:sz w:val="24"/>
          <w:szCs w:val="24"/>
          <w:u w:val="single"/>
        </w:rPr>
        <w:t>глобальной сети Интернет</w:t>
      </w:r>
      <w:r w:rsidRPr="00965466">
        <w:rPr>
          <w:rFonts w:ascii="Times New Roman" w:hAnsi="Times New Roman"/>
          <w:sz w:val="24"/>
          <w:szCs w:val="24"/>
        </w:rPr>
        <w:t xml:space="preserve">. </w:t>
      </w:r>
      <w:proofErr w:type="gramStart"/>
      <w:r w:rsidRPr="00965466">
        <w:rPr>
          <w:rFonts w:ascii="Times New Roman" w:hAnsi="Times New Roman"/>
          <w:sz w:val="24"/>
          <w:szCs w:val="24"/>
        </w:rPr>
        <w:t xml:space="preserve">Так, в рассматриваемом периоде количество абонентов подключенных к </w:t>
      </w:r>
      <w:r w:rsidRPr="00965466">
        <w:rPr>
          <w:rFonts w:ascii="Times New Roman" w:hAnsi="Times New Roman"/>
          <w:sz w:val="24"/>
          <w:szCs w:val="24"/>
          <w:u w:val="single"/>
        </w:rPr>
        <w:t>глобальной сети Интернет</w:t>
      </w:r>
      <w:r w:rsidRPr="00965466">
        <w:rPr>
          <w:rFonts w:ascii="Times New Roman" w:hAnsi="Times New Roman"/>
          <w:sz w:val="24"/>
          <w:szCs w:val="24"/>
        </w:rPr>
        <w:t xml:space="preserve"> (кроме сетей мобильной связи) превысило уровень января-декабря 2016 года на 8,9%, составив 122 323 абонента, из которых: 97,8% физические лица, а 2,2% – юридические лица.</w:t>
      </w:r>
      <w:proofErr w:type="gramEnd"/>
      <w:r w:rsidRPr="00965466">
        <w:rPr>
          <w:rFonts w:ascii="Times New Roman" w:hAnsi="Times New Roman"/>
          <w:sz w:val="24"/>
          <w:szCs w:val="24"/>
        </w:rPr>
        <w:t xml:space="preserve"> Уровень проникновения услуг доступа в фиксированных точках составляет 25,8%.</w:t>
      </w:r>
    </w:p>
    <w:p w:rsidR="00C07388" w:rsidRDefault="00C07388" w:rsidP="00C07388">
      <w:pPr>
        <w:autoSpaceDE w:val="0"/>
        <w:autoSpaceDN w:val="0"/>
        <w:adjustRightInd w:val="0"/>
        <w:spacing w:after="0" w:line="240" w:lineRule="auto"/>
        <w:ind w:firstLine="720"/>
        <w:jc w:val="both"/>
        <w:rPr>
          <w:rFonts w:ascii="Times New Roman" w:hAnsi="Times New Roman"/>
          <w:sz w:val="24"/>
          <w:szCs w:val="24"/>
        </w:rPr>
      </w:pPr>
      <w:r w:rsidRPr="00965466">
        <w:rPr>
          <w:rFonts w:ascii="Times New Roman" w:hAnsi="Times New Roman"/>
          <w:sz w:val="24"/>
          <w:szCs w:val="24"/>
        </w:rPr>
        <w:t xml:space="preserve">Прием, обработка, перевозка, доставка (вручение) почтовых отправлений, а также осуществление переводов денежных средств на территории Приднестровской Молдавской Республике, осуществляется производственно-технологическим комплексом технических и транспортных средств, включающим в себя государственное унитарное предприятие </w:t>
      </w:r>
      <w:r w:rsidRPr="00965466">
        <w:rPr>
          <w:rFonts w:ascii="Times New Roman" w:hAnsi="Times New Roman"/>
          <w:sz w:val="24"/>
          <w:szCs w:val="24"/>
          <w:u w:val="single"/>
        </w:rPr>
        <w:t>почтовой связи</w:t>
      </w:r>
      <w:r w:rsidRPr="00965466">
        <w:rPr>
          <w:rFonts w:ascii="Times New Roman" w:hAnsi="Times New Roman"/>
          <w:sz w:val="24"/>
          <w:szCs w:val="24"/>
        </w:rPr>
        <w:t xml:space="preserve"> ГУП «Почта Приднестровья», (в состав которого входят 6 дочерних предприятий), а также предприятия негосударственной формы собственности: ООО «СПН», ООО «</w:t>
      </w:r>
      <w:proofErr w:type="spellStart"/>
      <w:r w:rsidRPr="00965466">
        <w:rPr>
          <w:rFonts w:ascii="Times New Roman" w:hAnsi="Times New Roman"/>
          <w:sz w:val="24"/>
          <w:szCs w:val="24"/>
        </w:rPr>
        <w:t>Деливири</w:t>
      </w:r>
      <w:proofErr w:type="spellEnd"/>
      <w:r w:rsidRPr="00965466">
        <w:rPr>
          <w:rFonts w:ascii="Times New Roman" w:hAnsi="Times New Roman"/>
          <w:sz w:val="24"/>
          <w:szCs w:val="24"/>
        </w:rPr>
        <w:t xml:space="preserve"> Интернет </w:t>
      </w:r>
      <w:proofErr w:type="spellStart"/>
      <w:r w:rsidRPr="00965466">
        <w:rPr>
          <w:rFonts w:ascii="Times New Roman" w:hAnsi="Times New Roman"/>
          <w:sz w:val="24"/>
          <w:szCs w:val="24"/>
        </w:rPr>
        <w:t>Парсел</w:t>
      </w:r>
      <w:proofErr w:type="spellEnd"/>
      <w:r w:rsidRPr="00965466">
        <w:rPr>
          <w:rFonts w:ascii="Times New Roman" w:hAnsi="Times New Roman"/>
          <w:sz w:val="24"/>
          <w:szCs w:val="24"/>
        </w:rPr>
        <w:t>», ООО «</w:t>
      </w:r>
      <w:proofErr w:type="spellStart"/>
      <w:r w:rsidRPr="00965466">
        <w:rPr>
          <w:rFonts w:ascii="Times New Roman" w:hAnsi="Times New Roman"/>
          <w:sz w:val="24"/>
          <w:szCs w:val="24"/>
        </w:rPr>
        <w:t>Авиаэкспресс</w:t>
      </w:r>
      <w:proofErr w:type="spellEnd"/>
      <w:r w:rsidRPr="00965466">
        <w:rPr>
          <w:rFonts w:ascii="Times New Roman" w:hAnsi="Times New Roman"/>
          <w:sz w:val="24"/>
          <w:szCs w:val="24"/>
        </w:rPr>
        <w:t xml:space="preserve">», ООО «Экспресс-Курьер и </w:t>
      </w:r>
      <w:r w:rsidRPr="00C07388">
        <w:rPr>
          <w:rFonts w:ascii="Times New Roman" w:hAnsi="Times New Roman"/>
          <w:sz w:val="24"/>
          <w:szCs w:val="24"/>
        </w:rPr>
        <w:t>Компания» (рис. 15).</w:t>
      </w:r>
    </w:p>
    <w:p w:rsidR="001741EE" w:rsidRDefault="001741EE" w:rsidP="00C07388">
      <w:pPr>
        <w:spacing w:after="0" w:line="240" w:lineRule="auto"/>
        <w:ind w:firstLine="709"/>
        <w:jc w:val="right"/>
        <w:rPr>
          <w:rFonts w:ascii="Times New Roman" w:hAnsi="Times New Roman"/>
          <w:b/>
          <w:i/>
          <w:sz w:val="24"/>
          <w:szCs w:val="24"/>
        </w:rPr>
      </w:pPr>
    </w:p>
    <w:p w:rsidR="001741EE" w:rsidRDefault="001741EE" w:rsidP="00C07388">
      <w:pPr>
        <w:spacing w:after="0" w:line="240" w:lineRule="auto"/>
        <w:ind w:firstLine="709"/>
        <w:jc w:val="right"/>
        <w:rPr>
          <w:rFonts w:ascii="Times New Roman" w:hAnsi="Times New Roman"/>
          <w:b/>
          <w:i/>
          <w:sz w:val="24"/>
          <w:szCs w:val="24"/>
        </w:rPr>
      </w:pPr>
    </w:p>
    <w:p w:rsidR="001741EE" w:rsidRDefault="001741EE" w:rsidP="00C07388">
      <w:pPr>
        <w:spacing w:after="0" w:line="240" w:lineRule="auto"/>
        <w:ind w:firstLine="709"/>
        <w:jc w:val="right"/>
        <w:rPr>
          <w:rFonts w:ascii="Times New Roman" w:hAnsi="Times New Roman"/>
          <w:b/>
          <w:i/>
          <w:sz w:val="24"/>
          <w:szCs w:val="24"/>
        </w:rPr>
      </w:pPr>
    </w:p>
    <w:p w:rsidR="001741EE" w:rsidRDefault="001741EE" w:rsidP="00C07388">
      <w:pPr>
        <w:spacing w:after="0" w:line="240" w:lineRule="auto"/>
        <w:ind w:firstLine="709"/>
        <w:jc w:val="right"/>
        <w:rPr>
          <w:rFonts w:ascii="Times New Roman" w:hAnsi="Times New Roman"/>
          <w:b/>
          <w:i/>
          <w:sz w:val="24"/>
          <w:szCs w:val="24"/>
        </w:rPr>
      </w:pPr>
    </w:p>
    <w:p w:rsidR="001741EE" w:rsidRDefault="001741EE" w:rsidP="00C07388">
      <w:pPr>
        <w:spacing w:after="0" w:line="240" w:lineRule="auto"/>
        <w:ind w:firstLine="709"/>
        <w:jc w:val="right"/>
        <w:rPr>
          <w:rFonts w:ascii="Times New Roman" w:hAnsi="Times New Roman"/>
          <w:b/>
          <w:i/>
          <w:sz w:val="24"/>
          <w:szCs w:val="24"/>
        </w:rPr>
      </w:pPr>
    </w:p>
    <w:p w:rsidR="00C07388" w:rsidRPr="00E8416E" w:rsidRDefault="00C07388" w:rsidP="00C07388">
      <w:pPr>
        <w:spacing w:after="0" w:line="240" w:lineRule="auto"/>
        <w:ind w:firstLine="709"/>
        <w:jc w:val="right"/>
        <w:rPr>
          <w:rFonts w:ascii="Times New Roman" w:hAnsi="Times New Roman"/>
          <w:b/>
          <w:i/>
          <w:sz w:val="24"/>
          <w:szCs w:val="24"/>
        </w:rPr>
      </w:pPr>
      <w:r>
        <w:rPr>
          <w:rFonts w:ascii="Times New Roman" w:hAnsi="Times New Roman"/>
          <w:b/>
          <w:i/>
          <w:sz w:val="24"/>
          <w:szCs w:val="24"/>
        </w:rPr>
        <w:lastRenderedPageBreak/>
        <w:t>Рисунок 15</w:t>
      </w:r>
    </w:p>
    <w:p w:rsidR="00C07388" w:rsidRPr="00C760C2" w:rsidRDefault="00C07388" w:rsidP="00C07388">
      <w:pPr>
        <w:spacing w:after="0" w:line="240" w:lineRule="auto"/>
        <w:ind w:firstLine="709"/>
        <w:jc w:val="center"/>
        <w:rPr>
          <w:rFonts w:ascii="Times New Roman" w:hAnsi="Times New Roman"/>
          <w:b/>
          <w:sz w:val="4"/>
          <w:szCs w:val="4"/>
        </w:rPr>
      </w:pPr>
    </w:p>
    <w:p w:rsidR="00C07388" w:rsidRDefault="00C07388" w:rsidP="00C07388">
      <w:pPr>
        <w:spacing w:after="0" w:line="240" w:lineRule="auto"/>
        <w:ind w:firstLine="709"/>
        <w:jc w:val="center"/>
        <w:rPr>
          <w:rFonts w:ascii="Times New Roman" w:hAnsi="Times New Roman"/>
          <w:b/>
          <w:sz w:val="24"/>
          <w:szCs w:val="24"/>
        </w:rPr>
      </w:pPr>
      <w:r w:rsidRPr="00FA327D">
        <w:rPr>
          <w:rFonts w:ascii="Times New Roman" w:hAnsi="Times New Roman"/>
          <w:b/>
          <w:sz w:val="24"/>
          <w:szCs w:val="24"/>
        </w:rPr>
        <w:t xml:space="preserve">Структура доходов от основной деятельности в разрезе </w:t>
      </w:r>
    </w:p>
    <w:p w:rsidR="00C07388" w:rsidRDefault="00C07388" w:rsidP="00C07388">
      <w:pPr>
        <w:spacing w:after="0" w:line="240" w:lineRule="auto"/>
        <w:ind w:firstLine="709"/>
        <w:jc w:val="center"/>
        <w:rPr>
          <w:rFonts w:ascii="Times New Roman" w:hAnsi="Times New Roman"/>
          <w:b/>
          <w:sz w:val="24"/>
          <w:szCs w:val="24"/>
        </w:rPr>
      </w:pPr>
      <w:r w:rsidRPr="00FA327D">
        <w:rPr>
          <w:rFonts w:ascii="Times New Roman" w:hAnsi="Times New Roman"/>
          <w:b/>
          <w:sz w:val="24"/>
          <w:szCs w:val="24"/>
        </w:rPr>
        <w:t>предприятий почтовой связи за 201</w:t>
      </w:r>
      <w:r>
        <w:rPr>
          <w:rFonts w:ascii="Times New Roman" w:hAnsi="Times New Roman"/>
          <w:b/>
          <w:sz w:val="24"/>
          <w:szCs w:val="24"/>
        </w:rPr>
        <w:t>6</w:t>
      </w:r>
      <w:r w:rsidRPr="00FA327D">
        <w:rPr>
          <w:rFonts w:ascii="Times New Roman" w:hAnsi="Times New Roman"/>
          <w:b/>
          <w:sz w:val="24"/>
          <w:szCs w:val="24"/>
        </w:rPr>
        <w:t xml:space="preserve"> - 201</w:t>
      </w:r>
      <w:r>
        <w:rPr>
          <w:rFonts w:ascii="Times New Roman" w:hAnsi="Times New Roman"/>
          <w:b/>
          <w:sz w:val="24"/>
          <w:szCs w:val="24"/>
        </w:rPr>
        <w:t>7</w:t>
      </w:r>
      <w:r w:rsidRPr="00FA327D">
        <w:rPr>
          <w:rFonts w:ascii="Times New Roman" w:hAnsi="Times New Roman"/>
          <w:b/>
          <w:sz w:val="24"/>
          <w:szCs w:val="24"/>
        </w:rPr>
        <w:t xml:space="preserve"> г.г.</w:t>
      </w:r>
    </w:p>
    <w:p w:rsidR="00C07388" w:rsidRPr="007A5FF6" w:rsidRDefault="00C07388" w:rsidP="00C07388">
      <w:pPr>
        <w:spacing w:after="0" w:line="240" w:lineRule="auto"/>
        <w:ind w:left="1415" w:firstLine="709"/>
        <w:rPr>
          <w:rFonts w:ascii="Times New Roman" w:hAnsi="Times New Roman"/>
          <w:i/>
          <w:sz w:val="24"/>
          <w:szCs w:val="24"/>
        </w:rPr>
      </w:pPr>
      <w:r>
        <w:rPr>
          <w:rFonts w:ascii="Times New Roman" w:hAnsi="Times New Roman"/>
          <w:i/>
          <w:sz w:val="24"/>
          <w:szCs w:val="24"/>
          <w:u w:val="single"/>
        </w:rPr>
        <w:t xml:space="preserve">2016 </w:t>
      </w:r>
      <w:r w:rsidRPr="00392B2D">
        <w:rPr>
          <w:rFonts w:ascii="Times New Roman" w:hAnsi="Times New Roman"/>
          <w:i/>
          <w:sz w:val="24"/>
          <w:szCs w:val="24"/>
          <w:u w:val="single"/>
        </w:rPr>
        <w:t>год</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392B2D">
        <w:rPr>
          <w:rFonts w:ascii="Times New Roman" w:hAnsi="Times New Roman"/>
          <w:i/>
          <w:sz w:val="24"/>
          <w:szCs w:val="24"/>
          <w:u w:val="single"/>
        </w:rPr>
        <w:t>201</w:t>
      </w:r>
      <w:r>
        <w:rPr>
          <w:rFonts w:ascii="Times New Roman" w:hAnsi="Times New Roman"/>
          <w:i/>
          <w:sz w:val="24"/>
          <w:szCs w:val="24"/>
          <w:u w:val="single"/>
        </w:rPr>
        <w:t>7</w:t>
      </w:r>
      <w:r w:rsidRPr="00392B2D">
        <w:rPr>
          <w:rFonts w:ascii="Times New Roman" w:hAnsi="Times New Roman"/>
          <w:i/>
          <w:sz w:val="24"/>
          <w:szCs w:val="24"/>
          <w:u w:val="single"/>
        </w:rPr>
        <w:t xml:space="preserve"> год</w:t>
      </w:r>
    </w:p>
    <w:p w:rsidR="00C07388" w:rsidRDefault="00C07388" w:rsidP="00C07388">
      <w:pPr>
        <w:ind w:hanging="284"/>
        <w:rPr>
          <w:rFonts w:eastAsia="Calibri"/>
        </w:rPr>
      </w:pPr>
      <w:r w:rsidRPr="00267046">
        <w:rPr>
          <w:rFonts w:eastAsia="Calibri"/>
          <w:noProof/>
        </w:rPr>
        <w:drawing>
          <wp:inline distT="0" distB="0" distL="0" distR="0">
            <wp:extent cx="3308985" cy="2200275"/>
            <wp:effectExtent l="19050" t="0" r="5715" b="0"/>
            <wp:docPr id="4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67046">
        <w:rPr>
          <w:rFonts w:eastAsia="Calibri"/>
          <w:noProof/>
        </w:rPr>
        <w:drawing>
          <wp:inline distT="0" distB="0" distL="0" distR="0">
            <wp:extent cx="2743200" cy="2352675"/>
            <wp:effectExtent l="0" t="0" r="0" b="0"/>
            <wp:docPr id="4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07388" w:rsidRDefault="00C07388" w:rsidP="00C07388">
      <w:pPr>
        <w:spacing w:after="0" w:line="240" w:lineRule="auto"/>
        <w:ind w:firstLine="709"/>
        <w:jc w:val="both"/>
        <w:rPr>
          <w:rFonts w:ascii="Times New Roman" w:hAnsi="Times New Roman"/>
          <w:sz w:val="24"/>
          <w:szCs w:val="24"/>
        </w:rPr>
      </w:pPr>
      <w:r w:rsidRPr="00530602">
        <w:rPr>
          <w:rFonts w:ascii="Times New Roman" w:hAnsi="Times New Roman"/>
          <w:sz w:val="24"/>
          <w:szCs w:val="24"/>
        </w:rPr>
        <w:t xml:space="preserve">Доходы от основной деятельности, полученные всеми предприятиями почтовой связи, </w:t>
      </w:r>
      <w:r>
        <w:rPr>
          <w:rFonts w:ascii="Times New Roman" w:hAnsi="Times New Roman"/>
          <w:sz w:val="24"/>
          <w:szCs w:val="24"/>
        </w:rPr>
        <w:t xml:space="preserve">в отчетном периоде превысили уровень января-декабря 2016 года на 7,1%, </w:t>
      </w:r>
      <w:r w:rsidRPr="00530602">
        <w:rPr>
          <w:rFonts w:ascii="Times New Roman" w:hAnsi="Times New Roman"/>
          <w:sz w:val="24"/>
          <w:szCs w:val="24"/>
        </w:rPr>
        <w:t>составив 6</w:t>
      </w:r>
      <w:r>
        <w:rPr>
          <w:rFonts w:ascii="Times New Roman" w:hAnsi="Times New Roman"/>
          <w:sz w:val="24"/>
          <w:szCs w:val="24"/>
        </w:rPr>
        <w:t> 869,0</w:t>
      </w:r>
      <w:r w:rsidRPr="00530602">
        <w:rPr>
          <w:rFonts w:ascii="Times New Roman" w:hAnsi="Times New Roman"/>
          <w:sz w:val="24"/>
          <w:szCs w:val="24"/>
        </w:rPr>
        <w:t> тыс. руб.</w:t>
      </w:r>
    </w:p>
    <w:p w:rsidR="00C07388" w:rsidRDefault="00C07388" w:rsidP="00C07388">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При сохранении </w:t>
      </w:r>
      <w:r w:rsidRPr="006D2BA8">
        <w:rPr>
          <w:rFonts w:ascii="Times New Roman" w:hAnsi="Times New Roman"/>
          <w:sz w:val="24"/>
          <w:szCs w:val="24"/>
        </w:rPr>
        <w:t>тарифов на пересылку по всем видам услуг почтовой связи на уровне 2016 года</w:t>
      </w:r>
      <w:r>
        <w:rPr>
          <w:rFonts w:ascii="Times New Roman" w:hAnsi="Times New Roman"/>
          <w:sz w:val="24"/>
          <w:szCs w:val="24"/>
        </w:rPr>
        <w:t>,</w:t>
      </w:r>
      <w:r w:rsidRPr="006D2BA8">
        <w:rPr>
          <w:rFonts w:ascii="Times New Roman" w:hAnsi="Times New Roman"/>
          <w:sz w:val="24"/>
          <w:szCs w:val="24"/>
        </w:rPr>
        <w:t xml:space="preserve"> </w:t>
      </w:r>
      <w:r>
        <w:rPr>
          <w:rFonts w:ascii="Times New Roman" w:hAnsi="Times New Roman"/>
          <w:sz w:val="24"/>
          <w:szCs w:val="24"/>
        </w:rPr>
        <w:t>у</w:t>
      </w:r>
      <w:r w:rsidRPr="00530602">
        <w:rPr>
          <w:rFonts w:ascii="Times New Roman" w:hAnsi="Times New Roman"/>
          <w:sz w:val="24"/>
          <w:szCs w:val="24"/>
        </w:rPr>
        <w:t>величение исходящего</w:t>
      </w:r>
      <w:r w:rsidRPr="0080737A">
        <w:rPr>
          <w:rFonts w:ascii="Times New Roman" w:hAnsi="Times New Roman"/>
          <w:sz w:val="24"/>
          <w:szCs w:val="24"/>
        </w:rPr>
        <w:t xml:space="preserve"> почтового </w:t>
      </w:r>
      <w:r>
        <w:rPr>
          <w:rFonts w:ascii="Times New Roman" w:hAnsi="Times New Roman"/>
          <w:sz w:val="24"/>
          <w:szCs w:val="24"/>
        </w:rPr>
        <w:t xml:space="preserve">обмена по посылкам (простым и ценным), отправлениям ускоренной почты EMS, письменной корреспонденции (заказной и ценной) позволило нарастить </w:t>
      </w:r>
      <w:r w:rsidRPr="0080737A">
        <w:rPr>
          <w:rFonts w:ascii="Times New Roman" w:hAnsi="Times New Roman"/>
          <w:sz w:val="24"/>
          <w:szCs w:val="24"/>
        </w:rPr>
        <w:t>совокупн</w:t>
      </w:r>
      <w:r>
        <w:rPr>
          <w:rFonts w:ascii="Times New Roman" w:hAnsi="Times New Roman"/>
          <w:sz w:val="24"/>
          <w:szCs w:val="24"/>
        </w:rPr>
        <w:t>ую</w:t>
      </w:r>
      <w:r w:rsidRPr="0080737A">
        <w:rPr>
          <w:rFonts w:ascii="Times New Roman" w:hAnsi="Times New Roman"/>
          <w:sz w:val="24"/>
          <w:szCs w:val="24"/>
        </w:rPr>
        <w:t xml:space="preserve"> величин</w:t>
      </w:r>
      <w:r>
        <w:rPr>
          <w:rFonts w:ascii="Times New Roman" w:hAnsi="Times New Roman"/>
          <w:sz w:val="24"/>
          <w:szCs w:val="24"/>
        </w:rPr>
        <w:t>у</w:t>
      </w:r>
      <w:r w:rsidRPr="0080737A">
        <w:rPr>
          <w:rFonts w:ascii="Times New Roman" w:hAnsi="Times New Roman"/>
          <w:sz w:val="24"/>
          <w:szCs w:val="24"/>
        </w:rPr>
        <w:t xml:space="preserve"> доходов от основной деятельности </w:t>
      </w:r>
      <w:r w:rsidRPr="00681BD7">
        <w:rPr>
          <w:rFonts w:ascii="Times New Roman" w:hAnsi="Times New Roman"/>
          <w:b/>
          <w:i/>
          <w:sz w:val="24"/>
          <w:szCs w:val="24"/>
          <w:u w:val="single"/>
        </w:rPr>
        <w:t>государственных предприятий почтовой связи</w:t>
      </w:r>
      <w:r w:rsidRPr="006D2BA8">
        <w:rPr>
          <w:rFonts w:ascii="Times New Roman" w:hAnsi="Times New Roman"/>
          <w:sz w:val="24"/>
          <w:szCs w:val="24"/>
        </w:rPr>
        <w:t xml:space="preserve"> </w:t>
      </w:r>
      <w:r>
        <w:rPr>
          <w:rFonts w:ascii="Times New Roman" w:hAnsi="Times New Roman"/>
          <w:sz w:val="24"/>
          <w:szCs w:val="24"/>
        </w:rPr>
        <w:t xml:space="preserve">до 5 422,2 тыс. руб., что на </w:t>
      </w:r>
      <w:r w:rsidRPr="00F66430">
        <w:rPr>
          <w:rFonts w:ascii="Times New Roman" w:hAnsi="Times New Roman"/>
          <w:sz w:val="24"/>
          <w:szCs w:val="24"/>
        </w:rPr>
        <w:t>1,</w:t>
      </w:r>
      <w:r>
        <w:rPr>
          <w:rFonts w:ascii="Times New Roman" w:hAnsi="Times New Roman"/>
          <w:sz w:val="24"/>
          <w:szCs w:val="24"/>
        </w:rPr>
        <w:t>5</w:t>
      </w:r>
      <w:r w:rsidRPr="00F66430">
        <w:rPr>
          <w:rFonts w:ascii="Times New Roman" w:hAnsi="Times New Roman"/>
          <w:sz w:val="24"/>
          <w:szCs w:val="24"/>
        </w:rPr>
        <w:t>%</w:t>
      </w:r>
      <w:r>
        <w:rPr>
          <w:rFonts w:ascii="Times New Roman" w:hAnsi="Times New Roman"/>
          <w:sz w:val="24"/>
          <w:szCs w:val="24"/>
        </w:rPr>
        <w:t xml:space="preserve"> превышает уровень 2016 года </w:t>
      </w:r>
      <w:r w:rsidRPr="00C07388">
        <w:rPr>
          <w:rFonts w:ascii="Times New Roman" w:hAnsi="Times New Roman"/>
          <w:sz w:val="24"/>
          <w:szCs w:val="24"/>
        </w:rPr>
        <w:t>(рис. 16).</w:t>
      </w:r>
      <w:proofErr w:type="gramEnd"/>
    </w:p>
    <w:p w:rsidR="00C07388" w:rsidRPr="00E8416E" w:rsidRDefault="00C07388" w:rsidP="00C07388">
      <w:pPr>
        <w:spacing w:after="0" w:line="240" w:lineRule="auto"/>
        <w:ind w:firstLine="709"/>
        <w:jc w:val="right"/>
        <w:rPr>
          <w:rFonts w:ascii="Times New Roman" w:hAnsi="Times New Roman"/>
          <w:b/>
          <w:i/>
          <w:sz w:val="24"/>
          <w:szCs w:val="24"/>
        </w:rPr>
      </w:pPr>
      <w:r>
        <w:rPr>
          <w:rFonts w:ascii="Times New Roman" w:hAnsi="Times New Roman"/>
          <w:b/>
          <w:i/>
          <w:sz w:val="24"/>
          <w:szCs w:val="24"/>
        </w:rPr>
        <w:t>Рисунок 16</w:t>
      </w:r>
    </w:p>
    <w:p w:rsidR="00C07388" w:rsidRPr="00C07388" w:rsidRDefault="00C07388" w:rsidP="00C07388">
      <w:pPr>
        <w:spacing w:after="0" w:line="240" w:lineRule="auto"/>
        <w:ind w:firstLine="709"/>
        <w:jc w:val="both"/>
        <w:rPr>
          <w:rFonts w:ascii="Times New Roman" w:hAnsi="Times New Roman"/>
          <w:sz w:val="10"/>
          <w:szCs w:val="10"/>
        </w:rPr>
      </w:pPr>
    </w:p>
    <w:p w:rsidR="00C07388" w:rsidRDefault="00C07388" w:rsidP="00C07388">
      <w:pPr>
        <w:spacing w:after="0" w:line="240" w:lineRule="auto"/>
        <w:jc w:val="both"/>
        <w:rPr>
          <w:rFonts w:eastAsia="Calibri"/>
        </w:rPr>
      </w:pPr>
      <w:r w:rsidRPr="00267046">
        <w:rPr>
          <w:rFonts w:eastAsia="Calibri"/>
          <w:noProof/>
        </w:rPr>
        <w:drawing>
          <wp:inline distT="0" distB="0" distL="0" distR="0">
            <wp:extent cx="6343650" cy="1990725"/>
            <wp:effectExtent l="19050" t="0" r="0" b="0"/>
            <wp:docPr id="5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07388" w:rsidRPr="00C07388" w:rsidRDefault="00C07388" w:rsidP="00C07388">
      <w:pPr>
        <w:spacing w:after="0" w:line="240" w:lineRule="auto"/>
        <w:ind w:firstLine="709"/>
        <w:contextualSpacing/>
        <w:jc w:val="both"/>
        <w:rPr>
          <w:rFonts w:ascii="Times New Roman" w:hAnsi="Times New Roman"/>
          <w:sz w:val="10"/>
          <w:szCs w:val="10"/>
        </w:rPr>
      </w:pPr>
    </w:p>
    <w:p w:rsidR="00C07388" w:rsidRPr="00965466" w:rsidRDefault="00C07388" w:rsidP="00C07388">
      <w:pPr>
        <w:spacing w:after="0" w:line="240" w:lineRule="auto"/>
        <w:ind w:firstLine="709"/>
        <w:contextualSpacing/>
        <w:jc w:val="both"/>
        <w:rPr>
          <w:rFonts w:ascii="Times New Roman" w:hAnsi="Times New Roman"/>
          <w:sz w:val="24"/>
          <w:szCs w:val="24"/>
        </w:rPr>
      </w:pPr>
      <w:r w:rsidRPr="00965466">
        <w:rPr>
          <w:rFonts w:ascii="Times New Roman" w:hAnsi="Times New Roman"/>
          <w:sz w:val="24"/>
          <w:szCs w:val="24"/>
        </w:rPr>
        <w:t>Совокупная величина доходов государственных организаций почтовой связи (без учета стоимости товаров по цене поставщика), включающая в себя как доходы от основной, так и от непрофильной и торговой деятельности, сократилась на 6,9%, составив 9 383,7 тыс. руб., из нее:</w:t>
      </w:r>
    </w:p>
    <w:p w:rsidR="00C07388" w:rsidRPr="00965466" w:rsidRDefault="00C07388" w:rsidP="00C07388">
      <w:pPr>
        <w:tabs>
          <w:tab w:val="left" w:pos="993"/>
        </w:tabs>
        <w:spacing w:after="0" w:line="240" w:lineRule="auto"/>
        <w:ind w:firstLine="709"/>
        <w:contextualSpacing/>
        <w:jc w:val="both"/>
        <w:rPr>
          <w:rFonts w:ascii="Times New Roman" w:hAnsi="Times New Roman"/>
          <w:sz w:val="24"/>
          <w:szCs w:val="24"/>
        </w:rPr>
      </w:pPr>
      <w:r w:rsidRPr="00965466">
        <w:rPr>
          <w:rFonts w:ascii="Times New Roman" w:hAnsi="Times New Roman"/>
          <w:sz w:val="24"/>
          <w:szCs w:val="24"/>
        </w:rPr>
        <w:t>–</w:t>
      </w:r>
      <w:r w:rsidRPr="00965466">
        <w:rPr>
          <w:rFonts w:ascii="Times New Roman" w:hAnsi="Times New Roman"/>
          <w:sz w:val="24"/>
          <w:szCs w:val="24"/>
        </w:rPr>
        <w:tab/>
        <w:t>доходы от непрофильной деятельности (прием коммунальных платежей, платежей за оказание услуг связи, ксерокопирование) снизились на 17,0% до 2 430,8 тыс. руб.;</w:t>
      </w:r>
    </w:p>
    <w:p w:rsidR="00C07388" w:rsidRPr="00965466" w:rsidRDefault="00C07388" w:rsidP="00C07388">
      <w:pPr>
        <w:tabs>
          <w:tab w:val="left" w:pos="993"/>
        </w:tabs>
        <w:spacing w:after="0" w:line="240" w:lineRule="auto"/>
        <w:ind w:firstLine="709"/>
        <w:contextualSpacing/>
        <w:jc w:val="both"/>
        <w:rPr>
          <w:rFonts w:ascii="Times New Roman" w:hAnsi="Times New Roman"/>
          <w:sz w:val="24"/>
          <w:szCs w:val="24"/>
        </w:rPr>
      </w:pPr>
      <w:r w:rsidRPr="00965466">
        <w:rPr>
          <w:rFonts w:ascii="Times New Roman" w:hAnsi="Times New Roman"/>
          <w:sz w:val="24"/>
          <w:szCs w:val="24"/>
        </w:rPr>
        <w:t>–</w:t>
      </w:r>
      <w:r w:rsidRPr="00965466">
        <w:rPr>
          <w:rFonts w:ascii="Times New Roman" w:hAnsi="Times New Roman"/>
          <w:sz w:val="24"/>
          <w:szCs w:val="24"/>
        </w:rPr>
        <w:tab/>
        <w:t>доходы от торговой деятельности сократились на 8,0% до 1 414,7 тыс. руб.;</w:t>
      </w:r>
    </w:p>
    <w:p w:rsidR="00C07388" w:rsidRPr="00965466" w:rsidRDefault="00C07388" w:rsidP="00C07388">
      <w:pPr>
        <w:tabs>
          <w:tab w:val="left" w:pos="993"/>
        </w:tabs>
        <w:spacing w:after="0" w:line="240" w:lineRule="auto"/>
        <w:ind w:firstLine="709"/>
        <w:contextualSpacing/>
        <w:jc w:val="both"/>
        <w:rPr>
          <w:rFonts w:ascii="Times New Roman" w:hAnsi="Times New Roman"/>
          <w:sz w:val="24"/>
          <w:szCs w:val="24"/>
        </w:rPr>
      </w:pPr>
      <w:r w:rsidRPr="00965466">
        <w:rPr>
          <w:rFonts w:ascii="Times New Roman" w:hAnsi="Times New Roman"/>
          <w:sz w:val="24"/>
          <w:szCs w:val="24"/>
        </w:rPr>
        <w:t>–</w:t>
      </w:r>
      <w:r w:rsidRPr="00965466">
        <w:rPr>
          <w:rFonts w:ascii="Times New Roman" w:hAnsi="Times New Roman"/>
          <w:sz w:val="24"/>
          <w:szCs w:val="24"/>
        </w:rPr>
        <w:tab/>
        <w:t>доходы от сдачи имущества в аренду снизились на 57,1% до 115,9 тыс. руб.</w:t>
      </w:r>
    </w:p>
    <w:p w:rsidR="00C07388" w:rsidRPr="00965466" w:rsidRDefault="00C07388" w:rsidP="00C07388">
      <w:pPr>
        <w:spacing w:after="0" w:line="240" w:lineRule="auto"/>
        <w:ind w:firstLine="709"/>
        <w:jc w:val="both"/>
        <w:rPr>
          <w:rFonts w:ascii="Times New Roman" w:hAnsi="Times New Roman"/>
          <w:sz w:val="24"/>
          <w:szCs w:val="24"/>
        </w:rPr>
      </w:pPr>
      <w:r w:rsidRPr="00965466">
        <w:rPr>
          <w:rFonts w:ascii="Times New Roman" w:hAnsi="Times New Roman"/>
          <w:sz w:val="24"/>
          <w:szCs w:val="24"/>
        </w:rPr>
        <w:t>Текущие затраты государственных предприятий почтовой связи по основным видам деятельности превысили базовый уровень 2016 года на 4,3%, составив 24 298,0 тыс. руб., из которых 80,5% или 19 555,0 тыс. руб. пришлось на оплату труда работников и уплату единого социального налога (ЕСН), абсолютная величина которых увеличилась на 0,6%.</w:t>
      </w:r>
    </w:p>
    <w:p w:rsidR="00C07388" w:rsidRPr="00965466" w:rsidRDefault="00C07388" w:rsidP="00C07388">
      <w:pPr>
        <w:spacing w:after="0" w:line="240" w:lineRule="auto"/>
        <w:ind w:firstLine="709"/>
        <w:jc w:val="both"/>
        <w:rPr>
          <w:rFonts w:ascii="Times New Roman" w:hAnsi="Times New Roman"/>
          <w:sz w:val="24"/>
          <w:szCs w:val="24"/>
        </w:rPr>
      </w:pPr>
      <w:proofErr w:type="gramStart"/>
      <w:r w:rsidRPr="00965466">
        <w:rPr>
          <w:rFonts w:ascii="Times New Roman" w:hAnsi="Times New Roman"/>
          <w:sz w:val="24"/>
          <w:szCs w:val="24"/>
        </w:rPr>
        <w:t xml:space="preserve">Кредиторская задолженность по оплате труда и единому социальному налогу по состоянию на 01 января 2018 года, после предоставления дотаций из республиканского </w:t>
      </w:r>
      <w:r w:rsidRPr="00965466">
        <w:rPr>
          <w:rFonts w:ascii="Times New Roman" w:hAnsi="Times New Roman"/>
          <w:sz w:val="24"/>
          <w:szCs w:val="24"/>
        </w:rPr>
        <w:lastRenderedPageBreak/>
        <w:t>бюджета в сумме 18 833,0 тыс. руб., составила 1 460,8 тыс. руб., при этом общая сумма кредиторской задолженности возросла на 32,1% до 7 286,4 тыс. руб. Необходимо отметить, что поступающие дотации из республиканского бюджета для компенсации убытков от предоставления</w:t>
      </w:r>
      <w:proofErr w:type="gramEnd"/>
      <w:r w:rsidRPr="00965466">
        <w:rPr>
          <w:rFonts w:ascii="Times New Roman" w:hAnsi="Times New Roman"/>
          <w:sz w:val="24"/>
          <w:szCs w:val="24"/>
        </w:rPr>
        <w:t xml:space="preserve"> универсальных услуг по тарифам не покрывающим затраты на их производство, направляется только на возмещение затрат по заработной плате</w:t>
      </w:r>
      <w:r w:rsidR="00F05C39">
        <w:rPr>
          <w:rFonts w:ascii="Times New Roman" w:hAnsi="Times New Roman"/>
          <w:sz w:val="24"/>
          <w:szCs w:val="24"/>
        </w:rPr>
        <w:t>.</w:t>
      </w:r>
    </w:p>
    <w:p w:rsidR="00C07388" w:rsidRPr="00C07388" w:rsidRDefault="00C07388" w:rsidP="00C07388">
      <w:pPr>
        <w:pStyle w:val="a6"/>
        <w:tabs>
          <w:tab w:val="left" w:pos="993"/>
        </w:tabs>
        <w:spacing w:after="0" w:line="240" w:lineRule="auto"/>
        <w:ind w:left="0" w:firstLine="709"/>
        <w:jc w:val="both"/>
        <w:rPr>
          <w:rFonts w:ascii="Times New Roman" w:hAnsi="Times New Roman"/>
          <w:sz w:val="24"/>
          <w:szCs w:val="24"/>
        </w:rPr>
      </w:pPr>
      <w:r w:rsidRPr="00C07388">
        <w:rPr>
          <w:rFonts w:ascii="Times New Roman" w:hAnsi="Times New Roman"/>
          <w:sz w:val="24"/>
          <w:szCs w:val="24"/>
        </w:rPr>
        <w:t>На протяжении 2017 года велась работа по реорганизации государственного предприятия почтовой связи ГУП «Почта Приднестровья» путем присоединения дочерних предприятий к единому административному центру. Процесс реорганизации ГУП «Почта Приднестровья» является важным этапом на пути реформирования почтовой связи республики позволяющим создать современную почтовую инфраструктуру, оптимизировать структуру и методы управления государственной почтовой связью, централизовать управление хозяйственной деятельностью и качеством услуг сети почтовой связи, повысить эффективность использования государственного имущества, обеспечить прозрачность финанс</w:t>
      </w:r>
      <w:r>
        <w:rPr>
          <w:rFonts w:ascii="Times New Roman" w:hAnsi="Times New Roman"/>
          <w:sz w:val="24"/>
          <w:szCs w:val="24"/>
        </w:rPr>
        <w:t>овой деятельности предприятия.</w:t>
      </w:r>
    </w:p>
    <w:p w:rsidR="00D16741" w:rsidRPr="00D16741" w:rsidRDefault="00D16741" w:rsidP="00D16741">
      <w:pPr>
        <w:shd w:val="clear" w:color="auto" w:fill="FFFFFF"/>
        <w:spacing w:after="0" w:line="240" w:lineRule="auto"/>
        <w:ind w:firstLine="709"/>
        <w:contextualSpacing/>
        <w:jc w:val="both"/>
        <w:rPr>
          <w:rFonts w:ascii="Times New Roman" w:hAnsi="Times New Roman"/>
          <w:sz w:val="24"/>
          <w:szCs w:val="24"/>
        </w:rPr>
      </w:pPr>
    </w:p>
    <w:p w:rsidR="00335844" w:rsidRPr="0080737A" w:rsidRDefault="00335844" w:rsidP="00335844">
      <w:pPr>
        <w:shd w:val="clear" w:color="auto" w:fill="FFFFFF"/>
        <w:spacing w:after="0" w:line="240" w:lineRule="auto"/>
        <w:ind w:firstLine="709"/>
        <w:jc w:val="both"/>
        <w:rPr>
          <w:rFonts w:ascii="Times New Roman" w:hAnsi="Times New Roman"/>
          <w:b/>
          <w:color w:val="000000"/>
          <w:sz w:val="24"/>
          <w:szCs w:val="24"/>
        </w:rPr>
      </w:pPr>
      <w:r w:rsidRPr="00EE2767">
        <w:rPr>
          <w:rFonts w:ascii="Times New Roman" w:hAnsi="Times New Roman"/>
          <w:b/>
          <w:color w:val="000000"/>
          <w:sz w:val="24"/>
          <w:szCs w:val="24"/>
        </w:rPr>
        <w:t>Внешнеэкономическая деятельность</w:t>
      </w:r>
    </w:p>
    <w:p w:rsidR="003F5257" w:rsidRDefault="003F5257" w:rsidP="003F5257">
      <w:pPr>
        <w:shd w:val="clear" w:color="auto" w:fill="FFFFFF"/>
        <w:spacing w:after="0" w:line="240" w:lineRule="auto"/>
        <w:ind w:firstLine="709"/>
        <w:jc w:val="both"/>
        <w:rPr>
          <w:rFonts w:ascii="Times New Roman" w:hAnsi="Times New Roman"/>
          <w:sz w:val="24"/>
          <w:szCs w:val="24"/>
          <w:u w:val="single"/>
        </w:rPr>
      </w:pPr>
    </w:p>
    <w:p w:rsidR="001741EE" w:rsidRDefault="001741EE" w:rsidP="001741EE">
      <w:pPr>
        <w:shd w:val="clear" w:color="auto" w:fill="FFFFFF"/>
        <w:spacing w:after="0" w:line="240" w:lineRule="auto"/>
        <w:ind w:firstLine="709"/>
        <w:contextualSpacing/>
        <w:jc w:val="both"/>
        <w:rPr>
          <w:rFonts w:ascii="Times New Roman" w:hAnsi="Times New Roman"/>
          <w:sz w:val="24"/>
          <w:szCs w:val="24"/>
        </w:rPr>
      </w:pPr>
      <w:proofErr w:type="gramStart"/>
      <w:r>
        <w:rPr>
          <w:rFonts w:ascii="Times New Roman" w:hAnsi="Times New Roman"/>
          <w:sz w:val="24"/>
          <w:szCs w:val="24"/>
        </w:rPr>
        <w:t>Несмотря на фиксируемые в первом полугодии 2017 года перебои в поставках за рубеж электроэнергии,</w:t>
      </w:r>
      <w:r w:rsidRPr="006D3E41">
        <w:rPr>
          <w:rFonts w:ascii="Times New Roman" w:hAnsi="Times New Roman"/>
          <w:sz w:val="24"/>
          <w:szCs w:val="24"/>
        </w:rPr>
        <w:t xml:space="preserve"> </w:t>
      </w:r>
      <w:r>
        <w:rPr>
          <w:rFonts w:ascii="Times New Roman" w:hAnsi="Times New Roman"/>
          <w:sz w:val="24"/>
          <w:szCs w:val="24"/>
        </w:rPr>
        <w:t>предпринятые государство</w:t>
      </w:r>
      <w:r w:rsidR="00AF3EB2">
        <w:rPr>
          <w:rFonts w:ascii="Times New Roman" w:hAnsi="Times New Roman"/>
          <w:sz w:val="24"/>
          <w:szCs w:val="24"/>
        </w:rPr>
        <w:t>м</w:t>
      </w:r>
      <w:r>
        <w:rPr>
          <w:rFonts w:ascii="Times New Roman" w:hAnsi="Times New Roman"/>
          <w:sz w:val="24"/>
          <w:szCs w:val="24"/>
        </w:rPr>
        <w:t xml:space="preserve"> меры по стабилизации ситуации на внутреннем валютном рынке в совокупности с налаживанием ритмичной работы в базовых отраслях индустрии способствовали смене вектора тенденций во внешнеэкономической деятельности.</w:t>
      </w:r>
      <w:proofErr w:type="gramEnd"/>
      <w:r>
        <w:rPr>
          <w:rFonts w:ascii="Times New Roman" w:hAnsi="Times New Roman"/>
          <w:sz w:val="24"/>
          <w:szCs w:val="24"/>
        </w:rPr>
        <w:t xml:space="preserve"> Так, после двухлетнего сжатия ключевых параметров внешней торговли, начиная со второго полугодия, фиксировался их восстановительный тренд. </w:t>
      </w:r>
      <w:proofErr w:type="gramStart"/>
      <w:r>
        <w:rPr>
          <w:rFonts w:ascii="Times New Roman" w:hAnsi="Times New Roman"/>
          <w:sz w:val="24"/>
          <w:szCs w:val="24"/>
        </w:rPr>
        <w:t xml:space="preserve">В результате, по данным Государственного таможенного комитета ПМР, по итогам года стоимостной </w:t>
      </w:r>
      <w:r w:rsidRPr="005F7A2A">
        <w:rPr>
          <w:rFonts w:ascii="Times New Roman" w:hAnsi="Times New Roman"/>
          <w:sz w:val="24"/>
          <w:szCs w:val="24"/>
        </w:rPr>
        <w:t xml:space="preserve">объём экспорта превысил показатель 2016 года на 19,3% и сложился на уровне 646,8 млн долл., при этом, если исключить из совокупного показателя поставки топливно-энергетических товаров, его рост составил 52,2%. Объём импорта сформировался на отметке </w:t>
      </w:r>
      <w:r>
        <w:rPr>
          <w:rFonts w:ascii="Times New Roman" w:hAnsi="Times New Roman"/>
          <w:sz w:val="24"/>
          <w:szCs w:val="24"/>
        </w:rPr>
        <w:t xml:space="preserve">                   </w:t>
      </w:r>
      <w:r w:rsidRPr="005F7A2A">
        <w:rPr>
          <w:rFonts w:ascii="Times New Roman" w:hAnsi="Times New Roman"/>
          <w:sz w:val="24"/>
          <w:szCs w:val="24"/>
        </w:rPr>
        <w:t>1 038,9 млн долл., превысив уровень предыдущего года на 12,5%, при этом без учёта</w:t>
      </w:r>
      <w:proofErr w:type="gramEnd"/>
      <w:r w:rsidRPr="005F7A2A">
        <w:rPr>
          <w:rFonts w:ascii="Times New Roman" w:hAnsi="Times New Roman"/>
          <w:sz w:val="24"/>
          <w:szCs w:val="24"/>
        </w:rPr>
        <w:t xml:space="preserve"> топливно-энергетических товаров прирост импортных поставок достиг 37,1%. Совокупный объем внешнеторгового оборота расширился до 1 685,7 млн долл., или на 15,0</w:t>
      </w:r>
      <w:r w:rsidRPr="001741EE">
        <w:rPr>
          <w:rFonts w:ascii="Times New Roman" w:hAnsi="Times New Roman"/>
          <w:sz w:val="24"/>
          <w:szCs w:val="24"/>
        </w:rPr>
        <w:t>% (рис. 17)</w:t>
      </w:r>
      <w:r>
        <w:rPr>
          <w:rFonts w:ascii="Times New Roman" w:hAnsi="Times New Roman"/>
          <w:sz w:val="24"/>
          <w:szCs w:val="24"/>
        </w:rPr>
        <w:t>.</w:t>
      </w:r>
      <w:r w:rsidRPr="005F7A2A">
        <w:rPr>
          <w:rFonts w:ascii="Times New Roman" w:hAnsi="Times New Roman"/>
          <w:sz w:val="24"/>
          <w:szCs w:val="24"/>
        </w:rPr>
        <w:t xml:space="preserve"> При этом результатом внешнеторговых</w:t>
      </w:r>
      <w:r>
        <w:rPr>
          <w:rFonts w:ascii="Times New Roman" w:hAnsi="Times New Roman"/>
          <w:sz w:val="24"/>
          <w:szCs w:val="24"/>
        </w:rPr>
        <w:t xml:space="preserve"> сделок резидентов республики стало формирование отрицательного сальдо на уровне -392,1 млн долл. против</w:t>
      </w:r>
      <w:r w:rsidR="00AF3EB2">
        <w:rPr>
          <w:rFonts w:ascii="Times New Roman" w:hAnsi="Times New Roman"/>
          <w:sz w:val="24"/>
          <w:szCs w:val="24"/>
        </w:rPr>
        <w:t xml:space="preserve"> </w:t>
      </w:r>
      <w:r>
        <w:rPr>
          <w:rFonts w:ascii="Times New Roman" w:hAnsi="Times New Roman"/>
          <w:sz w:val="24"/>
          <w:szCs w:val="24"/>
        </w:rPr>
        <w:t>-381,0 млн долл. в январе-декабре 2016 года, без учёта поставок природного газа – -112,4 млн долл. против -23,9 млн долл.</w:t>
      </w:r>
    </w:p>
    <w:p w:rsidR="001741EE" w:rsidRPr="004B0E6D" w:rsidRDefault="001741EE" w:rsidP="001741EE">
      <w:pPr>
        <w:shd w:val="clear" w:color="auto" w:fill="FFFFFF"/>
        <w:spacing w:after="0" w:line="240" w:lineRule="auto"/>
        <w:ind w:firstLine="709"/>
        <w:contextualSpacing/>
        <w:jc w:val="right"/>
        <w:rPr>
          <w:rFonts w:ascii="Times New Roman" w:hAnsi="Times New Roman"/>
          <w:b/>
          <w:i/>
          <w:sz w:val="24"/>
          <w:szCs w:val="24"/>
        </w:rPr>
      </w:pPr>
      <w:r>
        <w:rPr>
          <w:rFonts w:ascii="Times New Roman" w:hAnsi="Times New Roman"/>
          <w:b/>
          <w:i/>
          <w:sz w:val="24"/>
          <w:szCs w:val="24"/>
        </w:rPr>
        <w:t>Рисунок 17</w:t>
      </w:r>
    </w:p>
    <w:p w:rsidR="001741EE" w:rsidRDefault="001741EE" w:rsidP="001741EE">
      <w:pPr>
        <w:spacing w:after="0"/>
        <w:ind w:hanging="142"/>
      </w:pPr>
      <w:r w:rsidRPr="006159B4">
        <w:rPr>
          <w:noProof/>
        </w:rPr>
        <w:drawing>
          <wp:inline distT="0" distB="0" distL="0" distR="0">
            <wp:extent cx="6296025" cy="1714500"/>
            <wp:effectExtent l="0" t="0" r="0" b="0"/>
            <wp:docPr id="5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41EE" w:rsidRDefault="001741EE" w:rsidP="001741EE">
      <w:pPr>
        <w:spacing w:after="0" w:line="240" w:lineRule="auto"/>
        <w:ind w:firstLine="709"/>
        <w:jc w:val="both"/>
        <w:rPr>
          <w:rFonts w:ascii="Times New Roman" w:hAnsi="Times New Roman"/>
          <w:sz w:val="23"/>
          <w:szCs w:val="23"/>
        </w:rPr>
      </w:pPr>
      <w:r>
        <w:rPr>
          <w:rFonts w:ascii="Times New Roman" w:hAnsi="Times New Roman"/>
          <w:sz w:val="24"/>
          <w:szCs w:val="24"/>
        </w:rPr>
        <w:t xml:space="preserve">Необходимо отметить, что во втором полугодии 2017 года помесячная динамика внешнеторгового оборота демонстрировала устойчивый повышательный тренд параметров, а в декабре превышение базовых значений достигло 32,2%. </w:t>
      </w:r>
    </w:p>
    <w:p w:rsidR="001741EE" w:rsidRDefault="001741EE" w:rsidP="001741EE">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В товарной структуре экспорта наиболее существенным было увеличение поставок по статье «металлы и изделия из них» до 233,9 млн долл., или в 2,7 раза к уровню января-декабря 2016 года, что в свою очередь обусловило формирование более трети (36,2%) итогового значения и сопровождалось расширением долевого участия данной товарной группы в структуре экспортных поставок на 20,4 п. п. </w:t>
      </w:r>
      <w:r w:rsidRPr="001741EE">
        <w:rPr>
          <w:rFonts w:ascii="Times New Roman" w:hAnsi="Times New Roman"/>
          <w:sz w:val="24"/>
          <w:szCs w:val="24"/>
        </w:rPr>
        <w:t>(рис. 18).</w:t>
      </w:r>
      <w:proofErr w:type="gramEnd"/>
    </w:p>
    <w:p w:rsidR="001741EE" w:rsidRDefault="001741EE" w:rsidP="001741EE">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Объем экспорта товаров легкой промышленности (текстильные материалы, одежда, текстильные изделия, обувь), неизменно сохраняющий второе место в структуре поставок – </w:t>
      </w:r>
      <w:r>
        <w:rPr>
          <w:rFonts w:ascii="Times New Roman" w:hAnsi="Times New Roman"/>
          <w:sz w:val="24"/>
          <w:szCs w:val="24"/>
        </w:rPr>
        <w:lastRenderedPageBreak/>
        <w:t>18,2%, при увеличении стоимостного параметра на 4,9% до 117,4 млн долл., на фоне более активного расширения удельного веса других компонент</w:t>
      </w:r>
      <w:r w:rsidR="004971B1">
        <w:rPr>
          <w:rFonts w:ascii="Times New Roman" w:hAnsi="Times New Roman"/>
          <w:sz w:val="24"/>
          <w:szCs w:val="24"/>
        </w:rPr>
        <w:t>ов</w:t>
      </w:r>
      <w:r>
        <w:rPr>
          <w:rFonts w:ascii="Times New Roman" w:hAnsi="Times New Roman"/>
          <w:sz w:val="24"/>
          <w:szCs w:val="24"/>
        </w:rPr>
        <w:t>, сократил долевое участие в формировании совокупного экспорта на 2,4 п.п. При этом основной прирост в данной товарной группе отмечен по экспорту текстильных материалов и одежды – на 7,3% и 6,4% соответственно. В условиях оказываемой предприятиям обувной промышленности государственной поддержки поставки за рубеж по такой статье как «обувь и части обуви» расширились на 5,5% до 38,6 млн долл.</w:t>
      </w:r>
    </w:p>
    <w:p w:rsidR="001741EE" w:rsidRPr="004B0E6D" w:rsidRDefault="001741EE" w:rsidP="001741EE">
      <w:pPr>
        <w:shd w:val="clear" w:color="auto" w:fill="FFFFFF"/>
        <w:spacing w:after="0" w:line="240" w:lineRule="auto"/>
        <w:ind w:firstLine="709"/>
        <w:contextualSpacing/>
        <w:jc w:val="right"/>
        <w:rPr>
          <w:rFonts w:ascii="Times New Roman" w:hAnsi="Times New Roman"/>
          <w:b/>
          <w:i/>
          <w:sz w:val="24"/>
          <w:szCs w:val="24"/>
        </w:rPr>
      </w:pPr>
      <w:r>
        <w:rPr>
          <w:rFonts w:ascii="Times New Roman" w:hAnsi="Times New Roman"/>
          <w:b/>
          <w:i/>
          <w:sz w:val="24"/>
          <w:szCs w:val="24"/>
        </w:rPr>
        <w:t>Рисунок 18</w:t>
      </w:r>
    </w:p>
    <w:p w:rsidR="001741EE" w:rsidRPr="001741EE" w:rsidRDefault="001741EE" w:rsidP="001741EE">
      <w:pPr>
        <w:pStyle w:val="a4"/>
        <w:ind w:firstLine="0"/>
        <w:rPr>
          <w:sz w:val="10"/>
          <w:szCs w:val="10"/>
        </w:rPr>
      </w:pPr>
    </w:p>
    <w:p w:rsidR="001741EE" w:rsidRDefault="001741EE" w:rsidP="001741EE">
      <w:pPr>
        <w:pStyle w:val="a4"/>
        <w:ind w:firstLine="0"/>
        <w:rPr>
          <w:szCs w:val="24"/>
        </w:rPr>
      </w:pPr>
      <w:r w:rsidRPr="00D0422C">
        <w:rPr>
          <w:noProof/>
        </w:rPr>
        <w:drawing>
          <wp:inline distT="0" distB="0" distL="0" distR="0">
            <wp:extent cx="6467475" cy="2724150"/>
            <wp:effectExtent l="0" t="0" r="0" b="0"/>
            <wp:docPr id="5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741EE" w:rsidRPr="001741EE" w:rsidRDefault="001741EE" w:rsidP="001741EE">
      <w:pPr>
        <w:pStyle w:val="a4"/>
        <w:ind w:firstLine="426"/>
        <w:rPr>
          <w:sz w:val="10"/>
          <w:szCs w:val="10"/>
        </w:rPr>
      </w:pPr>
    </w:p>
    <w:p w:rsidR="001741EE" w:rsidRDefault="001741EE" w:rsidP="001741EE">
      <w:pPr>
        <w:pStyle w:val="a4"/>
        <w:ind w:firstLine="426"/>
        <w:rPr>
          <w:szCs w:val="24"/>
        </w:rPr>
      </w:pPr>
      <w:r>
        <w:rPr>
          <w:szCs w:val="24"/>
        </w:rPr>
        <w:t xml:space="preserve">Вследствие отсутствия поставок электроэнергии в Республику Молдова в апреле-мае                 2017 года в совокупности с последующим снижением ее контрактной стоимости, экспорт топливно-энергетических товаров по итогам 2017 года сократился на 42,9% до                 107,1 млн долл., обеспечив тем самым 16,6% совокупного показателя против 34,6% в                 2016 году. </w:t>
      </w:r>
    </w:p>
    <w:p w:rsidR="001741EE" w:rsidRDefault="001741EE" w:rsidP="001741EE">
      <w:pPr>
        <w:pStyle w:val="a4"/>
        <w:ind w:firstLine="426"/>
      </w:pPr>
      <w:r>
        <w:t xml:space="preserve">Одной из основных групп приднестровского экспорта являются продовольственные товары и сырье – 15,4%, стоимостная величина которых возросла по итогам года на 10,8% до </w:t>
      </w:r>
      <w:r>
        <w:br/>
        <w:t xml:space="preserve">99,4 млн долл., но на фоне более активного расширения других составляющих товарной структуры, долевое участие данной компоненты сократилось на 1,1 п. п. </w:t>
      </w:r>
    </w:p>
    <w:p w:rsidR="001741EE" w:rsidRDefault="001741EE" w:rsidP="001741EE">
      <w:pPr>
        <w:pStyle w:val="a4"/>
        <w:ind w:firstLine="426"/>
        <w:rPr>
          <w:szCs w:val="24"/>
        </w:rPr>
      </w:pPr>
      <w:r>
        <w:rPr>
          <w:szCs w:val="24"/>
        </w:rPr>
        <w:t xml:space="preserve">Увеличение стоимостного объема поставок машиностроительной продукции (+49,6% до </w:t>
      </w:r>
      <w:r>
        <w:rPr>
          <w:szCs w:val="24"/>
        </w:rPr>
        <w:br/>
        <w:t>33,7 млн долл.) и минеральных продуктов (+18,0% до 33,4 млн долл.) обеспечило структурное представление данных групп в совокупном экспорте на уровне 5,2% соответственно. При этом</w:t>
      </w:r>
      <w:proofErr w:type="gramStart"/>
      <w:r>
        <w:rPr>
          <w:szCs w:val="24"/>
        </w:rPr>
        <w:t>,</w:t>
      </w:r>
      <w:proofErr w:type="gramEnd"/>
      <w:r>
        <w:rPr>
          <w:szCs w:val="24"/>
        </w:rPr>
        <w:t xml:space="preserve"> если структурное представительство машиностроительной продукции расширилось на 1,1 п.п., то минеральные продукты сохранили долевое участие на уровне параметра 2016 года.</w:t>
      </w:r>
    </w:p>
    <w:p w:rsidR="001741EE" w:rsidRPr="008B0AE3" w:rsidRDefault="001741EE" w:rsidP="001741EE">
      <w:pPr>
        <w:spacing w:after="0" w:line="240" w:lineRule="auto"/>
        <w:ind w:firstLine="709"/>
        <w:jc w:val="both"/>
        <w:rPr>
          <w:rFonts w:ascii="Times New Roman" w:hAnsi="Times New Roman"/>
          <w:sz w:val="24"/>
          <w:szCs w:val="24"/>
        </w:rPr>
      </w:pPr>
      <w:r w:rsidRPr="008B0AE3">
        <w:rPr>
          <w:rFonts w:ascii="Times New Roman" w:hAnsi="Times New Roman"/>
          <w:sz w:val="24"/>
          <w:szCs w:val="24"/>
        </w:rPr>
        <w:t xml:space="preserve">В январе-декабре 2017 года основной объем экспорта был ориентирован в такие страны </w:t>
      </w:r>
      <w:r w:rsidRPr="002A03A2">
        <w:rPr>
          <w:rFonts w:ascii="Times New Roman" w:hAnsi="Times New Roman"/>
          <w:sz w:val="24"/>
          <w:szCs w:val="24"/>
        </w:rPr>
        <w:t>как (рис.</w:t>
      </w:r>
      <w:r w:rsidR="002A03A2" w:rsidRPr="002A03A2">
        <w:rPr>
          <w:rFonts w:ascii="Times New Roman" w:hAnsi="Times New Roman"/>
          <w:sz w:val="24"/>
          <w:szCs w:val="24"/>
        </w:rPr>
        <w:t xml:space="preserve"> 19</w:t>
      </w:r>
      <w:r w:rsidRPr="002A03A2">
        <w:rPr>
          <w:rFonts w:ascii="Times New Roman" w:hAnsi="Times New Roman"/>
          <w:sz w:val="24"/>
          <w:szCs w:val="24"/>
        </w:rPr>
        <w:t>):</w:t>
      </w:r>
    </w:p>
    <w:p w:rsidR="001741EE" w:rsidRPr="003B1289" w:rsidRDefault="001741EE" w:rsidP="001741EE">
      <w:pPr>
        <w:pStyle w:val="a4"/>
        <w:rPr>
          <w:szCs w:val="24"/>
        </w:rPr>
      </w:pPr>
      <w:r w:rsidRPr="008B0AE3">
        <w:rPr>
          <w:szCs w:val="24"/>
        </w:rPr>
        <w:t>- Республика Молдова (30,4% совокупного экспорта, или 196,7 млн долл. (-21,7% к</w:t>
      </w:r>
      <w:r w:rsidRPr="003B1289">
        <w:rPr>
          <w:szCs w:val="24"/>
        </w:rPr>
        <w:t xml:space="preserve"> уровню 2016 года в стоимостном выражении)). Преобладающей товарной компонентой, экспортируемой в данном направлении, является электроэнергия (57,5 %). Кроме того, существенная часть экспорта приходится на минеральные продукты (включая цемент) – 16,0%, металлы и изделия из них – 13,2%, продовольственные товары и сырьё – 10,7%. По всем вышеуказанным товарным категориям, за исключением топливно-энергетических товаров, в 2017 году наблюдалось увеличение поставок;</w:t>
      </w:r>
    </w:p>
    <w:p w:rsidR="001741EE" w:rsidRPr="007550E5" w:rsidRDefault="001741EE" w:rsidP="001741EE">
      <w:pPr>
        <w:pStyle w:val="a4"/>
        <w:rPr>
          <w:szCs w:val="24"/>
        </w:rPr>
      </w:pPr>
      <w:r w:rsidRPr="007550E5">
        <w:rPr>
          <w:szCs w:val="24"/>
        </w:rPr>
        <w:t>- Украина (19,0% совокупного показателя, или 122,9 млн долл. (+84,0% соответственно)). Существенная доля экспорта приходится на металлы и изделия из них (47,3%), продовольственные товары и сырье (43,5%), а также товары лёгкой промышленности (3,9%). По данным группам отмечалось снижение экспортных поставок, за исключением металлов и изделий из них</w:t>
      </w:r>
      <w:r>
        <w:rPr>
          <w:szCs w:val="24"/>
        </w:rPr>
        <w:t xml:space="preserve"> (увеличение в 32,2 раза)</w:t>
      </w:r>
      <w:r w:rsidRPr="007550E5">
        <w:rPr>
          <w:szCs w:val="24"/>
        </w:rPr>
        <w:t>;</w:t>
      </w:r>
    </w:p>
    <w:p w:rsidR="001741EE" w:rsidRPr="007550E5" w:rsidRDefault="001741EE" w:rsidP="001741EE">
      <w:pPr>
        <w:pStyle w:val="a4"/>
        <w:rPr>
          <w:szCs w:val="24"/>
        </w:rPr>
      </w:pPr>
      <w:r w:rsidRPr="007550E5">
        <w:rPr>
          <w:szCs w:val="24"/>
        </w:rPr>
        <w:lastRenderedPageBreak/>
        <w:t>- Румыния (15,</w:t>
      </w:r>
      <w:r>
        <w:rPr>
          <w:szCs w:val="24"/>
        </w:rPr>
        <w:t>9</w:t>
      </w:r>
      <w:r w:rsidRPr="007550E5">
        <w:rPr>
          <w:szCs w:val="24"/>
        </w:rPr>
        <w:t>% всего экспорта, или 102,6 млн долл. (+69,6%)). Основной экспортной категорией в данном направлении являются поставки металлов и изделий из них (96,5%), демонстрирующие расширение абсолютного значения</w:t>
      </w:r>
      <w:r>
        <w:rPr>
          <w:szCs w:val="24"/>
        </w:rPr>
        <w:t xml:space="preserve"> (+84,5%)</w:t>
      </w:r>
      <w:r w:rsidRPr="007550E5">
        <w:rPr>
          <w:szCs w:val="24"/>
        </w:rPr>
        <w:t>;</w:t>
      </w:r>
    </w:p>
    <w:p w:rsidR="001741EE" w:rsidRPr="007550E5" w:rsidRDefault="001741EE" w:rsidP="001741EE">
      <w:pPr>
        <w:pStyle w:val="a4"/>
        <w:rPr>
          <w:szCs w:val="24"/>
        </w:rPr>
      </w:pPr>
      <w:r w:rsidRPr="007550E5">
        <w:rPr>
          <w:szCs w:val="24"/>
        </w:rPr>
        <w:t>- Российская Федерация (10,2% совокупного значения, или 66,3 млн долл., что на 44,1% выше уровня 2016 года). Главными товарными группами, направляемыми в Российскую Федерацию, выступают: машиностроительная продукция (33,0%), товары легкой промышленности (23,7%), металлы и изделия из них (19,7%). По всем структурным составляющим наблюдался прирост поставок;</w:t>
      </w:r>
    </w:p>
    <w:p w:rsidR="001741EE" w:rsidRDefault="001741EE" w:rsidP="001741EE">
      <w:pPr>
        <w:pStyle w:val="a4"/>
        <w:rPr>
          <w:szCs w:val="24"/>
        </w:rPr>
      </w:pPr>
      <w:r w:rsidRPr="00EF1131">
        <w:rPr>
          <w:szCs w:val="24"/>
        </w:rPr>
        <w:t>- Италия (6,0%, или 38,7 млн долл. (-4,1%)) и Германия (5,6%, или 36,2 млн долл. (+24,3%)). Основной объем экспорта в данные страны занимают товары лёгкой промышленности, на которые приходится порядка 7</w:t>
      </w:r>
      <w:r>
        <w:rPr>
          <w:szCs w:val="24"/>
        </w:rPr>
        <w:t>4</w:t>
      </w:r>
      <w:r w:rsidRPr="00EF1131">
        <w:rPr>
          <w:szCs w:val="24"/>
        </w:rPr>
        <w:t>-98%% общего объема поставок соответственно.</w:t>
      </w:r>
    </w:p>
    <w:p w:rsidR="001741EE" w:rsidRPr="004B0E6D" w:rsidRDefault="001741EE" w:rsidP="001741EE">
      <w:pPr>
        <w:shd w:val="clear" w:color="auto" w:fill="FFFFFF"/>
        <w:spacing w:after="0" w:line="240" w:lineRule="auto"/>
        <w:ind w:firstLine="709"/>
        <w:contextualSpacing/>
        <w:jc w:val="right"/>
        <w:rPr>
          <w:rFonts w:ascii="Times New Roman" w:hAnsi="Times New Roman"/>
          <w:b/>
          <w:i/>
          <w:sz w:val="24"/>
          <w:szCs w:val="24"/>
        </w:rPr>
      </w:pPr>
      <w:r>
        <w:rPr>
          <w:rFonts w:ascii="Times New Roman" w:hAnsi="Times New Roman"/>
          <w:b/>
          <w:i/>
          <w:sz w:val="24"/>
          <w:szCs w:val="24"/>
        </w:rPr>
        <w:t>Рисунок</w:t>
      </w:r>
      <w:r w:rsidR="002A03A2">
        <w:rPr>
          <w:rFonts w:ascii="Times New Roman" w:hAnsi="Times New Roman"/>
          <w:b/>
          <w:i/>
          <w:sz w:val="24"/>
          <w:szCs w:val="24"/>
        </w:rPr>
        <w:t xml:space="preserve"> 19</w:t>
      </w:r>
    </w:p>
    <w:p w:rsidR="001741EE" w:rsidRPr="002A03A2" w:rsidRDefault="001741EE" w:rsidP="001741EE">
      <w:pPr>
        <w:pStyle w:val="a4"/>
        <w:rPr>
          <w:sz w:val="10"/>
          <w:szCs w:val="10"/>
        </w:rPr>
      </w:pPr>
    </w:p>
    <w:p w:rsidR="001741EE" w:rsidRPr="002A03A2" w:rsidRDefault="001741EE" w:rsidP="002A03A2">
      <w:pPr>
        <w:spacing w:after="0"/>
        <w:ind w:hanging="284"/>
        <w:rPr>
          <w:sz w:val="10"/>
          <w:szCs w:val="10"/>
        </w:rPr>
      </w:pPr>
      <w:r w:rsidRPr="001E1A0B">
        <w:rPr>
          <w:noProof/>
        </w:rPr>
        <w:drawing>
          <wp:inline distT="0" distB="0" distL="0" distR="0">
            <wp:extent cx="6400800" cy="2381250"/>
            <wp:effectExtent l="0" t="0" r="0" b="0"/>
            <wp:docPr id="54"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741EE" w:rsidRDefault="001741EE" w:rsidP="001741EE">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Вектор динамики совокупного значения и структурных составляющих импорта в республику обуславливался потребностями крупных предприятий индустрии в сырьевых материалах и ресурсах и по итогам 2017 года характеризовался повышательным трендом по всем товарным </w:t>
      </w:r>
      <w:r w:rsidRPr="002A03A2">
        <w:rPr>
          <w:rFonts w:ascii="Times New Roman" w:hAnsi="Times New Roman"/>
          <w:sz w:val="24"/>
          <w:szCs w:val="24"/>
        </w:rPr>
        <w:t>группам (рис.</w:t>
      </w:r>
      <w:r w:rsidR="002A03A2" w:rsidRPr="002A03A2">
        <w:rPr>
          <w:rFonts w:ascii="Times New Roman" w:hAnsi="Times New Roman"/>
          <w:sz w:val="24"/>
          <w:szCs w:val="24"/>
        </w:rPr>
        <w:t xml:space="preserve"> 20</w:t>
      </w:r>
      <w:r w:rsidRPr="002A03A2">
        <w:rPr>
          <w:rFonts w:ascii="Times New Roman" w:hAnsi="Times New Roman"/>
          <w:sz w:val="24"/>
          <w:szCs w:val="24"/>
        </w:rPr>
        <w:t>),</w:t>
      </w:r>
      <w:r>
        <w:rPr>
          <w:rFonts w:ascii="Times New Roman" w:hAnsi="Times New Roman"/>
          <w:sz w:val="24"/>
          <w:szCs w:val="24"/>
        </w:rPr>
        <w:t xml:space="preserve"> за исключением топливно-энергетических товаров, стоимостной объем которых сократился до 333,7 млн долл. (-18,4%), сохранив при этом лидирующую позицию – 32,1% (-12,2 п.п.).</w:t>
      </w:r>
      <w:proofErr w:type="gramEnd"/>
    </w:p>
    <w:p w:rsidR="001741EE" w:rsidRDefault="001741EE" w:rsidP="001741EE">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Отмечающийся на фоне наращивания производственной деятельности на ОАО «Молдавский металлургический завод» рост закупок сырья для чёрной металлургии (в 3,1 раза, до 190,6 млн долл.) обусловил расширение удельного веса металлов и изделий из них в структуре импорта до 18,3% (+11,7 п.п.). </w:t>
      </w:r>
    </w:p>
    <w:p w:rsidR="001741EE" w:rsidRPr="004B0E6D" w:rsidRDefault="001741EE" w:rsidP="001741EE">
      <w:pPr>
        <w:shd w:val="clear" w:color="auto" w:fill="FFFFFF"/>
        <w:spacing w:after="0" w:line="240" w:lineRule="auto"/>
        <w:ind w:firstLine="709"/>
        <w:contextualSpacing/>
        <w:jc w:val="right"/>
        <w:rPr>
          <w:rFonts w:ascii="Times New Roman" w:hAnsi="Times New Roman"/>
          <w:b/>
          <w:i/>
          <w:sz w:val="24"/>
          <w:szCs w:val="24"/>
        </w:rPr>
      </w:pPr>
      <w:r>
        <w:rPr>
          <w:rFonts w:ascii="Times New Roman" w:hAnsi="Times New Roman"/>
          <w:b/>
          <w:i/>
          <w:sz w:val="24"/>
          <w:szCs w:val="24"/>
        </w:rPr>
        <w:t>Рисунок</w:t>
      </w:r>
      <w:r w:rsidR="002A03A2">
        <w:rPr>
          <w:rFonts w:ascii="Times New Roman" w:hAnsi="Times New Roman"/>
          <w:b/>
          <w:i/>
          <w:sz w:val="24"/>
          <w:szCs w:val="24"/>
        </w:rPr>
        <w:t xml:space="preserve"> 20</w:t>
      </w:r>
    </w:p>
    <w:p w:rsidR="001741EE" w:rsidRPr="002A03A2" w:rsidRDefault="001741EE" w:rsidP="001741EE">
      <w:pPr>
        <w:spacing w:after="0" w:line="240" w:lineRule="auto"/>
        <w:ind w:firstLine="709"/>
        <w:jc w:val="both"/>
        <w:rPr>
          <w:rFonts w:ascii="Times New Roman" w:hAnsi="Times New Roman"/>
          <w:sz w:val="10"/>
          <w:szCs w:val="10"/>
        </w:rPr>
      </w:pPr>
    </w:p>
    <w:p w:rsidR="001741EE" w:rsidRDefault="001741EE" w:rsidP="002A03A2">
      <w:pPr>
        <w:spacing w:after="0" w:line="240" w:lineRule="auto"/>
        <w:jc w:val="both"/>
        <w:rPr>
          <w:rFonts w:ascii="Times New Roman" w:hAnsi="Times New Roman"/>
          <w:sz w:val="24"/>
          <w:szCs w:val="24"/>
        </w:rPr>
      </w:pPr>
      <w:r w:rsidRPr="0084508B">
        <w:rPr>
          <w:noProof/>
        </w:rPr>
        <w:drawing>
          <wp:inline distT="0" distB="0" distL="0" distR="0">
            <wp:extent cx="6219825" cy="2514600"/>
            <wp:effectExtent l="0" t="0" r="0" b="0"/>
            <wp:docPr id="57"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741EE" w:rsidRDefault="001741EE" w:rsidP="001741EE">
      <w:pPr>
        <w:pStyle w:val="a4"/>
        <w:rPr>
          <w:szCs w:val="24"/>
        </w:rPr>
      </w:pPr>
      <w:r>
        <w:t xml:space="preserve">Активизация потребительского спроса нашла отражение в увеличении импортных закупок продовольственных товаров (сырья) </w:t>
      </w:r>
      <w:r>
        <w:rPr>
          <w:szCs w:val="24"/>
        </w:rPr>
        <w:t xml:space="preserve">на 17,5% до 134,7 млн долл. и, как следствие, </w:t>
      </w:r>
      <w:r w:rsidR="008B3CF2">
        <w:rPr>
          <w:szCs w:val="24"/>
        </w:rPr>
        <w:t xml:space="preserve">в </w:t>
      </w:r>
      <w:r>
        <w:rPr>
          <w:szCs w:val="24"/>
        </w:rPr>
        <w:lastRenderedPageBreak/>
        <w:t xml:space="preserve">расширении долевого участия данных компонент </w:t>
      </w:r>
      <w:r>
        <w:t>в товарной структуре импорта до 13,0% (+0,6 п.п.).</w:t>
      </w:r>
      <w:r>
        <w:rPr>
          <w:szCs w:val="24"/>
        </w:rPr>
        <w:t xml:space="preserve"> </w:t>
      </w:r>
    </w:p>
    <w:p w:rsidR="001741EE" w:rsidRDefault="001741EE" w:rsidP="001741EE">
      <w:pPr>
        <w:pStyle w:val="a4"/>
        <w:rPr>
          <w:szCs w:val="24"/>
        </w:rPr>
      </w:pPr>
      <w:proofErr w:type="gramStart"/>
      <w:r>
        <w:rPr>
          <w:szCs w:val="24"/>
        </w:rPr>
        <w:t>В 2017 году также фиксировалось увеличение импортных поставок машиностроительной продукции (на 16,6% до 106,6 млн долл.), продукции химической и связанных с ней отраслей промышленности (на 15,4% до 76,2 млн долл.), лёгко</w:t>
      </w:r>
      <w:r w:rsidR="002A03A2">
        <w:rPr>
          <w:szCs w:val="24"/>
        </w:rPr>
        <w:t xml:space="preserve">й промышленности (на 42,8% до </w:t>
      </w:r>
      <w:r>
        <w:rPr>
          <w:szCs w:val="24"/>
        </w:rPr>
        <w:t>67,0 млн долл.), при этом долевое участие данных составляющих в товарной структуре импорта сформировалось в следующих пределах: 10,3% (+0,4 п.п.);</w:t>
      </w:r>
      <w:proofErr w:type="gramEnd"/>
      <w:r>
        <w:rPr>
          <w:szCs w:val="24"/>
        </w:rPr>
        <w:t xml:space="preserve"> 7,3% (+0,2 п.п.); 6,4% (+1,3 п.п.) соответственно.</w:t>
      </w:r>
    </w:p>
    <w:p w:rsidR="001741EE" w:rsidRDefault="001741EE" w:rsidP="001741EE">
      <w:pPr>
        <w:pStyle w:val="a4"/>
        <w:rPr>
          <w:szCs w:val="24"/>
        </w:rPr>
      </w:pPr>
      <w:r>
        <w:rPr>
          <w:szCs w:val="24"/>
        </w:rPr>
        <w:t xml:space="preserve">Большая часть импортируемой продукции поступала из таких стран </w:t>
      </w:r>
      <w:r w:rsidRPr="002A03A2">
        <w:rPr>
          <w:szCs w:val="24"/>
        </w:rPr>
        <w:t>как (рис.</w:t>
      </w:r>
      <w:r w:rsidR="002A03A2" w:rsidRPr="002A03A2">
        <w:rPr>
          <w:szCs w:val="24"/>
        </w:rPr>
        <w:t xml:space="preserve"> 21</w:t>
      </w:r>
      <w:r w:rsidRPr="002A03A2">
        <w:rPr>
          <w:szCs w:val="24"/>
        </w:rPr>
        <w:t>):</w:t>
      </w:r>
    </w:p>
    <w:p w:rsidR="001741EE" w:rsidRDefault="001741EE" w:rsidP="001741EE">
      <w:pPr>
        <w:pStyle w:val="a4"/>
        <w:rPr>
          <w:szCs w:val="24"/>
        </w:rPr>
      </w:pPr>
      <w:r>
        <w:rPr>
          <w:szCs w:val="24"/>
        </w:rPr>
        <w:t>- Российская Федерация (34,1% совокупного импорта, или 353,8 млн долл. в стоимостном выражении (-15,6% к базовому уровню 2016 года)). Среди ввозимых товаров наибольшая доля традиционно приходилась на топливно-энергетические товары (79,6%), величина которых сократилась на 18,3% к уровню 2016 года. На продукцию химической и связанных с ней отраслей промышленности и машиностроительную продукцию пришлось соответственно 5,3% и 4,0% импорта из Российской Федерации;</w:t>
      </w:r>
    </w:p>
    <w:p w:rsidR="001741EE" w:rsidRDefault="001741EE" w:rsidP="001741EE">
      <w:pPr>
        <w:pStyle w:val="a4"/>
        <w:rPr>
          <w:szCs w:val="24"/>
        </w:rPr>
      </w:pPr>
      <w:r>
        <w:rPr>
          <w:szCs w:val="24"/>
        </w:rPr>
        <w:t>- Украина (22,7% совокупного показателя, или 235,9 млн долл. (+93,3% к базисному уровню 2016 года)). Основной объем импорта из данной страны приходится на металлы и изделия из них (43,4%), продовольственные товары и сырье (26,6%) и продукцию химической и связанной с ней отраслей (8,1%). По рассматриваемым товарным группам наблюдалось наращивание поставок;</w:t>
      </w:r>
    </w:p>
    <w:p w:rsidR="001741EE" w:rsidRDefault="001741EE" w:rsidP="001741EE">
      <w:pPr>
        <w:pStyle w:val="2"/>
        <w:widowControl/>
        <w:tabs>
          <w:tab w:val="left" w:pos="1080"/>
        </w:tabs>
        <w:ind w:firstLine="709"/>
        <w:rPr>
          <w:sz w:val="24"/>
          <w:szCs w:val="24"/>
        </w:rPr>
      </w:pPr>
      <w:r>
        <w:rPr>
          <w:sz w:val="24"/>
          <w:szCs w:val="24"/>
        </w:rPr>
        <w:t xml:space="preserve">- Республика Молдова (11,5% или 119,9 млн долл. (+17,1%)). Из поставляемых на территорию Приднестровья товаров свыше половины (52,1%) занимали металлы и изделия из них, продовольственные товары и сырье (13,3%). При этом по импорту металлов и изделий из них фиксировался прирост стоимостных показателей, тогда как по продовольственным товарам и сырью </w:t>
      </w:r>
      <w:r w:rsidR="00935F83">
        <w:rPr>
          <w:sz w:val="24"/>
          <w:szCs w:val="24"/>
        </w:rPr>
        <w:t>–</w:t>
      </w:r>
      <w:r>
        <w:rPr>
          <w:sz w:val="24"/>
          <w:szCs w:val="24"/>
        </w:rPr>
        <w:t xml:space="preserve"> снижение</w:t>
      </w:r>
      <w:r w:rsidR="00935F83">
        <w:rPr>
          <w:sz w:val="24"/>
          <w:szCs w:val="24"/>
        </w:rPr>
        <w:t>;</w:t>
      </w:r>
    </w:p>
    <w:p w:rsidR="001741EE" w:rsidRDefault="001741EE" w:rsidP="001741EE">
      <w:pPr>
        <w:pStyle w:val="a4"/>
        <w:rPr>
          <w:szCs w:val="24"/>
        </w:rPr>
      </w:pPr>
      <w:r>
        <w:rPr>
          <w:szCs w:val="24"/>
        </w:rPr>
        <w:t>- Германия (3,7%, или 38,0 млн долл. (+8,1%)) и Румыния (3,7%, или 38,8 млн долл. (+81,9%)). Из Германии в большем объеме импортировалась машиностроительная продукция (34,5%), продукция химической и связанных с ней отраслей промышленности (18,8%) и товары легкой промышленности (13,0%). Из Румынии ввозились металлы и изделия из них (50,5%), а также топливно-энергетические товары (25,7%).</w:t>
      </w:r>
    </w:p>
    <w:p w:rsidR="001741EE" w:rsidRPr="004B0E6D" w:rsidRDefault="001741EE" w:rsidP="001741EE">
      <w:pPr>
        <w:shd w:val="clear" w:color="auto" w:fill="FFFFFF"/>
        <w:spacing w:after="0" w:line="240" w:lineRule="auto"/>
        <w:ind w:firstLine="709"/>
        <w:contextualSpacing/>
        <w:jc w:val="right"/>
        <w:rPr>
          <w:rFonts w:ascii="Times New Roman" w:hAnsi="Times New Roman"/>
          <w:b/>
          <w:i/>
          <w:sz w:val="24"/>
          <w:szCs w:val="24"/>
        </w:rPr>
      </w:pPr>
      <w:r>
        <w:rPr>
          <w:rFonts w:ascii="Times New Roman" w:hAnsi="Times New Roman"/>
          <w:b/>
          <w:i/>
          <w:sz w:val="24"/>
          <w:szCs w:val="24"/>
        </w:rPr>
        <w:t>Рисунок</w:t>
      </w:r>
      <w:r w:rsidR="002A03A2">
        <w:rPr>
          <w:rFonts w:ascii="Times New Roman" w:hAnsi="Times New Roman"/>
          <w:b/>
          <w:i/>
          <w:sz w:val="24"/>
          <w:szCs w:val="24"/>
        </w:rPr>
        <w:t xml:space="preserve"> 21</w:t>
      </w:r>
    </w:p>
    <w:p w:rsidR="001741EE" w:rsidRPr="002A03A2" w:rsidRDefault="001741EE" w:rsidP="002A03A2">
      <w:pPr>
        <w:spacing w:after="0" w:line="240" w:lineRule="auto"/>
        <w:rPr>
          <w:sz w:val="10"/>
          <w:szCs w:val="10"/>
        </w:rPr>
      </w:pPr>
      <w:r w:rsidRPr="00EF1AD3">
        <w:rPr>
          <w:noProof/>
        </w:rPr>
        <w:drawing>
          <wp:inline distT="0" distB="0" distL="0" distR="0">
            <wp:extent cx="6238875" cy="2524125"/>
            <wp:effectExtent l="0" t="0" r="0" b="0"/>
            <wp:docPr id="58"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741EE" w:rsidRDefault="001741EE" w:rsidP="002A03A2">
      <w:pPr>
        <w:spacing w:after="0" w:line="240" w:lineRule="auto"/>
        <w:ind w:firstLine="709"/>
        <w:jc w:val="both"/>
        <w:rPr>
          <w:rFonts w:ascii="Times New Roman" w:hAnsi="Times New Roman"/>
          <w:sz w:val="24"/>
          <w:szCs w:val="24"/>
        </w:rPr>
      </w:pPr>
      <w:proofErr w:type="gramStart"/>
      <w:r w:rsidRPr="000D2B63">
        <w:rPr>
          <w:rFonts w:ascii="Times New Roman" w:hAnsi="Times New Roman"/>
          <w:sz w:val="24"/>
          <w:szCs w:val="24"/>
        </w:rPr>
        <w:t xml:space="preserve">В целях оказания содействия </w:t>
      </w:r>
      <w:r>
        <w:rPr>
          <w:rFonts w:ascii="Times New Roman" w:hAnsi="Times New Roman"/>
          <w:sz w:val="24"/>
          <w:szCs w:val="24"/>
        </w:rPr>
        <w:t>участникам внешнеэкономической деятельности</w:t>
      </w:r>
      <w:r w:rsidRPr="000D2B63">
        <w:rPr>
          <w:rFonts w:ascii="Times New Roman" w:hAnsi="Times New Roman"/>
          <w:sz w:val="24"/>
          <w:szCs w:val="24"/>
        </w:rPr>
        <w:t xml:space="preserve">, в </w:t>
      </w:r>
      <w:r w:rsidR="002A03A2">
        <w:rPr>
          <w:rFonts w:ascii="Times New Roman" w:hAnsi="Times New Roman"/>
          <w:sz w:val="24"/>
          <w:szCs w:val="24"/>
        </w:rPr>
        <w:t xml:space="preserve">              </w:t>
      </w:r>
      <w:r w:rsidRPr="000D2B63">
        <w:rPr>
          <w:rFonts w:ascii="Times New Roman" w:hAnsi="Times New Roman"/>
          <w:sz w:val="24"/>
          <w:szCs w:val="24"/>
        </w:rPr>
        <w:t xml:space="preserve">2017 году государством проводилась работа по </w:t>
      </w:r>
      <w:proofErr w:type="spellStart"/>
      <w:r w:rsidRPr="000D2B63">
        <w:rPr>
          <w:rFonts w:ascii="Times New Roman" w:hAnsi="Times New Roman"/>
          <w:sz w:val="24"/>
          <w:szCs w:val="24"/>
        </w:rPr>
        <w:t>доформированию</w:t>
      </w:r>
      <w:proofErr w:type="spellEnd"/>
      <w:r w:rsidRPr="000D2B63">
        <w:rPr>
          <w:rFonts w:ascii="Times New Roman" w:hAnsi="Times New Roman"/>
          <w:sz w:val="24"/>
          <w:szCs w:val="24"/>
        </w:rPr>
        <w:t xml:space="preserve"> действующего законодательства, определяющего основные направления государственного регулирования внешнеэкономической деятельности и торговли, принимались меры направленные на обеспечение активизации и развития благоприятных условий </w:t>
      </w:r>
      <w:r w:rsidR="00C77CA1">
        <w:rPr>
          <w:rFonts w:ascii="Times New Roman" w:hAnsi="Times New Roman"/>
          <w:sz w:val="24"/>
          <w:szCs w:val="24"/>
        </w:rPr>
        <w:t>для ведения</w:t>
      </w:r>
      <w:r w:rsidRPr="000D2B63">
        <w:rPr>
          <w:rFonts w:ascii="Times New Roman" w:hAnsi="Times New Roman"/>
          <w:sz w:val="24"/>
          <w:szCs w:val="24"/>
        </w:rPr>
        <w:t xml:space="preserve"> бизнеса в </w:t>
      </w:r>
      <w:r>
        <w:rPr>
          <w:rFonts w:ascii="Times New Roman" w:hAnsi="Times New Roman"/>
          <w:sz w:val="24"/>
          <w:szCs w:val="24"/>
        </w:rPr>
        <w:t>р</w:t>
      </w:r>
      <w:r w:rsidRPr="000D2B63">
        <w:rPr>
          <w:rFonts w:ascii="Times New Roman" w:hAnsi="Times New Roman"/>
          <w:sz w:val="24"/>
          <w:szCs w:val="24"/>
        </w:rPr>
        <w:t>еспублике, оказывалось содействие отечественным производителям-экспортерам, предпринимались меры для защиты внутреннего рынка и отечественных товаропроизводителей.</w:t>
      </w:r>
      <w:proofErr w:type="gramEnd"/>
    </w:p>
    <w:p w:rsidR="001741EE" w:rsidRPr="00A85B81" w:rsidRDefault="001741EE" w:rsidP="001741EE">
      <w:pPr>
        <w:spacing w:after="0" w:line="240" w:lineRule="auto"/>
        <w:ind w:firstLine="709"/>
        <w:jc w:val="both"/>
        <w:rPr>
          <w:rFonts w:ascii="Times New Roman" w:hAnsi="Times New Roman"/>
          <w:sz w:val="24"/>
          <w:szCs w:val="24"/>
        </w:rPr>
      </w:pPr>
      <w:r w:rsidRPr="00A85B81">
        <w:rPr>
          <w:rFonts w:ascii="Times New Roman" w:hAnsi="Times New Roman"/>
          <w:sz w:val="24"/>
          <w:szCs w:val="24"/>
        </w:rPr>
        <w:lastRenderedPageBreak/>
        <w:t>На протяжении 2017 года в рамках визитов приднестровской делегации в Российскую Федерацию состоялись встречи с представителями раз</w:t>
      </w:r>
      <w:r>
        <w:rPr>
          <w:rFonts w:ascii="Times New Roman" w:hAnsi="Times New Roman"/>
          <w:sz w:val="24"/>
          <w:szCs w:val="24"/>
        </w:rPr>
        <w:t>личных</w:t>
      </w:r>
      <w:r w:rsidRPr="00A85B81">
        <w:rPr>
          <w:rFonts w:ascii="Times New Roman" w:hAnsi="Times New Roman"/>
          <w:sz w:val="24"/>
          <w:szCs w:val="24"/>
        </w:rPr>
        <w:t xml:space="preserve"> федеральных и региональных органов государственной власти Р</w:t>
      </w:r>
      <w:r>
        <w:rPr>
          <w:rFonts w:ascii="Times New Roman" w:hAnsi="Times New Roman"/>
          <w:sz w:val="24"/>
          <w:szCs w:val="24"/>
        </w:rPr>
        <w:t xml:space="preserve">оссийской </w:t>
      </w:r>
      <w:r w:rsidRPr="00A85B81">
        <w:rPr>
          <w:rFonts w:ascii="Times New Roman" w:hAnsi="Times New Roman"/>
          <w:sz w:val="24"/>
          <w:szCs w:val="24"/>
        </w:rPr>
        <w:t>Ф</w:t>
      </w:r>
      <w:r>
        <w:rPr>
          <w:rFonts w:ascii="Times New Roman" w:hAnsi="Times New Roman"/>
          <w:sz w:val="24"/>
          <w:szCs w:val="24"/>
        </w:rPr>
        <w:t>едерации</w:t>
      </w:r>
      <w:r w:rsidRPr="00A85B81">
        <w:rPr>
          <w:rFonts w:ascii="Times New Roman" w:hAnsi="Times New Roman"/>
          <w:sz w:val="24"/>
          <w:szCs w:val="24"/>
        </w:rPr>
        <w:t>, в том числе Министерства экономического развития, Министерства промышленности и торговли, Федеральной таможенной службы, достигнуты договоренности с</w:t>
      </w:r>
      <w:r>
        <w:rPr>
          <w:rFonts w:ascii="Times New Roman" w:hAnsi="Times New Roman"/>
          <w:sz w:val="24"/>
          <w:szCs w:val="24"/>
        </w:rPr>
        <w:t xml:space="preserve"> Российским экспортным центром.</w:t>
      </w:r>
    </w:p>
    <w:p w:rsidR="001741EE" w:rsidRPr="00A85B81" w:rsidRDefault="001741EE" w:rsidP="001741EE">
      <w:pPr>
        <w:spacing w:after="0" w:line="240" w:lineRule="auto"/>
        <w:ind w:firstLine="709"/>
        <w:jc w:val="both"/>
        <w:rPr>
          <w:rFonts w:ascii="Times New Roman" w:hAnsi="Times New Roman"/>
          <w:sz w:val="24"/>
          <w:szCs w:val="24"/>
        </w:rPr>
      </w:pPr>
      <w:r w:rsidRPr="00A85B81">
        <w:rPr>
          <w:rFonts w:ascii="Times New Roman" w:hAnsi="Times New Roman"/>
          <w:sz w:val="24"/>
          <w:szCs w:val="24"/>
        </w:rPr>
        <w:t xml:space="preserve">По итогам </w:t>
      </w:r>
      <w:r>
        <w:rPr>
          <w:rFonts w:ascii="Times New Roman" w:hAnsi="Times New Roman"/>
          <w:sz w:val="24"/>
          <w:szCs w:val="24"/>
        </w:rPr>
        <w:t>данных встреч,</w:t>
      </w:r>
      <w:r w:rsidRPr="00A85B81">
        <w:rPr>
          <w:rFonts w:ascii="Times New Roman" w:hAnsi="Times New Roman"/>
          <w:sz w:val="24"/>
          <w:szCs w:val="24"/>
        </w:rPr>
        <w:t xml:space="preserve"> были достигнуты договоренности, в том числе об улучшении механизма идентификации приднестровского экспорта в общем объеме экспорта товаров из </w:t>
      </w:r>
      <w:r>
        <w:rPr>
          <w:rFonts w:ascii="Times New Roman" w:hAnsi="Times New Roman"/>
          <w:sz w:val="24"/>
          <w:szCs w:val="24"/>
        </w:rPr>
        <w:t xml:space="preserve">Республики </w:t>
      </w:r>
      <w:r w:rsidRPr="00A85B81">
        <w:rPr>
          <w:rFonts w:ascii="Times New Roman" w:hAnsi="Times New Roman"/>
          <w:sz w:val="24"/>
          <w:szCs w:val="24"/>
        </w:rPr>
        <w:t>Молдов</w:t>
      </w:r>
      <w:r>
        <w:rPr>
          <w:rFonts w:ascii="Times New Roman" w:hAnsi="Times New Roman"/>
          <w:sz w:val="24"/>
          <w:szCs w:val="24"/>
        </w:rPr>
        <w:t>а</w:t>
      </w:r>
      <w:r w:rsidRPr="00A85B81">
        <w:rPr>
          <w:rFonts w:ascii="Times New Roman" w:hAnsi="Times New Roman"/>
          <w:sz w:val="24"/>
          <w:szCs w:val="24"/>
        </w:rPr>
        <w:t xml:space="preserve"> посредством применения Федеральной таможенной службы РФ</w:t>
      </w:r>
      <w:r>
        <w:rPr>
          <w:rFonts w:ascii="Times New Roman" w:hAnsi="Times New Roman"/>
          <w:sz w:val="24"/>
          <w:szCs w:val="24"/>
        </w:rPr>
        <w:t xml:space="preserve"> </w:t>
      </w:r>
      <w:r w:rsidRPr="00A85B81">
        <w:rPr>
          <w:rFonts w:ascii="Times New Roman" w:hAnsi="Times New Roman"/>
          <w:sz w:val="24"/>
          <w:szCs w:val="24"/>
        </w:rPr>
        <w:t xml:space="preserve">совместно с </w:t>
      </w:r>
      <w:r>
        <w:rPr>
          <w:rFonts w:ascii="Times New Roman" w:hAnsi="Times New Roman"/>
          <w:sz w:val="24"/>
          <w:szCs w:val="24"/>
        </w:rPr>
        <w:t>Государственным таможенным комитетом</w:t>
      </w:r>
      <w:r w:rsidRPr="00A85B81">
        <w:rPr>
          <w:rFonts w:ascii="Times New Roman" w:hAnsi="Times New Roman"/>
          <w:sz w:val="24"/>
          <w:szCs w:val="24"/>
        </w:rPr>
        <w:t xml:space="preserve"> ПМР системы обмена информацией о товарах и транспортных средствах, перемещаемых между Р</w:t>
      </w:r>
      <w:r>
        <w:rPr>
          <w:rFonts w:ascii="Times New Roman" w:hAnsi="Times New Roman"/>
          <w:sz w:val="24"/>
          <w:szCs w:val="24"/>
        </w:rPr>
        <w:t>оссией</w:t>
      </w:r>
      <w:r w:rsidRPr="00A85B81">
        <w:rPr>
          <w:rFonts w:ascii="Times New Roman" w:hAnsi="Times New Roman"/>
          <w:sz w:val="24"/>
          <w:szCs w:val="24"/>
        </w:rPr>
        <w:t xml:space="preserve"> и П</w:t>
      </w:r>
      <w:r>
        <w:rPr>
          <w:rFonts w:ascii="Times New Roman" w:hAnsi="Times New Roman"/>
          <w:sz w:val="24"/>
          <w:szCs w:val="24"/>
        </w:rPr>
        <w:t>риднестровьем</w:t>
      </w:r>
      <w:r w:rsidRPr="00A85B81">
        <w:rPr>
          <w:rFonts w:ascii="Times New Roman" w:hAnsi="Times New Roman"/>
          <w:sz w:val="24"/>
          <w:szCs w:val="24"/>
        </w:rPr>
        <w:t>.</w:t>
      </w:r>
    </w:p>
    <w:p w:rsidR="001741EE" w:rsidRPr="000D2B63" w:rsidRDefault="001741EE" w:rsidP="001741EE">
      <w:pPr>
        <w:spacing w:after="0" w:line="240" w:lineRule="auto"/>
        <w:ind w:firstLine="709"/>
        <w:jc w:val="both"/>
        <w:rPr>
          <w:rFonts w:ascii="Times New Roman" w:hAnsi="Times New Roman"/>
          <w:sz w:val="24"/>
          <w:szCs w:val="24"/>
        </w:rPr>
      </w:pPr>
      <w:r w:rsidRPr="00A85B81">
        <w:rPr>
          <w:rFonts w:ascii="Times New Roman" w:hAnsi="Times New Roman"/>
          <w:sz w:val="24"/>
          <w:szCs w:val="24"/>
        </w:rPr>
        <w:t xml:space="preserve">Также </w:t>
      </w:r>
      <w:r>
        <w:rPr>
          <w:rFonts w:ascii="Times New Roman" w:hAnsi="Times New Roman"/>
          <w:sz w:val="24"/>
          <w:szCs w:val="24"/>
        </w:rPr>
        <w:t xml:space="preserve">проводилась </w:t>
      </w:r>
      <w:r w:rsidRPr="00A85B81">
        <w:rPr>
          <w:rFonts w:ascii="Times New Roman" w:hAnsi="Times New Roman"/>
          <w:sz w:val="24"/>
          <w:szCs w:val="24"/>
        </w:rPr>
        <w:t xml:space="preserve">работа, направленная на усиление взаимодействия с регионами Российской Федерации, приоритетными из которых являются Московская, Брянская, Орловская, Калужская области Российской Федерации. В </w:t>
      </w:r>
      <w:r>
        <w:rPr>
          <w:rFonts w:ascii="Times New Roman" w:hAnsi="Times New Roman"/>
          <w:sz w:val="24"/>
          <w:szCs w:val="24"/>
        </w:rPr>
        <w:t xml:space="preserve">данные </w:t>
      </w:r>
      <w:r w:rsidRPr="00A85B81">
        <w:rPr>
          <w:rFonts w:ascii="Times New Roman" w:hAnsi="Times New Roman"/>
          <w:sz w:val="24"/>
          <w:szCs w:val="24"/>
        </w:rPr>
        <w:t xml:space="preserve">области направлены на рассмотрение проекты </w:t>
      </w:r>
      <w:r>
        <w:rPr>
          <w:rFonts w:ascii="Times New Roman" w:hAnsi="Times New Roman"/>
          <w:sz w:val="24"/>
          <w:szCs w:val="24"/>
        </w:rPr>
        <w:t>м</w:t>
      </w:r>
      <w:r w:rsidRPr="00A85B81">
        <w:rPr>
          <w:rFonts w:ascii="Times New Roman" w:hAnsi="Times New Roman"/>
          <w:sz w:val="24"/>
          <w:szCs w:val="24"/>
        </w:rPr>
        <w:t xml:space="preserve">еморандумов о сотрудничестве и </w:t>
      </w:r>
      <w:r>
        <w:rPr>
          <w:rFonts w:ascii="Times New Roman" w:hAnsi="Times New Roman"/>
          <w:sz w:val="24"/>
          <w:szCs w:val="24"/>
        </w:rPr>
        <w:t>п</w:t>
      </w:r>
      <w:r w:rsidRPr="00A85B81">
        <w:rPr>
          <w:rFonts w:ascii="Times New Roman" w:hAnsi="Times New Roman"/>
          <w:sz w:val="24"/>
          <w:szCs w:val="24"/>
        </w:rPr>
        <w:t>рограмм взаимодействия, разработанные в отношении каждого отдельно региона.</w:t>
      </w:r>
    </w:p>
    <w:p w:rsidR="001741EE" w:rsidRDefault="001741EE" w:rsidP="003F5257">
      <w:pPr>
        <w:shd w:val="clear" w:color="auto" w:fill="FFFFFF"/>
        <w:spacing w:after="0" w:line="240" w:lineRule="auto"/>
        <w:ind w:firstLine="709"/>
        <w:jc w:val="both"/>
        <w:rPr>
          <w:rFonts w:ascii="Times New Roman" w:hAnsi="Times New Roman"/>
          <w:sz w:val="24"/>
          <w:szCs w:val="24"/>
          <w:u w:val="single"/>
        </w:rPr>
      </w:pPr>
    </w:p>
    <w:p w:rsidR="00335844" w:rsidRPr="0080737A" w:rsidRDefault="00335844" w:rsidP="00335844">
      <w:pPr>
        <w:widowControl w:val="0"/>
        <w:autoSpaceDE w:val="0"/>
        <w:autoSpaceDN w:val="0"/>
        <w:adjustRightInd w:val="0"/>
        <w:spacing w:after="0" w:line="240" w:lineRule="auto"/>
        <w:ind w:firstLine="709"/>
        <w:jc w:val="both"/>
        <w:rPr>
          <w:rFonts w:ascii="Times New Roman" w:eastAsia="Calibri" w:hAnsi="Times New Roman"/>
          <w:b/>
          <w:sz w:val="24"/>
          <w:szCs w:val="24"/>
          <w:lang w:eastAsia="en-US"/>
        </w:rPr>
      </w:pPr>
      <w:r w:rsidRPr="00EE2767">
        <w:rPr>
          <w:rFonts w:ascii="Times New Roman" w:eastAsia="Calibri" w:hAnsi="Times New Roman"/>
          <w:b/>
          <w:sz w:val="24"/>
          <w:szCs w:val="24"/>
          <w:lang w:eastAsia="en-US"/>
        </w:rPr>
        <w:t>Инвестиционная деятельность</w:t>
      </w:r>
    </w:p>
    <w:p w:rsidR="00335844" w:rsidRDefault="00335844" w:rsidP="00335844">
      <w:pPr>
        <w:widowControl w:val="0"/>
        <w:shd w:val="clear" w:color="auto" w:fill="FFFFFF"/>
        <w:spacing w:after="0" w:line="240" w:lineRule="auto"/>
        <w:ind w:firstLine="709"/>
        <w:jc w:val="both"/>
        <w:rPr>
          <w:rFonts w:ascii="Times New Roman" w:eastAsia="Calibri" w:hAnsi="Times New Roman"/>
          <w:sz w:val="24"/>
          <w:szCs w:val="24"/>
          <w:lang w:eastAsia="en-US"/>
        </w:rPr>
      </w:pPr>
    </w:p>
    <w:p w:rsidR="002A03A2" w:rsidRDefault="002A03A2" w:rsidP="002A03A2">
      <w:pPr>
        <w:spacing w:after="0" w:line="240" w:lineRule="auto"/>
        <w:ind w:firstLine="709"/>
        <w:jc w:val="both"/>
        <w:rPr>
          <w:rFonts w:ascii="Times New Roman" w:hAnsi="Times New Roman"/>
          <w:sz w:val="24"/>
          <w:szCs w:val="24"/>
        </w:rPr>
      </w:pPr>
      <w:r>
        <w:rPr>
          <w:rFonts w:ascii="Times New Roman" w:hAnsi="Times New Roman"/>
          <w:sz w:val="24"/>
          <w:szCs w:val="24"/>
        </w:rPr>
        <w:t>В 2017 году инвестиционная активность в республике оставалась слабой и предопределила снисходящий тренд вложений</w:t>
      </w:r>
      <w:r w:rsidRPr="003F67B2">
        <w:rPr>
          <w:rFonts w:ascii="Times New Roman" w:hAnsi="Times New Roman"/>
          <w:sz w:val="24"/>
          <w:szCs w:val="24"/>
        </w:rPr>
        <w:t xml:space="preserve"> в основной капитал</w:t>
      </w:r>
      <w:r>
        <w:rPr>
          <w:rFonts w:ascii="Times New Roman" w:hAnsi="Times New Roman"/>
          <w:sz w:val="24"/>
          <w:szCs w:val="24"/>
        </w:rPr>
        <w:t>. В целом по итогам               2017 года совокупный объём инвестиций в основной капитал с учетом субъектов малого предпринимательства и индивидуальных застройщиков составил 1 023,9 млн руб., снизившись к базисной отметке на 25,1%.</w:t>
      </w:r>
    </w:p>
    <w:p w:rsidR="002A03A2" w:rsidRPr="0032296E" w:rsidRDefault="002A03A2" w:rsidP="002A03A2">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Величина долгосрочных вложений на развитие и обновление основных фондов по организациям всех форм собственности (в части новых и приобретенных по импорту основных средств) кроме субъектов малого предпринимательства уменьшилась на 24,6%</w:t>
      </w:r>
      <w:r w:rsidRPr="003F67B2">
        <w:rPr>
          <w:rFonts w:ascii="Times New Roman" w:hAnsi="Times New Roman"/>
          <w:sz w:val="24"/>
          <w:szCs w:val="24"/>
        </w:rPr>
        <w:t xml:space="preserve"> </w:t>
      </w:r>
      <w:r>
        <w:rPr>
          <w:rFonts w:ascii="Times New Roman" w:hAnsi="Times New Roman"/>
          <w:sz w:val="24"/>
          <w:szCs w:val="24"/>
        </w:rPr>
        <w:t xml:space="preserve">(в текущих ценах) до 818,0 млн руб. </w:t>
      </w:r>
      <w:r w:rsidRPr="005559D4">
        <w:rPr>
          <w:rFonts w:ascii="Times New Roman" w:hAnsi="Times New Roman"/>
          <w:sz w:val="24"/>
          <w:szCs w:val="24"/>
        </w:rPr>
        <w:t xml:space="preserve">При </w:t>
      </w:r>
      <w:r>
        <w:rPr>
          <w:rFonts w:ascii="Times New Roman" w:hAnsi="Times New Roman"/>
          <w:sz w:val="24"/>
          <w:szCs w:val="24"/>
        </w:rPr>
        <w:t xml:space="preserve">этом </w:t>
      </w:r>
      <w:r w:rsidRPr="005559D4">
        <w:rPr>
          <w:rFonts w:ascii="Times New Roman" w:hAnsi="Times New Roman"/>
          <w:sz w:val="24"/>
          <w:szCs w:val="24"/>
        </w:rPr>
        <w:t>анализ технологической структуры инвестиций</w:t>
      </w:r>
      <w:r>
        <w:rPr>
          <w:rFonts w:ascii="Times New Roman" w:hAnsi="Times New Roman"/>
          <w:sz w:val="24"/>
          <w:szCs w:val="24"/>
        </w:rPr>
        <w:t xml:space="preserve"> (рис. 22),</w:t>
      </w:r>
      <w:r w:rsidRPr="00286F8F">
        <w:rPr>
          <w:rFonts w:ascii="Times New Roman" w:hAnsi="Times New Roman"/>
          <w:sz w:val="24"/>
          <w:szCs w:val="24"/>
        </w:rPr>
        <w:t xml:space="preserve"> </w:t>
      </w:r>
      <w:r>
        <w:rPr>
          <w:rFonts w:ascii="Times New Roman" w:hAnsi="Times New Roman"/>
          <w:sz w:val="24"/>
          <w:szCs w:val="24"/>
        </w:rPr>
        <w:t>учитывая существующую возрастную структуру основных производственных фондов,</w:t>
      </w:r>
      <w:r w:rsidRPr="005559D4">
        <w:rPr>
          <w:rFonts w:ascii="Times New Roman" w:hAnsi="Times New Roman"/>
          <w:sz w:val="24"/>
          <w:szCs w:val="24"/>
        </w:rPr>
        <w:t xml:space="preserve"> </w:t>
      </w:r>
      <w:r>
        <w:rPr>
          <w:rFonts w:ascii="Times New Roman" w:hAnsi="Times New Roman"/>
          <w:sz w:val="24"/>
          <w:szCs w:val="24"/>
        </w:rPr>
        <w:t>свидетельствует</w:t>
      </w:r>
      <w:r w:rsidRPr="005559D4">
        <w:rPr>
          <w:rFonts w:ascii="Times New Roman" w:hAnsi="Times New Roman"/>
          <w:sz w:val="24"/>
          <w:szCs w:val="24"/>
        </w:rPr>
        <w:t xml:space="preserve">, что </w:t>
      </w:r>
      <w:r>
        <w:rPr>
          <w:rFonts w:ascii="Times New Roman" w:hAnsi="Times New Roman"/>
          <w:sz w:val="24"/>
          <w:szCs w:val="24"/>
        </w:rPr>
        <w:t xml:space="preserve">56,6% </w:t>
      </w:r>
      <w:r w:rsidRPr="005559D4">
        <w:rPr>
          <w:rFonts w:ascii="Times New Roman" w:hAnsi="Times New Roman"/>
          <w:sz w:val="24"/>
          <w:szCs w:val="24"/>
        </w:rPr>
        <w:t>инвестици</w:t>
      </w:r>
      <w:r>
        <w:rPr>
          <w:rFonts w:ascii="Times New Roman" w:hAnsi="Times New Roman"/>
          <w:sz w:val="24"/>
          <w:szCs w:val="24"/>
        </w:rPr>
        <w:t xml:space="preserve">й было </w:t>
      </w:r>
      <w:r w:rsidRPr="005559D4">
        <w:rPr>
          <w:rFonts w:ascii="Times New Roman" w:hAnsi="Times New Roman"/>
          <w:sz w:val="24"/>
          <w:szCs w:val="24"/>
        </w:rPr>
        <w:t>направл</w:t>
      </w:r>
      <w:r>
        <w:rPr>
          <w:rFonts w:ascii="Times New Roman" w:hAnsi="Times New Roman"/>
          <w:sz w:val="24"/>
          <w:szCs w:val="24"/>
        </w:rPr>
        <w:t>ено</w:t>
      </w:r>
      <w:r w:rsidRPr="005559D4">
        <w:rPr>
          <w:rFonts w:ascii="Times New Roman" w:hAnsi="Times New Roman"/>
          <w:sz w:val="24"/>
          <w:szCs w:val="24"/>
        </w:rPr>
        <w:t xml:space="preserve"> на закупку</w:t>
      </w:r>
      <w:proofErr w:type="gramEnd"/>
      <w:r w:rsidRPr="005559D4">
        <w:rPr>
          <w:rFonts w:ascii="Times New Roman" w:hAnsi="Times New Roman"/>
          <w:sz w:val="24"/>
          <w:szCs w:val="24"/>
        </w:rPr>
        <w:t xml:space="preserve"> нового оборудования и инвентаря</w:t>
      </w:r>
      <w:r>
        <w:rPr>
          <w:rFonts w:ascii="Times New Roman" w:hAnsi="Times New Roman"/>
          <w:sz w:val="24"/>
          <w:szCs w:val="24"/>
        </w:rPr>
        <w:t>, на</w:t>
      </w:r>
      <w:r w:rsidRPr="005559D4">
        <w:rPr>
          <w:rFonts w:ascii="Times New Roman" w:hAnsi="Times New Roman"/>
          <w:sz w:val="24"/>
          <w:szCs w:val="24"/>
        </w:rPr>
        <w:t xml:space="preserve"> строительно-монтажные работы</w:t>
      </w:r>
      <w:r>
        <w:rPr>
          <w:rFonts w:ascii="Times New Roman" w:hAnsi="Times New Roman"/>
          <w:sz w:val="24"/>
          <w:szCs w:val="24"/>
        </w:rPr>
        <w:t xml:space="preserve"> пришлось соответственно 40,6% вложений.</w:t>
      </w:r>
      <w:r w:rsidRPr="000E2534">
        <w:rPr>
          <w:rFonts w:ascii="Times New Roman" w:hAnsi="Times New Roman"/>
          <w:sz w:val="24"/>
          <w:szCs w:val="24"/>
        </w:rPr>
        <w:t xml:space="preserve"> </w:t>
      </w:r>
      <w:r>
        <w:rPr>
          <w:rFonts w:ascii="Times New Roman" w:hAnsi="Times New Roman"/>
          <w:sz w:val="24"/>
          <w:szCs w:val="24"/>
        </w:rPr>
        <w:t xml:space="preserve">При этом масштабы вложений сузились как </w:t>
      </w:r>
      <w:r w:rsidRPr="003F67B2">
        <w:rPr>
          <w:rFonts w:ascii="Times New Roman" w:hAnsi="Times New Roman"/>
          <w:sz w:val="24"/>
          <w:szCs w:val="24"/>
        </w:rPr>
        <w:t xml:space="preserve">на </w:t>
      </w:r>
      <w:r w:rsidRPr="003F67B2">
        <w:rPr>
          <w:rFonts w:ascii="Times New Roman" w:hAnsi="Times New Roman"/>
          <w:spacing w:val="4"/>
          <w:sz w:val="24"/>
          <w:szCs w:val="24"/>
        </w:rPr>
        <w:t>обновление машин, оборудования, транспортных средств</w:t>
      </w:r>
      <w:r>
        <w:rPr>
          <w:rFonts w:ascii="Times New Roman" w:hAnsi="Times New Roman"/>
          <w:spacing w:val="4"/>
          <w:sz w:val="24"/>
          <w:szCs w:val="24"/>
        </w:rPr>
        <w:t xml:space="preserve"> (</w:t>
      </w:r>
      <w:r w:rsidRPr="003F67B2">
        <w:rPr>
          <w:rFonts w:ascii="Times New Roman" w:hAnsi="Times New Roman"/>
          <w:sz w:val="24"/>
          <w:szCs w:val="24"/>
        </w:rPr>
        <w:t>-</w:t>
      </w:r>
      <w:r>
        <w:rPr>
          <w:rFonts w:ascii="Times New Roman" w:hAnsi="Times New Roman"/>
          <w:sz w:val="24"/>
          <w:szCs w:val="24"/>
        </w:rPr>
        <w:t>22,7% до 463,4</w:t>
      </w:r>
      <w:r w:rsidRPr="003F67B2">
        <w:rPr>
          <w:rFonts w:ascii="Times New Roman" w:hAnsi="Times New Roman"/>
          <w:sz w:val="24"/>
          <w:szCs w:val="24"/>
        </w:rPr>
        <w:t xml:space="preserve"> млн руб.)</w:t>
      </w:r>
      <w:r>
        <w:rPr>
          <w:rFonts w:ascii="Times New Roman" w:hAnsi="Times New Roman"/>
          <w:sz w:val="24"/>
          <w:szCs w:val="24"/>
        </w:rPr>
        <w:t xml:space="preserve">, так и на </w:t>
      </w:r>
      <w:r w:rsidRPr="003F67B2">
        <w:rPr>
          <w:rFonts w:ascii="Times New Roman" w:hAnsi="Times New Roman"/>
          <w:sz w:val="24"/>
          <w:szCs w:val="24"/>
        </w:rPr>
        <w:t xml:space="preserve">финансирование строительно-монтажных работ </w:t>
      </w:r>
      <w:r>
        <w:rPr>
          <w:rFonts w:ascii="Times New Roman" w:hAnsi="Times New Roman"/>
          <w:sz w:val="24"/>
          <w:szCs w:val="24"/>
        </w:rPr>
        <w:t>(</w:t>
      </w:r>
      <w:r>
        <w:rPr>
          <w:rFonts w:ascii="Times New Roman" w:hAnsi="Times New Roman"/>
          <w:spacing w:val="4"/>
          <w:sz w:val="24"/>
          <w:szCs w:val="24"/>
        </w:rPr>
        <w:t>-25,1</w:t>
      </w:r>
      <w:r w:rsidRPr="003F67B2">
        <w:rPr>
          <w:rFonts w:ascii="Times New Roman" w:hAnsi="Times New Roman"/>
          <w:sz w:val="24"/>
          <w:szCs w:val="24"/>
        </w:rPr>
        <w:t>%</w:t>
      </w:r>
      <w:r>
        <w:rPr>
          <w:rFonts w:ascii="Times New Roman" w:hAnsi="Times New Roman"/>
          <w:sz w:val="24"/>
          <w:szCs w:val="24"/>
        </w:rPr>
        <w:t xml:space="preserve"> до 332,4</w:t>
      </w:r>
      <w:r w:rsidRPr="003F67B2">
        <w:rPr>
          <w:rFonts w:ascii="Times New Roman" w:hAnsi="Times New Roman"/>
          <w:sz w:val="24"/>
          <w:szCs w:val="24"/>
        </w:rPr>
        <w:t xml:space="preserve"> </w:t>
      </w:r>
      <w:r w:rsidRPr="003F67B2">
        <w:rPr>
          <w:rFonts w:ascii="Times New Roman" w:hAnsi="Times New Roman"/>
          <w:spacing w:val="4"/>
          <w:sz w:val="24"/>
          <w:szCs w:val="24"/>
        </w:rPr>
        <w:t>млн руб.</w:t>
      </w:r>
      <w:r w:rsidRPr="003F67B2">
        <w:rPr>
          <w:rFonts w:ascii="Times New Roman" w:hAnsi="Times New Roman"/>
          <w:sz w:val="24"/>
          <w:szCs w:val="24"/>
        </w:rPr>
        <w:t xml:space="preserve">). </w:t>
      </w:r>
    </w:p>
    <w:p w:rsidR="002A03A2" w:rsidRPr="004B0E6D" w:rsidRDefault="002A03A2" w:rsidP="002A03A2">
      <w:pPr>
        <w:shd w:val="clear" w:color="auto" w:fill="FFFFFF"/>
        <w:spacing w:after="0" w:line="240" w:lineRule="auto"/>
        <w:ind w:firstLine="709"/>
        <w:contextualSpacing/>
        <w:jc w:val="right"/>
        <w:rPr>
          <w:rFonts w:ascii="Times New Roman" w:hAnsi="Times New Roman"/>
          <w:b/>
          <w:i/>
          <w:sz w:val="24"/>
          <w:szCs w:val="24"/>
        </w:rPr>
      </w:pPr>
      <w:r>
        <w:rPr>
          <w:rFonts w:ascii="Times New Roman" w:hAnsi="Times New Roman"/>
          <w:b/>
          <w:i/>
          <w:sz w:val="24"/>
          <w:szCs w:val="24"/>
        </w:rPr>
        <w:t>Рисунок 22</w:t>
      </w:r>
    </w:p>
    <w:p w:rsidR="002A03A2" w:rsidRPr="002A03A2" w:rsidRDefault="002A03A2" w:rsidP="002A03A2">
      <w:pPr>
        <w:spacing w:after="0" w:line="240" w:lineRule="auto"/>
        <w:ind w:left="-567" w:firstLine="141"/>
        <w:jc w:val="right"/>
        <w:rPr>
          <w:rFonts w:ascii="Times New Roman" w:hAnsi="Times New Roman"/>
          <w:sz w:val="10"/>
          <w:szCs w:val="10"/>
        </w:rPr>
      </w:pPr>
      <w:r>
        <w:rPr>
          <w:noProof/>
        </w:rPr>
        <w:drawing>
          <wp:inline distT="0" distB="0" distL="0" distR="0">
            <wp:extent cx="6534150" cy="2781300"/>
            <wp:effectExtent l="0" t="0" r="0" b="0"/>
            <wp:docPr id="59"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A03A2" w:rsidRDefault="002A03A2" w:rsidP="002A03A2">
      <w:pPr>
        <w:spacing w:after="0" w:line="240" w:lineRule="auto"/>
        <w:ind w:firstLine="709"/>
        <w:jc w:val="both"/>
        <w:rPr>
          <w:rFonts w:ascii="Times New Roman" w:eastAsia="Calibri" w:hAnsi="Times New Roman"/>
          <w:spacing w:val="2"/>
          <w:sz w:val="24"/>
          <w:szCs w:val="24"/>
          <w:lang w:eastAsia="en-US"/>
        </w:rPr>
      </w:pPr>
      <w:r w:rsidRPr="0036603D">
        <w:rPr>
          <w:rFonts w:ascii="Times New Roman" w:eastAsia="Calibri" w:hAnsi="Times New Roman"/>
          <w:spacing w:val="3"/>
          <w:sz w:val="24"/>
          <w:szCs w:val="24"/>
          <w:lang w:eastAsia="en-US"/>
        </w:rPr>
        <w:t xml:space="preserve">Рассматривая инвестиционные потоки в разрезе объектов производственного и непроизводственного назначения (рис. </w:t>
      </w:r>
      <w:r w:rsidR="00574AB2">
        <w:rPr>
          <w:rFonts w:ascii="Times New Roman" w:eastAsia="Calibri" w:hAnsi="Times New Roman"/>
          <w:spacing w:val="3"/>
          <w:sz w:val="24"/>
          <w:szCs w:val="24"/>
          <w:lang w:eastAsia="en-US"/>
        </w:rPr>
        <w:t>23</w:t>
      </w:r>
      <w:r w:rsidRPr="0036603D">
        <w:rPr>
          <w:rFonts w:ascii="Times New Roman" w:eastAsia="Calibri" w:hAnsi="Times New Roman"/>
          <w:spacing w:val="3"/>
          <w:sz w:val="24"/>
          <w:szCs w:val="24"/>
          <w:lang w:eastAsia="en-US"/>
        </w:rPr>
        <w:t>), необходимо отметить, что большая их часть (</w:t>
      </w:r>
      <w:r>
        <w:rPr>
          <w:rFonts w:ascii="Times New Roman" w:eastAsia="Calibri" w:hAnsi="Times New Roman"/>
          <w:spacing w:val="3"/>
          <w:sz w:val="24"/>
          <w:szCs w:val="24"/>
          <w:lang w:eastAsia="en-US"/>
        </w:rPr>
        <w:t>75,0</w:t>
      </w:r>
      <w:r w:rsidRPr="0036603D">
        <w:rPr>
          <w:rFonts w:ascii="Times New Roman" w:eastAsia="Calibri" w:hAnsi="Times New Roman"/>
          <w:spacing w:val="3"/>
          <w:sz w:val="24"/>
          <w:szCs w:val="24"/>
          <w:lang w:eastAsia="en-US"/>
        </w:rPr>
        <w:t xml:space="preserve">%) приходится на строительство, расширение, реконструкцию и техническое </w:t>
      </w:r>
      <w:r w:rsidRPr="0036603D">
        <w:rPr>
          <w:rFonts w:ascii="Times New Roman" w:eastAsia="Calibri" w:hAnsi="Times New Roman"/>
          <w:spacing w:val="3"/>
          <w:sz w:val="24"/>
          <w:szCs w:val="24"/>
          <w:lang w:eastAsia="en-US"/>
        </w:rPr>
        <w:lastRenderedPageBreak/>
        <w:t xml:space="preserve">перевооружение объектов производственного назначения, объем </w:t>
      </w:r>
      <w:proofErr w:type="gramStart"/>
      <w:r w:rsidRPr="0036603D">
        <w:rPr>
          <w:rFonts w:ascii="Times New Roman" w:eastAsia="Calibri" w:hAnsi="Times New Roman"/>
          <w:spacing w:val="3"/>
          <w:sz w:val="24"/>
          <w:szCs w:val="24"/>
          <w:lang w:eastAsia="en-US"/>
        </w:rPr>
        <w:t>вложений</w:t>
      </w:r>
      <w:proofErr w:type="gramEnd"/>
      <w:r w:rsidRPr="0036603D">
        <w:rPr>
          <w:rFonts w:ascii="Times New Roman" w:eastAsia="Calibri" w:hAnsi="Times New Roman"/>
          <w:spacing w:val="3"/>
          <w:sz w:val="24"/>
          <w:szCs w:val="24"/>
          <w:lang w:eastAsia="en-US"/>
        </w:rPr>
        <w:t xml:space="preserve"> в которые в 2017 году снизился до </w:t>
      </w:r>
      <w:r>
        <w:rPr>
          <w:rFonts w:ascii="Times New Roman" w:eastAsia="Calibri" w:hAnsi="Times New Roman"/>
          <w:spacing w:val="3"/>
          <w:sz w:val="24"/>
          <w:szCs w:val="24"/>
          <w:lang w:eastAsia="en-US"/>
        </w:rPr>
        <w:t>614,3</w:t>
      </w:r>
      <w:r w:rsidRPr="0036603D">
        <w:rPr>
          <w:rFonts w:ascii="Times New Roman" w:eastAsia="Calibri" w:hAnsi="Times New Roman"/>
          <w:spacing w:val="3"/>
          <w:sz w:val="24"/>
          <w:szCs w:val="24"/>
          <w:lang w:eastAsia="en-US"/>
        </w:rPr>
        <w:t xml:space="preserve"> млн руб. (</w:t>
      </w:r>
      <w:r>
        <w:rPr>
          <w:rFonts w:ascii="Times New Roman" w:eastAsia="Calibri" w:hAnsi="Times New Roman"/>
          <w:spacing w:val="3"/>
          <w:sz w:val="24"/>
          <w:szCs w:val="24"/>
          <w:lang w:eastAsia="en-US"/>
        </w:rPr>
        <w:t>-26,0%</w:t>
      </w:r>
      <w:r w:rsidRPr="0036603D">
        <w:rPr>
          <w:rFonts w:ascii="Times New Roman" w:eastAsia="Calibri" w:hAnsi="Times New Roman"/>
          <w:spacing w:val="3"/>
          <w:sz w:val="24"/>
          <w:szCs w:val="24"/>
          <w:lang w:eastAsia="en-US"/>
        </w:rPr>
        <w:t xml:space="preserve">). Динамика средств, направленных на обновление объектов </w:t>
      </w:r>
      <w:r w:rsidRPr="0036603D">
        <w:rPr>
          <w:rFonts w:ascii="Times New Roman" w:eastAsia="Calibri" w:hAnsi="Times New Roman"/>
          <w:spacing w:val="2"/>
          <w:sz w:val="24"/>
          <w:szCs w:val="24"/>
          <w:lang w:eastAsia="en-US"/>
        </w:rPr>
        <w:t>непроизводственного назначения</w:t>
      </w:r>
      <w:r w:rsidRPr="008C4B2D">
        <w:rPr>
          <w:rFonts w:ascii="Times New Roman" w:eastAsia="Calibri" w:hAnsi="Times New Roman"/>
          <w:spacing w:val="2"/>
          <w:sz w:val="24"/>
          <w:szCs w:val="24"/>
          <w:lang w:eastAsia="en-US"/>
        </w:rPr>
        <w:t xml:space="preserve"> </w:t>
      </w:r>
      <w:r>
        <w:rPr>
          <w:rFonts w:ascii="Times New Roman" w:eastAsia="Calibri" w:hAnsi="Times New Roman"/>
          <w:spacing w:val="2"/>
          <w:sz w:val="24"/>
          <w:szCs w:val="24"/>
          <w:lang w:eastAsia="en-US"/>
        </w:rPr>
        <w:t>в 2017 году</w:t>
      </w:r>
      <w:r w:rsidRPr="0036603D">
        <w:rPr>
          <w:rFonts w:ascii="Times New Roman" w:eastAsia="Calibri" w:hAnsi="Times New Roman"/>
          <w:spacing w:val="2"/>
          <w:sz w:val="24"/>
          <w:szCs w:val="24"/>
          <w:lang w:eastAsia="en-US"/>
        </w:rPr>
        <w:t>,</w:t>
      </w:r>
      <w:r>
        <w:rPr>
          <w:rFonts w:ascii="Times New Roman" w:eastAsia="Calibri" w:hAnsi="Times New Roman"/>
          <w:b/>
          <w:spacing w:val="2"/>
          <w:sz w:val="24"/>
          <w:szCs w:val="24"/>
          <w:lang w:eastAsia="en-US"/>
        </w:rPr>
        <w:t xml:space="preserve"> </w:t>
      </w:r>
      <w:r w:rsidRPr="00BB759A">
        <w:rPr>
          <w:rFonts w:ascii="Times New Roman" w:eastAsia="Calibri" w:hAnsi="Times New Roman"/>
          <w:spacing w:val="2"/>
          <w:sz w:val="24"/>
          <w:szCs w:val="24"/>
          <w:lang w:eastAsia="en-US"/>
        </w:rPr>
        <w:t xml:space="preserve">демонстрировала </w:t>
      </w:r>
      <w:r>
        <w:rPr>
          <w:rFonts w:ascii="Times New Roman" w:eastAsia="Calibri" w:hAnsi="Times New Roman"/>
          <w:spacing w:val="2"/>
          <w:sz w:val="24"/>
          <w:szCs w:val="24"/>
          <w:lang w:eastAsia="en-US"/>
        </w:rPr>
        <w:t xml:space="preserve">более сдержанные темпы падения (-20,1%), сократившись в абсолютной величине до </w:t>
      </w:r>
      <w:r w:rsidR="00574AB2">
        <w:rPr>
          <w:rFonts w:ascii="Times New Roman" w:eastAsia="Calibri" w:hAnsi="Times New Roman"/>
          <w:spacing w:val="2"/>
          <w:sz w:val="24"/>
          <w:szCs w:val="24"/>
          <w:lang w:eastAsia="en-US"/>
        </w:rPr>
        <w:t xml:space="preserve">                      </w:t>
      </w:r>
      <w:r>
        <w:rPr>
          <w:rFonts w:ascii="Times New Roman" w:eastAsia="Calibri" w:hAnsi="Times New Roman"/>
          <w:spacing w:val="2"/>
          <w:sz w:val="24"/>
          <w:szCs w:val="24"/>
          <w:lang w:eastAsia="en-US"/>
        </w:rPr>
        <w:t>203,8 млн руб.</w:t>
      </w:r>
    </w:p>
    <w:p w:rsidR="00574AB2" w:rsidRPr="004B0E6D" w:rsidRDefault="00574AB2" w:rsidP="00574AB2">
      <w:pPr>
        <w:shd w:val="clear" w:color="auto" w:fill="FFFFFF"/>
        <w:spacing w:after="0" w:line="240" w:lineRule="auto"/>
        <w:ind w:firstLine="709"/>
        <w:contextualSpacing/>
        <w:jc w:val="right"/>
        <w:rPr>
          <w:rFonts w:ascii="Times New Roman" w:hAnsi="Times New Roman"/>
          <w:b/>
          <w:i/>
          <w:sz w:val="24"/>
          <w:szCs w:val="24"/>
        </w:rPr>
      </w:pPr>
      <w:r>
        <w:rPr>
          <w:rFonts w:ascii="Times New Roman" w:hAnsi="Times New Roman"/>
          <w:b/>
          <w:i/>
          <w:sz w:val="24"/>
          <w:szCs w:val="24"/>
        </w:rPr>
        <w:t>Рисунок 23</w:t>
      </w:r>
    </w:p>
    <w:p w:rsidR="002A03A2" w:rsidRDefault="002A03A2" w:rsidP="002A03A2">
      <w:pPr>
        <w:spacing w:after="0" w:line="240" w:lineRule="auto"/>
        <w:jc w:val="both"/>
        <w:rPr>
          <w:rFonts w:ascii="Times New Roman" w:eastAsia="Calibri" w:hAnsi="Times New Roman"/>
          <w:spacing w:val="2"/>
          <w:sz w:val="24"/>
          <w:szCs w:val="24"/>
          <w:lang w:eastAsia="en-US"/>
        </w:rPr>
      </w:pPr>
      <w:r w:rsidRPr="008C4B2D">
        <w:rPr>
          <w:rFonts w:ascii="Times New Roman" w:eastAsia="Calibri" w:hAnsi="Times New Roman"/>
          <w:noProof/>
          <w:spacing w:val="2"/>
          <w:sz w:val="24"/>
          <w:szCs w:val="24"/>
        </w:rPr>
        <w:drawing>
          <wp:inline distT="0" distB="0" distL="0" distR="0">
            <wp:extent cx="5972175" cy="2009775"/>
            <wp:effectExtent l="19050" t="0" r="0" b="0"/>
            <wp:docPr id="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75D8" w:rsidRPr="00FA75D8" w:rsidRDefault="00FA75D8" w:rsidP="002A03A2">
      <w:pPr>
        <w:spacing w:after="0" w:line="240" w:lineRule="auto"/>
        <w:jc w:val="both"/>
        <w:rPr>
          <w:rFonts w:ascii="Times New Roman" w:eastAsia="Calibri" w:hAnsi="Times New Roman"/>
          <w:spacing w:val="2"/>
          <w:sz w:val="20"/>
          <w:szCs w:val="20"/>
          <w:lang w:eastAsia="en-US"/>
        </w:rPr>
      </w:pPr>
    </w:p>
    <w:p w:rsidR="002A03A2" w:rsidRPr="00B149FB" w:rsidRDefault="002A03A2" w:rsidP="002A03A2">
      <w:pPr>
        <w:spacing w:after="0" w:line="240" w:lineRule="auto"/>
        <w:ind w:firstLine="709"/>
        <w:jc w:val="both"/>
        <w:rPr>
          <w:rFonts w:ascii="Times New Roman" w:hAnsi="Times New Roman"/>
          <w:sz w:val="24"/>
          <w:szCs w:val="24"/>
        </w:rPr>
      </w:pPr>
      <w:r>
        <w:rPr>
          <w:rFonts w:ascii="Times New Roman" w:eastAsia="Calibri" w:hAnsi="Times New Roman"/>
          <w:spacing w:val="2"/>
          <w:sz w:val="24"/>
          <w:szCs w:val="24"/>
          <w:lang w:eastAsia="en-US"/>
        </w:rPr>
        <w:t xml:space="preserve">В 2017 году </w:t>
      </w:r>
      <w:r w:rsidRPr="005559D4">
        <w:rPr>
          <w:rFonts w:ascii="Times New Roman" w:hAnsi="Times New Roman"/>
          <w:sz w:val="24"/>
          <w:szCs w:val="24"/>
        </w:rPr>
        <w:t xml:space="preserve">основной объем инвестирования </w:t>
      </w:r>
      <w:r>
        <w:rPr>
          <w:rFonts w:ascii="Times New Roman" w:hAnsi="Times New Roman"/>
          <w:sz w:val="24"/>
          <w:szCs w:val="24"/>
        </w:rPr>
        <w:t xml:space="preserve">(82,2%) </w:t>
      </w:r>
      <w:r w:rsidRPr="005559D4">
        <w:rPr>
          <w:rFonts w:ascii="Times New Roman" w:hAnsi="Times New Roman"/>
          <w:sz w:val="24"/>
          <w:szCs w:val="24"/>
        </w:rPr>
        <w:t>составляли собственные средства организаций</w:t>
      </w:r>
      <w:r>
        <w:rPr>
          <w:rFonts w:ascii="Times New Roman" w:hAnsi="Times New Roman"/>
          <w:sz w:val="24"/>
          <w:szCs w:val="24"/>
        </w:rPr>
        <w:t>,</w:t>
      </w:r>
      <w:r w:rsidRPr="00814FA4">
        <w:rPr>
          <w:rFonts w:ascii="Times New Roman" w:eastAsia="Calibri" w:hAnsi="Times New Roman"/>
          <w:spacing w:val="2"/>
          <w:sz w:val="24"/>
          <w:szCs w:val="24"/>
          <w:lang w:eastAsia="en-US"/>
        </w:rPr>
        <w:t xml:space="preserve"> </w:t>
      </w:r>
      <w:r>
        <w:rPr>
          <w:rFonts w:ascii="Times New Roman" w:eastAsia="Calibri" w:hAnsi="Times New Roman"/>
          <w:spacing w:val="2"/>
          <w:sz w:val="24"/>
          <w:szCs w:val="24"/>
          <w:lang w:eastAsia="en-US"/>
        </w:rPr>
        <w:t xml:space="preserve">долевое представительство которых сузилось на 1,9 п.п. </w:t>
      </w:r>
      <w:proofErr w:type="gramStart"/>
      <w:r w:rsidRPr="00A76069">
        <w:rPr>
          <w:rFonts w:ascii="Times New Roman" w:hAnsi="Times New Roman"/>
          <w:sz w:val="24"/>
          <w:szCs w:val="24"/>
        </w:rPr>
        <w:t>В целом можно отметить, что уровень доходности и ликвидности бизнеса блокирует расширение инвестиционной активности отечественных организаций как за счет собственных средств, так и за счет кредитов банка (низкий уровень рентабельности бизнеса в условиях высоких процентных ставок ограничивает спрос компаний на кредиты, а невысокая в среднем ликвидность бизнеса – означает высокие риски кредитования, особенно долгосрочного).</w:t>
      </w:r>
      <w:proofErr w:type="gramEnd"/>
      <w:r w:rsidRPr="00A76069">
        <w:rPr>
          <w:rFonts w:ascii="Times New Roman" w:hAnsi="Times New Roman"/>
          <w:sz w:val="24"/>
          <w:szCs w:val="24"/>
        </w:rPr>
        <w:t xml:space="preserve"> </w:t>
      </w:r>
      <w:r>
        <w:rPr>
          <w:rFonts w:ascii="Times New Roman" w:hAnsi="Times New Roman"/>
          <w:sz w:val="24"/>
          <w:szCs w:val="24"/>
        </w:rPr>
        <w:t>Таким образом, доля банковского кредитования на обновление и модернизацию основных средств на фоне высоких кредитных ставок остается на минимальном уровне (0,1%). Н</w:t>
      </w:r>
      <w:r w:rsidRPr="005559D4">
        <w:rPr>
          <w:rFonts w:ascii="Times New Roman" w:hAnsi="Times New Roman"/>
          <w:sz w:val="24"/>
          <w:szCs w:val="24"/>
        </w:rPr>
        <w:t>ебольшая доля</w:t>
      </w:r>
      <w:r>
        <w:rPr>
          <w:rFonts w:ascii="Times New Roman" w:hAnsi="Times New Roman"/>
          <w:sz w:val="24"/>
          <w:szCs w:val="24"/>
        </w:rPr>
        <w:t xml:space="preserve"> вложений </w:t>
      </w:r>
      <w:r w:rsidRPr="005559D4">
        <w:rPr>
          <w:rFonts w:ascii="Times New Roman" w:hAnsi="Times New Roman"/>
          <w:sz w:val="24"/>
          <w:szCs w:val="24"/>
        </w:rPr>
        <w:t>была профинансирована из прочих источников</w:t>
      </w:r>
      <w:r>
        <w:rPr>
          <w:rFonts w:ascii="Times New Roman" w:hAnsi="Times New Roman"/>
          <w:sz w:val="24"/>
          <w:szCs w:val="24"/>
        </w:rPr>
        <w:t xml:space="preserve"> (8,8%, -3,6 п. п.) и </w:t>
      </w:r>
      <w:r w:rsidRPr="005559D4">
        <w:rPr>
          <w:rFonts w:ascii="Times New Roman" w:hAnsi="Times New Roman"/>
          <w:sz w:val="24"/>
          <w:szCs w:val="24"/>
        </w:rPr>
        <w:t xml:space="preserve">из </w:t>
      </w:r>
      <w:r>
        <w:rPr>
          <w:rFonts w:ascii="Times New Roman" w:hAnsi="Times New Roman"/>
          <w:sz w:val="24"/>
          <w:szCs w:val="24"/>
        </w:rPr>
        <w:t>средств</w:t>
      </w:r>
      <w:r w:rsidRPr="005559D4">
        <w:rPr>
          <w:rFonts w:ascii="Times New Roman" w:hAnsi="Times New Roman"/>
          <w:sz w:val="24"/>
          <w:szCs w:val="24"/>
        </w:rPr>
        <w:t xml:space="preserve"> бюджетов</w:t>
      </w:r>
      <w:r>
        <w:rPr>
          <w:rFonts w:ascii="Times New Roman" w:hAnsi="Times New Roman"/>
          <w:sz w:val="24"/>
          <w:szCs w:val="24"/>
        </w:rPr>
        <w:t xml:space="preserve"> (8,9%, +5,6 п.п</w:t>
      </w:r>
      <w:r w:rsidRPr="00574AB2">
        <w:rPr>
          <w:rFonts w:ascii="Times New Roman" w:hAnsi="Times New Roman"/>
          <w:sz w:val="24"/>
          <w:szCs w:val="24"/>
        </w:rPr>
        <w:t xml:space="preserve">.) (рис. </w:t>
      </w:r>
      <w:r w:rsidR="00574AB2" w:rsidRPr="00574AB2">
        <w:rPr>
          <w:rFonts w:ascii="Times New Roman" w:hAnsi="Times New Roman"/>
          <w:sz w:val="24"/>
          <w:szCs w:val="24"/>
        </w:rPr>
        <w:t>24).</w:t>
      </w:r>
    </w:p>
    <w:p w:rsidR="002A03A2" w:rsidRDefault="002A03A2" w:rsidP="002A03A2">
      <w:pPr>
        <w:spacing w:after="0" w:line="240" w:lineRule="auto"/>
        <w:ind w:firstLine="708"/>
        <w:jc w:val="right"/>
        <w:rPr>
          <w:rFonts w:ascii="Times New Roman" w:eastAsia="Calibri" w:hAnsi="Times New Roman"/>
          <w:b/>
          <w:i/>
          <w:spacing w:val="2"/>
          <w:sz w:val="24"/>
          <w:szCs w:val="24"/>
          <w:lang w:eastAsia="en-US"/>
        </w:rPr>
      </w:pPr>
      <w:r w:rsidRPr="00235954">
        <w:rPr>
          <w:rFonts w:ascii="Times New Roman" w:eastAsia="Calibri" w:hAnsi="Times New Roman"/>
          <w:b/>
          <w:i/>
          <w:spacing w:val="2"/>
          <w:sz w:val="24"/>
          <w:szCs w:val="24"/>
          <w:lang w:eastAsia="en-US"/>
        </w:rPr>
        <w:t xml:space="preserve">Рисунок </w:t>
      </w:r>
      <w:r w:rsidR="00574AB2" w:rsidRPr="00235954">
        <w:rPr>
          <w:rFonts w:ascii="Times New Roman" w:eastAsia="Calibri" w:hAnsi="Times New Roman"/>
          <w:b/>
          <w:i/>
          <w:spacing w:val="2"/>
          <w:sz w:val="24"/>
          <w:szCs w:val="24"/>
          <w:lang w:eastAsia="en-US"/>
        </w:rPr>
        <w:t>24</w:t>
      </w:r>
    </w:p>
    <w:p w:rsidR="00FA75D8" w:rsidRPr="00FA75D8" w:rsidRDefault="00FA75D8" w:rsidP="002A03A2">
      <w:pPr>
        <w:spacing w:after="0" w:line="240" w:lineRule="auto"/>
        <w:ind w:firstLine="708"/>
        <w:jc w:val="right"/>
        <w:rPr>
          <w:rFonts w:ascii="Times New Roman" w:eastAsia="Calibri" w:hAnsi="Times New Roman"/>
          <w:b/>
          <w:i/>
          <w:spacing w:val="2"/>
          <w:sz w:val="10"/>
          <w:szCs w:val="10"/>
          <w:lang w:eastAsia="en-US"/>
        </w:rPr>
      </w:pPr>
    </w:p>
    <w:p w:rsidR="002A03A2" w:rsidRDefault="002A03A2" w:rsidP="002A03A2">
      <w:pPr>
        <w:spacing w:after="0" w:line="240" w:lineRule="auto"/>
        <w:ind w:firstLine="567"/>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Структура инвестиций в основной капитал </w:t>
      </w:r>
    </w:p>
    <w:p w:rsidR="002A03A2" w:rsidRDefault="002A03A2" w:rsidP="002A03A2">
      <w:pPr>
        <w:spacing w:after="0" w:line="240" w:lineRule="auto"/>
        <w:ind w:firstLine="567"/>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по источникам финансирования, %</w:t>
      </w:r>
    </w:p>
    <w:p w:rsidR="00FA75D8" w:rsidRPr="00FA75D8" w:rsidRDefault="00FA75D8" w:rsidP="002A03A2">
      <w:pPr>
        <w:spacing w:after="0" w:line="240" w:lineRule="auto"/>
        <w:ind w:firstLine="567"/>
        <w:jc w:val="center"/>
        <w:rPr>
          <w:rFonts w:ascii="Times New Roman" w:eastAsia="Calibri" w:hAnsi="Times New Roman"/>
          <w:sz w:val="10"/>
          <w:szCs w:val="10"/>
          <w:lang w:eastAsia="en-US"/>
        </w:rPr>
      </w:pPr>
    </w:p>
    <w:p w:rsidR="002A03A2" w:rsidRDefault="002A03A2" w:rsidP="002A03A2">
      <w:pPr>
        <w:spacing w:after="0"/>
        <w:ind w:left="-142"/>
        <w:jc w:val="both"/>
        <w:rPr>
          <w:b/>
          <w:sz w:val="24"/>
          <w:szCs w:val="24"/>
        </w:rPr>
      </w:pPr>
      <w:r>
        <w:rPr>
          <w:noProof/>
        </w:rPr>
        <w:drawing>
          <wp:inline distT="0" distB="0" distL="0" distR="0">
            <wp:extent cx="3352800" cy="1847850"/>
            <wp:effectExtent l="0" t="0" r="0" b="0"/>
            <wp:docPr id="97" name="Объект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b/>
          <w:noProof/>
        </w:rPr>
        <w:drawing>
          <wp:inline distT="0" distB="0" distL="0" distR="0">
            <wp:extent cx="2552700" cy="1771650"/>
            <wp:effectExtent l="19050" t="0" r="0" b="0"/>
            <wp:docPr id="98" name="Объект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A75D8" w:rsidRPr="00FA75D8" w:rsidRDefault="00FA75D8" w:rsidP="002A03A2">
      <w:pPr>
        <w:spacing w:after="0" w:line="240" w:lineRule="auto"/>
        <w:ind w:firstLine="709"/>
        <w:jc w:val="both"/>
        <w:rPr>
          <w:rFonts w:ascii="Times New Roman" w:eastAsia="Calibri" w:hAnsi="Times New Roman"/>
          <w:spacing w:val="2"/>
          <w:sz w:val="20"/>
          <w:szCs w:val="20"/>
          <w:lang w:eastAsia="en-US"/>
        </w:rPr>
      </w:pPr>
    </w:p>
    <w:p w:rsidR="002A03A2" w:rsidRDefault="002A03A2" w:rsidP="002A03A2">
      <w:pPr>
        <w:spacing w:after="0" w:line="240" w:lineRule="auto"/>
        <w:ind w:firstLine="709"/>
        <w:jc w:val="both"/>
        <w:rPr>
          <w:rFonts w:ascii="Times New Roman" w:eastAsia="Calibri" w:hAnsi="Times New Roman"/>
          <w:spacing w:val="2"/>
          <w:sz w:val="24"/>
          <w:szCs w:val="24"/>
          <w:lang w:eastAsia="en-US"/>
        </w:rPr>
      </w:pPr>
      <w:r>
        <w:rPr>
          <w:rFonts w:ascii="Times New Roman" w:eastAsia="Calibri" w:hAnsi="Times New Roman"/>
          <w:spacing w:val="2"/>
          <w:sz w:val="24"/>
          <w:szCs w:val="24"/>
          <w:lang w:eastAsia="en-US"/>
        </w:rPr>
        <w:t xml:space="preserve">Наибольший вклад в формирование совокупного показателя инвестиций в основной капитал по итогам 2017 года внесли организации </w:t>
      </w:r>
      <w:r>
        <w:rPr>
          <w:rFonts w:ascii="Times New Roman" w:eastAsia="Calibri" w:hAnsi="Times New Roman"/>
          <w:b/>
          <w:spacing w:val="2"/>
          <w:sz w:val="24"/>
          <w:szCs w:val="24"/>
          <w:lang w:eastAsia="en-US"/>
        </w:rPr>
        <w:t xml:space="preserve">частной формы собственности, </w:t>
      </w:r>
      <w:r>
        <w:rPr>
          <w:rFonts w:ascii="Times New Roman" w:eastAsia="Calibri" w:hAnsi="Times New Roman"/>
          <w:spacing w:val="2"/>
          <w:sz w:val="24"/>
          <w:szCs w:val="24"/>
          <w:lang w:eastAsia="en-US"/>
        </w:rPr>
        <w:t xml:space="preserve">на долю которых пришлось 63,6% против 58,0% в базовом периоде, капитальные вложения предприятий государственной формы обеспечили 30,7% совокупного показателя против 28,7% в 2016 году </w:t>
      </w:r>
      <w:r w:rsidRPr="00FA75D8">
        <w:rPr>
          <w:rFonts w:ascii="Times New Roman" w:hAnsi="Times New Roman"/>
          <w:sz w:val="24"/>
          <w:szCs w:val="24"/>
        </w:rPr>
        <w:t xml:space="preserve">(рис. </w:t>
      </w:r>
      <w:r w:rsidR="00FA75D8" w:rsidRPr="00FA75D8">
        <w:rPr>
          <w:rFonts w:ascii="Times New Roman" w:hAnsi="Times New Roman"/>
          <w:sz w:val="24"/>
          <w:szCs w:val="24"/>
        </w:rPr>
        <w:t>25</w:t>
      </w:r>
      <w:r w:rsidRPr="00FA75D8">
        <w:rPr>
          <w:rFonts w:ascii="Times New Roman" w:hAnsi="Times New Roman"/>
          <w:sz w:val="24"/>
          <w:szCs w:val="24"/>
        </w:rPr>
        <w:t>)</w:t>
      </w:r>
      <w:r w:rsidRPr="00FA75D8">
        <w:rPr>
          <w:rFonts w:ascii="Times New Roman" w:eastAsia="Calibri" w:hAnsi="Times New Roman"/>
          <w:spacing w:val="2"/>
          <w:sz w:val="24"/>
          <w:szCs w:val="24"/>
          <w:lang w:eastAsia="en-US"/>
        </w:rPr>
        <w:t>.</w:t>
      </w:r>
    </w:p>
    <w:p w:rsidR="00FA75D8" w:rsidRDefault="00FA75D8" w:rsidP="002A03A2">
      <w:pPr>
        <w:spacing w:after="0" w:line="240" w:lineRule="auto"/>
        <w:ind w:firstLine="708"/>
        <w:jc w:val="right"/>
        <w:rPr>
          <w:rFonts w:ascii="Times New Roman" w:eastAsia="Calibri" w:hAnsi="Times New Roman"/>
          <w:spacing w:val="2"/>
          <w:sz w:val="24"/>
          <w:szCs w:val="24"/>
          <w:lang w:eastAsia="en-US"/>
        </w:rPr>
      </w:pPr>
    </w:p>
    <w:p w:rsidR="00FA75D8" w:rsidRDefault="00FA75D8" w:rsidP="002A03A2">
      <w:pPr>
        <w:spacing w:after="0" w:line="240" w:lineRule="auto"/>
        <w:ind w:firstLine="708"/>
        <w:jc w:val="right"/>
        <w:rPr>
          <w:rFonts w:ascii="Times New Roman" w:eastAsia="Calibri" w:hAnsi="Times New Roman"/>
          <w:spacing w:val="2"/>
          <w:sz w:val="24"/>
          <w:szCs w:val="24"/>
          <w:lang w:eastAsia="en-US"/>
        </w:rPr>
      </w:pPr>
    </w:p>
    <w:p w:rsidR="00FA75D8" w:rsidRDefault="00FA75D8" w:rsidP="002A03A2">
      <w:pPr>
        <w:spacing w:after="0" w:line="240" w:lineRule="auto"/>
        <w:ind w:firstLine="708"/>
        <w:jc w:val="right"/>
        <w:rPr>
          <w:rFonts w:ascii="Times New Roman" w:eastAsia="Calibri" w:hAnsi="Times New Roman"/>
          <w:spacing w:val="2"/>
          <w:sz w:val="24"/>
          <w:szCs w:val="24"/>
          <w:lang w:eastAsia="en-US"/>
        </w:rPr>
      </w:pPr>
    </w:p>
    <w:p w:rsidR="00FA75D8" w:rsidRDefault="00FA75D8" w:rsidP="002A03A2">
      <w:pPr>
        <w:spacing w:after="0" w:line="240" w:lineRule="auto"/>
        <w:ind w:firstLine="708"/>
        <w:jc w:val="right"/>
        <w:rPr>
          <w:rFonts w:ascii="Times New Roman" w:eastAsia="Calibri" w:hAnsi="Times New Roman"/>
          <w:spacing w:val="2"/>
          <w:sz w:val="24"/>
          <w:szCs w:val="24"/>
          <w:lang w:eastAsia="en-US"/>
        </w:rPr>
      </w:pPr>
    </w:p>
    <w:p w:rsidR="00FA75D8" w:rsidRDefault="00FA75D8" w:rsidP="002A03A2">
      <w:pPr>
        <w:spacing w:after="0" w:line="240" w:lineRule="auto"/>
        <w:ind w:firstLine="708"/>
        <w:jc w:val="right"/>
        <w:rPr>
          <w:rFonts w:ascii="Times New Roman" w:eastAsia="Calibri" w:hAnsi="Times New Roman"/>
          <w:spacing w:val="2"/>
          <w:sz w:val="24"/>
          <w:szCs w:val="24"/>
          <w:lang w:eastAsia="en-US"/>
        </w:rPr>
      </w:pPr>
    </w:p>
    <w:p w:rsidR="002A03A2" w:rsidRPr="00FA75D8" w:rsidRDefault="002A03A2" w:rsidP="002A03A2">
      <w:pPr>
        <w:spacing w:after="0" w:line="240" w:lineRule="auto"/>
        <w:ind w:firstLine="708"/>
        <w:jc w:val="right"/>
        <w:rPr>
          <w:rFonts w:ascii="Times New Roman" w:eastAsia="Calibri" w:hAnsi="Times New Roman"/>
          <w:b/>
          <w:i/>
          <w:spacing w:val="2"/>
          <w:sz w:val="24"/>
          <w:szCs w:val="24"/>
          <w:lang w:eastAsia="en-US"/>
        </w:rPr>
      </w:pPr>
      <w:r w:rsidRPr="00FA75D8">
        <w:rPr>
          <w:rFonts w:ascii="Times New Roman" w:eastAsia="Calibri" w:hAnsi="Times New Roman"/>
          <w:b/>
          <w:i/>
          <w:spacing w:val="2"/>
          <w:sz w:val="24"/>
          <w:szCs w:val="24"/>
          <w:lang w:eastAsia="en-US"/>
        </w:rPr>
        <w:lastRenderedPageBreak/>
        <w:t xml:space="preserve">Рисунок </w:t>
      </w:r>
      <w:r w:rsidR="00FA75D8" w:rsidRPr="00FA75D8">
        <w:rPr>
          <w:rFonts w:ascii="Times New Roman" w:eastAsia="Calibri" w:hAnsi="Times New Roman"/>
          <w:b/>
          <w:i/>
          <w:spacing w:val="2"/>
          <w:sz w:val="24"/>
          <w:szCs w:val="24"/>
          <w:lang w:eastAsia="en-US"/>
        </w:rPr>
        <w:t>25</w:t>
      </w:r>
    </w:p>
    <w:p w:rsidR="002A03A2" w:rsidRDefault="002A03A2" w:rsidP="002A03A2">
      <w:pPr>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Структура инвестиций в основной капитал </w:t>
      </w:r>
    </w:p>
    <w:p w:rsidR="002A03A2" w:rsidRDefault="002A03A2" w:rsidP="002A03A2">
      <w:pPr>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по формам собственности, %</w:t>
      </w:r>
    </w:p>
    <w:p w:rsidR="002A03A2" w:rsidRDefault="002A03A2" w:rsidP="002A03A2">
      <w:pPr>
        <w:spacing w:after="0"/>
        <w:ind w:left="-284"/>
        <w:jc w:val="both"/>
        <w:rPr>
          <w:rFonts w:ascii="Times New Roman" w:eastAsia="Calibri" w:hAnsi="Times New Roman"/>
          <w:sz w:val="24"/>
          <w:szCs w:val="24"/>
          <w:highlight w:val="yellow"/>
          <w:lang w:eastAsia="en-US"/>
        </w:rPr>
      </w:pPr>
      <w:r>
        <w:rPr>
          <w:noProof/>
          <w:color w:val="C6D9F1"/>
        </w:rPr>
        <w:drawing>
          <wp:inline distT="0" distB="0" distL="0" distR="0">
            <wp:extent cx="3448050" cy="1685925"/>
            <wp:effectExtent l="0" t="0" r="0" b="0"/>
            <wp:docPr id="99" name="Объект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b/>
          <w:noProof/>
          <w:color w:val="9BBB59"/>
        </w:rPr>
        <w:drawing>
          <wp:inline distT="0" distB="0" distL="0" distR="0">
            <wp:extent cx="2552700" cy="1647825"/>
            <wp:effectExtent l="0" t="0" r="0" b="0"/>
            <wp:docPr id="100" name="Объект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A03A2" w:rsidRDefault="002A03A2" w:rsidP="002A03A2">
      <w:pPr>
        <w:spacing w:after="0" w:line="240" w:lineRule="auto"/>
        <w:ind w:firstLine="709"/>
        <w:jc w:val="both"/>
        <w:rPr>
          <w:rFonts w:ascii="Times New Roman" w:eastAsia="Calibri" w:hAnsi="Times New Roman"/>
          <w:sz w:val="24"/>
          <w:szCs w:val="24"/>
          <w:lang w:eastAsia="en-US"/>
        </w:rPr>
      </w:pPr>
    </w:p>
    <w:p w:rsidR="002A03A2" w:rsidRDefault="002A03A2" w:rsidP="002A03A2">
      <w:pPr>
        <w:spacing w:after="0" w:line="240" w:lineRule="auto"/>
        <w:ind w:firstLine="709"/>
        <w:jc w:val="both"/>
        <w:rPr>
          <w:rFonts w:ascii="Times New Roman" w:hAnsi="Times New Roman"/>
          <w:sz w:val="24"/>
          <w:szCs w:val="24"/>
        </w:rPr>
      </w:pPr>
      <w:r w:rsidRPr="00D36001">
        <w:rPr>
          <w:rFonts w:ascii="Times New Roman" w:hAnsi="Times New Roman"/>
          <w:sz w:val="24"/>
          <w:szCs w:val="24"/>
        </w:rPr>
        <w:t xml:space="preserve">Если рассматривать инвестиции с точки зрения страны происхождения капитала, </w:t>
      </w:r>
      <w:r w:rsidRPr="00A76069">
        <w:rPr>
          <w:rFonts w:ascii="Times New Roman" w:hAnsi="Times New Roman"/>
          <w:sz w:val="24"/>
          <w:szCs w:val="24"/>
        </w:rPr>
        <w:t xml:space="preserve">в силу ряда объективных факторов (особенности политико-правового статуса) и субъективных (несовершенство действующего правового поля) </w:t>
      </w:r>
      <w:r>
        <w:rPr>
          <w:rFonts w:ascii="Times New Roman" w:hAnsi="Times New Roman"/>
          <w:sz w:val="24"/>
          <w:szCs w:val="24"/>
        </w:rPr>
        <w:t>то в</w:t>
      </w:r>
      <w:r w:rsidRPr="00A76069">
        <w:rPr>
          <w:rFonts w:ascii="Times New Roman" w:hAnsi="Times New Roman"/>
          <w:sz w:val="24"/>
          <w:szCs w:val="24"/>
        </w:rPr>
        <w:t>озможность привлечения внешних инвестиций крайне ограничен</w:t>
      </w:r>
      <w:r>
        <w:rPr>
          <w:rFonts w:ascii="Times New Roman" w:hAnsi="Times New Roman"/>
          <w:sz w:val="24"/>
          <w:szCs w:val="24"/>
        </w:rPr>
        <w:t>а</w:t>
      </w:r>
      <w:r w:rsidRPr="00A76069">
        <w:rPr>
          <w:rFonts w:ascii="Times New Roman" w:hAnsi="Times New Roman"/>
          <w:sz w:val="24"/>
          <w:szCs w:val="24"/>
        </w:rPr>
        <w:t xml:space="preserve">. </w:t>
      </w:r>
    </w:p>
    <w:p w:rsidR="002A03A2" w:rsidRPr="00FA75D8" w:rsidRDefault="002A03A2" w:rsidP="00FA75D8">
      <w:pPr>
        <w:pStyle w:val="31"/>
        <w:spacing w:after="0" w:line="240" w:lineRule="auto"/>
        <w:ind w:left="0" w:firstLine="709"/>
        <w:jc w:val="both"/>
        <w:rPr>
          <w:rFonts w:ascii="Times New Roman" w:hAnsi="Times New Roman"/>
          <w:sz w:val="24"/>
        </w:rPr>
      </w:pPr>
      <w:r w:rsidRPr="00FA75D8">
        <w:rPr>
          <w:rFonts w:ascii="Times New Roman" w:hAnsi="Times New Roman"/>
          <w:sz w:val="24"/>
        </w:rPr>
        <w:t xml:space="preserve">На фоне резкого уменьшения притока средств в экономику отмечается падение финансирования в долгосрочное развитие практически по всем отраслям экономики. Вместе с этим структурный анализ инвестиционных вложений в основной капитал в 2017 году показывает, что наибольший объем ресурсов, несмотря на сокращение к базовым параметрам 2016 года на 29,4%, был освоен в промышленности (308,4 млн руб.), обеспечив 37,7% всех инвестиционных вложений в экономику. </w:t>
      </w:r>
    </w:p>
    <w:p w:rsidR="002A03A2" w:rsidRPr="00E564E2" w:rsidRDefault="002A03A2" w:rsidP="00FA75D8">
      <w:pPr>
        <w:tabs>
          <w:tab w:val="left" w:pos="993"/>
        </w:tabs>
        <w:spacing w:after="0" w:line="240" w:lineRule="auto"/>
        <w:ind w:firstLine="709"/>
        <w:jc w:val="both"/>
        <w:rPr>
          <w:rFonts w:ascii="Times New Roman" w:eastAsia="Calibri" w:hAnsi="Times New Roman"/>
          <w:sz w:val="24"/>
          <w:szCs w:val="24"/>
          <w:lang w:eastAsia="en-US"/>
        </w:rPr>
      </w:pPr>
      <w:r w:rsidRPr="00FA75D8">
        <w:rPr>
          <w:rFonts w:ascii="Times New Roman" w:eastAsia="Calibri" w:hAnsi="Times New Roman"/>
          <w:sz w:val="24"/>
          <w:szCs w:val="24"/>
          <w:lang w:eastAsia="en-US"/>
        </w:rPr>
        <w:t>Наибольший объем инвестиционных вложений в модернизацию, техническое перевооружение промышленного производства был осуществлен на таких предприятиях</w:t>
      </w:r>
      <w:r w:rsidRPr="00E564E2">
        <w:rPr>
          <w:rFonts w:ascii="Times New Roman" w:eastAsia="Calibri" w:hAnsi="Times New Roman"/>
          <w:sz w:val="24"/>
          <w:szCs w:val="24"/>
          <w:lang w:eastAsia="en-US"/>
        </w:rPr>
        <w:t xml:space="preserve"> как: </w:t>
      </w:r>
    </w:p>
    <w:p w:rsidR="002A03A2" w:rsidRPr="000C63BA" w:rsidRDefault="002A03A2" w:rsidP="002A03A2">
      <w:pPr>
        <w:pStyle w:val="a6"/>
        <w:numPr>
          <w:ilvl w:val="0"/>
          <w:numId w:val="16"/>
        </w:numPr>
        <w:tabs>
          <w:tab w:val="left" w:pos="993"/>
        </w:tabs>
        <w:spacing w:after="0" w:line="240" w:lineRule="auto"/>
        <w:ind w:left="0" w:firstLine="709"/>
        <w:jc w:val="both"/>
        <w:rPr>
          <w:rFonts w:ascii="Times New Roman" w:eastAsia="Calibri" w:hAnsi="Times New Roman"/>
          <w:sz w:val="24"/>
          <w:szCs w:val="24"/>
          <w:lang w:eastAsia="en-US"/>
        </w:rPr>
      </w:pPr>
      <w:r w:rsidRPr="000C63BA">
        <w:rPr>
          <w:rFonts w:ascii="Times New Roman" w:eastAsia="Calibri" w:hAnsi="Times New Roman"/>
          <w:sz w:val="24"/>
          <w:szCs w:val="24"/>
          <w:lang w:eastAsia="en-US"/>
        </w:rPr>
        <w:t>ЗАО «Рыбницкий цементный комбинат» (23,7% всех вложений по промышленности, что в 2,7 раза превышает базовый параметр 2016 года);</w:t>
      </w:r>
    </w:p>
    <w:p w:rsidR="002A03A2" w:rsidRPr="000C63BA" w:rsidRDefault="002A03A2" w:rsidP="002A03A2">
      <w:pPr>
        <w:pStyle w:val="a6"/>
        <w:numPr>
          <w:ilvl w:val="0"/>
          <w:numId w:val="16"/>
        </w:numPr>
        <w:tabs>
          <w:tab w:val="left" w:pos="993"/>
        </w:tabs>
        <w:spacing w:after="0" w:line="240" w:lineRule="auto"/>
        <w:ind w:left="0" w:firstLine="709"/>
        <w:jc w:val="both"/>
        <w:rPr>
          <w:rFonts w:ascii="Times New Roman" w:eastAsia="Calibri" w:hAnsi="Times New Roman"/>
          <w:sz w:val="24"/>
          <w:szCs w:val="24"/>
          <w:lang w:eastAsia="en-US"/>
        </w:rPr>
      </w:pPr>
      <w:r w:rsidRPr="000C63BA">
        <w:rPr>
          <w:rFonts w:ascii="Times New Roman" w:eastAsia="Calibri" w:hAnsi="Times New Roman"/>
          <w:sz w:val="24"/>
          <w:szCs w:val="24"/>
          <w:lang w:eastAsia="en-US"/>
        </w:rPr>
        <w:t>ЗАО «Молдавская ГРЭС» (16,5%, при сокращении к уровню параметра 2016 года на 61,2%);</w:t>
      </w:r>
    </w:p>
    <w:p w:rsidR="002A03A2" w:rsidRPr="000C63BA" w:rsidRDefault="002A03A2" w:rsidP="002A03A2">
      <w:pPr>
        <w:pStyle w:val="a6"/>
        <w:numPr>
          <w:ilvl w:val="0"/>
          <w:numId w:val="16"/>
        </w:numPr>
        <w:tabs>
          <w:tab w:val="left" w:pos="993"/>
        </w:tabs>
        <w:spacing w:after="0" w:line="240" w:lineRule="auto"/>
        <w:ind w:left="0" w:firstLine="709"/>
        <w:jc w:val="both"/>
        <w:rPr>
          <w:rFonts w:ascii="Times New Roman" w:eastAsia="Calibri" w:hAnsi="Times New Roman"/>
          <w:sz w:val="24"/>
          <w:szCs w:val="24"/>
          <w:lang w:eastAsia="en-US"/>
        </w:rPr>
      </w:pPr>
      <w:r w:rsidRPr="000C63BA">
        <w:rPr>
          <w:rFonts w:ascii="Times New Roman" w:eastAsia="Calibri" w:hAnsi="Times New Roman"/>
          <w:sz w:val="24"/>
          <w:szCs w:val="24"/>
          <w:lang w:eastAsia="en-US"/>
        </w:rPr>
        <w:t>ГУП «Единые распределительные сети» (9,7% инвестиций по индустрии, при спаде к уровню 2016 года на 63,6%);</w:t>
      </w:r>
    </w:p>
    <w:p w:rsidR="002A03A2" w:rsidRPr="000C63BA" w:rsidRDefault="002A03A2" w:rsidP="002A03A2">
      <w:pPr>
        <w:pStyle w:val="a6"/>
        <w:numPr>
          <w:ilvl w:val="0"/>
          <w:numId w:val="16"/>
        </w:numPr>
        <w:tabs>
          <w:tab w:val="left" w:pos="993"/>
        </w:tabs>
        <w:spacing w:after="0" w:line="240" w:lineRule="auto"/>
        <w:ind w:left="0" w:firstLine="709"/>
        <w:jc w:val="both"/>
        <w:rPr>
          <w:rFonts w:ascii="Times New Roman" w:eastAsia="Calibri" w:hAnsi="Times New Roman"/>
          <w:sz w:val="24"/>
          <w:szCs w:val="24"/>
          <w:lang w:eastAsia="en-US"/>
        </w:rPr>
      </w:pPr>
      <w:r w:rsidRPr="000C63BA">
        <w:rPr>
          <w:rFonts w:ascii="Times New Roman" w:eastAsia="Calibri" w:hAnsi="Times New Roman"/>
          <w:sz w:val="24"/>
          <w:szCs w:val="24"/>
          <w:lang w:eastAsia="en-US"/>
        </w:rPr>
        <w:t>ГУП ГК «</w:t>
      </w:r>
      <w:proofErr w:type="spellStart"/>
      <w:r w:rsidRPr="000C63BA">
        <w:rPr>
          <w:rFonts w:ascii="Times New Roman" w:eastAsia="Calibri" w:hAnsi="Times New Roman"/>
          <w:sz w:val="24"/>
          <w:szCs w:val="24"/>
          <w:lang w:eastAsia="en-US"/>
        </w:rPr>
        <w:t>Днестрэнерго</w:t>
      </w:r>
      <w:proofErr w:type="spellEnd"/>
      <w:r w:rsidRPr="000C63BA">
        <w:rPr>
          <w:rFonts w:ascii="Times New Roman" w:eastAsia="Calibri" w:hAnsi="Times New Roman"/>
          <w:sz w:val="24"/>
          <w:szCs w:val="24"/>
          <w:lang w:eastAsia="en-US"/>
        </w:rPr>
        <w:t>» (7,3% по промышленности, при сокращении к уровню 2016 года на 34,9%);</w:t>
      </w:r>
    </w:p>
    <w:p w:rsidR="002A03A2" w:rsidRPr="000C63BA" w:rsidRDefault="002A03A2" w:rsidP="002A03A2">
      <w:pPr>
        <w:pStyle w:val="a6"/>
        <w:numPr>
          <w:ilvl w:val="0"/>
          <w:numId w:val="16"/>
        </w:numPr>
        <w:tabs>
          <w:tab w:val="left" w:pos="993"/>
        </w:tabs>
        <w:spacing w:after="0" w:line="240" w:lineRule="auto"/>
        <w:ind w:left="0" w:firstLine="709"/>
        <w:jc w:val="both"/>
        <w:rPr>
          <w:rFonts w:ascii="Times New Roman" w:eastAsia="Calibri" w:hAnsi="Times New Roman"/>
          <w:sz w:val="24"/>
          <w:szCs w:val="24"/>
          <w:lang w:eastAsia="en-US"/>
        </w:rPr>
      </w:pPr>
      <w:r w:rsidRPr="000C63BA">
        <w:rPr>
          <w:rFonts w:ascii="Times New Roman" w:eastAsia="Calibri" w:hAnsi="Times New Roman"/>
          <w:sz w:val="24"/>
          <w:szCs w:val="24"/>
          <w:lang w:eastAsia="en-US"/>
        </w:rPr>
        <w:t xml:space="preserve">ЗАО «Тираспольский комбинат хлебопродуктов» (3,9% всех вложений по промышленности, что в 2,0 раза превышает базовое значение 2016 года). </w:t>
      </w:r>
    </w:p>
    <w:p w:rsidR="002A03A2" w:rsidRPr="00FA75D8" w:rsidRDefault="002A03A2" w:rsidP="00FA75D8">
      <w:pPr>
        <w:pStyle w:val="a6"/>
        <w:tabs>
          <w:tab w:val="left" w:pos="993"/>
        </w:tabs>
        <w:spacing w:after="0" w:line="240" w:lineRule="auto"/>
        <w:ind w:left="0" w:firstLine="709"/>
        <w:jc w:val="both"/>
        <w:rPr>
          <w:rFonts w:ascii="Times New Roman" w:eastAsia="Calibri" w:hAnsi="Times New Roman"/>
          <w:sz w:val="24"/>
          <w:szCs w:val="24"/>
          <w:lang w:eastAsia="en-US"/>
        </w:rPr>
      </w:pPr>
      <w:r w:rsidRPr="000C63BA">
        <w:rPr>
          <w:rFonts w:ascii="Times New Roman" w:eastAsia="Calibri" w:hAnsi="Times New Roman"/>
          <w:sz w:val="24"/>
          <w:szCs w:val="24"/>
          <w:lang w:eastAsia="en-US"/>
        </w:rPr>
        <w:t xml:space="preserve">Совокупный объем инвестиционных потоков данных предприятий составил порядка </w:t>
      </w:r>
      <w:r w:rsidRPr="00FA75D8">
        <w:rPr>
          <w:rFonts w:ascii="Times New Roman" w:eastAsia="Calibri" w:hAnsi="Times New Roman"/>
          <w:sz w:val="24"/>
          <w:szCs w:val="24"/>
          <w:lang w:eastAsia="en-US"/>
        </w:rPr>
        <w:t>195  млн руб., что соответствует 63,2% от общего объема инвестиций по промышленности, или 23,8% в целом по экономике.</w:t>
      </w:r>
    </w:p>
    <w:p w:rsidR="002A03A2" w:rsidRPr="00FA75D8" w:rsidRDefault="002A03A2" w:rsidP="00FA75D8">
      <w:pPr>
        <w:pStyle w:val="31"/>
        <w:spacing w:after="0" w:line="240" w:lineRule="auto"/>
        <w:ind w:left="0" w:firstLine="709"/>
        <w:jc w:val="both"/>
        <w:rPr>
          <w:rFonts w:ascii="Times New Roman" w:hAnsi="Times New Roman"/>
          <w:sz w:val="24"/>
          <w:highlight w:val="yellow"/>
        </w:rPr>
      </w:pPr>
      <w:r w:rsidRPr="00FA75D8">
        <w:rPr>
          <w:rFonts w:ascii="Times New Roman" w:hAnsi="Times New Roman"/>
          <w:sz w:val="24"/>
        </w:rPr>
        <w:t xml:space="preserve">Инвестиционные вложения в долгосрочное развитие сельскохозяйственной отрасли возросли на 65,2% до 111,9 млн руб.(13,7% всех инвестиций). Среди сельскохозяйственных предприятий, инвестировавших в перспективные направления, наибольшая доля пришлась </w:t>
      </w:r>
      <w:proofErr w:type="gramStart"/>
      <w:r w:rsidRPr="00FA75D8">
        <w:rPr>
          <w:rFonts w:ascii="Times New Roman" w:hAnsi="Times New Roman"/>
          <w:sz w:val="24"/>
        </w:rPr>
        <w:t>на</w:t>
      </w:r>
      <w:proofErr w:type="gramEnd"/>
      <w:r w:rsidRPr="00FA75D8">
        <w:rPr>
          <w:rFonts w:ascii="Times New Roman" w:hAnsi="Times New Roman"/>
          <w:sz w:val="24"/>
        </w:rPr>
        <w:t xml:space="preserve">: ООО «АГРО КОМПАКТ» (22,1%), ООО «Каменский Колос» (10,6%), </w:t>
      </w:r>
      <w:r w:rsidR="00FA75D8">
        <w:rPr>
          <w:rFonts w:ascii="Times New Roman" w:hAnsi="Times New Roman"/>
          <w:sz w:val="24"/>
        </w:rPr>
        <w:t xml:space="preserve">                                   </w:t>
      </w:r>
      <w:r w:rsidRPr="00FA75D8">
        <w:rPr>
          <w:rFonts w:ascii="Times New Roman" w:eastAsia="Calibri" w:hAnsi="Times New Roman"/>
          <w:sz w:val="24"/>
          <w:lang w:eastAsia="en-US"/>
        </w:rPr>
        <w:t>ЗАО «Тираспольский комбинат хлебопродуктов» (</w:t>
      </w:r>
      <w:r w:rsidRPr="00FA75D8">
        <w:rPr>
          <w:rFonts w:ascii="Times New Roman" w:hAnsi="Times New Roman"/>
          <w:sz w:val="24"/>
        </w:rPr>
        <w:t>9,4%),</w:t>
      </w:r>
      <w:r w:rsidRPr="00FA75D8">
        <w:rPr>
          <w:rFonts w:ascii="Times New Roman" w:eastAsia="Calibri" w:hAnsi="Times New Roman"/>
          <w:sz w:val="24"/>
          <w:lang w:eastAsia="en-US"/>
        </w:rPr>
        <w:t xml:space="preserve"> </w:t>
      </w:r>
      <w:r w:rsidRPr="00FA75D8">
        <w:rPr>
          <w:rFonts w:ascii="Times New Roman" w:hAnsi="Times New Roman"/>
          <w:sz w:val="24"/>
        </w:rPr>
        <w:t>ООО ТПФ «</w:t>
      </w:r>
      <w:proofErr w:type="spellStart"/>
      <w:r w:rsidRPr="00FA75D8">
        <w:rPr>
          <w:rFonts w:ascii="Times New Roman" w:hAnsi="Times New Roman"/>
          <w:sz w:val="24"/>
        </w:rPr>
        <w:t>Интерцентер</w:t>
      </w:r>
      <w:proofErr w:type="spellEnd"/>
      <w:r w:rsidRPr="00FA75D8">
        <w:rPr>
          <w:rFonts w:ascii="Times New Roman" w:hAnsi="Times New Roman"/>
          <w:sz w:val="24"/>
        </w:rPr>
        <w:t xml:space="preserve"> Люкс» (9,2%).</w:t>
      </w:r>
    </w:p>
    <w:p w:rsidR="002A03A2" w:rsidRPr="000C63BA" w:rsidRDefault="002A03A2" w:rsidP="00FA75D8">
      <w:pPr>
        <w:spacing w:after="0" w:line="240" w:lineRule="auto"/>
        <w:ind w:firstLine="709"/>
        <w:jc w:val="both"/>
        <w:rPr>
          <w:rFonts w:ascii="Times New Roman" w:hAnsi="Times New Roman"/>
          <w:sz w:val="24"/>
          <w:szCs w:val="24"/>
        </w:rPr>
      </w:pPr>
      <w:r w:rsidRPr="00FA75D8">
        <w:rPr>
          <w:rFonts w:ascii="Times New Roman" w:hAnsi="Times New Roman"/>
          <w:sz w:val="24"/>
          <w:szCs w:val="24"/>
        </w:rPr>
        <w:t xml:space="preserve">Кроме того, при финансовой поддержке Российской Федерации в 2017 году начата реализация инвестиционной программы «Развитие мелиорации в Приднестровской Молдавской Республике на 2017 – 2021 годы», состоящая из трех этапов. В течение </w:t>
      </w:r>
      <w:r w:rsidR="00FA75D8">
        <w:rPr>
          <w:rFonts w:ascii="Times New Roman" w:hAnsi="Times New Roman"/>
          <w:sz w:val="24"/>
          <w:szCs w:val="24"/>
        </w:rPr>
        <w:t xml:space="preserve">                    </w:t>
      </w:r>
      <w:r w:rsidRPr="00FA75D8">
        <w:rPr>
          <w:rFonts w:ascii="Times New Roman" w:hAnsi="Times New Roman"/>
          <w:sz w:val="24"/>
          <w:szCs w:val="24"/>
        </w:rPr>
        <w:t>2017 года проведены работы</w:t>
      </w:r>
      <w:r w:rsidRPr="000C63BA">
        <w:rPr>
          <w:rFonts w:ascii="Times New Roman" w:hAnsi="Times New Roman"/>
          <w:sz w:val="24"/>
          <w:szCs w:val="24"/>
        </w:rPr>
        <w:t xml:space="preserve"> по составлению и утверждению проектно-сметной документации по </w:t>
      </w:r>
      <w:proofErr w:type="spellStart"/>
      <w:r w:rsidRPr="000C63BA">
        <w:rPr>
          <w:rFonts w:ascii="Times New Roman" w:hAnsi="Times New Roman"/>
          <w:sz w:val="24"/>
          <w:szCs w:val="24"/>
        </w:rPr>
        <w:t>Строенецкой</w:t>
      </w:r>
      <w:proofErr w:type="spellEnd"/>
      <w:r w:rsidRPr="000C63BA">
        <w:rPr>
          <w:rFonts w:ascii="Times New Roman" w:hAnsi="Times New Roman"/>
          <w:sz w:val="24"/>
          <w:szCs w:val="24"/>
        </w:rPr>
        <w:t xml:space="preserve"> и </w:t>
      </w:r>
      <w:proofErr w:type="spellStart"/>
      <w:r w:rsidRPr="000C63BA">
        <w:rPr>
          <w:rFonts w:ascii="Times New Roman" w:hAnsi="Times New Roman"/>
          <w:sz w:val="24"/>
          <w:szCs w:val="24"/>
        </w:rPr>
        <w:t>Рыбницкой</w:t>
      </w:r>
      <w:proofErr w:type="spellEnd"/>
      <w:r w:rsidRPr="000C63BA">
        <w:rPr>
          <w:rFonts w:ascii="Times New Roman" w:hAnsi="Times New Roman"/>
          <w:sz w:val="24"/>
          <w:szCs w:val="24"/>
        </w:rPr>
        <w:t xml:space="preserve"> оросительным системам. Подана заявка в Министерство сельского хозяйства РФ на выделение финансирования. На 1-м этапе программы, предусмотрены инвестиции Российской Федерации в объеме 2,4 млрд. рублей РФ, что позволит приостановить выбытие и провести реконструкцию оросительных систем на площади 26 800 га.</w:t>
      </w:r>
    </w:p>
    <w:p w:rsidR="002A03A2" w:rsidRPr="00FA75D8" w:rsidRDefault="002A03A2" w:rsidP="00FA75D8">
      <w:pPr>
        <w:tabs>
          <w:tab w:val="left" w:pos="709"/>
          <w:tab w:val="left" w:pos="851"/>
        </w:tabs>
        <w:spacing w:after="0" w:line="240" w:lineRule="auto"/>
        <w:ind w:firstLine="709"/>
        <w:jc w:val="both"/>
        <w:rPr>
          <w:rFonts w:ascii="Times New Roman" w:hAnsi="Times New Roman"/>
          <w:spacing w:val="-12"/>
          <w:sz w:val="24"/>
          <w:szCs w:val="24"/>
        </w:rPr>
      </w:pPr>
      <w:r w:rsidRPr="00FA75D8">
        <w:rPr>
          <w:rFonts w:ascii="Times New Roman" w:hAnsi="Times New Roman"/>
          <w:sz w:val="24"/>
          <w:szCs w:val="24"/>
        </w:rPr>
        <w:lastRenderedPageBreak/>
        <w:t xml:space="preserve">В целях стимулирования рационального использования земель, а также повышения эффективности экономической политики государства в сфере землепользования в 2017 году продолжилось заключение Соглашений об инвестиционных обязательствах хозяйствующих субъектов при предоставлении им земель сельскохозяйственного назначения в пользование (аренду). По состоянию на 1 января 2017 года инвестиционными соглашениями и договорами охвачено </w:t>
      </w:r>
      <w:r w:rsidRPr="00FA75D8">
        <w:rPr>
          <w:rFonts w:ascii="Times New Roman" w:hAnsi="Times New Roman"/>
          <w:bCs/>
          <w:sz w:val="24"/>
          <w:szCs w:val="24"/>
        </w:rPr>
        <w:t>102,6</w:t>
      </w:r>
      <w:r w:rsidRPr="00FA75D8">
        <w:rPr>
          <w:rFonts w:ascii="Times New Roman" w:hAnsi="Times New Roman"/>
          <w:bCs/>
        </w:rPr>
        <w:t xml:space="preserve"> тыс. га</w:t>
      </w:r>
      <w:r w:rsidRPr="00FA75D8">
        <w:rPr>
          <w:rFonts w:ascii="Times New Roman" w:hAnsi="Times New Roman"/>
          <w:sz w:val="24"/>
          <w:szCs w:val="24"/>
        </w:rPr>
        <w:t xml:space="preserve"> земель сельскохозяйственного назначения. </w:t>
      </w:r>
      <w:proofErr w:type="gramStart"/>
      <w:r w:rsidRPr="00FA75D8">
        <w:rPr>
          <w:rFonts w:ascii="Times New Roman" w:hAnsi="Times New Roman"/>
          <w:sz w:val="24"/>
          <w:szCs w:val="24"/>
        </w:rPr>
        <w:t xml:space="preserve">Общая сумма предполагаемых инвестиций согласно заключенным соглашениям и договорам долгосрочного пользования составляет </w:t>
      </w:r>
      <w:r w:rsidRPr="00FA75D8">
        <w:rPr>
          <w:rFonts w:ascii="Times New Roman" w:hAnsi="Times New Roman"/>
          <w:bCs/>
          <w:sz w:val="24"/>
          <w:szCs w:val="24"/>
        </w:rPr>
        <w:t>186,5</w:t>
      </w:r>
      <w:r w:rsidRPr="00FA75D8">
        <w:rPr>
          <w:rFonts w:ascii="Times New Roman" w:hAnsi="Times New Roman"/>
          <w:sz w:val="24"/>
          <w:szCs w:val="24"/>
        </w:rPr>
        <w:t xml:space="preserve"> млн руб., из них в материальные и </w:t>
      </w:r>
      <w:proofErr w:type="spellStart"/>
      <w:r w:rsidRPr="00FA75D8">
        <w:rPr>
          <w:rFonts w:ascii="Times New Roman" w:hAnsi="Times New Roman"/>
          <w:sz w:val="24"/>
          <w:szCs w:val="24"/>
        </w:rPr>
        <w:t>внеоборотные</w:t>
      </w:r>
      <w:proofErr w:type="spellEnd"/>
      <w:r w:rsidRPr="00FA75D8">
        <w:rPr>
          <w:rFonts w:ascii="Times New Roman" w:hAnsi="Times New Roman"/>
          <w:sz w:val="24"/>
          <w:szCs w:val="24"/>
        </w:rPr>
        <w:t xml:space="preserve"> активы сельскохозяйственных организаций будет направлено – 174,6 млн руб., в инфраструктуру сел – 11,9 млн руб.</w:t>
      </w:r>
      <w:r w:rsidRPr="00FA75D8">
        <w:rPr>
          <w:rFonts w:ascii="Times New Roman" w:hAnsi="Times New Roman"/>
          <w:spacing w:val="-12"/>
          <w:sz w:val="24"/>
          <w:szCs w:val="24"/>
        </w:rPr>
        <w:t xml:space="preserve"> Всего в 2017 году заключено 177 Соглашений</w:t>
      </w:r>
      <w:r w:rsidRPr="00FA75D8">
        <w:rPr>
          <w:rFonts w:ascii="Times New Roman" w:hAnsi="Times New Roman"/>
          <w:sz w:val="24"/>
          <w:szCs w:val="24"/>
        </w:rPr>
        <w:t xml:space="preserve"> об инвестиционных обязательствах</w:t>
      </w:r>
      <w:r w:rsidRPr="00FA75D8">
        <w:rPr>
          <w:rFonts w:ascii="Times New Roman" w:hAnsi="Times New Roman"/>
          <w:spacing w:val="-12"/>
          <w:sz w:val="24"/>
          <w:szCs w:val="24"/>
        </w:rPr>
        <w:t xml:space="preserve"> на общую сумму 12,1 млн руб.</w:t>
      </w:r>
      <w:proofErr w:type="gramEnd"/>
    </w:p>
    <w:p w:rsidR="002A03A2" w:rsidRPr="00FA75D8" w:rsidRDefault="002A03A2" w:rsidP="00FA75D8">
      <w:pPr>
        <w:pStyle w:val="31"/>
        <w:spacing w:after="0" w:line="240" w:lineRule="auto"/>
        <w:ind w:left="0" w:firstLine="709"/>
        <w:jc w:val="both"/>
        <w:rPr>
          <w:rFonts w:ascii="Times New Roman" w:hAnsi="Times New Roman"/>
          <w:sz w:val="24"/>
        </w:rPr>
      </w:pPr>
      <w:proofErr w:type="gramStart"/>
      <w:r w:rsidRPr="00FA75D8">
        <w:rPr>
          <w:rFonts w:ascii="Times New Roman" w:hAnsi="Times New Roman"/>
          <w:sz w:val="24"/>
        </w:rPr>
        <w:t>Благодаря реализации социальных проектов в рамках гуманитарной помощи Российской Федерации на обновление инфраструктуры и основных средств в сферу здравоохранения в 2017 году было направлено 68,8 млн руб. в основной капитал, при этом объем вложений в данную отрасль превысил показатель в 2016 года на 59,1% и обеспечил 8,4% всех инвестиций по республике.</w:t>
      </w:r>
      <w:proofErr w:type="gramEnd"/>
      <w:r w:rsidRPr="00FA75D8">
        <w:rPr>
          <w:rFonts w:ascii="Times New Roman" w:hAnsi="Times New Roman"/>
          <w:sz w:val="24"/>
        </w:rPr>
        <w:t xml:space="preserve"> Инвестиции в жилищное строительство расширились на 73,2% до 6,7 млн руб. обеспечив при этом 0,8% всех вложений.</w:t>
      </w:r>
    </w:p>
    <w:p w:rsidR="002A03A2" w:rsidRPr="00FA75D8" w:rsidRDefault="002A03A2" w:rsidP="00FA75D8">
      <w:pPr>
        <w:pStyle w:val="14"/>
        <w:shd w:val="clear" w:color="auto" w:fill="FFFFFF"/>
        <w:ind w:firstLine="709"/>
        <w:jc w:val="both"/>
        <w:rPr>
          <w:rFonts w:ascii="Times New Roman" w:hAnsi="Times New Roman" w:cs="Times New Roman"/>
        </w:rPr>
      </w:pPr>
      <w:r w:rsidRPr="00FA75D8">
        <w:rPr>
          <w:rFonts w:ascii="Times New Roman" w:hAnsi="Times New Roman" w:cs="Times New Roman"/>
        </w:rPr>
        <w:t>По остальным отраслям экономики республики было зафиксировано сокращение инвестиций в основной капитал.</w:t>
      </w:r>
    </w:p>
    <w:p w:rsidR="002A03A2" w:rsidRPr="00FA75D8" w:rsidRDefault="002A03A2" w:rsidP="00FA75D8">
      <w:pPr>
        <w:pStyle w:val="31"/>
        <w:spacing w:after="0" w:line="240" w:lineRule="auto"/>
        <w:ind w:left="0" w:firstLine="709"/>
        <w:jc w:val="both"/>
        <w:rPr>
          <w:rFonts w:ascii="Times New Roman" w:hAnsi="Times New Roman"/>
          <w:sz w:val="24"/>
        </w:rPr>
      </w:pPr>
      <w:proofErr w:type="gramStart"/>
      <w:r w:rsidRPr="00FA75D8">
        <w:rPr>
          <w:rFonts w:ascii="Times New Roman" w:hAnsi="Times New Roman"/>
          <w:sz w:val="24"/>
        </w:rPr>
        <w:t>Существенно меньшим по сравнению с базисным параметром, сложился объем средств, направленных на обновление и модернизацию объектов коммунального хозяйства</w:t>
      </w:r>
      <w:r w:rsidR="00FA75D8">
        <w:rPr>
          <w:rFonts w:ascii="Times New Roman" w:hAnsi="Times New Roman"/>
          <w:sz w:val="24"/>
        </w:rPr>
        <w:t xml:space="preserve"> </w:t>
      </w:r>
      <w:r w:rsidRPr="00FA75D8">
        <w:rPr>
          <w:rFonts w:ascii="Times New Roman" w:hAnsi="Times New Roman"/>
          <w:sz w:val="24"/>
        </w:rPr>
        <w:t xml:space="preserve"> (-6,5%), торговли и общественного питания (-14,9%), транспорта (-32,5%), образования</w:t>
      </w:r>
      <w:r w:rsidR="00FA75D8">
        <w:rPr>
          <w:rFonts w:ascii="Times New Roman" w:hAnsi="Times New Roman"/>
          <w:sz w:val="24"/>
        </w:rPr>
        <w:t xml:space="preserve">                </w:t>
      </w:r>
      <w:r w:rsidRPr="00FA75D8">
        <w:rPr>
          <w:rFonts w:ascii="Times New Roman" w:hAnsi="Times New Roman"/>
          <w:sz w:val="24"/>
        </w:rPr>
        <w:t xml:space="preserve"> (-51,2%), связи (-56,2%), строительства (-60,5%). </w:t>
      </w:r>
      <w:proofErr w:type="gramEnd"/>
    </w:p>
    <w:p w:rsidR="002A03A2" w:rsidRDefault="002A03A2" w:rsidP="002A03A2">
      <w:pPr>
        <w:spacing w:after="0" w:line="240" w:lineRule="auto"/>
        <w:ind w:firstLine="708"/>
        <w:jc w:val="right"/>
        <w:rPr>
          <w:rFonts w:ascii="Times New Roman" w:eastAsia="Calibri" w:hAnsi="Times New Roman"/>
          <w:spacing w:val="2"/>
          <w:sz w:val="24"/>
          <w:szCs w:val="24"/>
          <w:lang w:eastAsia="en-US"/>
        </w:rPr>
      </w:pPr>
      <w:r>
        <w:rPr>
          <w:rFonts w:ascii="Times New Roman" w:eastAsia="Calibri" w:hAnsi="Times New Roman"/>
          <w:spacing w:val="2"/>
          <w:sz w:val="24"/>
          <w:szCs w:val="24"/>
          <w:lang w:eastAsia="en-US"/>
        </w:rPr>
        <w:t>Таблица №</w:t>
      </w:r>
      <w:r w:rsidR="00FA75D8">
        <w:rPr>
          <w:rFonts w:ascii="Times New Roman" w:eastAsia="Calibri" w:hAnsi="Times New Roman"/>
          <w:spacing w:val="2"/>
          <w:sz w:val="24"/>
          <w:szCs w:val="24"/>
          <w:lang w:eastAsia="en-US"/>
        </w:rPr>
        <w:t>4</w:t>
      </w:r>
    </w:p>
    <w:p w:rsidR="002A03A2" w:rsidRDefault="002A03A2" w:rsidP="002A03A2">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Динамика инвестиций в основной капитал и их структура </w:t>
      </w:r>
    </w:p>
    <w:p w:rsidR="002A03A2" w:rsidRDefault="002A03A2" w:rsidP="002A03A2">
      <w:pPr>
        <w:spacing w:after="0" w:line="240" w:lineRule="auto"/>
        <w:jc w:val="center"/>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по основным отраслям экономики </w:t>
      </w:r>
      <w:r>
        <w:rPr>
          <w:rFonts w:ascii="Times New Roman" w:eastAsia="Calibri" w:hAnsi="Times New Roman"/>
          <w:sz w:val="24"/>
          <w:szCs w:val="24"/>
          <w:lang w:eastAsia="en-US"/>
        </w:rPr>
        <w:t>(без субъектов малого предпринимательства)</w:t>
      </w:r>
    </w:p>
    <w:tbl>
      <w:tblPr>
        <w:tblW w:w="9307" w:type="dxa"/>
        <w:tblInd w:w="93" w:type="dxa"/>
        <w:tblLook w:val="04A0"/>
      </w:tblPr>
      <w:tblGrid>
        <w:gridCol w:w="3703"/>
        <w:gridCol w:w="1180"/>
        <w:gridCol w:w="884"/>
        <w:gridCol w:w="1033"/>
        <w:gridCol w:w="1032"/>
        <w:gridCol w:w="1475"/>
      </w:tblGrid>
      <w:tr w:rsidR="002A03A2" w:rsidRPr="0021344E" w:rsidTr="006B57B4">
        <w:trPr>
          <w:trHeight w:val="555"/>
        </w:trPr>
        <w:tc>
          <w:tcPr>
            <w:tcW w:w="3703" w:type="dxa"/>
            <w:vMerge w:val="restar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2A03A2" w:rsidRPr="0021344E" w:rsidRDefault="002A03A2" w:rsidP="006B57B4">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Показатели</w:t>
            </w:r>
          </w:p>
        </w:tc>
        <w:tc>
          <w:tcPr>
            <w:tcW w:w="2064" w:type="dxa"/>
            <w:gridSpan w:val="2"/>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2A03A2" w:rsidRDefault="002A03A2" w:rsidP="006B57B4">
            <w:pPr>
              <w:spacing w:after="0" w:line="240" w:lineRule="auto"/>
              <w:ind w:left="-108" w:right="-108"/>
              <w:jc w:val="center"/>
              <w:rPr>
                <w:rFonts w:ascii="Times New Roman" w:hAnsi="Times New Roman"/>
                <w:b/>
                <w:bCs/>
                <w:color w:val="000000"/>
                <w:sz w:val="21"/>
                <w:szCs w:val="21"/>
              </w:rPr>
            </w:pPr>
            <w:r w:rsidRPr="0021344E">
              <w:rPr>
                <w:rFonts w:ascii="Times New Roman" w:hAnsi="Times New Roman"/>
                <w:b/>
                <w:bCs/>
                <w:color w:val="000000"/>
                <w:sz w:val="21"/>
                <w:szCs w:val="21"/>
              </w:rPr>
              <w:t>январь-декабрь</w:t>
            </w:r>
          </w:p>
          <w:p w:rsidR="002A03A2" w:rsidRPr="0021344E" w:rsidRDefault="002A03A2" w:rsidP="006B57B4">
            <w:pPr>
              <w:spacing w:after="0" w:line="240" w:lineRule="auto"/>
              <w:ind w:left="-108" w:right="-108"/>
              <w:jc w:val="center"/>
              <w:rPr>
                <w:rFonts w:ascii="Times New Roman" w:hAnsi="Times New Roman"/>
                <w:b/>
                <w:bCs/>
                <w:color w:val="000000"/>
                <w:sz w:val="21"/>
                <w:szCs w:val="21"/>
              </w:rPr>
            </w:pPr>
            <w:r w:rsidRPr="0021344E">
              <w:rPr>
                <w:rFonts w:ascii="Times New Roman" w:hAnsi="Times New Roman"/>
                <w:b/>
                <w:bCs/>
                <w:color w:val="000000"/>
                <w:sz w:val="21"/>
                <w:szCs w:val="21"/>
              </w:rPr>
              <w:t>2016 года</w:t>
            </w:r>
          </w:p>
        </w:tc>
        <w:tc>
          <w:tcPr>
            <w:tcW w:w="2065" w:type="dxa"/>
            <w:gridSpan w:val="2"/>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2A03A2" w:rsidRPr="0021344E" w:rsidRDefault="002A03A2" w:rsidP="006B57B4">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январь-декабрь 2017 года</w:t>
            </w:r>
          </w:p>
        </w:tc>
        <w:tc>
          <w:tcPr>
            <w:tcW w:w="147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A03A2" w:rsidRPr="0021344E" w:rsidRDefault="002A03A2" w:rsidP="006B57B4">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Темп роста, в % к 2016 году*</w:t>
            </w:r>
          </w:p>
        </w:tc>
      </w:tr>
      <w:tr w:rsidR="002A03A2" w:rsidRPr="0021344E" w:rsidTr="002A03A2">
        <w:trPr>
          <w:trHeight w:val="242"/>
        </w:trPr>
        <w:tc>
          <w:tcPr>
            <w:tcW w:w="3703" w:type="dxa"/>
            <w:vMerge/>
            <w:tcBorders>
              <w:top w:val="single" w:sz="4" w:space="0" w:color="auto"/>
              <w:left w:val="single" w:sz="4" w:space="0" w:color="auto"/>
              <w:bottom w:val="single" w:sz="4" w:space="0" w:color="auto"/>
              <w:right w:val="single" w:sz="4" w:space="0" w:color="000000"/>
            </w:tcBorders>
            <w:vAlign w:val="center"/>
            <w:hideMark/>
          </w:tcPr>
          <w:p w:rsidR="002A03A2" w:rsidRPr="0021344E" w:rsidRDefault="002A03A2" w:rsidP="002A03A2">
            <w:pPr>
              <w:spacing w:after="0" w:line="240" w:lineRule="auto"/>
              <w:rPr>
                <w:rFonts w:ascii="Times New Roman" w:hAnsi="Times New Roman"/>
                <w:b/>
                <w:bCs/>
                <w:color w:val="000000"/>
                <w:sz w:val="21"/>
                <w:szCs w:val="21"/>
              </w:rPr>
            </w:pPr>
          </w:p>
        </w:tc>
        <w:tc>
          <w:tcPr>
            <w:tcW w:w="2064" w:type="dxa"/>
            <w:gridSpan w:val="2"/>
            <w:vMerge/>
            <w:tcBorders>
              <w:top w:val="single" w:sz="4" w:space="0" w:color="auto"/>
              <w:left w:val="single" w:sz="4" w:space="0" w:color="auto"/>
              <w:bottom w:val="single" w:sz="4" w:space="0" w:color="000000"/>
              <w:right w:val="single" w:sz="4" w:space="0" w:color="000000"/>
            </w:tcBorders>
            <w:vAlign w:val="center"/>
            <w:hideMark/>
          </w:tcPr>
          <w:p w:rsidR="002A03A2" w:rsidRPr="0021344E" w:rsidRDefault="002A03A2" w:rsidP="002A03A2">
            <w:pPr>
              <w:spacing w:after="0" w:line="240" w:lineRule="auto"/>
              <w:rPr>
                <w:rFonts w:ascii="Times New Roman" w:hAnsi="Times New Roman"/>
                <w:b/>
                <w:bCs/>
                <w:color w:val="000000"/>
                <w:sz w:val="21"/>
                <w:szCs w:val="21"/>
              </w:rPr>
            </w:pPr>
          </w:p>
        </w:tc>
        <w:tc>
          <w:tcPr>
            <w:tcW w:w="2065" w:type="dxa"/>
            <w:gridSpan w:val="2"/>
            <w:vMerge/>
            <w:tcBorders>
              <w:top w:val="single" w:sz="4" w:space="0" w:color="auto"/>
              <w:left w:val="single" w:sz="4" w:space="0" w:color="auto"/>
              <w:bottom w:val="single" w:sz="4" w:space="0" w:color="000000"/>
              <w:right w:val="single" w:sz="4" w:space="0" w:color="000000"/>
            </w:tcBorders>
            <w:vAlign w:val="center"/>
            <w:hideMark/>
          </w:tcPr>
          <w:p w:rsidR="002A03A2" w:rsidRPr="0021344E" w:rsidRDefault="002A03A2" w:rsidP="002A03A2">
            <w:pPr>
              <w:spacing w:after="0" w:line="240" w:lineRule="auto"/>
              <w:rPr>
                <w:rFonts w:ascii="Times New Roman" w:hAnsi="Times New Roman"/>
                <w:b/>
                <w:bCs/>
                <w:color w:val="000000"/>
                <w:sz w:val="21"/>
                <w:szCs w:val="21"/>
              </w:rPr>
            </w:pPr>
          </w:p>
        </w:tc>
        <w:tc>
          <w:tcPr>
            <w:tcW w:w="1475" w:type="dxa"/>
            <w:vMerge/>
            <w:tcBorders>
              <w:top w:val="single" w:sz="4" w:space="0" w:color="auto"/>
              <w:left w:val="single" w:sz="4" w:space="0" w:color="auto"/>
              <w:bottom w:val="single" w:sz="4" w:space="0" w:color="000000"/>
              <w:right w:val="single" w:sz="4" w:space="0" w:color="auto"/>
            </w:tcBorders>
            <w:vAlign w:val="center"/>
            <w:hideMark/>
          </w:tcPr>
          <w:p w:rsidR="002A03A2" w:rsidRPr="0021344E" w:rsidRDefault="002A03A2" w:rsidP="002A03A2">
            <w:pPr>
              <w:spacing w:after="0" w:line="240" w:lineRule="auto"/>
              <w:rPr>
                <w:rFonts w:ascii="Times New Roman" w:hAnsi="Times New Roman"/>
                <w:b/>
                <w:bCs/>
                <w:color w:val="000000"/>
                <w:sz w:val="21"/>
                <w:szCs w:val="21"/>
              </w:rPr>
            </w:pPr>
          </w:p>
        </w:tc>
      </w:tr>
      <w:tr w:rsidR="002A03A2" w:rsidRPr="0021344E" w:rsidTr="006D4FCB">
        <w:trPr>
          <w:trHeight w:val="300"/>
        </w:trPr>
        <w:tc>
          <w:tcPr>
            <w:tcW w:w="3703" w:type="dxa"/>
            <w:vMerge/>
            <w:tcBorders>
              <w:top w:val="single" w:sz="4" w:space="0" w:color="auto"/>
              <w:left w:val="single" w:sz="4" w:space="0" w:color="auto"/>
              <w:bottom w:val="single" w:sz="4" w:space="0" w:color="auto"/>
              <w:right w:val="single" w:sz="4" w:space="0" w:color="000000"/>
            </w:tcBorders>
            <w:vAlign w:val="center"/>
            <w:hideMark/>
          </w:tcPr>
          <w:p w:rsidR="002A03A2" w:rsidRPr="0021344E" w:rsidRDefault="002A03A2" w:rsidP="002A03A2">
            <w:pPr>
              <w:spacing w:after="0" w:line="240" w:lineRule="auto"/>
              <w:rPr>
                <w:rFonts w:ascii="Times New Roman" w:hAnsi="Times New Roman"/>
                <w:b/>
                <w:bCs/>
                <w:color w:val="000000"/>
                <w:sz w:val="21"/>
                <w:szCs w:val="21"/>
              </w:rPr>
            </w:pPr>
          </w:p>
        </w:tc>
        <w:tc>
          <w:tcPr>
            <w:tcW w:w="118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A03A2" w:rsidRPr="0021344E" w:rsidRDefault="002A03A2" w:rsidP="002A03A2">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млн руб.</w:t>
            </w:r>
          </w:p>
        </w:tc>
        <w:tc>
          <w:tcPr>
            <w:tcW w:w="884"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2A03A2" w:rsidRDefault="002A03A2" w:rsidP="002A03A2">
            <w:pPr>
              <w:spacing w:after="0" w:line="240" w:lineRule="auto"/>
              <w:ind w:left="-108"/>
              <w:jc w:val="center"/>
              <w:rPr>
                <w:rFonts w:ascii="Times New Roman" w:hAnsi="Times New Roman"/>
                <w:b/>
                <w:bCs/>
                <w:color w:val="000000"/>
                <w:sz w:val="21"/>
                <w:szCs w:val="21"/>
              </w:rPr>
            </w:pPr>
            <w:r w:rsidRPr="0021344E">
              <w:rPr>
                <w:rFonts w:ascii="Times New Roman" w:hAnsi="Times New Roman"/>
                <w:b/>
                <w:bCs/>
                <w:color w:val="000000"/>
                <w:sz w:val="21"/>
                <w:szCs w:val="21"/>
              </w:rPr>
              <w:t>уд</w:t>
            </w:r>
            <w:proofErr w:type="gramStart"/>
            <w:r w:rsidRPr="0021344E">
              <w:rPr>
                <w:rFonts w:ascii="Times New Roman" w:hAnsi="Times New Roman"/>
                <w:b/>
                <w:bCs/>
                <w:color w:val="000000"/>
                <w:sz w:val="21"/>
                <w:szCs w:val="21"/>
              </w:rPr>
              <w:t>.</w:t>
            </w:r>
            <w:proofErr w:type="gramEnd"/>
            <w:r w:rsidR="006D4FCB">
              <w:rPr>
                <w:rFonts w:ascii="Times New Roman" w:hAnsi="Times New Roman"/>
                <w:b/>
                <w:bCs/>
                <w:color w:val="000000"/>
                <w:sz w:val="21"/>
                <w:szCs w:val="21"/>
              </w:rPr>
              <w:t xml:space="preserve"> </w:t>
            </w:r>
            <w:proofErr w:type="gramStart"/>
            <w:r w:rsidRPr="0021344E">
              <w:rPr>
                <w:rFonts w:ascii="Times New Roman" w:hAnsi="Times New Roman"/>
                <w:b/>
                <w:bCs/>
                <w:color w:val="000000"/>
                <w:sz w:val="21"/>
                <w:szCs w:val="21"/>
              </w:rPr>
              <w:t>в</w:t>
            </w:r>
            <w:proofErr w:type="gramEnd"/>
            <w:r w:rsidRPr="0021344E">
              <w:rPr>
                <w:rFonts w:ascii="Times New Roman" w:hAnsi="Times New Roman"/>
                <w:b/>
                <w:bCs/>
                <w:color w:val="000000"/>
                <w:sz w:val="21"/>
                <w:szCs w:val="21"/>
              </w:rPr>
              <w:t>ес,</w:t>
            </w:r>
          </w:p>
          <w:p w:rsidR="002A03A2" w:rsidRPr="0021344E" w:rsidRDefault="002A03A2" w:rsidP="002A03A2">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w:t>
            </w:r>
          </w:p>
        </w:tc>
        <w:tc>
          <w:tcPr>
            <w:tcW w:w="103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A03A2" w:rsidRPr="0021344E" w:rsidRDefault="002A03A2" w:rsidP="002A03A2">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млн руб.</w:t>
            </w:r>
          </w:p>
        </w:tc>
        <w:tc>
          <w:tcPr>
            <w:tcW w:w="103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A03A2" w:rsidRDefault="002A03A2" w:rsidP="002A03A2">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уд</w:t>
            </w:r>
            <w:proofErr w:type="gramStart"/>
            <w:r w:rsidRPr="0021344E">
              <w:rPr>
                <w:rFonts w:ascii="Times New Roman" w:hAnsi="Times New Roman"/>
                <w:b/>
                <w:bCs/>
                <w:color w:val="000000"/>
                <w:sz w:val="21"/>
                <w:szCs w:val="21"/>
              </w:rPr>
              <w:t>.</w:t>
            </w:r>
            <w:proofErr w:type="gramEnd"/>
            <w:r w:rsidRPr="0021344E">
              <w:rPr>
                <w:rFonts w:ascii="Times New Roman" w:hAnsi="Times New Roman"/>
                <w:b/>
                <w:bCs/>
                <w:color w:val="000000"/>
                <w:sz w:val="21"/>
                <w:szCs w:val="21"/>
              </w:rPr>
              <w:t xml:space="preserve"> </w:t>
            </w:r>
            <w:proofErr w:type="gramStart"/>
            <w:r w:rsidRPr="0021344E">
              <w:rPr>
                <w:rFonts w:ascii="Times New Roman" w:hAnsi="Times New Roman"/>
                <w:b/>
                <w:bCs/>
                <w:color w:val="000000"/>
                <w:sz w:val="21"/>
                <w:szCs w:val="21"/>
              </w:rPr>
              <w:t>в</w:t>
            </w:r>
            <w:proofErr w:type="gramEnd"/>
            <w:r w:rsidRPr="0021344E">
              <w:rPr>
                <w:rFonts w:ascii="Times New Roman" w:hAnsi="Times New Roman"/>
                <w:b/>
                <w:bCs/>
                <w:color w:val="000000"/>
                <w:sz w:val="21"/>
                <w:szCs w:val="21"/>
              </w:rPr>
              <w:t>ес,</w:t>
            </w:r>
          </w:p>
          <w:p w:rsidR="002A03A2" w:rsidRPr="0021344E" w:rsidRDefault="002A03A2" w:rsidP="002A03A2">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w:t>
            </w:r>
          </w:p>
        </w:tc>
        <w:tc>
          <w:tcPr>
            <w:tcW w:w="1475" w:type="dxa"/>
            <w:vMerge/>
            <w:tcBorders>
              <w:top w:val="single" w:sz="4" w:space="0" w:color="auto"/>
              <w:left w:val="single" w:sz="4" w:space="0" w:color="auto"/>
              <w:bottom w:val="single" w:sz="4" w:space="0" w:color="000000"/>
              <w:right w:val="single" w:sz="4" w:space="0" w:color="auto"/>
            </w:tcBorders>
            <w:vAlign w:val="center"/>
            <w:hideMark/>
          </w:tcPr>
          <w:p w:rsidR="002A03A2" w:rsidRPr="0021344E" w:rsidRDefault="002A03A2" w:rsidP="002A03A2">
            <w:pPr>
              <w:spacing w:after="0" w:line="240" w:lineRule="auto"/>
              <w:rPr>
                <w:rFonts w:ascii="Times New Roman" w:hAnsi="Times New Roman"/>
                <w:b/>
                <w:bCs/>
                <w:color w:val="000000"/>
                <w:sz w:val="21"/>
                <w:szCs w:val="21"/>
              </w:rPr>
            </w:pPr>
          </w:p>
        </w:tc>
      </w:tr>
      <w:tr w:rsidR="002A03A2" w:rsidRPr="0021344E" w:rsidTr="006D4FCB">
        <w:trPr>
          <w:trHeight w:val="242"/>
        </w:trPr>
        <w:tc>
          <w:tcPr>
            <w:tcW w:w="3703" w:type="dxa"/>
            <w:vMerge/>
            <w:tcBorders>
              <w:top w:val="single" w:sz="4" w:space="0" w:color="auto"/>
              <w:left w:val="single" w:sz="4" w:space="0" w:color="auto"/>
              <w:bottom w:val="single" w:sz="4" w:space="0" w:color="auto"/>
              <w:right w:val="single" w:sz="4" w:space="0" w:color="000000"/>
            </w:tcBorders>
            <w:vAlign w:val="center"/>
            <w:hideMark/>
          </w:tcPr>
          <w:p w:rsidR="002A03A2" w:rsidRPr="0021344E" w:rsidRDefault="002A03A2" w:rsidP="002A03A2">
            <w:pPr>
              <w:spacing w:after="0" w:line="240" w:lineRule="auto"/>
              <w:rPr>
                <w:rFonts w:ascii="Times New Roman" w:hAnsi="Times New Roman"/>
                <w:b/>
                <w:bCs/>
                <w:color w:val="000000"/>
                <w:sz w:val="21"/>
                <w:szCs w:val="21"/>
              </w:rPr>
            </w:pPr>
          </w:p>
        </w:tc>
        <w:tc>
          <w:tcPr>
            <w:tcW w:w="118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A03A2" w:rsidRPr="0021344E" w:rsidRDefault="002A03A2" w:rsidP="002A03A2">
            <w:pPr>
              <w:spacing w:after="0" w:line="240" w:lineRule="auto"/>
              <w:rPr>
                <w:rFonts w:ascii="Times New Roman" w:hAnsi="Times New Roman"/>
                <w:b/>
                <w:bCs/>
                <w:color w:val="000000"/>
                <w:sz w:val="21"/>
                <w:szCs w:val="21"/>
              </w:rPr>
            </w:pPr>
          </w:p>
        </w:tc>
        <w:tc>
          <w:tcPr>
            <w:tcW w:w="88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2A03A2" w:rsidRPr="0021344E" w:rsidRDefault="002A03A2" w:rsidP="002A03A2">
            <w:pPr>
              <w:spacing w:after="0" w:line="240" w:lineRule="auto"/>
              <w:rPr>
                <w:rFonts w:ascii="Times New Roman" w:hAnsi="Times New Roman"/>
                <w:b/>
                <w:bCs/>
                <w:color w:val="000000"/>
                <w:sz w:val="21"/>
                <w:szCs w:val="21"/>
              </w:rPr>
            </w:pPr>
          </w:p>
        </w:tc>
        <w:tc>
          <w:tcPr>
            <w:tcW w:w="103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A03A2" w:rsidRPr="0021344E" w:rsidRDefault="002A03A2" w:rsidP="002A03A2">
            <w:pPr>
              <w:spacing w:after="0" w:line="240" w:lineRule="auto"/>
              <w:rPr>
                <w:rFonts w:ascii="Times New Roman" w:hAnsi="Times New Roman"/>
                <w:b/>
                <w:bCs/>
                <w:color w:val="000000"/>
                <w:sz w:val="21"/>
                <w:szCs w:val="21"/>
              </w:rPr>
            </w:pPr>
          </w:p>
        </w:tc>
        <w:tc>
          <w:tcPr>
            <w:tcW w:w="103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A03A2" w:rsidRPr="0021344E" w:rsidRDefault="002A03A2" w:rsidP="002A03A2">
            <w:pPr>
              <w:spacing w:after="0" w:line="240" w:lineRule="auto"/>
              <w:rPr>
                <w:rFonts w:ascii="Times New Roman" w:hAnsi="Times New Roman"/>
                <w:b/>
                <w:bCs/>
                <w:color w:val="000000"/>
                <w:sz w:val="21"/>
                <w:szCs w:val="21"/>
              </w:rPr>
            </w:pPr>
          </w:p>
        </w:tc>
        <w:tc>
          <w:tcPr>
            <w:tcW w:w="1475" w:type="dxa"/>
            <w:vMerge/>
            <w:tcBorders>
              <w:top w:val="single" w:sz="4" w:space="0" w:color="auto"/>
              <w:left w:val="single" w:sz="4" w:space="0" w:color="auto"/>
              <w:bottom w:val="single" w:sz="4" w:space="0" w:color="000000"/>
              <w:right w:val="single" w:sz="4" w:space="0" w:color="auto"/>
            </w:tcBorders>
            <w:vAlign w:val="center"/>
            <w:hideMark/>
          </w:tcPr>
          <w:p w:rsidR="002A03A2" w:rsidRPr="0021344E" w:rsidRDefault="002A03A2" w:rsidP="002A03A2">
            <w:pPr>
              <w:spacing w:after="0" w:line="240" w:lineRule="auto"/>
              <w:rPr>
                <w:rFonts w:ascii="Times New Roman" w:hAnsi="Times New Roman"/>
                <w:b/>
                <w:bCs/>
                <w:color w:val="000000"/>
                <w:sz w:val="21"/>
                <w:szCs w:val="21"/>
              </w:rPr>
            </w:pPr>
          </w:p>
        </w:tc>
      </w:tr>
      <w:tr w:rsidR="002A03A2" w:rsidRPr="0021344E" w:rsidTr="002A03A2">
        <w:trPr>
          <w:trHeight w:val="502"/>
        </w:trPr>
        <w:tc>
          <w:tcPr>
            <w:tcW w:w="3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b/>
                <w:bCs/>
                <w:color w:val="000000"/>
                <w:sz w:val="21"/>
                <w:szCs w:val="21"/>
              </w:rPr>
            </w:pPr>
            <w:r w:rsidRPr="0021344E">
              <w:rPr>
                <w:rFonts w:ascii="Times New Roman" w:hAnsi="Times New Roman"/>
                <w:b/>
                <w:bCs/>
                <w:color w:val="000000"/>
                <w:sz w:val="21"/>
                <w:szCs w:val="21"/>
              </w:rPr>
              <w:t>Инвестиции в основной капитал</w:t>
            </w:r>
          </w:p>
          <w:p w:rsidR="002A03A2" w:rsidRPr="0021344E" w:rsidRDefault="002A03A2" w:rsidP="002A03A2">
            <w:pPr>
              <w:spacing w:after="0" w:line="240" w:lineRule="auto"/>
              <w:rPr>
                <w:rFonts w:ascii="Times New Roman" w:hAnsi="Times New Roman"/>
                <w:b/>
                <w:bCs/>
                <w:color w:val="000000"/>
                <w:sz w:val="21"/>
                <w:szCs w:val="21"/>
              </w:rPr>
            </w:pPr>
            <w:r w:rsidRPr="0021344E">
              <w:rPr>
                <w:rFonts w:ascii="Times New Roman" w:hAnsi="Times New Roman"/>
                <w:color w:val="000000"/>
                <w:sz w:val="21"/>
                <w:szCs w:val="21"/>
              </w:rPr>
              <w:t>(в части новых и приобретенных по импорту основных средств) – всего</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ind w:right="-108"/>
              <w:jc w:val="center"/>
              <w:rPr>
                <w:rFonts w:ascii="Times New Roman" w:hAnsi="Times New Roman"/>
                <w:b/>
                <w:bCs/>
                <w:color w:val="000000"/>
                <w:sz w:val="21"/>
                <w:szCs w:val="21"/>
              </w:rPr>
            </w:pPr>
            <w:r w:rsidRPr="0021344E">
              <w:rPr>
                <w:rFonts w:ascii="Times New Roman" w:hAnsi="Times New Roman"/>
                <w:b/>
                <w:bCs/>
                <w:color w:val="000000"/>
                <w:sz w:val="21"/>
                <w:szCs w:val="21"/>
              </w:rPr>
              <w:t>1 085,4</w:t>
            </w:r>
          </w:p>
        </w:tc>
        <w:tc>
          <w:tcPr>
            <w:tcW w:w="884"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100</w:t>
            </w:r>
          </w:p>
        </w:tc>
        <w:tc>
          <w:tcPr>
            <w:tcW w:w="103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818,0</w:t>
            </w:r>
          </w:p>
        </w:tc>
        <w:tc>
          <w:tcPr>
            <w:tcW w:w="1032"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100</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b/>
                <w:bCs/>
                <w:color w:val="000000"/>
                <w:sz w:val="21"/>
                <w:szCs w:val="21"/>
              </w:rPr>
            </w:pPr>
            <w:r w:rsidRPr="0021344E">
              <w:rPr>
                <w:rFonts w:ascii="Times New Roman" w:hAnsi="Times New Roman"/>
                <w:b/>
                <w:bCs/>
                <w:color w:val="000000"/>
                <w:sz w:val="21"/>
                <w:szCs w:val="21"/>
              </w:rPr>
              <w:t>75,4</w:t>
            </w:r>
          </w:p>
        </w:tc>
      </w:tr>
      <w:tr w:rsidR="002A03A2" w:rsidRPr="0021344E" w:rsidTr="002A03A2">
        <w:trPr>
          <w:trHeight w:val="357"/>
        </w:trPr>
        <w:tc>
          <w:tcPr>
            <w:tcW w:w="3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в том числе:</w:t>
            </w:r>
          </w:p>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промышленность</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438,3</w:t>
            </w:r>
          </w:p>
        </w:tc>
        <w:tc>
          <w:tcPr>
            <w:tcW w:w="884"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40,4</w:t>
            </w:r>
          </w:p>
        </w:tc>
        <w:tc>
          <w:tcPr>
            <w:tcW w:w="103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308,4</w:t>
            </w:r>
          </w:p>
        </w:tc>
        <w:tc>
          <w:tcPr>
            <w:tcW w:w="1032"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37,7</w:t>
            </w:r>
          </w:p>
        </w:tc>
        <w:tc>
          <w:tcPr>
            <w:tcW w:w="1475"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70,6</w:t>
            </w:r>
          </w:p>
        </w:tc>
      </w:tr>
      <w:tr w:rsidR="002A03A2" w:rsidRPr="0021344E" w:rsidTr="002A03A2">
        <w:trPr>
          <w:trHeight w:val="294"/>
        </w:trPr>
        <w:tc>
          <w:tcPr>
            <w:tcW w:w="3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сельское хозяйство</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64,5</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5,9</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111,9</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13,7</w:t>
            </w:r>
          </w:p>
        </w:tc>
        <w:tc>
          <w:tcPr>
            <w:tcW w:w="1475"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165,2</w:t>
            </w:r>
          </w:p>
        </w:tc>
      </w:tr>
      <w:tr w:rsidR="002A03A2" w:rsidRPr="0021344E" w:rsidTr="002A03A2">
        <w:trPr>
          <w:trHeight w:val="286"/>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транспорт</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56,9</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5,2</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37,9</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4,6</w:t>
            </w:r>
          </w:p>
        </w:tc>
        <w:tc>
          <w:tcPr>
            <w:tcW w:w="1475"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67,5</w:t>
            </w:r>
          </w:p>
        </w:tc>
      </w:tr>
      <w:tr w:rsidR="002A03A2" w:rsidRPr="0021344E" w:rsidTr="002A03A2">
        <w:trPr>
          <w:trHeight w:val="26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связь</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122,4</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11,3</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53,</w:t>
            </w:r>
            <w:r>
              <w:rPr>
                <w:rFonts w:ascii="Times New Roman" w:hAnsi="Times New Roman"/>
                <w:color w:val="000000"/>
                <w:sz w:val="21"/>
                <w:szCs w:val="21"/>
              </w:rPr>
              <w:t>6</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6,</w:t>
            </w:r>
            <w:r>
              <w:rPr>
                <w:rFonts w:ascii="Times New Roman" w:hAnsi="Times New Roman"/>
                <w:color w:val="000000"/>
                <w:sz w:val="21"/>
                <w:szCs w:val="21"/>
              </w:rPr>
              <w:t>6</w:t>
            </w:r>
          </w:p>
        </w:tc>
        <w:tc>
          <w:tcPr>
            <w:tcW w:w="1475"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43,8</w:t>
            </w:r>
          </w:p>
        </w:tc>
      </w:tr>
      <w:tr w:rsidR="002A03A2" w:rsidRPr="0021344E" w:rsidTr="002A03A2">
        <w:trPr>
          <w:trHeight w:val="279"/>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строительство</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10,0</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0,9</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4,0</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0,5</w:t>
            </w:r>
          </w:p>
        </w:tc>
        <w:tc>
          <w:tcPr>
            <w:tcW w:w="1475"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39,5</w:t>
            </w:r>
          </w:p>
        </w:tc>
      </w:tr>
      <w:tr w:rsidR="002A03A2" w:rsidRPr="0021344E" w:rsidTr="002A03A2">
        <w:trPr>
          <w:trHeight w:val="267"/>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торговля и общественное питание</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108,7</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10,0</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93,0</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11,4</w:t>
            </w:r>
          </w:p>
        </w:tc>
        <w:tc>
          <w:tcPr>
            <w:tcW w:w="1475"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85,1</w:t>
            </w:r>
          </w:p>
        </w:tc>
      </w:tr>
      <w:tr w:rsidR="002A03A2" w:rsidRPr="0021344E" w:rsidTr="002A03A2">
        <w:trPr>
          <w:trHeight w:val="286"/>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жилищное строительство</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0,7</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0,6</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6,7</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0,8</w:t>
            </w:r>
          </w:p>
        </w:tc>
        <w:tc>
          <w:tcPr>
            <w:tcW w:w="1475"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173,2</w:t>
            </w:r>
          </w:p>
        </w:tc>
      </w:tr>
      <w:tr w:rsidR="002A03A2" w:rsidRPr="0021344E" w:rsidTr="002A03A2">
        <w:trPr>
          <w:trHeight w:val="277"/>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коммунальное хозяйство</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23,7</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2,2</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21,9</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2,7</w:t>
            </w:r>
          </w:p>
        </w:tc>
        <w:tc>
          <w:tcPr>
            <w:tcW w:w="1475"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93,5</w:t>
            </w:r>
          </w:p>
        </w:tc>
      </w:tr>
      <w:tr w:rsidR="002A03A2" w:rsidRPr="0021344E" w:rsidTr="002A03A2">
        <w:trPr>
          <w:trHeight w:val="252"/>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 xml:space="preserve">здравоохранение </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43,5</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4</w:t>
            </w:r>
            <w:r>
              <w:rPr>
                <w:rFonts w:ascii="Times New Roman" w:hAnsi="Times New Roman"/>
                <w:color w:val="000000"/>
                <w:sz w:val="21"/>
                <w:szCs w:val="21"/>
              </w:rPr>
              <w:t>,0</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68,8</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8,4</w:t>
            </w:r>
          </w:p>
        </w:tc>
        <w:tc>
          <w:tcPr>
            <w:tcW w:w="1475"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159,1</w:t>
            </w:r>
          </w:p>
        </w:tc>
      </w:tr>
      <w:tr w:rsidR="002A03A2" w:rsidRPr="0021344E" w:rsidTr="002A03A2">
        <w:trPr>
          <w:trHeight w:val="28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образование</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106,1</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9,8</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51,8</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6,3</w:t>
            </w:r>
          </w:p>
        </w:tc>
        <w:tc>
          <w:tcPr>
            <w:tcW w:w="1475"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48,8</w:t>
            </w:r>
          </w:p>
        </w:tc>
      </w:tr>
      <w:tr w:rsidR="002A03A2" w:rsidRPr="0021344E" w:rsidTr="002A03A2">
        <w:trPr>
          <w:trHeight w:val="30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rPr>
                <w:rFonts w:ascii="Times New Roman" w:hAnsi="Times New Roman"/>
                <w:color w:val="000000"/>
                <w:sz w:val="21"/>
                <w:szCs w:val="21"/>
              </w:rPr>
            </w:pPr>
            <w:r w:rsidRPr="0021344E">
              <w:rPr>
                <w:rFonts w:ascii="Times New Roman" w:hAnsi="Times New Roman"/>
                <w:color w:val="000000"/>
                <w:sz w:val="21"/>
                <w:szCs w:val="21"/>
              </w:rPr>
              <w:t>прочие</w:t>
            </w:r>
          </w:p>
        </w:tc>
        <w:tc>
          <w:tcPr>
            <w:tcW w:w="1180"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105,3</w:t>
            </w:r>
          </w:p>
        </w:tc>
        <w:tc>
          <w:tcPr>
            <w:tcW w:w="884"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9,7</w:t>
            </w:r>
          </w:p>
        </w:tc>
        <w:tc>
          <w:tcPr>
            <w:tcW w:w="1033"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60,2</w:t>
            </w:r>
          </w:p>
        </w:tc>
        <w:tc>
          <w:tcPr>
            <w:tcW w:w="1032" w:type="dxa"/>
            <w:tcBorders>
              <w:top w:val="nil"/>
              <w:left w:val="nil"/>
              <w:bottom w:val="single" w:sz="4" w:space="0" w:color="auto"/>
              <w:right w:val="single" w:sz="4" w:space="0" w:color="auto"/>
            </w:tcBorders>
            <w:shd w:val="clear" w:color="auto" w:fill="auto"/>
            <w:vAlign w:val="bottom"/>
            <w:hideMark/>
          </w:tcPr>
          <w:p w:rsidR="002A03A2" w:rsidRPr="0021344E" w:rsidRDefault="002A03A2" w:rsidP="002A03A2">
            <w:pPr>
              <w:spacing w:after="0" w:line="240" w:lineRule="auto"/>
              <w:jc w:val="center"/>
              <w:rPr>
                <w:rFonts w:ascii="Times New Roman" w:hAnsi="Times New Roman"/>
                <w:color w:val="000000"/>
                <w:sz w:val="21"/>
                <w:szCs w:val="21"/>
              </w:rPr>
            </w:pPr>
            <w:r w:rsidRPr="0021344E">
              <w:rPr>
                <w:rFonts w:ascii="Times New Roman" w:hAnsi="Times New Roman"/>
                <w:color w:val="000000"/>
                <w:sz w:val="21"/>
                <w:szCs w:val="21"/>
              </w:rPr>
              <w:t>7,</w:t>
            </w:r>
            <w:r>
              <w:rPr>
                <w:rFonts w:ascii="Times New Roman" w:hAnsi="Times New Roman"/>
                <w:color w:val="000000"/>
                <w:sz w:val="21"/>
                <w:szCs w:val="21"/>
              </w:rPr>
              <w:t>3</w:t>
            </w:r>
          </w:p>
        </w:tc>
        <w:tc>
          <w:tcPr>
            <w:tcW w:w="1475" w:type="dxa"/>
            <w:tcBorders>
              <w:top w:val="nil"/>
              <w:left w:val="nil"/>
              <w:bottom w:val="single" w:sz="4" w:space="0" w:color="auto"/>
              <w:right w:val="single" w:sz="4" w:space="0" w:color="auto"/>
            </w:tcBorders>
            <w:shd w:val="clear" w:color="auto" w:fill="auto"/>
            <w:vAlign w:val="bottom"/>
            <w:hideMark/>
          </w:tcPr>
          <w:p w:rsidR="002A03A2" w:rsidRPr="008426E2" w:rsidRDefault="002A03A2" w:rsidP="002A03A2">
            <w:pPr>
              <w:spacing w:after="0" w:line="240" w:lineRule="auto"/>
              <w:jc w:val="center"/>
              <w:rPr>
                <w:rFonts w:ascii="Times New Roman" w:hAnsi="Times New Roman"/>
                <w:sz w:val="21"/>
                <w:szCs w:val="21"/>
              </w:rPr>
            </w:pPr>
            <w:r>
              <w:rPr>
                <w:rFonts w:ascii="Times New Roman" w:hAnsi="Times New Roman"/>
                <w:sz w:val="21"/>
                <w:szCs w:val="21"/>
              </w:rPr>
              <w:t>76,2</w:t>
            </w:r>
          </w:p>
        </w:tc>
      </w:tr>
    </w:tbl>
    <w:p w:rsidR="002A03A2" w:rsidRDefault="002A03A2" w:rsidP="002A03A2">
      <w:pPr>
        <w:spacing w:after="0" w:line="240" w:lineRule="auto"/>
        <w:rPr>
          <w:rFonts w:ascii="Times New Roman" w:eastAsia="Calibri" w:hAnsi="Times New Roman"/>
          <w:spacing w:val="2"/>
          <w:sz w:val="18"/>
          <w:szCs w:val="18"/>
          <w:lang w:eastAsia="en-US"/>
        </w:rPr>
      </w:pPr>
      <w:r>
        <w:rPr>
          <w:rFonts w:ascii="Times New Roman" w:eastAsia="Calibri" w:hAnsi="Times New Roman"/>
          <w:i/>
          <w:spacing w:val="2"/>
          <w:sz w:val="18"/>
          <w:szCs w:val="18"/>
          <w:lang w:eastAsia="en-US"/>
        </w:rPr>
        <w:t>*</w:t>
      </w:r>
      <w:r>
        <w:rPr>
          <w:rFonts w:ascii="Times New Roman" w:eastAsia="Calibri" w:hAnsi="Times New Roman"/>
          <w:spacing w:val="2"/>
          <w:sz w:val="18"/>
          <w:szCs w:val="18"/>
          <w:lang w:eastAsia="en-US"/>
        </w:rPr>
        <w:t>-темпы роста приведены к уточнённым данным ГСС</w:t>
      </w:r>
    </w:p>
    <w:p w:rsidR="002A03A2" w:rsidRPr="00FA75D8" w:rsidRDefault="002A03A2" w:rsidP="002A03A2">
      <w:pPr>
        <w:spacing w:after="0" w:line="240" w:lineRule="auto"/>
        <w:rPr>
          <w:rFonts w:ascii="Times New Roman" w:eastAsia="Calibri" w:hAnsi="Times New Roman"/>
          <w:spacing w:val="2"/>
          <w:sz w:val="10"/>
          <w:szCs w:val="10"/>
          <w:lang w:eastAsia="en-US"/>
        </w:rPr>
      </w:pPr>
    </w:p>
    <w:p w:rsidR="002A03A2" w:rsidRPr="00CE5407" w:rsidRDefault="002A03A2" w:rsidP="002A03A2">
      <w:pPr>
        <w:shd w:val="clear" w:color="auto" w:fill="FFFFFF"/>
        <w:spacing w:after="0" w:line="240" w:lineRule="auto"/>
        <w:ind w:firstLine="709"/>
        <w:jc w:val="both"/>
        <w:rPr>
          <w:rFonts w:ascii="Times New Roman" w:eastAsia="Calibri" w:hAnsi="Times New Roman"/>
          <w:sz w:val="24"/>
          <w:szCs w:val="24"/>
          <w:lang w:eastAsia="en-US"/>
        </w:rPr>
      </w:pPr>
      <w:r w:rsidRPr="00CE5407">
        <w:rPr>
          <w:rFonts w:ascii="Times New Roman" w:eastAsia="Calibri" w:hAnsi="Times New Roman"/>
          <w:sz w:val="24"/>
          <w:szCs w:val="24"/>
          <w:lang w:eastAsia="en-US"/>
        </w:rPr>
        <w:t>С целью восстановления и активизации инвестиционных процессов государством проводятся мероприятия по улучшению существующих условий осуществления инвестиционной деятельности бизнес - сообществом, в частности:</w:t>
      </w:r>
    </w:p>
    <w:p w:rsidR="002A03A2" w:rsidRPr="00CE5407" w:rsidRDefault="002A03A2" w:rsidP="002A03A2">
      <w:pPr>
        <w:pStyle w:val="a6"/>
        <w:numPr>
          <w:ilvl w:val="0"/>
          <w:numId w:val="17"/>
        </w:numPr>
        <w:shd w:val="clear" w:color="auto" w:fill="FFFFFF"/>
        <w:tabs>
          <w:tab w:val="left" w:pos="993"/>
        </w:tabs>
        <w:spacing w:after="0" w:line="240" w:lineRule="auto"/>
        <w:ind w:left="0" w:firstLine="709"/>
        <w:jc w:val="both"/>
        <w:rPr>
          <w:rFonts w:ascii="Times New Roman" w:eastAsia="Calibri" w:hAnsi="Times New Roman"/>
          <w:sz w:val="24"/>
          <w:szCs w:val="24"/>
          <w:lang w:eastAsia="en-US"/>
        </w:rPr>
      </w:pPr>
      <w:r w:rsidRPr="00CE5407">
        <w:rPr>
          <w:rFonts w:ascii="Times New Roman" w:eastAsia="Calibri" w:hAnsi="Times New Roman"/>
          <w:sz w:val="24"/>
          <w:szCs w:val="24"/>
          <w:lang w:eastAsia="en-US"/>
        </w:rPr>
        <w:t xml:space="preserve">осуществляется разработка проекта Закона Приднестровской Молдавской Республики «Об инвестиционной деятельности в Приднестровской Молдавской Республике». </w:t>
      </w:r>
      <w:proofErr w:type="gramStart"/>
      <w:r w:rsidRPr="00CE5407">
        <w:rPr>
          <w:rFonts w:ascii="Times New Roman" w:eastAsia="Calibri" w:hAnsi="Times New Roman"/>
          <w:sz w:val="24"/>
          <w:szCs w:val="24"/>
          <w:lang w:eastAsia="en-US"/>
        </w:rPr>
        <w:t xml:space="preserve">Данный нормативный правовой акт направлен на регулирование отношений, связанных с инвестиционной деятельностью, установление правовых и экономических основ </w:t>
      </w:r>
      <w:r w:rsidRPr="00CE5407">
        <w:rPr>
          <w:rFonts w:ascii="Times New Roman" w:eastAsia="Calibri" w:hAnsi="Times New Roman"/>
          <w:sz w:val="24"/>
          <w:szCs w:val="24"/>
          <w:lang w:eastAsia="en-US"/>
        </w:rPr>
        <w:lastRenderedPageBreak/>
        <w:t>осуществления инвестиционной деятельности на территории Приднестровья, а также на улучшение инвестиционного климата в республике и стимулирование привлечения отечественных и иностранных инвестиций посредством предоставления справедливого, равного правового режима инвесторам и гарантии защиты привлеченных ими инвестиций в экономику Приднестровской Молдавской Республики;</w:t>
      </w:r>
      <w:proofErr w:type="gramEnd"/>
    </w:p>
    <w:p w:rsidR="002A03A2" w:rsidRPr="00CE5407" w:rsidRDefault="002A03A2" w:rsidP="002A03A2">
      <w:pPr>
        <w:shd w:val="clear" w:color="auto" w:fill="FFFFFF"/>
        <w:tabs>
          <w:tab w:val="left" w:pos="993"/>
        </w:tabs>
        <w:spacing w:after="0" w:line="240" w:lineRule="auto"/>
        <w:ind w:firstLine="709"/>
        <w:jc w:val="both"/>
        <w:rPr>
          <w:rFonts w:ascii="Times New Roman" w:eastAsia="Calibri" w:hAnsi="Times New Roman"/>
          <w:sz w:val="24"/>
          <w:szCs w:val="24"/>
          <w:lang w:eastAsia="en-US"/>
        </w:rPr>
      </w:pPr>
      <w:r w:rsidRPr="00CE5407">
        <w:rPr>
          <w:rFonts w:ascii="Times New Roman" w:eastAsia="Calibri" w:hAnsi="Times New Roman"/>
          <w:sz w:val="24"/>
          <w:szCs w:val="24"/>
          <w:lang w:eastAsia="en-US"/>
        </w:rPr>
        <w:t>2)</w:t>
      </w:r>
      <w:r w:rsidRPr="00CE5407">
        <w:rPr>
          <w:rFonts w:ascii="Times New Roman" w:eastAsia="Calibri" w:hAnsi="Times New Roman"/>
          <w:sz w:val="24"/>
          <w:szCs w:val="24"/>
          <w:lang w:eastAsia="en-US"/>
        </w:rPr>
        <w:tab/>
        <w:t>оказывается содействие развитию инновационной деятельности на территории республики путем регистрации инновационных проектов;</w:t>
      </w:r>
    </w:p>
    <w:p w:rsidR="002A03A2" w:rsidRDefault="002A03A2" w:rsidP="002A03A2">
      <w:pPr>
        <w:shd w:val="clear" w:color="auto" w:fill="FFFFFF"/>
        <w:tabs>
          <w:tab w:val="left" w:pos="993"/>
        </w:tabs>
        <w:spacing w:after="0" w:line="240" w:lineRule="auto"/>
        <w:ind w:firstLine="709"/>
        <w:jc w:val="both"/>
        <w:rPr>
          <w:rFonts w:ascii="Times New Roman" w:eastAsia="Calibri" w:hAnsi="Times New Roman"/>
          <w:sz w:val="24"/>
          <w:szCs w:val="24"/>
          <w:lang w:eastAsia="en-US"/>
        </w:rPr>
      </w:pPr>
      <w:r w:rsidRPr="00CE5407">
        <w:rPr>
          <w:rFonts w:ascii="Times New Roman" w:eastAsia="Calibri" w:hAnsi="Times New Roman"/>
          <w:sz w:val="24"/>
          <w:szCs w:val="24"/>
          <w:lang w:eastAsia="en-US"/>
        </w:rPr>
        <w:t>3)</w:t>
      </w:r>
      <w:r w:rsidRPr="00CE5407">
        <w:rPr>
          <w:rFonts w:ascii="Times New Roman" w:eastAsia="Calibri" w:hAnsi="Times New Roman"/>
          <w:sz w:val="24"/>
          <w:szCs w:val="24"/>
          <w:lang w:eastAsia="en-US"/>
        </w:rPr>
        <w:tab/>
        <w:t>оказывается содействие инвесторам в ходе подготовки и реализации ими инвестиционных проектов посредством определения формы и порядка сопровождения инвестиционных проектов, планируемых к реализации и (или) реализуемых на территориях административно-территориальных единиц республики, а также установления функций уполномоченных органов в лице министерств (ведомств) республики при рассмотрении и сопровождении инвестиционных проектов.</w:t>
      </w:r>
    </w:p>
    <w:p w:rsidR="002A03A2" w:rsidRPr="0080737A" w:rsidRDefault="002A03A2" w:rsidP="00335844">
      <w:pPr>
        <w:widowControl w:val="0"/>
        <w:shd w:val="clear" w:color="auto" w:fill="FFFFFF"/>
        <w:spacing w:after="0" w:line="240" w:lineRule="auto"/>
        <w:ind w:firstLine="709"/>
        <w:jc w:val="both"/>
        <w:rPr>
          <w:rFonts w:ascii="Times New Roman" w:eastAsia="Calibri" w:hAnsi="Times New Roman"/>
          <w:sz w:val="24"/>
          <w:szCs w:val="24"/>
          <w:lang w:eastAsia="en-US"/>
        </w:rPr>
      </w:pPr>
    </w:p>
    <w:p w:rsidR="00F425EE" w:rsidRPr="0080737A" w:rsidRDefault="00F425EE" w:rsidP="00F425EE">
      <w:pPr>
        <w:widowControl w:val="0"/>
        <w:shd w:val="clear" w:color="auto" w:fill="FFFFFF" w:themeFill="background1"/>
        <w:autoSpaceDE w:val="0"/>
        <w:autoSpaceDN w:val="0"/>
        <w:adjustRightInd w:val="0"/>
        <w:spacing w:after="0" w:line="240" w:lineRule="auto"/>
        <w:ind w:firstLine="720"/>
        <w:jc w:val="both"/>
        <w:rPr>
          <w:rFonts w:ascii="Times New Roman" w:eastAsia="Calibri" w:hAnsi="Times New Roman"/>
          <w:b/>
          <w:sz w:val="24"/>
          <w:szCs w:val="24"/>
        </w:rPr>
      </w:pPr>
      <w:r w:rsidRPr="006D4FCB">
        <w:rPr>
          <w:rFonts w:ascii="Times New Roman" w:eastAsia="Calibri" w:hAnsi="Times New Roman"/>
          <w:b/>
          <w:sz w:val="24"/>
          <w:szCs w:val="24"/>
        </w:rPr>
        <w:t>Малое предпринимательство</w:t>
      </w:r>
    </w:p>
    <w:p w:rsidR="00F425EE" w:rsidRDefault="00F425EE" w:rsidP="00FA75D8">
      <w:pPr>
        <w:shd w:val="clear" w:color="auto" w:fill="FFFFFF" w:themeFill="background1"/>
        <w:spacing w:after="0" w:line="240" w:lineRule="auto"/>
        <w:ind w:firstLine="709"/>
        <w:jc w:val="both"/>
        <w:rPr>
          <w:rFonts w:ascii="Times New Roman" w:eastAsia="Calibri" w:hAnsi="Times New Roman"/>
          <w:sz w:val="24"/>
          <w:szCs w:val="24"/>
        </w:rPr>
      </w:pPr>
    </w:p>
    <w:p w:rsidR="00FA75D8" w:rsidRPr="00227068" w:rsidRDefault="00FA75D8" w:rsidP="00FA75D8">
      <w:pPr>
        <w:shd w:val="clear" w:color="auto" w:fill="FFFFFF" w:themeFill="background1"/>
        <w:spacing w:after="0" w:line="240" w:lineRule="auto"/>
        <w:ind w:firstLine="709"/>
        <w:jc w:val="both"/>
        <w:rPr>
          <w:rFonts w:ascii="Times New Roman" w:eastAsia="Calibri" w:hAnsi="Times New Roman"/>
          <w:sz w:val="24"/>
          <w:szCs w:val="24"/>
        </w:rPr>
      </w:pPr>
      <w:r w:rsidRPr="00227068">
        <w:rPr>
          <w:rFonts w:ascii="Times New Roman" w:eastAsia="Calibri" w:hAnsi="Times New Roman"/>
          <w:sz w:val="24"/>
          <w:szCs w:val="24"/>
        </w:rPr>
        <w:t>Накопившийся пласт макроэкономических проблем в совокупности с сохранившимся в начале года острым дефицитом иностранной валюты оказывали сдерживающее влияние на развитие малого бизнеса республики. Несмотря на это проводимая государством политика в течение 2017 года позволила преломить негативные тенденции в динамике по отдельным показателям.</w:t>
      </w:r>
    </w:p>
    <w:p w:rsidR="00FA75D8" w:rsidRPr="00227068" w:rsidRDefault="00FA75D8" w:rsidP="00FA75D8">
      <w:pPr>
        <w:shd w:val="clear" w:color="auto" w:fill="FFFFFF" w:themeFill="background1"/>
        <w:spacing w:after="0" w:line="240" w:lineRule="auto"/>
        <w:ind w:firstLine="709"/>
        <w:jc w:val="both"/>
        <w:rPr>
          <w:rFonts w:ascii="Times New Roman" w:eastAsia="Calibri" w:hAnsi="Times New Roman"/>
          <w:sz w:val="24"/>
          <w:szCs w:val="24"/>
        </w:rPr>
      </w:pPr>
      <w:r w:rsidRPr="00227068">
        <w:rPr>
          <w:rFonts w:ascii="Times New Roman" w:eastAsia="Calibri" w:hAnsi="Times New Roman"/>
          <w:sz w:val="24"/>
          <w:szCs w:val="24"/>
        </w:rPr>
        <w:t xml:space="preserve">Количество субъектов малого бизнеса в 2017 году увеличилось на 6,1% по отношению к уровню 2016 года, составив 4 188 организации, при этом порядка 89,7% </w:t>
      </w:r>
      <w:r>
        <w:rPr>
          <w:rFonts w:ascii="Times New Roman" w:eastAsia="Calibri" w:hAnsi="Times New Roman"/>
          <w:sz w:val="24"/>
          <w:szCs w:val="24"/>
        </w:rPr>
        <w:t xml:space="preserve">              </w:t>
      </w:r>
      <w:r w:rsidRPr="00227068">
        <w:rPr>
          <w:rFonts w:ascii="Times New Roman" w:eastAsia="Calibri" w:hAnsi="Times New Roman"/>
          <w:sz w:val="24"/>
          <w:szCs w:val="24"/>
        </w:rPr>
        <w:t xml:space="preserve">(3 755 организаций) всех субъектов малого предпринимательства являются </w:t>
      </w:r>
      <w:proofErr w:type="spellStart"/>
      <w:r w:rsidRPr="00227068">
        <w:rPr>
          <w:rFonts w:ascii="Times New Roman" w:eastAsia="Calibri" w:hAnsi="Times New Roman"/>
          <w:sz w:val="24"/>
          <w:szCs w:val="24"/>
        </w:rPr>
        <w:t>микропредприятиями</w:t>
      </w:r>
      <w:proofErr w:type="spellEnd"/>
      <w:r w:rsidRPr="00227068">
        <w:rPr>
          <w:rFonts w:ascii="Times New Roman" w:eastAsia="Calibri" w:hAnsi="Times New Roman"/>
          <w:sz w:val="24"/>
          <w:szCs w:val="24"/>
        </w:rPr>
        <w:t>.</w:t>
      </w:r>
    </w:p>
    <w:p w:rsidR="00FA75D8" w:rsidRDefault="00FA75D8" w:rsidP="00FA75D8">
      <w:pPr>
        <w:shd w:val="clear" w:color="auto" w:fill="FFFFFF" w:themeFill="background1"/>
        <w:spacing w:after="0" w:line="240" w:lineRule="auto"/>
        <w:ind w:firstLine="709"/>
        <w:jc w:val="both"/>
        <w:rPr>
          <w:rFonts w:ascii="Times New Roman" w:eastAsia="Calibri" w:hAnsi="Times New Roman"/>
          <w:sz w:val="24"/>
          <w:szCs w:val="24"/>
        </w:rPr>
      </w:pPr>
      <w:r w:rsidRPr="00227068">
        <w:rPr>
          <w:rFonts w:ascii="Times New Roman" w:eastAsia="Calibri" w:hAnsi="Times New Roman"/>
          <w:sz w:val="24"/>
          <w:szCs w:val="24"/>
        </w:rPr>
        <w:t xml:space="preserve">Торговля и общепит остается наиболее привлекательной сферой малого бизнеса, в которой сосредоточено 47,9% (-1,2 п.п. к уровню 2016 года) от общего количества субъектов. В промышленности, строительстве и сельском хозяйстве сосредоточено порядка 26,9% </w:t>
      </w:r>
      <w:r>
        <w:rPr>
          <w:rFonts w:ascii="Times New Roman" w:eastAsia="Calibri" w:hAnsi="Times New Roman"/>
          <w:sz w:val="24"/>
          <w:szCs w:val="24"/>
        </w:rPr>
        <w:t xml:space="preserve">             </w:t>
      </w:r>
      <w:r w:rsidRPr="00227068">
        <w:rPr>
          <w:rFonts w:ascii="Times New Roman" w:eastAsia="Calibri" w:hAnsi="Times New Roman"/>
          <w:sz w:val="24"/>
          <w:szCs w:val="24"/>
        </w:rPr>
        <w:t>(+0,2 п.п.) общего количества органи</w:t>
      </w:r>
      <w:r>
        <w:rPr>
          <w:rFonts w:ascii="Times New Roman" w:eastAsia="Calibri" w:hAnsi="Times New Roman"/>
          <w:sz w:val="24"/>
          <w:szCs w:val="24"/>
        </w:rPr>
        <w:t xml:space="preserve">заций малого бизнеса </w:t>
      </w:r>
      <w:r w:rsidRPr="00FA75D8">
        <w:rPr>
          <w:rFonts w:ascii="Times New Roman" w:eastAsia="Calibri" w:hAnsi="Times New Roman"/>
          <w:sz w:val="24"/>
          <w:szCs w:val="24"/>
        </w:rPr>
        <w:t>республики (рис. 26).</w:t>
      </w:r>
    </w:p>
    <w:p w:rsidR="00FA75D8" w:rsidRPr="00227068" w:rsidRDefault="00FA75D8" w:rsidP="00FA75D8">
      <w:pPr>
        <w:shd w:val="clear" w:color="auto" w:fill="FFFFFF" w:themeFill="background1"/>
        <w:spacing w:after="0" w:line="240" w:lineRule="auto"/>
        <w:ind w:firstLine="709"/>
        <w:jc w:val="right"/>
        <w:rPr>
          <w:rFonts w:ascii="Times New Roman" w:eastAsia="Calibri" w:hAnsi="Times New Roman"/>
          <w:sz w:val="24"/>
          <w:szCs w:val="24"/>
        </w:rPr>
      </w:pPr>
      <w:r w:rsidRPr="005C6CD7">
        <w:rPr>
          <w:rFonts w:ascii="Times New Roman" w:eastAsia="Calibri" w:hAnsi="Times New Roman"/>
          <w:b/>
          <w:i/>
          <w:sz w:val="24"/>
          <w:szCs w:val="24"/>
        </w:rPr>
        <w:t>Рисунок</w:t>
      </w:r>
      <w:r>
        <w:rPr>
          <w:rFonts w:ascii="Times New Roman" w:eastAsia="Calibri" w:hAnsi="Times New Roman"/>
          <w:b/>
          <w:i/>
          <w:sz w:val="24"/>
          <w:szCs w:val="24"/>
        </w:rPr>
        <w:t xml:space="preserve"> 26</w:t>
      </w:r>
    </w:p>
    <w:p w:rsidR="00FA75D8" w:rsidRPr="00FA75D8" w:rsidRDefault="00FA75D8" w:rsidP="00FA75D8">
      <w:pPr>
        <w:shd w:val="clear" w:color="auto" w:fill="FFFFFF" w:themeFill="background1"/>
        <w:spacing w:after="0" w:line="240" w:lineRule="auto"/>
        <w:ind w:firstLine="720"/>
        <w:jc w:val="center"/>
        <w:rPr>
          <w:rFonts w:ascii="Times New Roman" w:eastAsia="Calibri" w:hAnsi="Times New Roman"/>
          <w:b/>
          <w:sz w:val="10"/>
          <w:szCs w:val="10"/>
        </w:rPr>
      </w:pPr>
    </w:p>
    <w:p w:rsidR="00FA75D8" w:rsidRPr="00227068" w:rsidRDefault="00FA75D8" w:rsidP="00FA75D8">
      <w:pPr>
        <w:shd w:val="clear" w:color="auto" w:fill="FFFFFF" w:themeFill="background1"/>
        <w:spacing w:after="0" w:line="240" w:lineRule="auto"/>
        <w:ind w:firstLine="720"/>
        <w:jc w:val="center"/>
        <w:rPr>
          <w:rFonts w:ascii="Times New Roman" w:eastAsia="Calibri" w:hAnsi="Times New Roman"/>
          <w:b/>
          <w:sz w:val="24"/>
          <w:szCs w:val="24"/>
        </w:rPr>
      </w:pPr>
      <w:r w:rsidRPr="00227068">
        <w:rPr>
          <w:rFonts w:ascii="Times New Roman" w:eastAsia="Calibri" w:hAnsi="Times New Roman"/>
          <w:b/>
          <w:sz w:val="24"/>
          <w:szCs w:val="24"/>
        </w:rPr>
        <w:t xml:space="preserve">Структура организаций малого предпринимательства в разрезе отраслей экономики </w:t>
      </w:r>
    </w:p>
    <w:p w:rsidR="00FA75D8" w:rsidRPr="00227068" w:rsidRDefault="00FA75D8" w:rsidP="00FA75D8">
      <w:pPr>
        <w:shd w:val="clear" w:color="auto" w:fill="FFFFFF" w:themeFill="background1"/>
        <w:tabs>
          <w:tab w:val="left" w:pos="2160"/>
        </w:tabs>
        <w:spacing w:after="0" w:line="240" w:lineRule="auto"/>
        <w:ind w:left="-567" w:right="-1" w:firstLine="852"/>
        <w:contextualSpacing/>
        <w:jc w:val="center"/>
        <w:rPr>
          <w:rFonts w:ascii="Times New Roman" w:eastAsia="Calibri" w:hAnsi="Times New Roman"/>
          <w:b/>
          <w:sz w:val="24"/>
          <w:szCs w:val="24"/>
        </w:rPr>
      </w:pPr>
      <w:r w:rsidRPr="00227068">
        <w:rPr>
          <w:rFonts w:ascii="Times New Roman" w:eastAsia="Calibri" w:hAnsi="Times New Roman"/>
          <w:noProof/>
          <w:sz w:val="24"/>
          <w:szCs w:val="24"/>
        </w:rPr>
        <w:drawing>
          <wp:anchor distT="48768" distB="394843" distL="193548" distR="358013" simplePos="0" relativeHeight="251703296" behindDoc="0" locked="0" layoutInCell="1" allowOverlap="1">
            <wp:simplePos x="0" y="0"/>
            <wp:positionH relativeFrom="column">
              <wp:posOffset>-489585</wp:posOffset>
            </wp:positionH>
            <wp:positionV relativeFrom="paragraph">
              <wp:posOffset>354965</wp:posOffset>
            </wp:positionV>
            <wp:extent cx="3486150" cy="2486025"/>
            <wp:effectExtent l="0" t="0" r="0" b="0"/>
            <wp:wrapSquare wrapText="right"/>
            <wp:docPr id="10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227068">
        <w:rPr>
          <w:rFonts w:ascii="Times New Roman" w:eastAsia="Calibri" w:hAnsi="Times New Roman"/>
          <w:noProof/>
          <w:sz w:val="24"/>
          <w:szCs w:val="24"/>
        </w:rPr>
        <w:drawing>
          <wp:anchor distT="48768" distB="394843" distL="193548" distR="358013" simplePos="0" relativeHeight="251702272" behindDoc="0" locked="0" layoutInCell="1" allowOverlap="1">
            <wp:simplePos x="0" y="0"/>
            <wp:positionH relativeFrom="column">
              <wp:posOffset>2643505</wp:posOffset>
            </wp:positionH>
            <wp:positionV relativeFrom="paragraph">
              <wp:posOffset>306705</wp:posOffset>
            </wp:positionV>
            <wp:extent cx="3457575" cy="2581275"/>
            <wp:effectExtent l="0" t="0" r="0" b="0"/>
            <wp:wrapSquare wrapText="right"/>
            <wp:docPr id="10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227068">
        <w:rPr>
          <w:rFonts w:ascii="Times New Roman" w:eastAsia="Calibri" w:hAnsi="Times New Roman"/>
          <w:sz w:val="24"/>
          <w:szCs w:val="24"/>
        </w:rPr>
        <w:t>(количество организаций, удельный вес %)</w:t>
      </w:r>
    </w:p>
    <w:p w:rsidR="00FA75D8" w:rsidRPr="00227068" w:rsidRDefault="00FA75D8" w:rsidP="00FA75D8">
      <w:pPr>
        <w:shd w:val="clear" w:color="auto" w:fill="FFFFFF" w:themeFill="background1"/>
        <w:spacing w:after="0" w:line="240" w:lineRule="auto"/>
        <w:ind w:firstLine="709"/>
        <w:contextualSpacing/>
        <w:jc w:val="both"/>
        <w:rPr>
          <w:rFonts w:ascii="Times New Roman" w:hAnsi="Times New Roman"/>
          <w:sz w:val="24"/>
          <w:szCs w:val="24"/>
        </w:rPr>
      </w:pPr>
      <w:r w:rsidRPr="00227068">
        <w:rPr>
          <w:rFonts w:ascii="Times New Roman" w:hAnsi="Times New Roman"/>
          <w:sz w:val="24"/>
          <w:szCs w:val="24"/>
        </w:rPr>
        <w:t xml:space="preserve">В соответствии со структурой распределения организаций малого предпринимательства по отраслям экономики наибольшее количество занятых приходится на следующие отрасли: торговля и общепит – 5 488 человек (+2,0% по сравнению с уровнем </w:t>
      </w:r>
      <w:r w:rsidRPr="00227068">
        <w:rPr>
          <w:rFonts w:ascii="Times New Roman" w:hAnsi="Times New Roman"/>
          <w:sz w:val="24"/>
          <w:szCs w:val="24"/>
        </w:rPr>
        <w:lastRenderedPageBreak/>
        <w:t>минувшего года); промышленность – 2 520 работников (-4,5%); сельское хозяйство – 1 721 человек (+3,2%); строительство – 1 435 трудящихся (-5,5%).</w:t>
      </w:r>
    </w:p>
    <w:p w:rsidR="00FA75D8" w:rsidRPr="00227068" w:rsidRDefault="00FA75D8" w:rsidP="00FA75D8">
      <w:pPr>
        <w:shd w:val="clear" w:color="auto" w:fill="FFFFFF" w:themeFill="background1"/>
        <w:spacing w:after="0" w:line="240" w:lineRule="auto"/>
        <w:ind w:firstLine="709"/>
        <w:jc w:val="both"/>
        <w:rPr>
          <w:rFonts w:ascii="Times New Roman" w:hAnsi="Times New Roman"/>
          <w:sz w:val="24"/>
          <w:szCs w:val="24"/>
        </w:rPr>
      </w:pPr>
      <w:proofErr w:type="gramStart"/>
      <w:r w:rsidRPr="00227068">
        <w:rPr>
          <w:rFonts w:ascii="Times New Roman" w:hAnsi="Times New Roman"/>
          <w:sz w:val="24"/>
          <w:szCs w:val="24"/>
        </w:rPr>
        <w:t xml:space="preserve">В целом средняя численность работников списочного состава (без внешних совместителей) в 2017 году выросла на 252 человека, или на 1,7%, и составила 14 927 человек, из которых 52,5% (7 838 человек) заняты на </w:t>
      </w:r>
      <w:proofErr w:type="spellStart"/>
      <w:r w:rsidRPr="00227068">
        <w:rPr>
          <w:rFonts w:ascii="Times New Roman" w:hAnsi="Times New Roman"/>
          <w:sz w:val="24"/>
          <w:szCs w:val="24"/>
        </w:rPr>
        <w:t>микропредприятиях</w:t>
      </w:r>
      <w:proofErr w:type="spellEnd"/>
      <w:r w:rsidRPr="00227068">
        <w:rPr>
          <w:rFonts w:ascii="Times New Roman" w:hAnsi="Times New Roman"/>
          <w:sz w:val="24"/>
          <w:szCs w:val="24"/>
        </w:rPr>
        <w:t xml:space="preserve">, численность которых увеличилась на 2,0%, и соответственно 47,5% (7 089 человек) всех занятых в малом бизнесе – малые предприятия («+»1,4% или 98 человек к уровню 2016 года). </w:t>
      </w:r>
      <w:proofErr w:type="gramEnd"/>
    </w:p>
    <w:p w:rsidR="00FA75D8" w:rsidRPr="00227068" w:rsidRDefault="00FA75D8" w:rsidP="00FA75D8">
      <w:pPr>
        <w:shd w:val="clear" w:color="auto" w:fill="FFFFFF" w:themeFill="background1"/>
        <w:spacing w:after="0" w:line="240" w:lineRule="auto"/>
        <w:ind w:firstLine="709"/>
        <w:jc w:val="both"/>
        <w:rPr>
          <w:rFonts w:ascii="Times New Roman" w:hAnsi="Times New Roman"/>
          <w:sz w:val="24"/>
          <w:szCs w:val="24"/>
        </w:rPr>
      </w:pPr>
      <w:proofErr w:type="gramStart"/>
      <w:r w:rsidRPr="00227068">
        <w:rPr>
          <w:rFonts w:ascii="Times New Roman" w:hAnsi="Times New Roman"/>
          <w:sz w:val="24"/>
          <w:szCs w:val="24"/>
        </w:rPr>
        <w:t>Следует отметить, что в 2017 году наблюдается увеличение доли занятых в организациях малого предпринимательства в общей численности занятых в экономике до 13,1% против 9,9% в 2016 году.</w:t>
      </w:r>
      <w:proofErr w:type="gramEnd"/>
    </w:p>
    <w:p w:rsidR="00FA75D8" w:rsidRPr="00227068" w:rsidRDefault="00FA75D8" w:rsidP="00FA75D8">
      <w:pPr>
        <w:shd w:val="clear" w:color="auto" w:fill="FFFFFF" w:themeFill="background1"/>
        <w:spacing w:after="0" w:line="240" w:lineRule="auto"/>
        <w:ind w:firstLine="709"/>
        <w:jc w:val="both"/>
        <w:rPr>
          <w:rFonts w:ascii="Times New Roman" w:eastAsia="Calibri" w:hAnsi="Times New Roman"/>
          <w:sz w:val="24"/>
          <w:szCs w:val="24"/>
        </w:rPr>
      </w:pPr>
      <w:proofErr w:type="gramStart"/>
      <w:r w:rsidRPr="00227068">
        <w:rPr>
          <w:rFonts w:ascii="Times New Roman" w:eastAsia="Calibri" w:hAnsi="Times New Roman"/>
          <w:sz w:val="24"/>
          <w:szCs w:val="24"/>
        </w:rPr>
        <w:t xml:space="preserve">В </w:t>
      </w:r>
      <w:r w:rsidRPr="00227068">
        <w:rPr>
          <w:rFonts w:ascii="Times New Roman" w:hAnsi="Times New Roman"/>
          <w:sz w:val="24"/>
          <w:szCs w:val="24"/>
        </w:rPr>
        <w:t xml:space="preserve">отчетном году </w:t>
      </w:r>
      <w:r w:rsidRPr="00227068">
        <w:rPr>
          <w:rFonts w:ascii="Times New Roman" w:eastAsia="Calibri" w:hAnsi="Times New Roman"/>
          <w:sz w:val="24"/>
          <w:szCs w:val="24"/>
        </w:rPr>
        <w:t xml:space="preserve">номинальная среднемесячная начисленная заработная плата одного работника в организациях малого бизнеса выросла на 1,3% до </w:t>
      </w:r>
      <w:r w:rsidRPr="00227068">
        <w:rPr>
          <w:rFonts w:ascii="Times New Roman" w:hAnsi="Times New Roman"/>
          <w:sz w:val="24"/>
          <w:szCs w:val="24"/>
        </w:rPr>
        <w:t>3 419,8 руб</w:t>
      </w:r>
      <w:r w:rsidRPr="00227068">
        <w:rPr>
          <w:rFonts w:ascii="Times New Roman" w:eastAsia="Calibri" w:hAnsi="Times New Roman"/>
          <w:sz w:val="24"/>
          <w:szCs w:val="24"/>
        </w:rPr>
        <w:t xml:space="preserve">. При этом необходимо отметить, что официальная оплата труда в сфере малого бизнеса остается на низком уровне и составляет 87,4% от </w:t>
      </w:r>
      <w:proofErr w:type="spellStart"/>
      <w:r w:rsidRPr="00227068">
        <w:rPr>
          <w:rFonts w:ascii="Times New Roman" w:eastAsia="Calibri" w:hAnsi="Times New Roman"/>
          <w:sz w:val="24"/>
          <w:szCs w:val="24"/>
        </w:rPr>
        <w:t>среднереспубликанского</w:t>
      </w:r>
      <w:proofErr w:type="spellEnd"/>
      <w:r w:rsidRPr="00227068">
        <w:rPr>
          <w:rFonts w:ascii="Times New Roman" w:eastAsia="Calibri" w:hAnsi="Times New Roman"/>
          <w:sz w:val="24"/>
          <w:szCs w:val="24"/>
        </w:rPr>
        <w:t xml:space="preserve"> уровня заработной платы одного работника (3 912 руб.) и 67,2% от средней величины заработной платы во внебюджетном секторе</w:t>
      </w:r>
      <w:proofErr w:type="gramEnd"/>
      <w:r w:rsidRPr="00227068">
        <w:rPr>
          <w:rFonts w:ascii="Times New Roman" w:eastAsia="Calibri" w:hAnsi="Times New Roman"/>
          <w:sz w:val="24"/>
          <w:szCs w:val="24"/>
        </w:rPr>
        <w:t xml:space="preserve"> (</w:t>
      </w:r>
      <w:proofErr w:type="gramStart"/>
      <w:r w:rsidRPr="00227068">
        <w:rPr>
          <w:rFonts w:ascii="Times New Roman" w:eastAsia="Calibri" w:hAnsi="Times New Roman"/>
          <w:sz w:val="24"/>
          <w:szCs w:val="24"/>
        </w:rPr>
        <w:t>5 072 руб.).</w:t>
      </w:r>
      <w:proofErr w:type="gramEnd"/>
    </w:p>
    <w:p w:rsidR="00FA75D8" w:rsidRDefault="00FA75D8" w:rsidP="00FA75D8">
      <w:pPr>
        <w:shd w:val="clear" w:color="auto" w:fill="FFFFFF" w:themeFill="background1"/>
        <w:spacing w:after="0" w:line="240" w:lineRule="auto"/>
        <w:ind w:firstLine="709"/>
        <w:jc w:val="both"/>
        <w:rPr>
          <w:rFonts w:ascii="Times New Roman" w:eastAsia="Calibri" w:hAnsi="Times New Roman"/>
          <w:sz w:val="24"/>
          <w:szCs w:val="24"/>
        </w:rPr>
      </w:pPr>
      <w:r w:rsidRPr="00227068">
        <w:rPr>
          <w:rFonts w:ascii="Times New Roman" w:eastAsia="Calibri" w:hAnsi="Times New Roman"/>
          <w:sz w:val="24"/>
          <w:szCs w:val="24"/>
        </w:rPr>
        <w:t xml:space="preserve">Наиболее высокий уровень заработной платы отмечен в таких отраслях как: </w:t>
      </w:r>
      <w:proofErr w:type="gramStart"/>
      <w:r w:rsidRPr="00227068">
        <w:rPr>
          <w:rFonts w:ascii="Times New Roman" w:eastAsia="Calibri" w:hAnsi="Times New Roman"/>
          <w:sz w:val="24"/>
          <w:szCs w:val="24"/>
        </w:rPr>
        <w:t>«Информационно – вычислительное обслуживание», «Заготовки», «Связь», «Здравоохранение и социальное обеспечение», «Общая коммерческая деятельность» и «Образование</w:t>
      </w:r>
      <w:r w:rsidRPr="00FA75D8">
        <w:rPr>
          <w:rFonts w:ascii="Times New Roman" w:eastAsia="Calibri" w:hAnsi="Times New Roman"/>
          <w:sz w:val="24"/>
          <w:szCs w:val="24"/>
        </w:rPr>
        <w:t>» (рис. 27).</w:t>
      </w:r>
      <w:r>
        <w:rPr>
          <w:rFonts w:ascii="Times New Roman" w:eastAsia="Calibri" w:hAnsi="Times New Roman"/>
          <w:sz w:val="24"/>
          <w:szCs w:val="24"/>
        </w:rPr>
        <w:t xml:space="preserve"> </w:t>
      </w:r>
      <w:proofErr w:type="gramEnd"/>
    </w:p>
    <w:p w:rsidR="00FA75D8" w:rsidRDefault="00FA75D8" w:rsidP="00FA75D8">
      <w:pPr>
        <w:shd w:val="clear" w:color="auto" w:fill="FFFFFF" w:themeFill="background1"/>
        <w:spacing w:after="0" w:line="240" w:lineRule="auto"/>
        <w:ind w:firstLine="709"/>
        <w:jc w:val="right"/>
        <w:rPr>
          <w:rFonts w:ascii="Times New Roman" w:eastAsia="Calibri" w:hAnsi="Times New Roman"/>
          <w:b/>
          <w:i/>
          <w:sz w:val="24"/>
          <w:szCs w:val="24"/>
        </w:rPr>
      </w:pPr>
      <w:r w:rsidRPr="005C6CD7">
        <w:rPr>
          <w:rFonts w:ascii="Times New Roman" w:eastAsia="Calibri" w:hAnsi="Times New Roman"/>
          <w:b/>
          <w:i/>
          <w:sz w:val="24"/>
          <w:szCs w:val="24"/>
        </w:rPr>
        <w:t>Рисунок</w:t>
      </w:r>
      <w:r>
        <w:rPr>
          <w:rFonts w:ascii="Times New Roman" w:eastAsia="Calibri" w:hAnsi="Times New Roman"/>
          <w:b/>
          <w:i/>
          <w:sz w:val="24"/>
          <w:szCs w:val="24"/>
        </w:rPr>
        <w:t xml:space="preserve"> 27</w:t>
      </w:r>
    </w:p>
    <w:p w:rsidR="00FA75D8" w:rsidRPr="005C6CD7" w:rsidRDefault="00FA75D8" w:rsidP="00FA75D8">
      <w:pPr>
        <w:shd w:val="clear" w:color="auto" w:fill="FFFFFF" w:themeFill="background1"/>
        <w:spacing w:after="0" w:line="240" w:lineRule="auto"/>
        <w:ind w:firstLine="709"/>
        <w:jc w:val="right"/>
        <w:rPr>
          <w:rFonts w:ascii="Times New Roman" w:eastAsia="Calibri" w:hAnsi="Times New Roman"/>
          <w:sz w:val="10"/>
          <w:szCs w:val="10"/>
        </w:rPr>
      </w:pPr>
    </w:p>
    <w:p w:rsidR="00FA75D8" w:rsidRPr="00FA75D8" w:rsidRDefault="00FA75D8" w:rsidP="00FA75D8">
      <w:pPr>
        <w:shd w:val="clear" w:color="auto" w:fill="FFFFFF" w:themeFill="background1"/>
        <w:spacing w:after="0" w:line="240" w:lineRule="auto"/>
        <w:ind w:left="-284" w:hanging="142"/>
        <w:jc w:val="both"/>
        <w:rPr>
          <w:rFonts w:ascii="Times New Roman" w:eastAsia="Calibri" w:hAnsi="Times New Roman"/>
          <w:sz w:val="10"/>
          <w:szCs w:val="10"/>
        </w:rPr>
      </w:pPr>
      <w:r w:rsidRPr="00227068">
        <w:rPr>
          <w:rFonts w:ascii="Times New Roman" w:eastAsia="Calibri" w:hAnsi="Times New Roman"/>
          <w:noProof/>
          <w:sz w:val="24"/>
          <w:szCs w:val="24"/>
        </w:rPr>
        <w:drawing>
          <wp:inline distT="0" distB="0" distL="0" distR="0">
            <wp:extent cx="6429375" cy="4229100"/>
            <wp:effectExtent l="0" t="0" r="0" b="0"/>
            <wp:docPr id="10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A75D8" w:rsidRPr="00227068" w:rsidRDefault="00FA75D8" w:rsidP="00FA75D8">
      <w:pPr>
        <w:shd w:val="clear" w:color="auto" w:fill="FFFFFF" w:themeFill="background1"/>
        <w:spacing w:after="0" w:line="240" w:lineRule="auto"/>
        <w:ind w:firstLine="709"/>
        <w:jc w:val="both"/>
        <w:rPr>
          <w:rFonts w:ascii="Times New Roman" w:eastAsia="Calibri" w:hAnsi="Times New Roman"/>
          <w:sz w:val="24"/>
          <w:szCs w:val="24"/>
        </w:rPr>
      </w:pPr>
      <w:r w:rsidRPr="00227068">
        <w:rPr>
          <w:rFonts w:ascii="Times New Roman" w:eastAsia="Calibri" w:hAnsi="Times New Roman"/>
          <w:sz w:val="24"/>
          <w:szCs w:val="24"/>
        </w:rPr>
        <w:t xml:space="preserve">В 2017 году субъекты малого предпринимательства демонстрируют </w:t>
      </w:r>
      <w:r>
        <w:rPr>
          <w:rFonts w:ascii="Times New Roman" w:eastAsia="Calibri" w:hAnsi="Times New Roman"/>
          <w:sz w:val="24"/>
          <w:szCs w:val="24"/>
        </w:rPr>
        <w:t>сокращение капитальных вложений</w:t>
      </w:r>
      <w:r w:rsidRPr="00227068">
        <w:rPr>
          <w:rFonts w:ascii="Times New Roman" w:eastAsia="Calibri" w:hAnsi="Times New Roman"/>
          <w:sz w:val="24"/>
          <w:szCs w:val="24"/>
        </w:rPr>
        <w:t xml:space="preserve"> </w:t>
      </w:r>
      <w:r w:rsidRPr="00FA75D8">
        <w:rPr>
          <w:rFonts w:ascii="Times New Roman" w:eastAsia="Calibri" w:hAnsi="Times New Roman"/>
          <w:sz w:val="24"/>
          <w:szCs w:val="24"/>
        </w:rPr>
        <w:t>(рис. 28).</w:t>
      </w:r>
      <w:r>
        <w:rPr>
          <w:rFonts w:ascii="Times New Roman" w:eastAsia="Calibri" w:hAnsi="Times New Roman"/>
          <w:sz w:val="24"/>
          <w:szCs w:val="24"/>
        </w:rPr>
        <w:t xml:space="preserve"> </w:t>
      </w:r>
      <w:r w:rsidRPr="00227068">
        <w:rPr>
          <w:rFonts w:ascii="Times New Roman" w:eastAsia="Calibri" w:hAnsi="Times New Roman"/>
          <w:sz w:val="24"/>
          <w:szCs w:val="24"/>
        </w:rPr>
        <w:t>По итогам отчетного года инвестиции в основной капитал (в части новых и приобретенных по импорту основных средств) сократились по сравнению с базовым годом на 33,1% до 166,6 млн руб. и сформировали 16,3% от общего объема инвестиций в основной капитал по республике (в 2016 году – 18,0%).</w:t>
      </w:r>
    </w:p>
    <w:p w:rsidR="00FA75D8" w:rsidRPr="00227068" w:rsidRDefault="00FA75D8" w:rsidP="00FA75D8">
      <w:pPr>
        <w:shd w:val="clear" w:color="auto" w:fill="FFFFFF" w:themeFill="background1"/>
        <w:spacing w:after="0" w:line="240" w:lineRule="auto"/>
        <w:ind w:firstLine="709"/>
        <w:jc w:val="both"/>
        <w:rPr>
          <w:rFonts w:ascii="Times New Roman" w:hAnsi="Times New Roman"/>
          <w:sz w:val="24"/>
          <w:szCs w:val="24"/>
        </w:rPr>
      </w:pPr>
      <w:proofErr w:type="gramStart"/>
      <w:r w:rsidRPr="00227068">
        <w:rPr>
          <w:rFonts w:ascii="Times New Roman" w:hAnsi="Times New Roman"/>
          <w:sz w:val="24"/>
          <w:szCs w:val="24"/>
        </w:rPr>
        <w:t xml:space="preserve">Сокращение инвестиционных вложений отмечается по организациям отраслей «Строительство» – на 5,5% до 13,1 млн руб., «Связь» - в 2,1 раза до 1,3 млн руб., «Транспорт» - на 6,9% до 0,6 млн руб., «Операции с недвижимым имуществом» - в 33 раза до </w:t>
      </w:r>
      <w:r w:rsidRPr="00227068">
        <w:rPr>
          <w:rFonts w:ascii="Times New Roman" w:hAnsi="Times New Roman"/>
          <w:sz w:val="24"/>
          <w:szCs w:val="24"/>
        </w:rPr>
        <w:lastRenderedPageBreak/>
        <w:t>0,4 млн руб., что обусловлено сдачей в эксплуатацию в 2016 году ряда строительных комплексов.</w:t>
      </w:r>
      <w:proofErr w:type="gramEnd"/>
    </w:p>
    <w:p w:rsidR="00FA75D8" w:rsidRPr="00227068" w:rsidRDefault="00FA75D8" w:rsidP="00FA75D8">
      <w:pPr>
        <w:shd w:val="clear" w:color="auto" w:fill="FFFFFF" w:themeFill="background1"/>
        <w:spacing w:after="0" w:line="240" w:lineRule="auto"/>
        <w:ind w:firstLine="709"/>
        <w:jc w:val="both"/>
        <w:rPr>
          <w:rFonts w:ascii="Times New Roman" w:hAnsi="Times New Roman"/>
          <w:sz w:val="24"/>
          <w:szCs w:val="24"/>
        </w:rPr>
      </w:pPr>
      <w:r w:rsidRPr="00227068">
        <w:rPr>
          <w:rFonts w:ascii="Times New Roman" w:hAnsi="Times New Roman"/>
          <w:sz w:val="24"/>
          <w:szCs w:val="24"/>
        </w:rPr>
        <w:t xml:space="preserve">Вместе с тем, для остальных направлений малого предпринимательства была характерна положительная динамика. </w:t>
      </w:r>
      <w:proofErr w:type="gramStart"/>
      <w:r w:rsidRPr="00227068">
        <w:rPr>
          <w:rFonts w:ascii="Times New Roman" w:hAnsi="Times New Roman"/>
          <w:sz w:val="24"/>
          <w:szCs w:val="24"/>
        </w:rPr>
        <w:t>Так, увеличение инвестиционной активности было отмечено по организациям промышленности – в 1,8 раза до 16,6 млн руб., сельского хозяйства – в 1,2 раза до 80,9 млн руб., торговли и общепита – в 1,8 раза до 30,3 млн руб., здравоохранения и социального обеспечения – в 5,0 раз до 5,8 млн руб., физкультура, отдых и туризм – в 2,9 раза до 2,3 млн руб.</w:t>
      </w:r>
      <w:proofErr w:type="gramEnd"/>
    </w:p>
    <w:p w:rsidR="00FA75D8" w:rsidRPr="00227068" w:rsidRDefault="00FA75D8" w:rsidP="00FA75D8">
      <w:pPr>
        <w:shd w:val="clear" w:color="auto" w:fill="FFFFFF" w:themeFill="background1"/>
        <w:spacing w:after="0" w:line="240" w:lineRule="auto"/>
        <w:ind w:firstLine="709"/>
        <w:jc w:val="both"/>
        <w:rPr>
          <w:rFonts w:ascii="Times New Roman" w:hAnsi="Times New Roman"/>
          <w:sz w:val="24"/>
          <w:szCs w:val="24"/>
        </w:rPr>
      </w:pPr>
      <w:r w:rsidRPr="00227068">
        <w:rPr>
          <w:rFonts w:ascii="Times New Roman" w:hAnsi="Times New Roman"/>
          <w:sz w:val="24"/>
          <w:szCs w:val="24"/>
        </w:rPr>
        <w:t xml:space="preserve">Из общего объема инвестиционных вложений порядка 62,7% было осуществлено малыми предприятиями и соответственно 37,3% </w:t>
      </w:r>
      <w:proofErr w:type="spellStart"/>
      <w:r w:rsidRPr="00227068">
        <w:rPr>
          <w:rFonts w:ascii="Times New Roman" w:hAnsi="Times New Roman"/>
          <w:sz w:val="24"/>
          <w:szCs w:val="24"/>
        </w:rPr>
        <w:t>микропредприятиями</w:t>
      </w:r>
      <w:proofErr w:type="spellEnd"/>
      <w:r w:rsidRPr="00227068">
        <w:rPr>
          <w:rFonts w:ascii="Times New Roman" w:hAnsi="Times New Roman"/>
          <w:sz w:val="24"/>
          <w:szCs w:val="24"/>
        </w:rPr>
        <w:t>.</w:t>
      </w:r>
    </w:p>
    <w:p w:rsidR="00FA75D8" w:rsidRDefault="00FA75D8" w:rsidP="00FA75D8">
      <w:pPr>
        <w:spacing w:after="0" w:line="240" w:lineRule="auto"/>
        <w:ind w:firstLine="709"/>
        <w:jc w:val="right"/>
        <w:rPr>
          <w:rFonts w:ascii="Times New Roman" w:eastAsia="Calibri" w:hAnsi="Times New Roman"/>
          <w:b/>
          <w:i/>
          <w:sz w:val="24"/>
          <w:szCs w:val="24"/>
        </w:rPr>
      </w:pPr>
      <w:r w:rsidRPr="005C6CD7">
        <w:rPr>
          <w:rFonts w:ascii="Times New Roman" w:eastAsia="Calibri" w:hAnsi="Times New Roman"/>
          <w:b/>
          <w:i/>
          <w:sz w:val="24"/>
          <w:szCs w:val="24"/>
        </w:rPr>
        <w:t>Рисунок</w:t>
      </w:r>
      <w:r>
        <w:rPr>
          <w:rFonts w:ascii="Times New Roman" w:eastAsia="Calibri" w:hAnsi="Times New Roman"/>
          <w:b/>
          <w:i/>
          <w:sz w:val="24"/>
          <w:szCs w:val="24"/>
        </w:rPr>
        <w:t xml:space="preserve"> 28</w:t>
      </w:r>
    </w:p>
    <w:p w:rsidR="00FA75D8" w:rsidRPr="005C6CD7" w:rsidRDefault="00FA75D8" w:rsidP="00FA75D8">
      <w:pPr>
        <w:spacing w:after="0" w:line="240" w:lineRule="auto"/>
        <w:ind w:firstLine="709"/>
        <w:jc w:val="right"/>
        <w:rPr>
          <w:rFonts w:ascii="Times New Roman" w:eastAsia="Calibri" w:hAnsi="Times New Roman"/>
          <w:b/>
          <w:sz w:val="10"/>
          <w:szCs w:val="10"/>
        </w:rPr>
      </w:pPr>
    </w:p>
    <w:p w:rsidR="00FA75D8" w:rsidRPr="00227068" w:rsidRDefault="00FA75D8" w:rsidP="00FA75D8">
      <w:pPr>
        <w:spacing w:after="0" w:line="240" w:lineRule="auto"/>
        <w:ind w:firstLine="709"/>
        <w:jc w:val="center"/>
        <w:rPr>
          <w:rFonts w:ascii="Times New Roman" w:eastAsia="Calibri" w:hAnsi="Times New Roman"/>
          <w:sz w:val="24"/>
          <w:szCs w:val="24"/>
        </w:rPr>
      </w:pPr>
      <w:r w:rsidRPr="00227068">
        <w:rPr>
          <w:rFonts w:ascii="Times New Roman" w:eastAsia="Calibri" w:hAnsi="Times New Roman"/>
          <w:b/>
          <w:sz w:val="24"/>
          <w:szCs w:val="24"/>
        </w:rPr>
        <w:t>Инвестиции в основной капитал (в части новых и приобретенных по импорту основных средств), млн. руб.</w:t>
      </w:r>
    </w:p>
    <w:p w:rsidR="00FA75D8" w:rsidRPr="00FA75D8" w:rsidRDefault="00FA75D8" w:rsidP="000043C4">
      <w:pPr>
        <w:shd w:val="clear" w:color="auto" w:fill="FFFFFF" w:themeFill="background1"/>
        <w:spacing w:after="0" w:line="240" w:lineRule="auto"/>
        <w:ind w:left="-426"/>
        <w:jc w:val="center"/>
        <w:rPr>
          <w:rFonts w:ascii="Times New Roman" w:eastAsia="Calibri" w:hAnsi="Times New Roman"/>
          <w:sz w:val="10"/>
          <w:szCs w:val="10"/>
        </w:rPr>
      </w:pPr>
      <w:r w:rsidRPr="00227068">
        <w:rPr>
          <w:rFonts w:ascii="Times New Roman" w:eastAsia="Calibri" w:hAnsi="Times New Roman"/>
          <w:noProof/>
          <w:sz w:val="24"/>
          <w:szCs w:val="24"/>
        </w:rPr>
        <w:drawing>
          <wp:inline distT="0" distB="0" distL="0" distR="0">
            <wp:extent cx="6524625" cy="3048000"/>
            <wp:effectExtent l="19050" t="0" r="0" b="0"/>
            <wp:docPr id="1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A75D8" w:rsidRPr="00227068" w:rsidRDefault="00FA75D8" w:rsidP="00FA75D8">
      <w:pPr>
        <w:shd w:val="clear" w:color="auto" w:fill="FFFFFF" w:themeFill="background1"/>
        <w:spacing w:after="0" w:line="240" w:lineRule="auto"/>
        <w:ind w:firstLine="709"/>
        <w:contextualSpacing/>
        <w:jc w:val="both"/>
        <w:rPr>
          <w:rFonts w:ascii="Times New Roman" w:hAnsi="Times New Roman"/>
          <w:sz w:val="24"/>
          <w:szCs w:val="24"/>
        </w:rPr>
      </w:pPr>
      <w:r w:rsidRPr="00227068">
        <w:rPr>
          <w:rFonts w:ascii="Times New Roman" w:hAnsi="Times New Roman"/>
          <w:sz w:val="24"/>
          <w:szCs w:val="24"/>
        </w:rPr>
        <w:t xml:space="preserve">Объем произведенной продукции (работ, услуг) (в текущих ценах) организаций малого бизнеса за 2017 год увеличился по отношению к минувшему году на 1,7% и составил 2 168,8 млн руб., </w:t>
      </w:r>
      <w:proofErr w:type="gramStart"/>
      <w:r w:rsidRPr="00227068">
        <w:rPr>
          <w:rFonts w:ascii="Times New Roman" w:hAnsi="Times New Roman"/>
          <w:sz w:val="24"/>
          <w:szCs w:val="24"/>
        </w:rPr>
        <w:t>из</w:t>
      </w:r>
      <w:proofErr w:type="gramEnd"/>
      <w:r w:rsidRPr="00227068">
        <w:rPr>
          <w:rFonts w:ascii="Times New Roman" w:hAnsi="Times New Roman"/>
          <w:sz w:val="24"/>
          <w:szCs w:val="24"/>
        </w:rPr>
        <w:t xml:space="preserve"> которых 60,7% произведено малыми предприятиями.</w:t>
      </w:r>
    </w:p>
    <w:p w:rsidR="00FA75D8" w:rsidRPr="00227068" w:rsidRDefault="00FA75D8" w:rsidP="00FA75D8">
      <w:pPr>
        <w:shd w:val="clear" w:color="auto" w:fill="FFFFFF" w:themeFill="background1"/>
        <w:tabs>
          <w:tab w:val="left" w:pos="2410"/>
        </w:tabs>
        <w:spacing w:after="0" w:line="240" w:lineRule="auto"/>
        <w:ind w:firstLine="709"/>
        <w:jc w:val="both"/>
        <w:rPr>
          <w:rFonts w:ascii="Times New Roman" w:eastAsia="Calibri" w:hAnsi="Times New Roman"/>
          <w:sz w:val="24"/>
          <w:szCs w:val="24"/>
        </w:rPr>
      </w:pPr>
      <w:r w:rsidRPr="00227068">
        <w:rPr>
          <w:rFonts w:ascii="Times New Roman" w:eastAsia="Calibri" w:hAnsi="Times New Roman"/>
          <w:sz w:val="24"/>
          <w:szCs w:val="24"/>
        </w:rPr>
        <w:t xml:space="preserve">Доход от продаж (выручка), полученный организациями малого предпринимательства, составил 4 922,6 млн руб., увеличившись на 20,1%. Стоит отметить, что на доход от продажи товаров приходится порядка 65,4% всех доходов, или                    3 220,0 млн руб., что на 34,4% выше базисного уровня 2016 года. </w:t>
      </w:r>
    </w:p>
    <w:p w:rsidR="00FA75D8" w:rsidRPr="00227068" w:rsidRDefault="00FA75D8" w:rsidP="00FA75D8">
      <w:pPr>
        <w:shd w:val="clear" w:color="auto" w:fill="FFFFFF" w:themeFill="background1"/>
        <w:spacing w:after="0" w:line="240" w:lineRule="auto"/>
        <w:ind w:firstLine="709"/>
        <w:jc w:val="both"/>
        <w:rPr>
          <w:rFonts w:ascii="Times New Roman" w:eastAsia="Calibri" w:hAnsi="Times New Roman"/>
          <w:sz w:val="24"/>
          <w:szCs w:val="24"/>
        </w:rPr>
      </w:pPr>
      <w:r w:rsidRPr="00227068">
        <w:rPr>
          <w:rFonts w:ascii="Times New Roman" w:eastAsia="Calibri" w:hAnsi="Times New Roman"/>
          <w:sz w:val="24"/>
          <w:szCs w:val="24"/>
        </w:rPr>
        <w:t xml:space="preserve">В то же время результатом финансово-хозяйственной деятельности субъектов малого предпринимательства (без физических лиц) по итогам 2017 года явился убыток в сумме </w:t>
      </w:r>
      <w:r w:rsidR="000043C4">
        <w:rPr>
          <w:rFonts w:ascii="Times New Roman" w:eastAsia="Calibri" w:hAnsi="Times New Roman"/>
          <w:sz w:val="24"/>
          <w:szCs w:val="24"/>
        </w:rPr>
        <w:t xml:space="preserve">                   </w:t>
      </w:r>
      <w:r w:rsidRPr="00227068">
        <w:rPr>
          <w:rFonts w:ascii="Times New Roman" w:eastAsia="Calibri" w:hAnsi="Times New Roman"/>
          <w:sz w:val="24"/>
          <w:szCs w:val="24"/>
        </w:rPr>
        <w:t xml:space="preserve">571,3 млн руб., тогда как за базовый год была получена чистая прибыль в размере </w:t>
      </w:r>
      <w:r w:rsidR="000043C4">
        <w:rPr>
          <w:rFonts w:ascii="Times New Roman" w:eastAsia="Calibri" w:hAnsi="Times New Roman"/>
          <w:sz w:val="24"/>
          <w:szCs w:val="24"/>
        </w:rPr>
        <w:t xml:space="preserve">                              </w:t>
      </w:r>
      <w:r w:rsidRPr="00227068">
        <w:rPr>
          <w:rFonts w:ascii="Times New Roman" w:eastAsia="Calibri" w:hAnsi="Times New Roman"/>
          <w:sz w:val="24"/>
          <w:szCs w:val="24"/>
        </w:rPr>
        <w:t xml:space="preserve">309,5 млн руб. Наибольшие убытки в отчетном году приходятся на такие отрасли, как: </w:t>
      </w:r>
      <w:r w:rsidRPr="00227068">
        <w:rPr>
          <w:rFonts w:ascii="Times New Roman" w:hAnsi="Times New Roman"/>
          <w:sz w:val="24"/>
          <w:szCs w:val="24"/>
        </w:rPr>
        <w:t xml:space="preserve">операции с недвижимым имуществом, </w:t>
      </w:r>
      <w:r w:rsidRPr="00227068">
        <w:rPr>
          <w:rFonts w:ascii="Times New Roman" w:eastAsia="Calibri" w:hAnsi="Times New Roman"/>
          <w:sz w:val="24"/>
          <w:szCs w:val="24"/>
        </w:rPr>
        <w:t xml:space="preserve">торговля и </w:t>
      </w:r>
      <w:proofErr w:type="gramStart"/>
      <w:r w:rsidRPr="00227068">
        <w:rPr>
          <w:rFonts w:ascii="Times New Roman" w:eastAsia="Calibri" w:hAnsi="Times New Roman"/>
          <w:sz w:val="24"/>
          <w:szCs w:val="24"/>
        </w:rPr>
        <w:t>общепит</w:t>
      </w:r>
      <w:proofErr w:type="gramEnd"/>
      <w:r w:rsidRPr="00227068">
        <w:rPr>
          <w:rFonts w:ascii="Times New Roman" w:eastAsia="Calibri" w:hAnsi="Times New Roman"/>
          <w:sz w:val="24"/>
          <w:szCs w:val="24"/>
        </w:rPr>
        <w:t xml:space="preserve"> и промышленность (23,9%, 18,6% и </w:t>
      </w:r>
      <w:proofErr w:type="gramStart"/>
      <w:r w:rsidRPr="00227068">
        <w:rPr>
          <w:rFonts w:ascii="Times New Roman" w:eastAsia="Calibri" w:hAnsi="Times New Roman"/>
          <w:sz w:val="24"/>
          <w:szCs w:val="24"/>
        </w:rPr>
        <w:t>7,5% совокупного размера убытков соответственно).</w:t>
      </w:r>
      <w:proofErr w:type="gramEnd"/>
      <w:r w:rsidRPr="00227068">
        <w:rPr>
          <w:rFonts w:ascii="Times New Roman" w:eastAsia="Calibri" w:hAnsi="Times New Roman"/>
          <w:sz w:val="24"/>
          <w:szCs w:val="24"/>
        </w:rPr>
        <w:t xml:space="preserve"> В целом суммарный убыток, полученный организациями малого предпринимательства, сложился в размере                    1 043,1 млн руб., а количество нерентабельных организаций составило 40,6% от общего числа (в базовом году – 43,4%), </w:t>
      </w:r>
      <w:r w:rsidRPr="00227068">
        <w:rPr>
          <w:rFonts w:ascii="Times New Roman" w:eastAsia="Calibri" w:hAnsi="Times New Roman"/>
          <w:color w:val="000000"/>
          <w:sz w:val="24"/>
          <w:szCs w:val="24"/>
        </w:rPr>
        <w:t>18,5% организаций</w:t>
      </w:r>
      <w:r w:rsidRPr="00227068">
        <w:rPr>
          <w:rFonts w:ascii="Times New Roman" w:eastAsia="Calibri" w:hAnsi="Times New Roman"/>
          <w:sz w:val="24"/>
          <w:szCs w:val="24"/>
        </w:rPr>
        <w:t xml:space="preserve"> не осуществляли хозяйственную деятельность, в связи с чем н</w:t>
      </w:r>
      <w:r w:rsidRPr="00227068">
        <w:rPr>
          <w:rFonts w:ascii="Times New Roman" w:eastAsia="Calibri" w:hAnsi="Times New Roman"/>
          <w:color w:val="000000"/>
          <w:sz w:val="24"/>
          <w:szCs w:val="24"/>
        </w:rPr>
        <w:t xml:space="preserve">е получили финансового результата. </w:t>
      </w:r>
      <w:r w:rsidRPr="00227068">
        <w:rPr>
          <w:rFonts w:ascii="Times New Roman" w:eastAsia="Calibri" w:hAnsi="Times New Roman"/>
          <w:sz w:val="24"/>
          <w:szCs w:val="24"/>
        </w:rPr>
        <w:t>При этом</w:t>
      </w:r>
      <w:proofErr w:type="gramStart"/>
      <w:r w:rsidRPr="00227068">
        <w:rPr>
          <w:rFonts w:ascii="Times New Roman" w:eastAsia="Calibri" w:hAnsi="Times New Roman"/>
          <w:sz w:val="24"/>
          <w:szCs w:val="24"/>
        </w:rPr>
        <w:t>,</w:t>
      </w:r>
      <w:proofErr w:type="gramEnd"/>
      <w:r w:rsidRPr="00227068">
        <w:rPr>
          <w:rFonts w:ascii="Times New Roman" w:eastAsia="Calibri" w:hAnsi="Times New Roman"/>
          <w:sz w:val="24"/>
          <w:szCs w:val="24"/>
        </w:rPr>
        <w:t xml:space="preserve"> убыток </w:t>
      </w:r>
      <w:proofErr w:type="spellStart"/>
      <w:r w:rsidRPr="00227068">
        <w:rPr>
          <w:rFonts w:ascii="Times New Roman" w:eastAsia="Calibri" w:hAnsi="Times New Roman"/>
          <w:sz w:val="24"/>
          <w:szCs w:val="24"/>
        </w:rPr>
        <w:t>микропредприятий</w:t>
      </w:r>
      <w:proofErr w:type="spellEnd"/>
      <w:r w:rsidRPr="00227068">
        <w:rPr>
          <w:rFonts w:ascii="Times New Roman" w:eastAsia="Calibri" w:hAnsi="Times New Roman"/>
          <w:sz w:val="24"/>
          <w:szCs w:val="24"/>
        </w:rPr>
        <w:t xml:space="preserve"> составил 407,6 млн руб., а малых предприятий –163,7 млн руб.</w:t>
      </w:r>
    </w:p>
    <w:p w:rsidR="00FA75D8" w:rsidRPr="00227068" w:rsidRDefault="00FA75D8" w:rsidP="00FA75D8">
      <w:pPr>
        <w:shd w:val="clear" w:color="auto" w:fill="FFFFFF" w:themeFill="background1"/>
        <w:spacing w:after="0" w:line="240" w:lineRule="auto"/>
        <w:ind w:firstLine="720"/>
        <w:jc w:val="both"/>
        <w:rPr>
          <w:rFonts w:ascii="Times New Roman" w:hAnsi="Times New Roman"/>
          <w:sz w:val="24"/>
          <w:szCs w:val="24"/>
        </w:rPr>
      </w:pPr>
      <w:r w:rsidRPr="00227068">
        <w:rPr>
          <w:rFonts w:ascii="Times New Roman" w:hAnsi="Times New Roman"/>
          <w:sz w:val="24"/>
          <w:szCs w:val="24"/>
        </w:rPr>
        <w:t xml:space="preserve">В 2017 году с прибылью в сумме 471,8 млн руб. сработали 40,9% (от общего числа) организаций малого бизнеса. Наибольший ее размер был сформирован в организациях сельского хозяйства, торговли и общественного питания, а также промышленности: </w:t>
      </w:r>
      <w:r w:rsidRPr="00227068">
        <w:rPr>
          <w:rFonts w:ascii="Times New Roman" w:eastAsia="Calibri" w:hAnsi="Times New Roman"/>
          <w:sz w:val="24"/>
          <w:szCs w:val="24"/>
        </w:rPr>
        <w:t>38,2%, 28,7%, и 13,9% совокупного объема прибыли соответственно.</w:t>
      </w:r>
      <w:r w:rsidRPr="00227068">
        <w:rPr>
          <w:rFonts w:ascii="Times New Roman" w:hAnsi="Times New Roman"/>
          <w:sz w:val="24"/>
          <w:szCs w:val="24"/>
        </w:rPr>
        <w:t xml:space="preserve"> </w:t>
      </w:r>
    </w:p>
    <w:p w:rsidR="00FA75D8" w:rsidRPr="00227068" w:rsidRDefault="00FA75D8" w:rsidP="00FA75D8">
      <w:pPr>
        <w:shd w:val="clear" w:color="auto" w:fill="FFFFFF" w:themeFill="background1"/>
        <w:spacing w:after="0" w:line="240" w:lineRule="auto"/>
        <w:ind w:firstLine="709"/>
        <w:jc w:val="both"/>
        <w:rPr>
          <w:rFonts w:ascii="Times New Roman" w:hAnsi="Times New Roman"/>
          <w:sz w:val="24"/>
          <w:szCs w:val="24"/>
        </w:rPr>
      </w:pPr>
      <w:r w:rsidRPr="00227068">
        <w:rPr>
          <w:rFonts w:ascii="Times New Roman" w:hAnsi="Times New Roman"/>
          <w:sz w:val="24"/>
          <w:szCs w:val="24"/>
        </w:rPr>
        <w:t xml:space="preserve">В целом за 2017 год организациями малого предпринимательства в бюджеты всех уровней и внебюджетные фонды фактически внесено налогов и платежей в сумме                 </w:t>
      </w:r>
      <w:r w:rsidRPr="00227068">
        <w:rPr>
          <w:rFonts w:ascii="Times New Roman" w:hAnsi="Times New Roman"/>
          <w:sz w:val="24"/>
          <w:szCs w:val="24"/>
        </w:rPr>
        <w:lastRenderedPageBreak/>
        <w:t xml:space="preserve">340,7 млн руб., что на 2,7% выше базового показателя 2016 года. Доля данных платежей в общей сумме налоговых поступлений консолидированного бюджета составила 14,5%. При этом удельный вес налоговых платежей, поступающих от малых предприятий, составляет 58,5% (199,3 млн руб., +2,7%) от общего объема по предприятиям малого бизнеса. </w:t>
      </w:r>
      <w:proofErr w:type="spellStart"/>
      <w:r w:rsidRPr="00227068">
        <w:rPr>
          <w:rFonts w:ascii="Times New Roman" w:hAnsi="Times New Roman"/>
          <w:sz w:val="24"/>
          <w:szCs w:val="24"/>
        </w:rPr>
        <w:t>Микропредприятиями</w:t>
      </w:r>
      <w:proofErr w:type="spellEnd"/>
      <w:r w:rsidRPr="00227068">
        <w:rPr>
          <w:rFonts w:ascii="Times New Roman" w:hAnsi="Times New Roman"/>
          <w:sz w:val="24"/>
          <w:szCs w:val="24"/>
        </w:rPr>
        <w:t xml:space="preserve"> за рассматриваемый период в бюджеты всех уровней и внебюджетные фонды фактически внесено 141,4 млн руб. (41,5% общего объема налоговых платежей субъектов малого предпринимательства), что на 2,6% больше базового уровня прошлого года. Наибольший удельный вес в структуре налоговых поступлений обеспечивают:</w:t>
      </w:r>
    </w:p>
    <w:p w:rsidR="00FA75D8" w:rsidRPr="00227068" w:rsidRDefault="00FA75D8" w:rsidP="00FA75D8">
      <w:pPr>
        <w:shd w:val="clear" w:color="auto" w:fill="FFFFFF" w:themeFill="background1"/>
        <w:tabs>
          <w:tab w:val="left" w:pos="900"/>
        </w:tabs>
        <w:spacing w:after="0" w:line="240" w:lineRule="auto"/>
        <w:ind w:firstLine="709"/>
        <w:jc w:val="both"/>
        <w:rPr>
          <w:rFonts w:ascii="Times New Roman" w:hAnsi="Times New Roman"/>
          <w:sz w:val="24"/>
          <w:szCs w:val="24"/>
        </w:rPr>
      </w:pPr>
      <w:r w:rsidRPr="00227068">
        <w:rPr>
          <w:rFonts w:ascii="Times New Roman" w:hAnsi="Times New Roman"/>
          <w:sz w:val="24"/>
          <w:szCs w:val="24"/>
        </w:rPr>
        <w:t>- налог на доходы организаций – 34,1%, или 116,3 млн руб.;</w:t>
      </w:r>
    </w:p>
    <w:p w:rsidR="00FA75D8" w:rsidRPr="00227068" w:rsidRDefault="00FA75D8" w:rsidP="00FA75D8">
      <w:pPr>
        <w:shd w:val="clear" w:color="auto" w:fill="FFFFFF" w:themeFill="background1"/>
        <w:tabs>
          <w:tab w:val="left" w:pos="900"/>
        </w:tabs>
        <w:spacing w:after="0" w:line="240" w:lineRule="auto"/>
        <w:ind w:firstLine="709"/>
        <w:jc w:val="both"/>
        <w:rPr>
          <w:rFonts w:ascii="Times New Roman" w:hAnsi="Times New Roman"/>
          <w:sz w:val="24"/>
          <w:szCs w:val="24"/>
        </w:rPr>
      </w:pPr>
      <w:r w:rsidRPr="00227068">
        <w:rPr>
          <w:rFonts w:ascii="Times New Roman" w:hAnsi="Times New Roman"/>
          <w:sz w:val="24"/>
          <w:szCs w:val="24"/>
        </w:rPr>
        <w:t>- единый социальный налог – 24,5%, или 83,5 млн руб.</w:t>
      </w:r>
    </w:p>
    <w:p w:rsidR="00FA75D8" w:rsidRPr="00227068" w:rsidRDefault="00FA75D8" w:rsidP="00FA75D8">
      <w:pPr>
        <w:shd w:val="clear" w:color="auto" w:fill="FFFFFF" w:themeFill="background1"/>
        <w:spacing w:after="0" w:line="240" w:lineRule="auto"/>
        <w:ind w:firstLine="709"/>
        <w:jc w:val="both"/>
        <w:rPr>
          <w:rFonts w:ascii="Times New Roman" w:eastAsia="Calibri" w:hAnsi="Times New Roman"/>
          <w:sz w:val="24"/>
          <w:szCs w:val="24"/>
        </w:rPr>
      </w:pPr>
      <w:r w:rsidRPr="00227068">
        <w:rPr>
          <w:rFonts w:ascii="Times New Roman" w:eastAsia="Calibri" w:hAnsi="Times New Roman"/>
          <w:sz w:val="24"/>
          <w:szCs w:val="24"/>
        </w:rPr>
        <w:t>Кроме организаций негосударственной формы собственности малый бизнес представлен и индивидуальными предпринимателями, осуществляющими свою деятельность по патенту.</w:t>
      </w:r>
    </w:p>
    <w:p w:rsidR="00FA75D8" w:rsidRDefault="00FA75D8" w:rsidP="00FA75D8">
      <w:pPr>
        <w:shd w:val="clear" w:color="auto" w:fill="FFFFFF" w:themeFill="background1"/>
        <w:spacing w:after="0" w:line="240" w:lineRule="auto"/>
        <w:ind w:firstLine="709"/>
        <w:jc w:val="both"/>
        <w:rPr>
          <w:rFonts w:ascii="Times New Roman" w:eastAsia="Calibri" w:hAnsi="Times New Roman"/>
          <w:sz w:val="24"/>
          <w:szCs w:val="24"/>
        </w:rPr>
      </w:pPr>
      <w:r w:rsidRPr="00227068">
        <w:rPr>
          <w:rFonts w:ascii="Times New Roman" w:hAnsi="Times New Roman"/>
          <w:sz w:val="24"/>
          <w:szCs w:val="24"/>
        </w:rPr>
        <w:t>Количество индивидуальных предпринимателей,</w:t>
      </w:r>
      <w:r w:rsidRPr="00227068">
        <w:rPr>
          <w:rFonts w:ascii="Times New Roman" w:eastAsia="Calibri" w:hAnsi="Times New Roman"/>
          <w:sz w:val="24"/>
          <w:szCs w:val="24"/>
        </w:rPr>
        <w:t xml:space="preserve"> зарегистрированных и получивших патент, без учета количества осуществляемых видов деятельности, за 2017 год составило 21 286 человек, что на 14,4% выше уровня 2016 года (18 613 человек).</w:t>
      </w:r>
    </w:p>
    <w:p w:rsidR="00FA75D8" w:rsidRPr="00227068" w:rsidRDefault="00FA75D8" w:rsidP="00FA75D8">
      <w:pPr>
        <w:shd w:val="clear" w:color="auto" w:fill="FFFFFF" w:themeFill="background1"/>
        <w:spacing w:after="0" w:line="240" w:lineRule="auto"/>
        <w:ind w:firstLine="720"/>
        <w:jc w:val="right"/>
        <w:rPr>
          <w:rFonts w:ascii="Times New Roman" w:hAnsi="Times New Roman"/>
          <w:sz w:val="24"/>
          <w:szCs w:val="24"/>
        </w:rPr>
      </w:pPr>
      <w:r>
        <w:rPr>
          <w:rFonts w:ascii="Times New Roman" w:hAnsi="Times New Roman"/>
          <w:sz w:val="24"/>
          <w:szCs w:val="24"/>
        </w:rPr>
        <w:t>Таблица №</w:t>
      </w:r>
      <w:r w:rsidR="000043C4">
        <w:rPr>
          <w:rFonts w:ascii="Times New Roman" w:hAnsi="Times New Roman"/>
          <w:sz w:val="24"/>
          <w:szCs w:val="24"/>
        </w:rPr>
        <w:t>5</w:t>
      </w:r>
    </w:p>
    <w:p w:rsidR="00FA75D8" w:rsidRPr="00227068" w:rsidRDefault="00FA75D8" w:rsidP="00FA75D8">
      <w:pPr>
        <w:shd w:val="clear" w:color="auto" w:fill="FFFFFF" w:themeFill="background1"/>
        <w:spacing w:after="0" w:line="240" w:lineRule="auto"/>
        <w:jc w:val="center"/>
        <w:rPr>
          <w:rFonts w:ascii="Times New Roman" w:hAnsi="Times New Roman"/>
          <w:b/>
          <w:sz w:val="24"/>
          <w:szCs w:val="24"/>
        </w:rPr>
      </w:pPr>
      <w:r w:rsidRPr="00227068">
        <w:rPr>
          <w:rFonts w:ascii="Times New Roman" w:hAnsi="Times New Roman"/>
          <w:b/>
          <w:sz w:val="24"/>
          <w:szCs w:val="24"/>
        </w:rPr>
        <w:t xml:space="preserve">Основные показатели деятельности индивидуальных предпринимателей </w:t>
      </w:r>
    </w:p>
    <w:p w:rsidR="00FA75D8" w:rsidRPr="00227068" w:rsidRDefault="00FA75D8" w:rsidP="00FA75D8">
      <w:pPr>
        <w:shd w:val="clear" w:color="auto" w:fill="FFFFFF" w:themeFill="background1"/>
        <w:spacing w:after="0" w:line="240" w:lineRule="auto"/>
        <w:jc w:val="center"/>
        <w:rPr>
          <w:rFonts w:ascii="Times New Roman" w:hAnsi="Times New Roman"/>
          <w:b/>
          <w:sz w:val="24"/>
          <w:szCs w:val="24"/>
        </w:rPr>
      </w:pPr>
      <w:r w:rsidRPr="00227068">
        <w:rPr>
          <w:rFonts w:ascii="Times New Roman" w:hAnsi="Times New Roman"/>
          <w:b/>
          <w:sz w:val="24"/>
          <w:szCs w:val="24"/>
        </w:rPr>
        <w:t>за 2016-2017 годы</w:t>
      </w:r>
    </w:p>
    <w:tbl>
      <w:tblPr>
        <w:tblW w:w="9654" w:type="dxa"/>
        <w:tblInd w:w="93" w:type="dxa"/>
        <w:tblLook w:val="04A0"/>
      </w:tblPr>
      <w:tblGrid>
        <w:gridCol w:w="2740"/>
        <w:gridCol w:w="2020"/>
        <w:gridCol w:w="2485"/>
        <w:gridCol w:w="2409"/>
      </w:tblGrid>
      <w:tr w:rsidR="00FA75D8" w:rsidRPr="00227068" w:rsidTr="00E546EE">
        <w:trPr>
          <w:trHeight w:val="765"/>
        </w:trPr>
        <w:tc>
          <w:tcPr>
            <w:tcW w:w="2740"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Отрасль экономики</w:t>
            </w:r>
          </w:p>
        </w:tc>
        <w:tc>
          <w:tcPr>
            <w:tcW w:w="4505" w:type="dxa"/>
            <w:gridSpan w:val="2"/>
            <w:tcBorders>
              <w:top w:val="single" w:sz="4" w:space="0" w:color="auto"/>
              <w:left w:val="nil"/>
              <w:bottom w:val="single" w:sz="8" w:space="0" w:color="auto"/>
              <w:right w:val="nil"/>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Численность индивидуальных предпринимателей, чел</w:t>
            </w:r>
          </w:p>
        </w:tc>
        <w:tc>
          <w:tcPr>
            <w:tcW w:w="2409"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Доля занятых индивидуальных предпринимателей по отраслям экономики за      2017 год, %</w:t>
            </w:r>
          </w:p>
        </w:tc>
      </w:tr>
      <w:tr w:rsidR="00FA75D8" w:rsidRPr="00227068" w:rsidTr="00E546EE">
        <w:trPr>
          <w:trHeight w:val="480"/>
        </w:trPr>
        <w:tc>
          <w:tcPr>
            <w:tcW w:w="2740" w:type="dxa"/>
            <w:vMerge/>
            <w:tcBorders>
              <w:top w:val="single" w:sz="4" w:space="0" w:color="auto"/>
              <w:left w:val="single" w:sz="4" w:space="0" w:color="auto"/>
              <w:bottom w:val="single" w:sz="4" w:space="0" w:color="000000"/>
              <w:right w:val="single" w:sz="8" w:space="0" w:color="auto"/>
            </w:tcBorders>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p>
        </w:tc>
        <w:tc>
          <w:tcPr>
            <w:tcW w:w="2020" w:type="dxa"/>
            <w:tcBorders>
              <w:top w:val="nil"/>
              <w:left w:val="nil"/>
              <w:bottom w:val="single" w:sz="4"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2016 год</w:t>
            </w:r>
          </w:p>
        </w:tc>
        <w:tc>
          <w:tcPr>
            <w:tcW w:w="2485" w:type="dxa"/>
            <w:tcBorders>
              <w:top w:val="nil"/>
              <w:left w:val="nil"/>
              <w:bottom w:val="single" w:sz="4"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2017 год</w:t>
            </w:r>
          </w:p>
        </w:tc>
        <w:tc>
          <w:tcPr>
            <w:tcW w:w="2409" w:type="dxa"/>
            <w:vMerge/>
            <w:tcBorders>
              <w:top w:val="single" w:sz="4" w:space="0" w:color="auto"/>
              <w:left w:val="single" w:sz="8" w:space="0" w:color="auto"/>
              <w:bottom w:val="single" w:sz="4" w:space="0" w:color="000000"/>
              <w:right w:val="single" w:sz="4" w:space="0" w:color="auto"/>
            </w:tcBorders>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p>
        </w:tc>
      </w:tr>
      <w:tr w:rsidR="00FA75D8" w:rsidRPr="00227068" w:rsidTr="00E546EE">
        <w:trPr>
          <w:trHeight w:val="27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b/>
                <w:bCs/>
                <w:i/>
                <w:iCs/>
                <w:sz w:val="24"/>
                <w:szCs w:val="24"/>
              </w:rPr>
            </w:pPr>
            <w:r w:rsidRPr="00227068">
              <w:rPr>
                <w:rFonts w:ascii="Times New Roman" w:hAnsi="Times New Roman"/>
                <w:b/>
                <w:bCs/>
                <w:i/>
                <w:iCs/>
                <w:sz w:val="24"/>
                <w:szCs w:val="24"/>
              </w:rPr>
              <w:t>Всего  по  ПМР</w:t>
            </w:r>
          </w:p>
        </w:tc>
        <w:tc>
          <w:tcPr>
            <w:tcW w:w="2020" w:type="dxa"/>
            <w:tcBorders>
              <w:top w:val="nil"/>
              <w:left w:val="nil"/>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i/>
                <w:iCs/>
                <w:sz w:val="24"/>
                <w:szCs w:val="24"/>
              </w:rPr>
            </w:pPr>
            <w:r w:rsidRPr="00227068">
              <w:rPr>
                <w:rFonts w:ascii="Times New Roman" w:hAnsi="Times New Roman"/>
                <w:b/>
                <w:bCs/>
                <w:i/>
                <w:iCs/>
                <w:sz w:val="24"/>
                <w:szCs w:val="24"/>
              </w:rPr>
              <w:t>23 212</w:t>
            </w:r>
          </w:p>
        </w:tc>
        <w:tc>
          <w:tcPr>
            <w:tcW w:w="2485" w:type="dxa"/>
            <w:tcBorders>
              <w:top w:val="nil"/>
              <w:left w:val="nil"/>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i/>
                <w:iCs/>
                <w:sz w:val="24"/>
                <w:szCs w:val="24"/>
              </w:rPr>
            </w:pPr>
            <w:r w:rsidRPr="00227068">
              <w:rPr>
                <w:rFonts w:ascii="Times New Roman" w:hAnsi="Times New Roman"/>
                <w:b/>
                <w:bCs/>
                <w:i/>
                <w:iCs/>
                <w:sz w:val="24"/>
                <w:szCs w:val="24"/>
              </w:rPr>
              <w:t>21 286</w:t>
            </w:r>
          </w:p>
        </w:tc>
        <w:tc>
          <w:tcPr>
            <w:tcW w:w="2409" w:type="dxa"/>
            <w:tcBorders>
              <w:top w:val="nil"/>
              <w:left w:val="nil"/>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i/>
                <w:iCs/>
                <w:sz w:val="24"/>
                <w:szCs w:val="24"/>
              </w:rPr>
            </w:pPr>
            <w:r w:rsidRPr="00227068">
              <w:rPr>
                <w:rFonts w:ascii="Times New Roman" w:hAnsi="Times New Roman"/>
                <w:b/>
                <w:bCs/>
                <w:i/>
                <w:iCs/>
                <w:sz w:val="24"/>
                <w:szCs w:val="24"/>
              </w:rPr>
              <w:t>100,0</w:t>
            </w:r>
          </w:p>
        </w:tc>
      </w:tr>
      <w:tr w:rsidR="00FA75D8" w:rsidRPr="00227068" w:rsidTr="00E546EE">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Торговля и общепит</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13 847</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10 699</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50,3</w:t>
            </w:r>
          </w:p>
        </w:tc>
      </w:tr>
      <w:tr w:rsidR="00FA75D8" w:rsidRPr="00227068" w:rsidTr="00E546EE">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Сфера услуг</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5 532</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 xml:space="preserve">6 417 </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30,1</w:t>
            </w:r>
          </w:p>
        </w:tc>
      </w:tr>
      <w:tr w:rsidR="00FA75D8" w:rsidRPr="00227068" w:rsidTr="00E546EE">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Сельское хозяйство</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2 685</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3 027</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14,2</w:t>
            </w:r>
          </w:p>
        </w:tc>
      </w:tr>
      <w:tr w:rsidR="00FA75D8" w:rsidRPr="00227068" w:rsidTr="00E546EE">
        <w:trPr>
          <w:trHeight w:val="27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Производство</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1 148</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1 143</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5,4</w:t>
            </w:r>
          </w:p>
        </w:tc>
      </w:tr>
      <w:tr w:rsidR="00FA75D8" w:rsidRPr="00227068" w:rsidTr="00E546EE">
        <w:trPr>
          <w:trHeight w:val="1050"/>
        </w:trPr>
        <w:tc>
          <w:tcPr>
            <w:tcW w:w="2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b/>
                <w:bCs/>
                <w:sz w:val="24"/>
                <w:szCs w:val="24"/>
              </w:rPr>
            </w:pPr>
            <w:r w:rsidRPr="00227068">
              <w:rPr>
                <w:rFonts w:ascii="Times New Roman" w:hAnsi="Times New Roman"/>
                <w:b/>
                <w:bCs/>
                <w:sz w:val="24"/>
                <w:szCs w:val="24"/>
              </w:rPr>
              <w:t>Районы республики</w:t>
            </w:r>
          </w:p>
        </w:tc>
        <w:tc>
          <w:tcPr>
            <w:tcW w:w="4505" w:type="dxa"/>
            <w:gridSpan w:val="2"/>
            <w:tcBorders>
              <w:top w:val="single" w:sz="8" w:space="0" w:color="auto"/>
              <w:left w:val="nil"/>
              <w:bottom w:val="single" w:sz="8" w:space="0" w:color="auto"/>
              <w:right w:val="single" w:sz="8" w:space="0" w:color="000000"/>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Сумма поступивших в доход местного бюджета и Единого государственного фонда социального страхования отчислений средств от платы за патент по городам и районам ПМР, тыс. руб.</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Доля поступлений в доход местного бюджета и Единого государственного фонда социального страхования, в разрезе районов республики за 2017 год, %</w:t>
            </w:r>
          </w:p>
        </w:tc>
      </w:tr>
      <w:tr w:rsidR="00FA75D8" w:rsidRPr="00227068" w:rsidTr="00E546EE">
        <w:trPr>
          <w:trHeight w:val="625"/>
        </w:trPr>
        <w:tc>
          <w:tcPr>
            <w:tcW w:w="2740" w:type="dxa"/>
            <w:vMerge/>
            <w:tcBorders>
              <w:top w:val="single" w:sz="8" w:space="0" w:color="auto"/>
              <w:left w:val="single" w:sz="8" w:space="0" w:color="auto"/>
              <w:bottom w:val="single" w:sz="8" w:space="0" w:color="000000"/>
              <w:right w:val="single" w:sz="8" w:space="0" w:color="auto"/>
            </w:tcBorders>
            <w:vAlign w:val="center"/>
            <w:hideMark/>
          </w:tcPr>
          <w:p w:rsidR="00FA75D8" w:rsidRPr="00227068" w:rsidRDefault="00FA75D8" w:rsidP="00E546EE">
            <w:pPr>
              <w:shd w:val="clear" w:color="auto" w:fill="FFFFFF"/>
              <w:spacing w:after="0" w:line="240" w:lineRule="auto"/>
              <w:rPr>
                <w:rFonts w:ascii="Times New Roman" w:hAnsi="Times New Roman"/>
                <w:b/>
                <w:bCs/>
                <w:sz w:val="24"/>
                <w:szCs w:val="24"/>
              </w:rPr>
            </w:pPr>
          </w:p>
        </w:tc>
        <w:tc>
          <w:tcPr>
            <w:tcW w:w="2020" w:type="dxa"/>
            <w:tcBorders>
              <w:top w:val="nil"/>
              <w:left w:val="nil"/>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2016 год</w:t>
            </w:r>
          </w:p>
        </w:tc>
        <w:tc>
          <w:tcPr>
            <w:tcW w:w="2485" w:type="dxa"/>
            <w:tcBorders>
              <w:top w:val="nil"/>
              <w:left w:val="nil"/>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2017 год</w:t>
            </w:r>
          </w:p>
        </w:tc>
        <w:tc>
          <w:tcPr>
            <w:tcW w:w="2409" w:type="dxa"/>
            <w:vMerge/>
            <w:tcBorders>
              <w:top w:val="single" w:sz="8" w:space="0" w:color="auto"/>
              <w:left w:val="single" w:sz="8" w:space="0" w:color="auto"/>
              <w:bottom w:val="single" w:sz="8" w:space="0" w:color="000000"/>
              <w:right w:val="single" w:sz="8" w:space="0" w:color="auto"/>
            </w:tcBorders>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p>
        </w:tc>
      </w:tr>
      <w:tr w:rsidR="00FA75D8" w:rsidRPr="00227068" w:rsidTr="00E546EE">
        <w:trPr>
          <w:trHeight w:val="27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b/>
                <w:bCs/>
                <w:i/>
                <w:iCs/>
                <w:sz w:val="24"/>
                <w:szCs w:val="24"/>
              </w:rPr>
            </w:pPr>
            <w:r w:rsidRPr="00227068">
              <w:rPr>
                <w:rFonts w:ascii="Times New Roman" w:hAnsi="Times New Roman"/>
                <w:b/>
                <w:bCs/>
                <w:i/>
                <w:iCs/>
                <w:sz w:val="24"/>
                <w:szCs w:val="24"/>
              </w:rPr>
              <w:t>Всего по районам</w:t>
            </w:r>
          </w:p>
        </w:tc>
        <w:tc>
          <w:tcPr>
            <w:tcW w:w="2020" w:type="dxa"/>
            <w:tcBorders>
              <w:top w:val="nil"/>
              <w:left w:val="nil"/>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62 161 124</w:t>
            </w:r>
          </w:p>
        </w:tc>
        <w:tc>
          <w:tcPr>
            <w:tcW w:w="2485" w:type="dxa"/>
            <w:tcBorders>
              <w:top w:val="nil"/>
              <w:left w:val="nil"/>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sz w:val="24"/>
                <w:szCs w:val="24"/>
              </w:rPr>
            </w:pPr>
            <w:r w:rsidRPr="00227068">
              <w:rPr>
                <w:rFonts w:ascii="Times New Roman" w:hAnsi="Times New Roman"/>
                <w:b/>
                <w:bCs/>
                <w:sz w:val="24"/>
                <w:szCs w:val="24"/>
              </w:rPr>
              <w:t xml:space="preserve">45 675 864 </w:t>
            </w:r>
          </w:p>
        </w:tc>
        <w:tc>
          <w:tcPr>
            <w:tcW w:w="2409" w:type="dxa"/>
            <w:tcBorders>
              <w:top w:val="nil"/>
              <w:left w:val="nil"/>
              <w:bottom w:val="single" w:sz="8" w:space="0" w:color="auto"/>
              <w:right w:val="single" w:sz="8"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b/>
                <w:bCs/>
                <w:i/>
                <w:iCs/>
                <w:sz w:val="24"/>
                <w:szCs w:val="24"/>
              </w:rPr>
            </w:pPr>
            <w:r w:rsidRPr="00227068">
              <w:rPr>
                <w:rFonts w:ascii="Times New Roman" w:hAnsi="Times New Roman"/>
                <w:b/>
                <w:bCs/>
                <w:i/>
                <w:iCs/>
                <w:sz w:val="24"/>
                <w:szCs w:val="24"/>
              </w:rPr>
              <w:t>100,0</w:t>
            </w:r>
          </w:p>
        </w:tc>
      </w:tr>
      <w:tr w:rsidR="00FA75D8" w:rsidRPr="00227068" w:rsidTr="00E546EE">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 xml:space="preserve">г. Тирасполь и </w:t>
            </w:r>
            <w:proofErr w:type="gramStart"/>
            <w:r w:rsidRPr="00227068">
              <w:rPr>
                <w:rFonts w:ascii="Times New Roman" w:hAnsi="Times New Roman"/>
                <w:sz w:val="24"/>
                <w:szCs w:val="24"/>
              </w:rPr>
              <w:t>г</w:t>
            </w:r>
            <w:proofErr w:type="gramEnd"/>
            <w:r w:rsidRPr="00227068">
              <w:rPr>
                <w:rFonts w:ascii="Times New Roman" w:hAnsi="Times New Roman"/>
                <w:sz w:val="24"/>
                <w:szCs w:val="24"/>
              </w:rPr>
              <w:t>. Днестровск</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21 709 671</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 xml:space="preserve">16 830 705 </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36,8</w:t>
            </w:r>
          </w:p>
        </w:tc>
      </w:tr>
      <w:tr w:rsidR="00FA75D8" w:rsidRPr="00227068" w:rsidTr="00E546EE">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г. Бендеры</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13 537 271</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 xml:space="preserve">10 079 163 </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22,1</w:t>
            </w:r>
          </w:p>
        </w:tc>
      </w:tr>
      <w:tr w:rsidR="00FA75D8" w:rsidRPr="00227068" w:rsidTr="00E546EE">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г. Рыбница и Рыбницкий район</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8 598 569</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 xml:space="preserve">5 900 638 </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12,9</w:t>
            </w:r>
          </w:p>
        </w:tc>
      </w:tr>
      <w:tr w:rsidR="00FA75D8" w:rsidRPr="00227068" w:rsidTr="00E546EE">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г. Дубоссары и Дубоссарский район</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4 092 636</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 xml:space="preserve">2 757 347 </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6,0</w:t>
            </w:r>
          </w:p>
        </w:tc>
      </w:tr>
      <w:tr w:rsidR="00FA75D8" w:rsidRPr="00227068" w:rsidTr="00E546EE">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г. Слободзея и Слободзейский район</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9 201 862</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6 692 107</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14,7</w:t>
            </w:r>
          </w:p>
        </w:tc>
      </w:tr>
      <w:tr w:rsidR="00FA75D8" w:rsidRPr="00227068" w:rsidTr="00E546EE">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г. Григориополь и Григориопольский район</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3 353 826</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 xml:space="preserve">2 247 697 </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4,9</w:t>
            </w:r>
          </w:p>
        </w:tc>
      </w:tr>
      <w:tr w:rsidR="00FA75D8" w:rsidRPr="00227068" w:rsidTr="00E546EE">
        <w:trPr>
          <w:trHeight w:val="25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rPr>
                <w:rFonts w:ascii="Times New Roman" w:hAnsi="Times New Roman"/>
                <w:sz w:val="24"/>
                <w:szCs w:val="24"/>
              </w:rPr>
            </w:pPr>
            <w:r w:rsidRPr="00227068">
              <w:rPr>
                <w:rFonts w:ascii="Times New Roman" w:hAnsi="Times New Roman"/>
                <w:sz w:val="24"/>
                <w:szCs w:val="24"/>
              </w:rPr>
              <w:t>г. Каменка и Каменский район</w:t>
            </w:r>
          </w:p>
        </w:tc>
        <w:tc>
          <w:tcPr>
            <w:tcW w:w="2020"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1 667 288</w:t>
            </w:r>
          </w:p>
        </w:tc>
        <w:tc>
          <w:tcPr>
            <w:tcW w:w="2485"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 xml:space="preserve">1 168 207 </w:t>
            </w:r>
          </w:p>
        </w:tc>
        <w:tc>
          <w:tcPr>
            <w:tcW w:w="2409" w:type="dxa"/>
            <w:tcBorders>
              <w:top w:val="nil"/>
              <w:left w:val="nil"/>
              <w:bottom w:val="single" w:sz="4" w:space="0" w:color="auto"/>
              <w:right w:val="single" w:sz="4" w:space="0" w:color="auto"/>
            </w:tcBorders>
            <w:shd w:val="clear" w:color="auto" w:fill="auto"/>
            <w:vAlign w:val="center"/>
            <w:hideMark/>
          </w:tcPr>
          <w:p w:rsidR="00FA75D8" w:rsidRPr="00227068" w:rsidRDefault="00FA75D8" w:rsidP="00E546EE">
            <w:pPr>
              <w:shd w:val="clear" w:color="auto" w:fill="FFFFFF"/>
              <w:spacing w:after="0" w:line="240" w:lineRule="auto"/>
              <w:jc w:val="center"/>
              <w:rPr>
                <w:rFonts w:ascii="Times New Roman" w:hAnsi="Times New Roman"/>
                <w:sz w:val="24"/>
                <w:szCs w:val="24"/>
              </w:rPr>
            </w:pPr>
            <w:r w:rsidRPr="00227068">
              <w:rPr>
                <w:rFonts w:ascii="Times New Roman" w:hAnsi="Times New Roman"/>
                <w:sz w:val="24"/>
                <w:szCs w:val="24"/>
              </w:rPr>
              <w:t>2,6</w:t>
            </w:r>
          </w:p>
        </w:tc>
      </w:tr>
    </w:tbl>
    <w:p w:rsidR="000043C4" w:rsidRPr="00227068" w:rsidRDefault="000043C4" w:rsidP="000043C4">
      <w:pPr>
        <w:shd w:val="clear" w:color="auto" w:fill="FFFFFF" w:themeFill="background1"/>
        <w:spacing w:after="0" w:line="240" w:lineRule="auto"/>
        <w:ind w:firstLine="720"/>
        <w:jc w:val="both"/>
        <w:rPr>
          <w:rFonts w:ascii="Times New Roman" w:hAnsi="Times New Roman"/>
          <w:sz w:val="24"/>
          <w:szCs w:val="24"/>
        </w:rPr>
      </w:pPr>
      <w:r w:rsidRPr="00227068">
        <w:rPr>
          <w:rFonts w:ascii="Times New Roman" w:hAnsi="Times New Roman"/>
          <w:sz w:val="24"/>
          <w:szCs w:val="24"/>
        </w:rPr>
        <w:lastRenderedPageBreak/>
        <w:t xml:space="preserve">Наибольшее количество индивидуальных предпринимателей насчитывается в                   </w:t>
      </w:r>
      <w:proofErr w:type="gramStart"/>
      <w:r w:rsidRPr="00227068">
        <w:rPr>
          <w:rFonts w:ascii="Times New Roman" w:hAnsi="Times New Roman"/>
          <w:sz w:val="24"/>
          <w:szCs w:val="24"/>
        </w:rPr>
        <w:t>г</w:t>
      </w:r>
      <w:proofErr w:type="gramEnd"/>
      <w:r w:rsidRPr="00227068">
        <w:rPr>
          <w:rFonts w:ascii="Times New Roman" w:hAnsi="Times New Roman"/>
          <w:sz w:val="24"/>
          <w:szCs w:val="24"/>
        </w:rPr>
        <w:t xml:space="preserve">. Тирасполе и г. Днестровск – 31,2% от общего количества по республике. В г. Бендеры – 16,6%, в г. Рыбница и </w:t>
      </w:r>
      <w:proofErr w:type="spellStart"/>
      <w:r w:rsidRPr="00227068">
        <w:rPr>
          <w:rFonts w:ascii="Times New Roman" w:hAnsi="Times New Roman"/>
          <w:sz w:val="24"/>
          <w:szCs w:val="24"/>
        </w:rPr>
        <w:t>Рыбницком</w:t>
      </w:r>
      <w:proofErr w:type="spellEnd"/>
      <w:r w:rsidRPr="00227068">
        <w:rPr>
          <w:rFonts w:ascii="Times New Roman" w:hAnsi="Times New Roman"/>
          <w:sz w:val="24"/>
          <w:szCs w:val="24"/>
        </w:rPr>
        <w:t xml:space="preserve"> районе – 14,1%, в г. Слободзея и Слободзейском          районе – 13,4%, в г. Дубоссары и </w:t>
      </w:r>
      <w:proofErr w:type="spellStart"/>
      <w:r w:rsidRPr="00227068">
        <w:rPr>
          <w:rFonts w:ascii="Times New Roman" w:hAnsi="Times New Roman"/>
          <w:sz w:val="24"/>
          <w:szCs w:val="24"/>
        </w:rPr>
        <w:t>Дубоссарском</w:t>
      </w:r>
      <w:proofErr w:type="spellEnd"/>
      <w:r w:rsidRPr="00227068">
        <w:rPr>
          <w:rFonts w:ascii="Times New Roman" w:hAnsi="Times New Roman"/>
          <w:sz w:val="24"/>
          <w:szCs w:val="24"/>
        </w:rPr>
        <w:t xml:space="preserve"> районе – 8,4%, в г. Григориополь и Григориопольском районе – 10,1%, </w:t>
      </w:r>
      <w:proofErr w:type="gramStart"/>
      <w:r w:rsidRPr="00227068">
        <w:rPr>
          <w:rFonts w:ascii="Times New Roman" w:hAnsi="Times New Roman"/>
          <w:sz w:val="24"/>
          <w:szCs w:val="24"/>
        </w:rPr>
        <w:t>в</w:t>
      </w:r>
      <w:proofErr w:type="gramEnd"/>
      <w:r w:rsidRPr="00227068">
        <w:rPr>
          <w:rFonts w:ascii="Times New Roman" w:hAnsi="Times New Roman"/>
          <w:sz w:val="24"/>
          <w:szCs w:val="24"/>
        </w:rPr>
        <w:t xml:space="preserve"> г. </w:t>
      </w:r>
      <w:proofErr w:type="gramStart"/>
      <w:r w:rsidRPr="00227068">
        <w:rPr>
          <w:rFonts w:ascii="Times New Roman" w:hAnsi="Times New Roman"/>
          <w:sz w:val="24"/>
          <w:szCs w:val="24"/>
        </w:rPr>
        <w:t>Каменка</w:t>
      </w:r>
      <w:proofErr w:type="gramEnd"/>
      <w:r w:rsidRPr="00227068">
        <w:rPr>
          <w:rFonts w:ascii="Times New Roman" w:hAnsi="Times New Roman"/>
          <w:sz w:val="24"/>
          <w:szCs w:val="24"/>
        </w:rPr>
        <w:t xml:space="preserve"> и Каменском районе – 5,2%.</w:t>
      </w:r>
    </w:p>
    <w:p w:rsidR="000043C4" w:rsidRDefault="000043C4" w:rsidP="000043C4">
      <w:pPr>
        <w:shd w:val="clear" w:color="auto" w:fill="FFFFFF" w:themeFill="background1"/>
        <w:spacing w:after="0" w:line="240" w:lineRule="auto"/>
        <w:ind w:firstLine="720"/>
        <w:jc w:val="both"/>
        <w:rPr>
          <w:rFonts w:ascii="Times New Roman" w:hAnsi="Times New Roman"/>
          <w:sz w:val="24"/>
          <w:szCs w:val="24"/>
        </w:rPr>
      </w:pPr>
      <w:r w:rsidRPr="00227068">
        <w:rPr>
          <w:rFonts w:ascii="Times New Roman" w:eastAsia="Calibri" w:hAnsi="Times New Roman"/>
          <w:sz w:val="24"/>
          <w:szCs w:val="24"/>
        </w:rPr>
        <w:t>Основное количество индивидуальных предпринимателей по-прежнему задействовано в сфере торговли и общепита (50,3% от общей численности выданных патентов против 59,7% в 2016 году).</w:t>
      </w:r>
      <w:r w:rsidRPr="00227068">
        <w:rPr>
          <w:rFonts w:ascii="Times New Roman" w:hAnsi="Times New Roman"/>
          <w:sz w:val="24"/>
          <w:szCs w:val="24"/>
        </w:rPr>
        <w:t xml:space="preserve"> </w:t>
      </w:r>
      <w:proofErr w:type="gramStart"/>
      <w:r w:rsidRPr="00227068">
        <w:rPr>
          <w:rFonts w:ascii="Times New Roman" w:hAnsi="Times New Roman"/>
          <w:sz w:val="24"/>
          <w:szCs w:val="24"/>
        </w:rPr>
        <w:t>Другими приоритетными направлениями, в которых осуществляют свою деятельность индивидуальные предприниматели, являются: сфера услуг – 30,1% (+6,3 п.п. к уровню базового года), сельское хозяйство – 14,2% (+2,6 п.п.) и производство –5,4% (+0,5 п.п.).</w:t>
      </w:r>
      <w:proofErr w:type="gramEnd"/>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proofErr w:type="gramStart"/>
      <w:r w:rsidRPr="00227068">
        <w:rPr>
          <w:rFonts w:ascii="Times New Roman" w:eastAsia="Calibri" w:hAnsi="Times New Roman"/>
          <w:sz w:val="24"/>
          <w:szCs w:val="24"/>
        </w:rPr>
        <w:t>В рамках объявленного в Приднестровской Молдавской Республике 2017 года Годом предпринимателя в целях создания благоприятных условий формирования привлекательного инвестиционного климата, упрощения ведения бизнеса, уменьшения административных барьеров Министерством экономического развития Приднестровской Молдавской Республики был разработан проект «Об утверждении плана мероприятий («дорожной карты»), направленных на улучшение внутренних условий ведения предпринимательской деятельности в Приднестровской Молдавской Республике».</w:t>
      </w:r>
      <w:proofErr w:type="gramEnd"/>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Также, в целях упрощения ведения предпринимательской деятельности были приняты следующие меры:</w:t>
      </w:r>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 снижен размер РУ МЗП для исчисления стоимости индивидуального предпринимательского патента в 2017, 2018 и 2019 годах на производство товаров (работ, услуг) и на осуществление розничной торговли;</w:t>
      </w:r>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 приостановлены проверочные мероприятия по контролю в отношении юридических лих, отнесенных к субъектам малого предпринимательства, физических лиц, в том числе для индивидуальных предпринимателей, на период 2017-2018 годы;</w:t>
      </w:r>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 для лиц, состоящих на момент регистрации в 2017, 2018 годах в качестве  индивидуального предпринимателя более одного месяца на учете в центре занятости населения как безработные, устанавливается льгота при расчете и внесении платы за патент в виде ее снижения;</w:t>
      </w:r>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 отменена плата за предпринимательский патент для членов многодетных семей до конца 2017 года;</w:t>
      </w:r>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 оптимизирована (сокращена) государственная статистическая отчетность;</w:t>
      </w:r>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 xml:space="preserve">- продлен срок действия нормы, в соответствии с которой не подлежат налогообложению подоходным налогом с физических лиц доходы в размере не более </w:t>
      </w:r>
      <w:r w:rsidR="000043C4">
        <w:rPr>
          <w:rFonts w:ascii="Times New Roman" w:eastAsia="Calibri" w:hAnsi="Times New Roman"/>
          <w:sz w:val="24"/>
          <w:szCs w:val="24"/>
        </w:rPr>
        <w:t xml:space="preserve">                  </w:t>
      </w:r>
      <w:r w:rsidRPr="00227068">
        <w:rPr>
          <w:rFonts w:ascii="Times New Roman" w:eastAsia="Calibri" w:hAnsi="Times New Roman"/>
          <w:sz w:val="24"/>
          <w:szCs w:val="24"/>
        </w:rPr>
        <w:t>100 тысяч рублей ПМР в месяц, выплаченные юридическим лицом индивидуальному предпринимателю при приобретении у последнего товаров или оказания последним услуг до 31 декабря 2017 года;</w:t>
      </w:r>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 исключение по некоторым видам деятельности наличия специальной подготовки;</w:t>
      </w:r>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 установлены льготы в виде снижения платы за предпринимательский патент по всем видам предпринимательской деятельности для лиц, впервые зарегистрированных в качестве индивидуального предпринимателя в первый и второй годы после получения диплома о высшем профессиональном образовании;</w:t>
      </w:r>
    </w:p>
    <w:p w:rsidR="00FA75D8" w:rsidRPr="00227068"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 расширены виды предпринимательской деятельности, возможные к осуществлению на основе индивидуального предпринимательского патента;</w:t>
      </w:r>
    </w:p>
    <w:p w:rsidR="00FA75D8" w:rsidRPr="00227068" w:rsidRDefault="00FA75D8" w:rsidP="00FA75D8">
      <w:pPr>
        <w:pStyle w:val="11"/>
        <w:ind w:firstLine="709"/>
        <w:jc w:val="both"/>
        <w:rPr>
          <w:rFonts w:ascii="Times New Roman" w:hAnsi="Times New Roman"/>
          <w:sz w:val="24"/>
          <w:szCs w:val="24"/>
        </w:rPr>
      </w:pPr>
      <w:r w:rsidRPr="00227068">
        <w:rPr>
          <w:rFonts w:ascii="Times New Roman" w:hAnsi="Times New Roman"/>
          <w:sz w:val="24"/>
          <w:szCs w:val="24"/>
        </w:rPr>
        <w:t xml:space="preserve">- снижены коэффициенты, применяемые к минимальному </w:t>
      </w:r>
      <w:proofErr w:type="gramStart"/>
      <w:r w:rsidRPr="00227068">
        <w:rPr>
          <w:rFonts w:ascii="Times New Roman" w:hAnsi="Times New Roman"/>
          <w:sz w:val="24"/>
          <w:szCs w:val="24"/>
        </w:rPr>
        <w:t>размеру оплаты труда</w:t>
      </w:r>
      <w:proofErr w:type="gramEnd"/>
      <w:r w:rsidRPr="00227068">
        <w:rPr>
          <w:rFonts w:ascii="Times New Roman" w:hAnsi="Times New Roman"/>
          <w:sz w:val="24"/>
          <w:szCs w:val="24"/>
        </w:rPr>
        <w:t xml:space="preserve"> для работников организаций, в том числе организаций малого бизнеса с численностью работников до 50 человек, в целях государственной поддержки указанных организаций и отражения ими реальных расходов на оплату труда и увеличения рабочих мест в республике;</w:t>
      </w:r>
    </w:p>
    <w:p w:rsidR="00FA75D8" w:rsidRPr="00227068" w:rsidRDefault="00FA75D8" w:rsidP="00FA75D8">
      <w:pPr>
        <w:pStyle w:val="11"/>
        <w:ind w:firstLine="709"/>
        <w:jc w:val="both"/>
        <w:rPr>
          <w:rFonts w:ascii="Times New Roman" w:hAnsi="Times New Roman"/>
          <w:sz w:val="24"/>
          <w:szCs w:val="24"/>
        </w:rPr>
      </w:pPr>
      <w:r w:rsidRPr="00227068">
        <w:rPr>
          <w:rFonts w:ascii="Times New Roman" w:hAnsi="Times New Roman"/>
          <w:sz w:val="24"/>
          <w:szCs w:val="24"/>
        </w:rPr>
        <w:t xml:space="preserve">- закреплено на законодательном уровне понятие «среднее предпринимательство» и установлены критерии отнесения к субъектам среднего предпринимательства, а также увеличены существующие критерии отнесения к субъектам малого предпринимательства в целях увеличения занятых в среднем и малом предпринимательстве; </w:t>
      </w:r>
    </w:p>
    <w:p w:rsidR="00FA75D8" w:rsidRPr="00227068" w:rsidRDefault="00FA75D8" w:rsidP="00FA75D8">
      <w:pPr>
        <w:pStyle w:val="11"/>
        <w:ind w:firstLine="709"/>
        <w:jc w:val="both"/>
        <w:rPr>
          <w:rFonts w:ascii="Times New Roman" w:hAnsi="Times New Roman"/>
          <w:sz w:val="24"/>
          <w:szCs w:val="24"/>
        </w:rPr>
      </w:pPr>
      <w:r w:rsidRPr="00227068">
        <w:rPr>
          <w:rFonts w:ascii="Times New Roman" w:hAnsi="Times New Roman"/>
          <w:sz w:val="24"/>
          <w:szCs w:val="24"/>
        </w:rPr>
        <w:lastRenderedPageBreak/>
        <w:t>- предоставлена возможность индивидуальному предпринимателю с 1 октября</w:t>
      </w:r>
      <w:r w:rsidR="000043C4">
        <w:rPr>
          <w:rFonts w:ascii="Times New Roman" w:hAnsi="Times New Roman"/>
          <w:sz w:val="24"/>
          <w:szCs w:val="24"/>
        </w:rPr>
        <w:t xml:space="preserve">              </w:t>
      </w:r>
      <w:r w:rsidRPr="00227068">
        <w:rPr>
          <w:rFonts w:ascii="Times New Roman" w:hAnsi="Times New Roman"/>
          <w:sz w:val="24"/>
          <w:szCs w:val="24"/>
        </w:rPr>
        <w:t xml:space="preserve"> 2017 года осуществлять </w:t>
      </w:r>
      <w:proofErr w:type="spellStart"/>
      <w:r w:rsidRPr="00227068">
        <w:rPr>
          <w:rFonts w:ascii="Times New Roman" w:hAnsi="Times New Roman"/>
          <w:sz w:val="24"/>
          <w:szCs w:val="24"/>
        </w:rPr>
        <w:t>найм</w:t>
      </w:r>
      <w:proofErr w:type="spellEnd"/>
      <w:r w:rsidRPr="00227068">
        <w:rPr>
          <w:rFonts w:ascii="Times New Roman" w:hAnsi="Times New Roman"/>
          <w:sz w:val="24"/>
          <w:szCs w:val="24"/>
        </w:rPr>
        <w:t xml:space="preserve"> работников по гражданско-правовым договорам в рамках одного предпринимательского патента до 5 (пяти) человек;</w:t>
      </w:r>
    </w:p>
    <w:p w:rsidR="00FA75D8" w:rsidRPr="00227068" w:rsidRDefault="00FA75D8" w:rsidP="00FA75D8">
      <w:pPr>
        <w:pStyle w:val="11"/>
        <w:ind w:firstLine="709"/>
        <w:jc w:val="both"/>
        <w:rPr>
          <w:rFonts w:ascii="Times New Roman" w:hAnsi="Times New Roman"/>
          <w:sz w:val="24"/>
          <w:szCs w:val="24"/>
        </w:rPr>
      </w:pPr>
      <w:r w:rsidRPr="00227068">
        <w:rPr>
          <w:rFonts w:ascii="Times New Roman" w:hAnsi="Times New Roman"/>
          <w:sz w:val="24"/>
          <w:szCs w:val="24"/>
        </w:rPr>
        <w:t xml:space="preserve">- в целях увеличения и диверсификации экспорта, а также субъектов внешнеэкономической деятельности, упрощения таможенных процедур и </w:t>
      </w:r>
      <w:proofErr w:type="gramStart"/>
      <w:r w:rsidRPr="00227068">
        <w:rPr>
          <w:rFonts w:ascii="Times New Roman" w:hAnsi="Times New Roman"/>
          <w:sz w:val="24"/>
          <w:szCs w:val="24"/>
        </w:rPr>
        <w:t>формирования</w:t>
      </w:r>
      <w:proofErr w:type="gramEnd"/>
      <w:r w:rsidRPr="00227068">
        <w:rPr>
          <w:rFonts w:ascii="Times New Roman" w:hAnsi="Times New Roman"/>
          <w:sz w:val="24"/>
          <w:szCs w:val="24"/>
        </w:rPr>
        <w:t xml:space="preserve"> прозрачных правил для осуществления внешнеэкономической деятельности разработан  План мероприятий («дорожной карты») «Поддержка доступа приднестровских производителей на рынки зарубежных стран и поддержка экспорта».</w:t>
      </w:r>
    </w:p>
    <w:p w:rsidR="00FA75D8" w:rsidRPr="00C0642B" w:rsidRDefault="00FA75D8" w:rsidP="00FA75D8">
      <w:pPr>
        <w:shd w:val="clear" w:color="auto" w:fill="FFFFFF"/>
        <w:spacing w:after="0" w:line="240" w:lineRule="auto"/>
        <w:ind w:firstLine="720"/>
        <w:jc w:val="both"/>
        <w:rPr>
          <w:rFonts w:ascii="Times New Roman" w:eastAsia="Calibri" w:hAnsi="Times New Roman"/>
          <w:sz w:val="24"/>
          <w:szCs w:val="24"/>
        </w:rPr>
      </w:pPr>
      <w:r w:rsidRPr="00227068">
        <w:rPr>
          <w:rFonts w:ascii="Times New Roman" w:eastAsia="Calibri" w:hAnsi="Times New Roman"/>
          <w:sz w:val="24"/>
          <w:szCs w:val="24"/>
        </w:rPr>
        <w:t>Развитие малого предпринимательства является необходимым условием успешного развития республики, решения социальных и экономических задач. Совершенствование механизмов государственного регулирования предпринимательской деятельности, а также содействие развитию инвестиционной и инновационной деятельности должны способствовать поступательному росту основных показателей развития малого бизнеса и, как следствие, оказывать стабилизирующее воздействие на социально – экономическое развитие экономики республики.</w:t>
      </w:r>
    </w:p>
    <w:p w:rsidR="00F425EE" w:rsidRDefault="00F425EE" w:rsidP="00335844">
      <w:pPr>
        <w:spacing w:after="0" w:line="240" w:lineRule="auto"/>
        <w:ind w:firstLine="709"/>
        <w:rPr>
          <w:rFonts w:ascii="Times New Roman" w:hAnsi="Times New Roman"/>
          <w:b/>
          <w:sz w:val="24"/>
          <w:szCs w:val="24"/>
        </w:rPr>
      </w:pPr>
    </w:p>
    <w:p w:rsidR="00335844" w:rsidRPr="0080737A" w:rsidRDefault="00335844" w:rsidP="00335844">
      <w:pPr>
        <w:spacing w:after="0" w:line="240" w:lineRule="auto"/>
        <w:ind w:firstLine="709"/>
        <w:rPr>
          <w:rFonts w:ascii="Times New Roman" w:hAnsi="Times New Roman"/>
          <w:b/>
          <w:sz w:val="24"/>
          <w:szCs w:val="24"/>
        </w:rPr>
      </w:pPr>
      <w:r w:rsidRPr="00E45EEC">
        <w:rPr>
          <w:rFonts w:ascii="Times New Roman" w:hAnsi="Times New Roman"/>
          <w:b/>
          <w:sz w:val="24"/>
          <w:szCs w:val="24"/>
        </w:rPr>
        <w:t>Потребительский рынок</w:t>
      </w:r>
    </w:p>
    <w:p w:rsidR="00335844" w:rsidRDefault="00335844" w:rsidP="00335844">
      <w:pPr>
        <w:spacing w:after="0" w:line="240" w:lineRule="auto"/>
        <w:ind w:firstLine="709"/>
        <w:contextualSpacing/>
        <w:jc w:val="both"/>
        <w:rPr>
          <w:rFonts w:ascii="Times New Roman" w:hAnsi="Times New Roman"/>
          <w:b/>
          <w:sz w:val="24"/>
          <w:szCs w:val="24"/>
        </w:rPr>
      </w:pPr>
    </w:p>
    <w:p w:rsidR="00B82B00" w:rsidRDefault="00B82B00" w:rsidP="00B82B0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Потребительский рынок республики после трехлетнего сжатия параметров в                  2017 году на фоне улучшения экономической конъюнктуры и реализуемых </w:t>
      </w:r>
      <w:proofErr w:type="gramStart"/>
      <w:r>
        <w:rPr>
          <w:rFonts w:ascii="Times New Roman" w:hAnsi="Times New Roman"/>
          <w:sz w:val="24"/>
          <w:szCs w:val="24"/>
        </w:rPr>
        <w:t>на государственном уровне инструментов по поддержке отечественного бизнеса в совокупности с преодолением кризиса на валютном рынке</w:t>
      </w:r>
      <w:proofErr w:type="gramEnd"/>
      <w:r>
        <w:rPr>
          <w:rFonts w:ascii="Times New Roman" w:hAnsi="Times New Roman"/>
          <w:sz w:val="24"/>
          <w:szCs w:val="24"/>
        </w:rPr>
        <w:t xml:space="preserve"> характеризовался восстановительным трендом показателей. </w:t>
      </w:r>
      <w:proofErr w:type="gramStart"/>
      <w:r>
        <w:rPr>
          <w:rFonts w:ascii="Times New Roman" w:hAnsi="Times New Roman"/>
          <w:sz w:val="24"/>
          <w:szCs w:val="24"/>
        </w:rPr>
        <w:t>Совокупный объём приобретённых населением товаров и услуг вырос в текущих ценах на 17,6% до 9 092,9 млн руб., в сопоставимой оценке с учетом влияния ценового фактора на 9,1%, при этом общая повышательная динамика обеспечена в большей части расширением розничных продаж (+13,4%), на долю которых пришлось 73,6% общего оборота потребительского рынка, на оборот общественного питания и платных услуг соответственно 2,2% и</w:t>
      </w:r>
      <w:proofErr w:type="gramEnd"/>
      <w:r>
        <w:rPr>
          <w:rFonts w:ascii="Times New Roman" w:hAnsi="Times New Roman"/>
          <w:sz w:val="24"/>
          <w:szCs w:val="24"/>
        </w:rPr>
        <w:t xml:space="preserve"> 24,2%. Основным каналом реализации товаров и услуг выступает негосударственный сектор, обеспечивший 86,5% емкости рынка.</w:t>
      </w:r>
    </w:p>
    <w:p w:rsidR="00B82B00" w:rsidRDefault="00B82B00" w:rsidP="00B82B00">
      <w:pPr>
        <w:spacing w:after="0" w:line="240" w:lineRule="auto"/>
        <w:ind w:firstLine="426"/>
        <w:rPr>
          <w:rFonts w:ascii="Times New Roman" w:hAnsi="Times New Roman"/>
          <w:b/>
          <w:sz w:val="24"/>
          <w:szCs w:val="24"/>
          <w:u w:val="single"/>
        </w:rPr>
      </w:pPr>
    </w:p>
    <w:p w:rsidR="00B82B00" w:rsidRDefault="00B82B00" w:rsidP="00B82B00">
      <w:pPr>
        <w:spacing w:after="0" w:line="240" w:lineRule="auto"/>
        <w:ind w:firstLine="709"/>
        <w:jc w:val="both"/>
        <w:rPr>
          <w:rFonts w:ascii="Times New Roman" w:hAnsi="Times New Roman"/>
          <w:b/>
          <w:sz w:val="24"/>
          <w:szCs w:val="24"/>
        </w:rPr>
      </w:pPr>
      <w:r>
        <w:rPr>
          <w:rFonts w:ascii="Times New Roman" w:hAnsi="Times New Roman"/>
          <w:b/>
          <w:sz w:val="24"/>
          <w:szCs w:val="24"/>
        </w:rPr>
        <w:t>Розничная торговля</w:t>
      </w:r>
    </w:p>
    <w:p w:rsidR="00B82B00" w:rsidRDefault="00B82B00" w:rsidP="00B82B00">
      <w:pPr>
        <w:pStyle w:val="a4"/>
        <w:rPr>
          <w:b/>
        </w:rPr>
      </w:pPr>
      <w:r>
        <w:rPr>
          <w:rFonts w:eastAsia="Calibri"/>
          <w:lang w:eastAsia="en-US"/>
        </w:rPr>
        <w:t>Совокупная стоимость товаров, приобретённых населением</w:t>
      </w:r>
      <w:r>
        <w:rPr>
          <w:lang w:eastAsia="en-US"/>
        </w:rPr>
        <w:t xml:space="preserve"> в 2017 году, составила в текущих ценах </w:t>
      </w:r>
      <w:r w:rsidRPr="00F9766D">
        <w:rPr>
          <w:lang w:eastAsia="en-US"/>
        </w:rPr>
        <w:t>6 690,3 млн руб., превысив значение 2016 года на 24,9%, а с учетом корректировки показателя на ценовой фактор (в сопоставимых ценах) расширилась на 13,4%</w:t>
      </w:r>
      <w:r>
        <w:rPr>
          <w:b/>
          <w:u w:val="single"/>
          <w:lang w:eastAsia="en-US"/>
        </w:rPr>
        <w:t xml:space="preserve"> </w:t>
      </w:r>
      <w:r w:rsidRPr="00B82B00">
        <w:t>(рис. 29).</w:t>
      </w:r>
    </w:p>
    <w:p w:rsidR="00B82B00" w:rsidRPr="008119AA" w:rsidRDefault="00B82B00" w:rsidP="00B82B00">
      <w:pPr>
        <w:pStyle w:val="a4"/>
        <w:jc w:val="right"/>
        <w:rPr>
          <w:b/>
          <w:i/>
        </w:rPr>
      </w:pPr>
      <w:r w:rsidRPr="00B82B00">
        <w:rPr>
          <w:b/>
          <w:i/>
        </w:rPr>
        <w:t>Рисунок</w:t>
      </w:r>
      <w:r>
        <w:rPr>
          <w:b/>
          <w:i/>
        </w:rPr>
        <w:t xml:space="preserve"> 29</w:t>
      </w:r>
    </w:p>
    <w:p w:rsidR="00B82B00" w:rsidRDefault="00B82B00" w:rsidP="00B82B00">
      <w:pPr>
        <w:spacing w:after="0"/>
        <w:jc w:val="center"/>
        <w:rPr>
          <w:rFonts w:ascii="Times New Roman" w:hAnsi="Times New Roman"/>
          <w:b/>
          <w:sz w:val="24"/>
          <w:szCs w:val="24"/>
        </w:rPr>
      </w:pPr>
      <w:r>
        <w:rPr>
          <w:rFonts w:ascii="Times New Roman" w:hAnsi="Times New Roman"/>
          <w:b/>
          <w:sz w:val="24"/>
          <w:szCs w:val="24"/>
        </w:rPr>
        <w:t>Динамика розничного товарооборота, %</w:t>
      </w:r>
    </w:p>
    <w:p w:rsidR="00B82B00" w:rsidRDefault="00B82B00" w:rsidP="00B82B00">
      <w:pPr>
        <w:spacing w:after="0" w:line="240" w:lineRule="auto"/>
        <w:ind w:hanging="142"/>
        <w:jc w:val="both"/>
        <w:rPr>
          <w:rFonts w:ascii="Times New Roman" w:hAnsi="Times New Roman"/>
          <w:b/>
          <w:sz w:val="24"/>
          <w:szCs w:val="24"/>
          <w:u w:val="single"/>
          <w:lang w:eastAsia="en-US"/>
        </w:rPr>
      </w:pPr>
      <w:r>
        <w:rPr>
          <w:b/>
          <w:noProof/>
        </w:rPr>
        <w:drawing>
          <wp:inline distT="0" distB="0" distL="0" distR="0">
            <wp:extent cx="5943600" cy="1895475"/>
            <wp:effectExtent l="19050" t="0" r="0" b="0"/>
            <wp:docPr id="11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22D9C" w:rsidRPr="00722D9C" w:rsidRDefault="00722D9C" w:rsidP="00B82B00">
      <w:pPr>
        <w:spacing w:after="0" w:line="240" w:lineRule="auto"/>
        <w:ind w:hanging="142"/>
        <w:jc w:val="both"/>
        <w:rPr>
          <w:rFonts w:ascii="Times New Roman" w:hAnsi="Times New Roman"/>
          <w:b/>
          <w:sz w:val="10"/>
          <w:szCs w:val="10"/>
          <w:u w:val="single"/>
          <w:lang w:eastAsia="en-US"/>
        </w:rPr>
      </w:pPr>
    </w:p>
    <w:p w:rsidR="00B82B00" w:rsidRPr="00E57D31" w:rsidRDefault="00B82B00" w:rsidP="00722D9C">
      <w:pPr>
        <w:pStyle w:val="a4"/>
        <w:rPr>
          <w:b/>
        </w:rPr>
      </w:pPr>
      <w:proofErr w:type="gramStart"/>
      <w:r>
        <w:t xml:space="preserve">В товарной структуре рынка </w:t>
      </w:r>
      <w:r w:rsidRPr="00722D9C">
        <w:t xml:space="preserve">(рис. </w:t>
      </w:r>
      <w:r w:rsidR="00722D9C" w:rsidRPr="00722D9C">
        <w:t>30</w:t>
      </w:r>
      <w:r w:rsidRPr="00722D9C">
        <w:t>)</w:t>
      </w:r>
      <w:r>
        <w:t xml:space="preserve"> на фоне общей повышательной динамики расходов на приобретение населением продовольственных товаров (+8,5% до</w:t>
      </w:r>
      <w:r w:rsidR="00722D9C">
        <w:t xml:space="preserve">               </w:t>
      </w:r>
      <w:r>
        <w:t xml:space="preserve"> 2 972,1 млн руб.) и товаров длительного пользования </w:t>
      </w:r>
      <w:r>
        <w:rPr>
          <w:rFonts w:eastAsia="Calibri"/>
          <w:lang w:eastAsia="en-US"/>
        </w:rPr>
        <w:t>(непродовольственные товары) (+17,5% до 3 718,2 млн руб.)</w:t>
      </w:r>
      <w:r>
        <w:t xml:space="preserve">, отмечалось сужение долевого представления продуктового сегмента (включая алкогольные напитки и пиво) на 1,3 п.п. до 44,4%, тогда как на сектор </w:t>
      </w:r>
      <w:r>
        <w:rPr>
          <w:rFonts w:eastAsia="Calibri"/>
          <w:lang w:eastAsia="en-US"/>
        </w:rPr>
        <w:t>непродовольственных товаров пришлось 55,6</w:t>
      </w:r>
      <w:proofErr w:type="gramEnd"/>
      <w:r>
        <w:rPr>
          <w:rFonts w:eastAsia="Calibri"/>
          <w:lang w:eastAsia="en-US"/>
        </w:rPr>
        <w:t>% общего товарооборота.</w:t>
      </w:r>
    </w:p>
    <w:p w:rsidR="00B82B00" w:rsidRPr="008119AA" w:rsidRDefault="00B82B00" w:rsidP="00B82B00">
      <w:pPr>
        <w:pStyle w:val="a4"/>
        <w:jc w:val="right"/>
        <w:rPr>
          <w:b/>
          <w:i/>
        </w:rPr>
      </w:pPr>
      <w:r w:rsidRPr="00722D9C">
        <w:rPr>
          <w:b/>
          <w:i/>
        </w:rPr>
        <w:lastRenderedPageBreak/>
        <w:t xml:space="preserve">Рисунок </w:t>
      </w:r>
      <w:r w:rsidR="00722D9C" w:rsidRPr="00722D9C">
        <w:rPr>
          <w:b/>
          <w:i/>
        </w:rPr>
        <w:t>3</w:t>
      </w:r>
      <w:r w:rsidR="00722D9C">
        <w:rPr>
          <w:b/>
          <w:i/>
        </w:rPr>
        <w:t>0</w:t>
      </w:r>
    </w:p>
    <w:p w:rsidR="00B82B00" w:rsidRPr="00722D9C" w:rsidRDefault="00B82B00" w:rsidP="00B82B00">
      <w:pPr>
        <w:spacing w:after="0" w:line="240" w:lineRule="auto"/>
        <w:ind w:firstLine="426"/>
        <w:jc w:val="right"/>
        <w:rPr>
          <w:rFonts w:ascii="Times New Roman" w:hAnsi="Times New Roman"/>
          <w:sz w:val="10"/>
          <w:szCs w:val="10"/>
        </w:rPr>
      </w:pPr>
    </w:p>
    <w:p w:rsidR="00B82B00" w:rsidRDefault="00B82B00" w:rsidP="00B82B00">
      <w:pPr>
        <w:spacing w:after="0" w:line="240" w:lineRule="auto"/>
        <w:ind w:firstLine="426"/>
        <w:jc w:val="both"/>
        <w:rPr>
          <w:rFonts w:ascii="Times New Roman" w:eastAsia="Calibri" w:hAnsi="Times New Roman"/>
          <w:sz w:val="24"/>
          <w:szCs w:val="24"/>
          <w:lang w:eastAsia="en-US"/>
        </w:rPr>
      </w:pPr>
      <w:r>
        <w:rPr>
          <w:noProof/>
        </w:rPr>
        <w:drawing>
          <wp:inline distT="0" distB="0" distL="0" distR="0">
            <wp:extent cx="5934075" cy="1590675"/>
            <wp:effectExtent l="0" t="0" r="0" b="0"/>
            <wp:docPr id="1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82B00" w:rsidRDefault="00B82B00" w:rsidP="00B82B00">
      <w:pPr>
        <w:widowControl w:val="0"/>
        <w:spacing w:after="0" w:line="240" w:lineRule="auto"/>
        <w:ind w:firstLine="426"/>
        <w:jc w:val="both"/>
        <w:rPr>
          <w:rFonts w:ascii="Times New Roman" w:hAnsi="Times New Roman"/>
          <w:sz w:val="14"/>
          <w:szCs w:val="14"/>
        </w:rPr>
      </w:pPr>
    </w:p>
    <w:p w:rsidR="00B82B00" w:rsidRDefault="00B82B00" w:rsidP="00722D9C">
      <w:pPr>
        <w:widowControl w:val="0"/>
        <w:spacing w:after="0" w:line="240" w:lineRule="auto"/>
        <w:ind w:firstLine="709"/>
        <w:jc w:val="both"/>
        <w:rPr>
          <w:rFonts w:ascii="Times New Roman" w:hAnsi="Times New Roman"/>
          <w:sz w:val="24"/>
          <w:szCs w:val="24"/>
          <w:lang w:eastAsia="en-US"/>
        </w:rPr>
      </w:pPr>
      <w:r>
        <w:rPr>
          <w:rFonts w:ascii="Times New Roman" w:hAnsi="Times New Roman"/>
          <w:sz w:val="24"/>
          <w:szCs w:val="24"/>
        </w:rPr>
        <w:t xml:space="preserve">В рассматриваемом периоде наблюдалась тенденция расширения потребительских интересов населения к услугам </w:t>
      </w:r>
      <w:r>
        <w:rPr>
          <w:rFonts w:ascii="Times New Roman" w:hAnsi="Times New Roman"/>
          <w:b/>
          <w:sz w:val="24"/>
          <w:szCs w:val="24"/>
        </w:rPr>
        <w:t>организаций общественного питания</w:t>
      </w:r>
      <w:r>
        <w:rPr>
          <w:rFonts w:ascii="Times New Roman" w:hAnsi="Times New Roman"/>
          <w:sz w:val="24"/>
          <w:szCs w:val="24"/>
        </w:rPr>
        <w:t>. Так, абсолютная величина выручки организаций</w:t>
      </w:r>
      <w:r>
        <w:rPr>
          <w:rFonts w:ascii="Sylfaen" w:hAnsi="Sylfaen"/>
          <w:sz w:val="24"/>
          <w:szCs w:val="24"/>
        </w:rPr>
        <w:t xml:space="preserve"> </w:t>
      </w:r>
      <w:r>
        <w:rPr>
          <w:rFonts w:ascii="Times New Roman" w:hAnsi="Times New Roman"/>
          <w:sz w:val="24"/>
          <w:szCs w:val="24"/>
        </w:rPr>
        <w:t>данного сегмента рынка</w:t>
      </w:r>
      <w:r>
        <w:rPr>
          <w:rFonts w:ascii="Times New Roman" w:hAnsi="Times New Roman"/>
          <w:b/>
          <w:sz w:val="24"/>
          <w:szCs w:val="24"/>
        </w:rPr>
        <w:t xml:space="preserve"> </w:t>
      </w:r>
      <w:r>
        <w:rPr>
          <w:rFonts w:ascii="Times New Roman" w:hAnsi="Times New Roman"/>
          <w:sz w:val="24"/>
          <w:szCs w:val="24"/>
        </w:rPr>
        <w:t xml:space="preserve">за 2017 год увеличилась по отношению к показателю 2016 года </w:t>
      </w:r>
      <w:r w:rsidRPr="00F9766D">
        <w:rPr>
          <w:rFonts w:ascii="Times New Roman" w:hAnsi="Times New Roman"/>
          <w:sz w:val="24"/>
          <w:szCs w:val="24"/>
        </w:rPr>
        <w:t>в сопоставимой оценке на 5,9% до 202,2</w:t>
      </w:r>
      <w:r w:rsidRPr="00F9766D">
        <w:rPr>
          <w:rFonts w:ascii="Times New Roman" w:hAnsi="Times New Roman"/>
          <w:sz w:val="24"/>
          <w:szCs w:val="24"/>
          <w:lang w:eastAsia="en-US"/>
        </w:rPr>
        <w:t xml:space="preserve"> млн руб.</w:t>
      </w:r>
      <w:r>
        <w:rPr>
          <w:rFonts w:ascii="Times New Roman" w:hAnsi="Times New Roman"/>
          <w:b/>
          <w:sz w:val="24"/>
          <w:szCs w:val="24"/>
          <w:lang w:eastAsia="en-US"/>
        </w:rPr>
        <w:t xml:space="preserve"> </w:t>
      </w:r>
      <w:r>
        <w:rPr>
          <w:rFonts w:ascii="Times New Roman" w:hAnsi="Times New Roman"/>
          <w:sz w:val="24"/>
          <w:szCs w:val="24"/>
        </w:rPr>
        <w:t xml:space="preserve"> </w:t>
      </w:r>
    </w:p>
    <w:p w:rsidR="00B82B00" w:rsidRDefault="00B82B00" w:rsidP="00722D9C">
      <w:pPr>
        <w:spacing w:after="0" w:line="240" w:lineRule="auto"/>
        <w:ind w:firstLine="709"/>
        <w:jc w:val="both"/>
        <w:rPr>
          <w:rFonts w:ascii="Times New Roman" w:hAnsi="Times New Roman"/>
          <w:b/>
          <w:sz w:val="24"/>
          <w:szCs w:val="24"/>
          <w:highlight w:val="yellow"/>
        </w:rPr>
      </w:pPr>
      <w:r>
        <w:rPr>
          <w:rFonts w:ascii="Times New Roman" w:hAnsi="Times New Roman"/>
          <w:sz w:val="24"/>
          <w:szCs w:val="24"/>
        </w:rPr>
        <w:t>Доминирующая доля емкости оборота общественного питания (79,5%) в 2017 году была сформирована в организациях негосударственной формы собственности.</w:t>
      </w:r>
    </w:p>
    <w:p w:rsidR="00B82B00" w:rsidRDefault="00B82B00" w:rsidP="00B82B00">
      <w:pPr>
        <w:spacing w:after="0" w:line="240" w:lineRule="auto"/>
        <w:ind w:firstLine="426"/>
        <w:rPr>
          <w:rFonts w:ascii="Times New Roman" w:hAnsi="Times New Roman"/>
          <w:b/>
          <w:sz w:val="24"/>
          <w:szCs w:val="24"/>
        </w:rPr>
      </w:pPr>
    </w:p>
    <w:p w:rsidR="00B82B00" w:rsidRDefault="00B82B00" w:rsidP="00722D9C">
      <w:pPr>
        <w:spacing w:after="0" w:line="240" w:lineRule="auto"/>
        <w:ind w:firstLine="709"/>
        <w:rPr>
          <w:rFonts w:ascii="Times New Roman" w:hAnsi="Times New Roman"/>
          <w:b/>
          <w:sz w:val="24"/>
          <w:szCs w:val="24"/>
        </w:rPr>
      </w:pPr>
      <w:r>
        <w:rPr>
          <w:rFonts w:ascii="Times New Roman" w:hAnsi="Times New Roman"/>
          <w:b/>
          <w:sz w:val="24"/>
          <w:szCs w:val="24"/>
        </w:rPr>
        <w:t>Рынок платных услуг населению</w:t>
      </w:r>
    </w:p>
    <w:p w:rsidR="00B82B00" w:rsidRDefault="00B82B00" w:rsidP="00722D9C">
      <w:pPr>
        <w:pStyle w:val="a4"/>
      </w:pPr>
      <w:proofErr w:type="gramStart"/>
      <w:r>
        <w:t xml:space="preserve">В 2017 году на фоне принятых на государственном уровне административных решений по фиксированию на уровне 2016 года регулируемых тарифов в сфере коммунального хозяйства на услуги водоснабжения, отопления, </w:t>
      </w:r>
      <w:proofErr w:type="spellStart"/>
      <w:r>
        <w:t>электро-и</w:t>
      </w:r>
      <w:proofErr w:type="spellEnd"/>
      <w:r>
        <w:t xml:space="preserve"> газоснабжения </w:t>
      </w:r>
      <w:r w:rsidRPr="00F9766D">
        <w:t>абсолютная стоимость услуг, оказанных населению через все каналы реализации, составила 2 200,4 млн руб.,</w:t>
      </w:r>
      <w:r>
        <w:t xml:space="preserve"> при этом если </w:t>
      </w:r>
      <w:r w:rsidRPr="00BB0C76">
        <w:t xml:space="preserve">в текущих ценах </w:t>
      </w:r>
      <w:r>
        <w:t xml:space="preserve">ее стоимостной параметр </w:t>
      </w:r>
      <w:r w:rsidRPr="00BB0C76">
        <w:t>соответствовал</w:t>
      </w:r>
      <w:r>
        <w:t xml:space="preserve"> базовой величине 2016 года (100%), то с</w:t>
      </w:r>
      <w:proofErr w:type="gramEnd"/>
      <w:r>
        <w:t xml:space="preserve"> учетом влияния ценового фактора (в сопоставимых ценах) сократился на 1,0% </w:t>
      </w:r>
      <w:r w:rsidRPr="00722D9C">
        <w:t xml:space="preserve">(рис. </w:t>
      </w:r>
      <w:r w:rsidR="00722D9C" w:rsidRPr="00722D9C">
        <w:t>31</w:t>
      </w:r>
      <w:r w:rsidRPr="00722D9C">
        <w:t>)</w:t>
      </w:r>
      <w:r w:rsidR="00E45EEC">
        <w:t>.</w:t>
      </w:r>
      <w:r>
        <w:t xml:space="preserve"> </w:t>
      </w:r>
    </w:p>
    <w:p w:rsidR="00B82B00" w:rsidRPr="008119AA" w:rsidRDefault="00B82B00" w:rsidP="00B82B00">
      <w:pPr>
        <w:pStyle w:val="a4"/>
        <w:jc w:val="right"/>
        <w:rPr>
          <w:b/>
          <w:i/>
        </w:rPr>
      </w:pPr>
      <w:r w:rsidRPr="00722D9C">
        <w:rPr>
          <w:b/>
          <w:i/>
        </w:rPr>
        <w:t xml:space="preserve">Рисунок </w:t>
      </w:r>
      <w:r w:rsidR="00722D9C" w:rsidRPr="00722D9C">
        <w:rPr>
          <w:b/>
          <w:i/>
        </w:rPr>
        <w:t>31</w:t>
      </w:r>
    </w:p>
    <w:p w:rsidR="00B82B00" w:rsidRDefault="00B82B00" w:rsidP="00B82B00">
      <w:pPr>
        <w:spacing w:after="0"/>
        <w:jc w:val="center"/>
        <w:rPr>
          <w:rFonts w:ascii="Times New Roman" w:hAnsi="Times New Roman"/>
          <w:b/>
          <w:sz w:val="24"/>
          <w:szCs w:val="24"/>
        </w:rPr>
      </w:pPr>
      <w:r>
        <w:rPr>
          <w:rFonts w:ascii="Times New Roman" w:hAnsi="Times New Roman"/>
          <w:b/>
          <w:sz w:val="24"/>
          <w:szCs w:val="24"/>
        </w:rPr>
        <w:t>Динамика платных услуг населению (в процентах к предыдущему году)</w:t>
      </w:r>
    </w:p>
    <w:p w:rsidR="00B82B00" w:rsidRDefault="00B82B00" w:rsidP="00B82B00">
      <w:pPr>
        <w:spacing w:after="0" w:line="240" w:lineRule="auto"/>
        <w:ind w:left="426"/>
        <w:jc w:val="both"/>
        <w:rPr>
          <w:rFonts w:ascii="Times New Roman" w:hAnsi="Times New Roman"/>
          <w:b/>
          <w:sz w:val="24"/>
          <w:szCs w:val="24"/>
          <w:u w:val="single"/>
        </w:rPr>
      </w:pPr>
      <w:r>
        <w:rPr>
          <w:b/>
          <w:noProof/>
        </w:rPr>
        <w:drawing>
          <wp:inline distT="0" distB="0" distL="0" distR="0">
            <wp:extent cx="5943600" cy="1905000"/>
            <wp:effectExtent l="19050" t="0" r="0" b="0"/>
            <wp:docPr id="1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82B00" w:rsidRDefault="00B82B00" w:rsidP="00B82B00">
      <w:pPr>
        <w:pStyle w:val="a4"/>
      </w:pPr>
      <w:r>
        <w:t xml:space="preserve">В сегменте услуг при понижательной динамике спроса на услуги государственных организаций (-6,4% до 1 131,0 млн руб.) общая повышательная динамика показателя обеспечена негосударственным сектором (+7,9%, или 1 069,4 млн руб.), включая физических лиц </w:t>
      </w:r>
      <w:r w:rsidRPr="00722D9C">
        <w:t xml:space="preserve">(рис. </w:t>
      </w:r>
      <w:r w:rsidR="00722D9C" w:rsidRPr="00722D9C">
        <w:t>32</w:t>
      </w:r>
      <w:r w:rsidRPr="00722D9C">
        <w:t>).</w:t>
      </w:r>
      <w:r>
        <w:t xml:space="preserve"> </w:t>
      </w:r>
    </w:p>
    <w:p w:rsidR="00B82B00" w:rsidRDefault="00B82B00" w:rsidP="00B82B00">
      <w:pPr>
        <w:pStyle w:val="a4"/>
        <w:jc w:val="right"/>
        <w:rPr>
          <w:b/>
          <w:i/>
        </w:rPr>
      </w:pPr>
      <w:r w:rsidRPr="00722D9C">
        <w:rPr>
          <w:b/>
          <w:i/>
        </w:rPr>
        <w:t xml:space="preserve">Рисунок </w:t>
      </w:r>
      <w:r w:rsidR="00722D9C" w:rsidRPr="00722D9C">
        <w:rPr>
          <w:b/>
          <w:i/>
        </w:rPr>
        <w:t>32</w:t>
      </w:r>
    </w:p>
    <w:p w:rsidR="005816F4" w:rsidRPr="005816F4" w:rsidRDefault="005816F4" w:rsidP="00B82B00">
      <w:pPr>
        <w:pStyle w:val="a4"/>
        <w:jc w:val="right"/>
        <w:rPr>
          <w:b/>
          <w:i/>
          <w:sz w:val="8"/>
          <w:szCs w:val="8"/>
        </w:rPr>
      </w:pPr>
    </w:p>
    <w:p w:rsidR="00B82B00" w:rsidRDefault="00B82B00" w:rsidP="00B82B00">
      <w:pPr>
        <w:widowControl w:val="0"/>
        <w:spacing w:after="0" w:line="240" w:lineRule="auto"/>
        <w:ind w:firstLine="720"/>
        <w:jc w:val="center"/>
        <w:rPr>
          <w:rFonts w:ascii="Times New Roman" w:eastAsia="Calibri" w:hAnsi="Times New Roman"/>
          <w:b/>
          <w:sz w:val="24"/>
          <w:szCs w:val="24"/>
          <w:lang w:eastAsia="en-US"/>
        </w:rPr>
      </w:pPr>
      <w:r>
        <w:rPr>
          <w:rFonts w:ascii="Times New Roman" w:eastAsia="Calibri" w:hAnsi="Times New Roman"/>
          <w:b/>
          <w:sz w:val="24"/>
          <w:szCs w:val="24"/>
          <w:lang w:eastAsia="en-US"/>
        </w:rPr>
        <w:t>Структура потребительских услуг по формам собственности, %</w:t>
      </w:r>
    </w:p>
    <w:p w:rsidR="00B82B00" w:rsidRDefault="00B82B00" w:rsidP="00B82B00">
      <w:pPr>
        <w:spacing w:after="0" w:line="240" w:lineRule="auto"/>
        <w:jc w:val="both"/>
        <w:rPr>
          <w:rFonts w:ascii="Times New Roman" w:hAnsi="Times New Roman"/>
          <w:sz w:val="24"/>
          <w:szCs w:val="24"/>
        </w:rPr>
      </w:pPr>
      <w:r>
        <w:rPr>
          <w:noProof/>
        </w:rPr>
        <w:drawing>
          <wp:inline distT="0" distB="0" distL="0" distR="0">
            <wp:extent cx="3552825" cy="1371600"/>
            <wp:effectExtent l="19050" t="0" r="0" b="0"/>
            <wp:docPr id="114"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0" distR="0">
            <wp:extent cx="2343150" cy="1323975"/>
            <wp:effectExtent l="19050" t="0" r="0" b="0"/>
            <wp:docPr id="1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82B00" w:rsidRPr="005816F4" w:rsidRDefault="00B82B00" w:rsidP="00B82B00">
      <w:pPr>
        <w:spacing w:after="0" w:line="240" w:lineRule="auto"/>
        <w:ind w:firstLine="426"/>
        <w:jc w:val="both"/>
        <w:rPr>
          <w:rFonts w:ascii="Times New Roman" w:hAnsi="Times New Roman"/>
          <w:sz w:val="10"/>
          <w:szCs w:val="10"/>
        </w:rPr>
      </w:pPr>
    </w:p>
    <w:p w:rsidR="00B82B00" w:rsidRPr="00FB2473" w:rsidRDefault="00B82B00" w:rsidP="00B82B00">
      <w:pPr>
        <w:spacing w:after="0" w:line="240" w:lineRule="auto"/>
        <w:ind w:firstLine="709"/>
        <w:jc w:val="both"/>
        <w:rPr>
          <w:rFonts w:ascii="Times New Roman" w:hAnsi="Times New Roman"/>
          <w:sz w:val="24"/>
          <w:szCs w:val="24"/>
        </w:rPr>
      </w:pPr>
      <w:r w:rsidRPr="00FB2473">
        <w:rPr>
          <w:rFonts w:ascii="Times New Roman" w:hAnsi="Times New Roman"/>
          <w:sz w:val="24"/>
          <w:szCs w:val="24"/>
        </w:rPr>
        <w:lastRenderedPageBreak/>
        <w:t xml:space="preserve">В общем объёме оказанных услуг (без субъектов малого предпринимательства) наибольшую долю занимают жилищно-коммунальные услуги (44,1%) и услуги связи (31,7%). </w:t>
      </w:r>
    </w:p>
    <w:p w:rsidR="00B82B00" w:rsidRDefault="00B82B00" w:rsidP="00B82B00">
      <w:pPr>
        <w:spacing w:after="0" w:line="240" w:lineRule="auto"/>
        <w:ind w:firstLine="709"/>
        <w:jc w:val="both"/>
        <w:rPr>
          <w:rFonts w:ascii="Times New Roman" w:hAnsi="Times New Roman"/>
          <w:sz w:val="24"/>
          <w:szCs w:val="24"/>
        </w:rPr>
      </w:pPr>
      <w:r w:rsidRPr="00FB2473">
        <w:rPr>
          <w:rFonts w:ascii="Times New Roman" w:hAnsi="Times New Roman"/>
          <w:sz w:val="24"/>
          <w:szCs w:val="24"/>
        </w:rPr>
        <w:t xml:space="preserve">На услуги бытового характера граждане направили в совокупности по оценке </w:t>
      </w:r>
      <w:r w:rsidRPr="00FB2473">
        <w:rPr>
          <w:rFonts w:ascii="Times New Roman" w:hAnsi="Times New Roman"/>
          <w:sz w:val="24"/>
          <w:szCs w:val="24"/>
        </w:rPr>
        <w:br/>
        <w:t xml:space="preserve">77,2 млн руб., что на 5,0% больше, чем годом раннее. </w:t>
      </w:r>
      <w:proofErr w:type="gramStart"/>
      <w:r w:rsidRPr="00FB2473">
        <w:rPr>
          <w:rFonts w:ascii="Times New Roman" w:hAnsi="Times New Roman"/>
          <w:sz w:val="24"/>
          <w:szCs w:val="24"/>
        </w:rPr>
        <w:t>С учетом влияния ценового фактора их величина увеличилась на 3,7%, при этом основной объем (81,0%) был сформирован организациями негосударственного сектора (включая физически</w:t>
      </w:r>
      <w:r w:rsidR="00DC0B52">
        <w:rPr>
          <w:rFonts w:ascii="Times New Roman" w:hAnsi="Times New Roman"/>
          <w:sz w:val="24"/>
          <w:szCs w:val="24"/>
        </w:rPr>
        <w:t>е</w:t>
      </w:r>
      <w:r w:rsidRPr="00FB2473">
        <w:rPr>
          <w:rFonts w:ascii="Times New Roman" w:hAnsi="Times New Roman"/>
          <w:sz w:val="24"/>
          <w:szCs w:val="24"/>
        </w:rPr>
        <w:t xml:space="preserve"> лиц</w:t>
      </w:r>
      <w:r w:rsidR="00DC0B52">
        <w:rPr>
          <w:rFonts w:ascii="Times New Roman" w:hAnsi="Times New Roman"/>
          <w:sz w:val="24"/>
          <w:szCs w:val="24"/>
        </w:rPr>
        <w:t>а</w:t>
      </w:r>
      <w:r w:rsidRPr="00FB2473">
        <w:rPr>
          <w:rFonts w:ascii="Times New Roman" w:hAnsi="Times New Roman"/>
          <w:sz w:val="24"/>
          <w:szCs w:val="24"/>
        </w:rPr>
        <w:t xml:space="preserve">), по которым фиксировался </w:t>
      </w:r>
      <w:r w:rsidR="00DC0B52">
        <w:rPr>
          <w:rFonts w:ascii="Times New Roman" w:hAnsi="Times New Roman"/>
          <w:sz w:val="24"/>
          <w:szCs w:val="24"/>
        </w:rPr>
        <w:t xml:space="preserve">рост </w:t>
      </w:r>
      <w:r w:rsidRPr="00FB2473">
        <w:rPr>
          <w:rFonts w:ascii="Times New Roman" w:hAnsi="Times New Roman"/>
          <w:sz w:val="24"/>
          <w:szCs w:val="24"/>
        </w:rPr>
        <w:t xml:space="preserve">показателя к базисному уровню </w:t>
      </w:r>
      <w:r>
        <w:rPr>
          <w:rFonts w:ascii="Times New Roman" w:hAnsi="Times New Roman"/>
          <w:sz w:val="24"/>
          <w:szCs w:val="24"/>
        </w:rPr>
        <w:t>на</w:t>
      </w:r>
      <w:r w:rsidR="00DC0B52">
        <w:rPr>
          <w:rFonts w:ascii="Times New Roman" w:hAnsi="Times New Roman"/>
          <w:sz w:val="24"/>
          <w:szCs w:val="24"/>
        </w:rPr>
        <w:t xml:space="preserve"> </w:t>
      </w:r>
      <w:r>
        <w:rPr>
          <w:rFonts w:ascii="Times New Roman" w:hAnsi="Times New Roman"/>
          <w:sz w:val="24"/>
          <w:szCs w:val="24"/>
        </w:rPr>
        <w:t>5,8</w:t>
      </w:r>
      <w:r w:rsidRPr="00FB2473">
        <w:rPr>
          <w:rFonts w:ascii="Times New Roman" w:hAnsi="Times New Roman"/>
          <w:sz w:val="24"/>
          <w:szCs w:val="24"/>
        </w:rPr>
        <w:t>%).</w:t>
      </w:r>
      <w:r>
        <w:rPr>
          <w:rFonts w:ascii="Times New Roman" w:hAnsi="Times New Roman"/>
          <w:sz w:val="24"/>
          <w:szCs w:val="24"/>
        </w:rPr>
        <w:t xml:space="preserve"> </w:t>
      </w:r>
      <w:proofErr w:type="gramEnd"/>
    </w:p>
    <w:p w:rsidR="00B82B00" w:rsidRDefault="00B82B00" w:rsidP="00B82B00">
      <w:pPr>
        <w:spacing w:after="0" w:line="240" w:lineRule="auto"/>
        <w:ind w:firstLine="709"/>
        <w:jc w:val="both"/>
        <w:rPr>
          <w:rFonts w:ascii="Times New Roman" w:hAnsi="Times New Roman"/>
          <w:sz w:val="24"/>
          <w:szCs w:val="24"/>
        </w:rPr>
      </w:pPr>
      <w:r>
        <w:rPr>
          <w:rFonts w:ascii="Times New Roman" w:hAnsi="Times New Roman"/>
          <w:sz w:val="24"/>
          <w:szCs w:val="24"/>
          <w:lang w:eastAsia="en-US"/>
        </w:rPr>
        <w:t xml:space="preserve">Таким образом, потребительский рынок </w:t>
      </w:r>
      <w:r>
        <w:rPr>
          <w:rFonts w:ascii="Times New Roman" w:hAnsi="Times New Roman"/>
          <w:sz w:val="24"/>
          <w:szCs w:val="24"/>
        </w:rPr>
        <w:t>в 2017 году после длительного периода сужения параметров в сфере розничных продаж демонстрирует восстановительную динамику потребительской активности, как на товары повседневного спроса, так и на товары длительного пользования.</w:t>
      </w:r>
    </w:p>
    <w:p w:rsidR="003F5257" w:rsidRPr="003F5257" w:rsidRDefault="003F5257" w:rsidP="003F5257">
      <w:pPr>
        <w:spacing w:after="0" w:line="240" w:lineRule="auto"/>
        <w:ind w:firstLine="709"/>
        <w:jc w:val="both"/>
        <w:rPr>
          <w:rFonts w:ascii="Times New Roman" w:hAnsi="Times New Roman"/>
          <w:sz w:val="24"/>
          <w:szCs w:val="24"/>
        </w:rPr>
      </w:pPr>
    </w:p>
    <w:p w:rsidR="00335844" w:rsidRPr="0080737A" w:rsidRDefault="00335844" w:rsidP="003F5257">
      <w:pPr>
        <w:spacing w:after="0" w:line="240" w:lineRule="auto"/>
        <w:ind w:firstLine="709"/>
        <w:contextualSpacing/>
        <w:rPr>
          <w:rFonts w:ascii="Times New Roman" w:hAnsi="Times New Roman"/>
          <w:b/>
          <w:sz w:val="24"/>
          <w:szCs w:val="24"/>
        </w:rPr>
      </w:pPr>
      <w:r w:rsidRPr="00DC0B52">
        <w:rPr>
          <w:rFonts w:ascii="Times New Roman" w:hAnsi="Times New Roman"/>
          <w:b/>
          <w:sz w:val="24"/>
          <w:szCs w:val="24"/>
        </w:rPr>
        <w:t>Ценовая и тарифная политика</w:t>
      </w:r>
    </w:p>
    <w:p w:rsidR="00CE326F" w:rsidRDefault="00CE326F" w:rsidP="00CE326F">
      <w:pPr>
        <w:spacing w:after="0" w:line="240" w:lineRule="auto"/>
        <w:ind w:firstLine="708"/>
        <w:jc w:val="both"/>
        <w:rPr>
          <w:rFonts w:ascii="Times New Roman" w:hAnsi="Times New Roman"/>
          <w:sz w:val="24"/>
          <w:szCs w:val="24"/>
        </w:rPr>
      </w:pPr>
    </w:p>
    <w:p w:rsidR="00604DAD" w:rsidRPr="0080737A" w:rsidRDefault="00604DAD" w:rsidP="00604DAD">
      <w:pPr>
        <w:spacing w:after="0" w:line="240" w:lineRule="auto"/>
        <w:ind w:firstLine="709"/>
        <w:contextualSpacing/>
        <w:rPr>
          <w:rFonts w:ascii="Times New Roman" w:hAnsi="Times New Roman"/>
          <w:b/>
          <w:sz w:val="24"/>
          <w:szCs w:val="24"/>
        </w:rPr>
      </w:pPr>
      <w:r w:rsidRPr="0080737A">
        <w:rPr>
          <w:rFonts w:ascii="Times New Roman" w:hAnsi="Times New Roman"/>
          <w:b/>
          <w:sz w:val="24"/>
          <w:szCs w:val="24"/>
        </w:rPr>
        <w:t>Тарифная политика в сфере естественных монополий</w:t>
      </w:r>
    </w:p>
    <w:p w:rsidR="00604DAD" w:rsidRPr="00C90DDF" w:rsidRDefault="00604DAD" w:rsidP="00604DAD">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Предельные уровни тарифов на услуги, оказываемые в сфере естественных монополий, сформированы на 201</w:t>
      </w:r>
      <w:r>
        <w:rPr>
          <w:rFonts w:ascii="Times New Roman" w:hAnsi="Times New Roman"/>
          <w:bCs/>
          <w:sz w:val="24"/>
          <w:szCs w:val="24"/>
        </w:rPr>
        <w:t>7</w:t>
      </w:r>
      <w:r w:rsidRPr="00C90DDF">
        <w:rPr>
          <w:rFonts w:ascii="Times New Roman" w:hAnsi="Times New Roman"/>
          <w:bCs/>
          <w:sz w:val="24"/>
          <w:szCs w:val="24"/>
        </w:rPr>
        <w:t xml:space="preserve"> год с учетом норм действующего законодательства в области ценообразования, а также следующих факторов:</w:t>
      </w:r>
    </w:p>
    <w:p w:rsidR="00604DAD" w:rsidRPr="00C90DDF" w:rsidRDefault="00604DAD" w:rsidP="00604DAD">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а) изм</w:t>
      </w:r>
      <w:r>
        <w:rPr>
          <w:rFonts w:ascii="Times New Roman" w:hAnsi="Times New Roman"/>
          <w:bCs/>
          <w:sz w:val="24"/>
          <w:szCs w:val="24"/>
        </w:rPr>
        <w:t>енения цен на сырье и материалы</w:t>
      </w:r>
      <w:r w:rsidRPr="00C90DDF">
        <w:rPr>
          <w:rFonts w:ascii="Times New Roman" w:hAnsi="Times New Roman"/>
          <w:bCs/>
          <w:sz w:val="24"/>
          <w:szCs w:val="24"/>
        </w:rPr>
        <w:t>;</w:t>
      </w:r>
    </w:p>
    <w:p w:rsidR="00604DAD" w:rsidRPr="00C90DDF" w:rsidRDefault="00604DAD" w:rsidP="00604DAD">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б) влияния прогнозируемой инфляции;</w:t>
      </w:r>
    </w:p>
    <w:p w:rsidR="00604DAD" w:rsidRPr="00C90DDF" w:rsidRDefault="00604DAD" w:rsidP="00604DAD">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в) фактических результатов деятельности субъектов естественных монополий по итогам работы за прошедший расчетный период регулирования;</w:t>
      </w:r>
    </w:p>
    <w:p w:rsidR="00604DAD" w:rsidRDefault="00604DAD" w:rsidP="00604DAD">
      <w:pPr>
        <w:spacing w:after="0" w:line="240" w:lineRule="auto"/>
        <w:ind w:firstLine="709"/>
        <w:jc w:val="both"/>
        <w:rPr>
          <w:rFonts w:ascii="Times New Roman" w:hAnsi="Times New Roman"/>
          <w:bCs/>
          <w:sz w:val="24"/>
          <w:szCs w:val="24"/>
        </w:rPr>
      </w:pPr>
      <w:r w:rsidRPr="00C90DDF">
        <w:rPr>
          <w:rFonts w:ascii="Times New Roman" w:hAnsi="Times New Roman"/>
          <w:bCs/>
          <w:sz w:val="24"/>
          <w:szCs w:val="24"/>
        </w:rPr>
        <w:t>г) </w:t>
      </w:r>
      <w:r w:rsidRPr="00A8246B">
        <w:rPr>
          <w:rFonts w:ascii="Times New Roman" w:hAnsi="Times New Roman"/>
          <w:bCs/>
          <w:sz w:val="24"/>
          <w:szCs w:val="24"/>
        </w:rPr>
        <w:t>изменения цены природного газа, принимаемого для расчета предельных уровней тарифов на услуги субъектов естественных монополий Приднестровской Молдавской Республики</w:t>
      </w:r>
      <w:r>
        <w:rPr>
          <w:rFonts w:ascii="Times New Roman" w:hAnsi="Times New Roman"/>
          <w:bCs/>
          <w:sz w:val="24"/>
          <w:szCs w:val="24"/>
        </w:rPr>
        <w:t>.</w:t>
      </w:r>
    </w:p>
    <w:p w:rsidR="00604DAD" w:rsidRPr="007131E3" w:rsidRDefault="00604DAD" w:rsidP="00604DAD">
      <w:pPr>
        <w:pStyle w:val="aff0"/>
        <w:tabs>
          <w:tab w:val="left" w:pos="993"/>
        </w:tabs>
        <w:ind w:firstLine="709"/>
        <w:rPr>
          <w:bCs/>
          <w:sz w:val="24"/>
          <w:szCs w:val="24"/>
        </w:rPr>
      </w:pPr>
      <w:r>
        <w:rPr>
          <w:bCs/>
          <w:sz w:val="24"/>
          <w:szCs w:val="24"/>
        </w:rPr>
        <w:t>С 1 января 2017 года тарифы на коммунальные услуги практически остались на уровне 2016 года, при этом по ряду позиций наблюдалось снижение значений их предельных уровней.</w:t>
      </w:r>
    </w:p>
    <w:p w:rsidR="00604DAD" w:rsidRPr="004D16D6" w:rsidRDefault="00604DAD" w:rsidP="00604DAD">
      <w:pPr>
        <w:pStyle w:val="aff0"/>
        <w:tabs>
          <w:tab w:val="left" w:pos="993"/>
        </w:tabs>
        <w:ind w:firstLine="709"/>
        <w:rPr>
          <w:bCs/>
          <w:sz w:val="24"/>
          <w:szCs w:val="24"/>
        </w:rPr>
      </w:pPr>
      <w:r w:rsidRPr="004D16D6">
        <w:rPr>
          <w:bCs/>
          <w:sz w:val="24"/>
          <w:szCs w:val="24"/>
        </w:rPr>
        <w:t>С 1 июля 2017 года вступила в силу новая тарифная политика в сфере естественных монополий, в первую очередь, направленная на создание равных, прозрачных условий оказания государственной поддержки при установлении тарифов на коммунальные услуги. В частности, исключена государственная поддержка в зависимости от формы собственности и местонахождения потребителей.</w:t>
      </w:r>
    </w:p>
    <w:p w:rsidR="00604DAD" w:rsidRPr="007131E3" w:rsidRDefault="00604DAD" w:rsidP="00604DAD">
      <w:pPr>
        <w:pStyle w:val="aff0"/>
        <w:tabs>
          <w:tab w:val="left" w:pos="993"/>
        </w:tabs>
        <w:ind w:firstLine="709"/>
        <w:rPr>
          <w:bCs/>
          <w:sz w:val="24"/>
          <w:szCs w:val="24"/>
        </w:rPr>
      </w:pPr>
      <w:proofErr w:type="gramStart"/>
      <w:r w:rsidRPr="004D16D6">
        <w:rPr>
          <w:bCs/>
          <w:sz w:val="24"/>
          <w:szCs w:val="24"/>
        </w:rPr>
        <w:t xml:space="preserve">В соответствии с </w:t>
      </w:r>
      <w:bookmarkStart w:id="0" w:name="OLE_LINK25"/>
      <w:bookmarkStart w:id="1" w:name="OLE_LINK26"/>
      <w:r w:rsidRPr="004D16D6">
        <w:rPr>
          <w:bCs/>
          <w:sz w:val="24"/>
          <w:szCs w:val="24"/>
        </w:rPr>
        <w:t xml:space="preserve">Постановлением Правительства Приднестровской Молдавской Республики от 29 июня 2017 года № 153 «О внесении изменения в Постановление Правительства Приднестровской Молдавской Республики от 8 декабря 2016 года № 310 </w:t>
      </w:r>
      <w:r>
        <w:rPr>
          <w:bCs/>
          <w:sz w:val="24"/>
          <w:szCs w:val="24"/>
        </w:rPr>
        <w:br/>
      </w:r>
      <w:r w:rsidRPr="004D16D6">
        <w:rPr>
          <w:bCs/>
          <w:sz w:val="24"/>
          <w:szCs w:val="24"/>
        </w:rPr>
        <w:t>«О стоимости природного газа (газовой составляющей), учитываемой в предельных уровнях тарифов на услуги газоснабжения на 2017 год»</w:t>
      </w:r>
      <w:bookmarkEnd w:id="0"/>
      <w:bookmarkEnd w:id="1"/>
      <w:r w:rsidRPr="004D16D6">
        <w:rPr>
          <w:bCs/>
          <w:sz w:val="24"/>
          <w:szCs w:val="24"/>
        </w:rPr>
        <w:t xml:space="preserve"> сокращен перечень категорий потребителей услуг газоснабжения и пересмотрен размер государственной поддержки, оказываемой в виде</w:t>
      </w:r>
      <w:proofErr w:type="gramEnd"/>
      <w:r w:rsidRPr="004D16D6">
        <w:rPr>
          <w:bCs/>
          <w:sz w:val="24"/>
          <w:szCs w:val="24"/>
        </w:rPr>
        <w:t xml:space="preserve"> снижения стоимости природного газа, учитываемой в тарифах на услуги газоснабжения, относительно к</w:t>
      </w:r>
      <w:r>
        <w:rPr>
          <w:bCs/>
          <w:sz w:val="24"/>
          <w:szCs w:val="24"/>
        </w:rPr>
        <w:t xml:space="preserve">онтрактной цены природного газа, с целью создания благоприятных условий хозяйствования </w:t>
      </w:r>
      <w:r w:rsidRPr="007131E3">
        <w:rPr>
          <w:bCs/>
          <w:sz w:val="24"/>
          <w:szCs w:val="24"/>
        </w:rPr>
        <w:t xml:space="preserve">приоритетных </w:t>
      </w:r>
      <w:proofErr w:type="spellStart"/>
      <w:r w:rsidRPr="007131E3">
        <w:rPr>
          <w:bCs/>
          <w:sz w:val="24"/>
          <w:szCs w:val="24"/>
        </w:rPr>
        <w:t>бюджетообразующих</w:t>
      </w:r>
      <w:proofErr w:type="spellEnd"/>
      <w:r w:rsidRPr="007131E3">
        <w:rPr>
          <w:bCs/>
          <w:sz w:val="24"/>
          <w:szCs w:val="24"/>
        </w:rPr>
        <w:t xml:space="preserve"> отраслей экономики Приднестровской Молдавской Республики, промышленных производителей и производителей основных продуктов питания.</w:t>
      </w:r>
    </w:p>
    <w:p w:rsidR="00604DAD" w:rsidRPr="007131E3" w:rsidRDefault="00604DAD" w:rsidP="00604DAD">
      <w:pPr>
        <w:pStyle w:val="aff0"/>
        <w:tabs>
          <w:tab w:val="left" w:pos="993"/>
        </w:tabs>
        <w:ind w:firstLine="709"/>
        <w:rPr>
          <w:bCs/>
          <w:sz w:val="24"/>
          <w:szCs w:val="24"/>
        </w:rPr>
      </w:pPr>
      <w:r>
        <w:rPr>
          <w:bCs/>
          <w:sz w:val="24"/>
          <w:szCs w:val="24"/>
        </w:rPr>
        <w:t>П</w:t>
      </w:r>
      <w:r w:rsidRPr="007131E3">
        <w:rPr>
          <w:bCs/>
          <w:sz w:val="24"/>
          <w:szCs w:val="24"/>
        </w:rPr>
        <w:t>ри определении экономически обоснованных тарифов на коммунальные услуги с 1</w:t>
      </w:r>
      <w:r>
        <w:rPr>
          <w:bCs/>
          <w:sz w:val="24"/>
          <w:szCs w:val="24"/>
        </w:rPr>
        <w:t> </w:t>
      </w:r>
      <w:r w:rsidRPr="007131E3">
        <w:rPr>
          <w:bCs/>
          <w:sz w:val="24"/>
          <w:szCs w:val="24"/>
        </w:rPr>
        <w:t>июля 2017 года для промышленных и прочих потребителей применена стоимость природного газа в размере</w:t>
      </w:r>
      <w:r>
        <w:rPr>
          <w:bCs/>
          <w:sz w:val="24"/>
          <w:szCs w:val="24"/>
        </w:rPr>
        <w:t xml:space="preserve"> </w:t>
      </w:r>
      <w:r w:rsidRPr="007131E3">
        <w:rPr>
          <w:bCs/>
          <w:sz w:val="24"/>
          <w:szCs w:val="24"/>
        </w:rPr>
        <w:t>1 695 руб. за 1 тыс. куб.м. При определении тарифов для остальных категорий потребителей, применены различные уровни государственной поддержки в виде снижения стоимости природного газа.</w:t>
      </w:r>
    </w:p>
    <w:p w:rsidR="00604DAD" w:rsidRDefault="00604DAD" w:rsidP="00604DAD">
      <w:pPr>
        <w:pStyle w:val="aff0"/>
        <w:tabs>
          <w:tab w:val="left" w:pos="993"/>
        </w:tabs>
        <w:ind w:firstLine="709"/>
        <w:rPr>
          <w:bCs/>
          <w:sz w:val="24"/>
          <w:szCs w:val="24"/>
        </w:rPr>
      </w:pPr>
      <w:r w:rsidRPr="007131E3">
        <w:rPr>
          <w:bCs/>
          <w:sz w:val="24"/>
          <w:szCs w:val="24"/>
        </w:rPr>
        <w:t xml:space="preserve">В результате вступления в силу новой тарифной политики тарифы во </w:t>
      </w:r>
      <w:r>
        <w:rPr>
          <w:bCs/>
          <w:sz w:val="24"/>
          <w:szCs w:val="24"/>
        </w:rPr>
        <w:t>2</w:t>
      </w:r>
      <w:r w:rsidRPr="007131E3">
        <w:rPr>
          <w:bCs/>
          <w:sz w:val="24"/>
          <w:szCs w:val="24"/>
        </w:rPr>
        <w:t xml:space="preserve"> полугодии </w:t>
      </w:r>
      <w:r>
        <w:rPr>
          <w:bCs/>
          <w:sz w:val="24"/>
          <w:szCs w:val="24"/>
        </w:rPr>
        <w:t xml:space="preserve">                </w:t>
      </w:r>
      <w:r w:rsidRPr="007131E3">
        <w:rPr>
          <w:bCs/>
          <w:sz w:val="24"/>
          <w:szCs w:val="24"/>
        </w:rPr>
        <w:t>2017 года на услуги в сфере естественных монополий для населения сохранились на уровне тарифов, действующих с 1 января 2017 года.</w:t>
      </w:r>
      <w:r>
        <w:rPr>
          <w:bCs/>
          <w:sz w:val="24"/>
          <w:szCs w:val="24"/>
        </w:rPr>
        <w:t xml:space="preserve"> В свою очередь уровень тарифов,</w:t>
      </w:r>
      <w:r w:rsidRPr="00C50D3B">
        <w:rPr>
          <w:bCs/>
          <w:sz w:val="24"/>
          <w:szCs w:val="24"/>
        </w:rPr>
        <w:t xml:space="preserve"> </w:t>
      </w:r>
      <w:r w:rsidRPr="007131E3">
        <w:rPr>
          <w:bCs/>
          <w:sz w:val="24"/>
          <w:szCs w:val="24"/>
        </w:rPr>
        <w:t xml:space="preserve">действующих </w:t>
      </w:r>
      <w:r w:rsidRPr="007131E3">
        <w:rPr>
          <w:bCs/>
          <w:sz w:val="24"/>
          <w:szCs w:val="24"/>
        </w:rPr>
        <w:lastRenderedPageBreak/>
        <w:t>с 1 января 2017 года</w:t>
      </w:r>
      <w:r>
        <w:rPr>
          <w:bCs/>
          <w:sz w:val="24"/>
          <w:szCs w:val="24"/>
        </w:rPr>
        <w:t>, соответствует (по ряду позиций наблюдается снижение) уровню тарифов, действующих в 2016 году.</w:t>
      </w:r>
    </w:p>
    <w:p w:rsidR="00604DAD" w:rsidRDefault="00604DAD" w:rsidP="00604DAD">
      <w:pPr>
        <w:pStyle w:val="aff0"/>
        <w:tabs>
          <w:tab w:val="left" w:pos="993"/>
        </w:tabs>
        <w:ind w:firstLine="709"/>
        <w:rPr>
          <w:bCs/>
          <w:sz w:val="24"/>
          <w:szCs w:val="24"/>
        </w:rPr>
      </w:pPr>
      <w:r w:rsidRPr="007131E3">
        <w:rPr>
          <w:bCs/>
          <w:sz w:val="24"/>
          <w:szCs w:val="24"/>
        </w:rPr>
        <w:t>Для остальных потребителей вышеуказанных услуг со 2 полугодия 2017 года тарифы изменились</w:t>
      </w:r>
      <w:r>
        <w:rPr>
          <w:bCs/>
          <w:sz w:val="24"/>
          <w:szCs w:val="24"/>
        </w:rPr>
        <w:t xml:space="preserve"> и </w:t>
      </w:r>
      <w:r w:rsidRPr="007131E3">
        <w:rPr>
          <w:bCs/>
          <w:sz w:val="24"/>
          <w:szCs w:val="24"/>
        </w:rPr>
        <w:t>состави</w:t>
      </w:r>
      <w:r>
        <w:rPr>
          <w:bCs/>
          <w:sz w:val="24"/>
          <w:szCs w:val="24"/>
        </w:rPr>
        <w:t>ли</w:t>
      </w:r>
      <w:r w:rsidRPr="007131E3">
        <w:rPr>
          <w:bCs/>
          <w:sz w:val="24"/>
          <w:szCs w:val="24"/>
        </w:rPr>
        <w:t>:</w:t>
      </w:r>
    </w:p>
    <w:p w:rsidR="00604DAD" w:rsidRDefault="00604DAD" w:rsidP="00604DAD">
      <w:pPr>
        <w:pStyle w:val="a6"/>
        <w:numPr>
          <w:ilvl w:val="0"/>
          <w:numId w:val="18"/>
        </w:numPr>
        <w:tabs>
          <w:tab w:val="left" w:pos="709"/>
          <w:tab w:val="left" w:pos="851"/>
          <w:tab w:val="left" w:pos="993"/>
          <w:tab w:val="left" w:pos="3540"/>
          <w:tab w:val="left" w:pos="4248"/>
          <w:tab w:val="left" w:pos="4956"/>
          <w:tab w:val="left" w:pos="5664"/>
          <w:tab w:val="left" w:pos="6372"/>
          <w:tab w:val="left" w:pos="7080"/>
          <w:tab w:val="left" w:pos="7788"/>
          <w:tab w:val="left" w:pos="8735"/>
        </w:tabs>
        <w:spacing w:after="0" w:line="240" w:lineRule="auto"/>
        <w:ind w:left="709" w:firstLine="0"/>
        <w:jc w:val="both"/>
        <w:rPr>
          <w:rFonts w:ascii="Times New Roman" w:hAnsi="Times New Roman"/>
          <w:b/>
          <w:sz w:val="24"/>
          <w:szCs w:val="24"/>
        </w:rPr>
      </w:pPr>
      <w:r w:rsidRPr="004F2770">
        <w:rPr>
          <w:rFonts w:ascii="Times New Roman" w:hAnsi="Times New Roman"/>
          <w:b/>
          <w:sz w:val="24"/>
          <w:szCs w:val="24"/>
        </w:rPr>
        <w:t>Услуги газоснабжения</w:t>
      </w:r>
    </w:p>
    <w:p w:rsidR="00604DAD" w:rsidRPr="007131E3" w:rsidRDefault="00604DAD" w:rsidP="00604DAD">
      <w:pPr>
        <w:pStyle w:val="aff0"/>
        <w:tabs>
          <w:tab w:val="left" w:pos="993"/>
        </w:tabs>
        <w:ind w:firstLine="709"/>
        <w:rPr>
          <w:bCs/>
          <w:sz w:val="24"/>
          <w:szCs w:val="24"/>
        </w:rPr>
      </w:pPr>
      <w:r>
        <w:rPr>
          <w:bCs/>
          <w:sz w:val="24"/>
          <w:szCs w:val="24"/>
        </w:rPr>
        <w:t>а</w:t>
      </w:r>
      <w:r w:rsidRPr="007131E3">
        <w:rPr>
          <w:bCs/>
          <w:sz w:val="24"/>
          <w:szCs w:val="24"/>
        </w:rPr>
        <w:t>)</w:t>
      </w:r>
      <w:r>
        <w:rPr>
          <w:bCs/>
          <w:sz w:val="24"/>
          <w:szCs w:val="24"/>
        </w:rPr>
        <w:t xml:space="preserve"> </w:t>
      </w:r>
      <w:r w:rsidRPr="007131E3">
        <w:rPr>
          <w:bCs/>
          <w:sz w:val="24"/>
          <w:szCs w:val="24"/>
        </w:rPr>
        <w:t xml:space="preserve">для организаций и учреждений, финансируемых из бюджетов всех уровней, </w:t>
      </w:r>
      <w:r w:rsidRPr="007131E3">
        <w:rPr>
          <w:bCs/>
          <w:sz w:val="24"/>
          <w:szCs w:val="24"/>
        </w:rPr>
        <w:noBreakHyphen/>
        <w:t xml:space="preserve"> </w:t>
      </w:r>
      <w:r>
        <w:rPr>
          <w:bCs/>
          <w:sz w:val="24"/>
          <w:szCs w:val="24"/>
        </w:rPr>
        <w:t xml:space="preserve">              </w:t>
      </w:r>
      <w:r w:rsidRPr="007131E3">
        <w:rPr>
          <w:bCs/>
          <w:sz w:val="24"/>
          <w:szCs w:val="24"/>
        </w:rPr>
        <w:t>276,83 руб. за 1 тыс. куб. м., что на 75,57</w:t>
      </w:r>
      <w:r>
        <w:rPr>
          <w:bCs/>
          <w:sz w:val="24"/>
          <w:szCs w:val="24"/>
        </w:rPr>
        <w:t>%</w:t>
      </w:r>
      <w:r w:rsidRPr="007131E3">
        <w:rPr>
          <w:bCs/>
          <w:sz w:val="24"/>
          <w:szCs w:val="24"/>
        </w:rPr>
        <w:t xml:space="preserve"> ниже тарифа, действующего для данных потребителей с 1 января 2017 года;</w:t>
      </w:r>
    </w:p>
    <w:p w:rsidR="00604DAD" w:rsidRPr="007131E3" w:rsidRDefault="00604DAD" w:rsidP="00604DAD">
      <w:pPr>
        <w:pStyle w:val="aff0"/>
        <w:tabs>
          <w:tab w:val="left" w:pos="993"/>
        </w:tabs>
        <w:ind w:firstLine="709"/>
        <w:rPr>
          <w:bCs/>
          <w:sz w:val="24"/>
          <w:szCs w:val="24"/>
        </w:rPr>
      </w:pPr>
      <w:proofErr w:type="gramStart"/>
      <w:r>
        <w:rPr>
          <w:bCs/>
          <w:sz w:val="24"/>
          <w:szCs w:val="24"/>
        </w:rPr>
        <w:t>б</w:t>
      </w:r>
      <w:r w:rsidRPr="007131E3">
        <w:rPr>
          <w:bCs/>
          <w:sz w:val="24"/>
          <w:szCs w:val="24"/>
        </w:rPr>
        <w:t>)</w:t>
      </w:r>
      <w:r>
        <w:rPr>
          <w:bCs/>
          <w:sz w:val="24"/>
          <w:szCs w:val="24"/>
        </w:rPr>
        <w:t xml:space="preserve"> </w:t>
      </w:r>
      <w:r w:rsidRPr="007131E3">
        <w:rPr>
          <w:bCs/>
          <w:sz w:val="24"/>
          <w:szCs w:val="24"/>
        </w:rPr>
        <w:t>для организаций, осуществляющих производство мяса (выращивание скота, птиц), молока, куриных яиц, переработку мясомолочного сырья, в общем объеме дохода от продаж (выручки) или в общем объеме произведенной (выполненных, оказанных) продукции (работ, услуг) которых доля дохода от продаж (выручки) или доля объема произведенной продукции собственного производства по итогам последнего отчетного периода составляет не менее 50</w:t>
      </w:r>
      <w:r>
        <w:rPr>
          <w:bCs/>
          <w:sz w:val="24"/>
          <w:szCs w:val="24"/>
        </w:rPr>
        <w:t>%</w:t>
      </w:r>
      <w:r w:rsidRPr="007131E3">
        <w:rPr>
          <w:bCs/>
          <w:sz w:val="24"/>
          <w:szCs w:val="24"/>
        </w:rPr>
        <w:t xml:space="preserve"> </w:t>
      </w:r>
      <w:r w:rsidRPr="007131E3">
        <w:rPr>
          <w:bCs/>
          <w:sz w:val="24"/>
          <w:szCs w:val="24"/>
        </w:rPr>
        <w:noBreakHyphen/>
        <w:t xml:space="preserve"> 964,83 руб. за 1 тыс. куб</w:t>
      </w:r>
      <w:proofErr w:type="gramEnd"/>
      <w:r w:rsidRPr="007131E3">
        <w:rPr>
          <w:bCs/>
          <w:sz w:val="24"/>
          <w:szCs w:val="24"/>
        </w:rPr>
        <w:t xml:space="preserve">. м. по магистральным трубопроводам и 1 215,83 руб. за </w:t>
      </w:r>
      <w:r>
        <w:rPr>
          <w:bCs/>
          <w:sz w:val="24"/>
          <w:szCs w:val="24"/>
        </w:rPr>
        <w:t xml:space="preserve">           </w:t>
      </w:r>
      <w:r w:rsidRPr="007131E3">
        <w:rPr>
          <w:bCs/>
          <w:sz w:val="24"/>
          <w:szCs w:val="24"/>
        </w:rPr>
        <w:t xml:space="preserve">1 тыс. куб. м </w:t>
      </w:r>
      <w:r>
        <w:rPr>
          <w:bCs/>
          <w:sz w:val="24"/>
          <w:szCs w:val="24"/>
        </w:rPr>
        <w:t xml:space="preserve">по </w:t>
      </w:r>
      <w:r w:rsidRPr="007131E3">
        <w:rPr>
          <w:bCs/>
          <w:sz w:val="24"/>
          <w:szCs w:val="24"/>
        </w:rPr>
        <w:t>распределительным сетям, что на 7,90</w:t>
      </w:r>
      <w:r>
        <w:rPr>
          <w:bCs/>
          <w:sz w:val="24"/>
          <w:szCs w:val="24"/>
        </w:rPr>
        <w:t>%</w:t>
      </w:r>
      <w:r w:rsidRPr="007131E3">
        <w:rPr>
          <w:bCs/>
          <w:sz w:val="24"/>
          <w:szCs w:val="24"/>
        </w:rPr>
        <w:t xml:space="preserve"> и 6,37</w:t>
      </w:r>
      <w:r>
        <w:rPr>
          <w:bCs/>
          <w:sz w:val="24"/>
          <w:szCs w:val="24"/>
        </w:rPr>
        <w:t>%</w:t>
      </w:r>
      <w:r w:rsidRPr="007131E3">
        <w:rPr>
          <w:bCs/>
          <w:sz w:val="24"/>
          <w:szCs w:val="24"/>
        </w:rPr>
        <w:t xml:space="preserve"> соответственно ниже тарифов, действующих для данных потребителей с 1 января 2017 года;</w:t>
      </w:r>
    </w:p>
    <w:p w:rsidR="00604DAD" w:rsidRPr="007131E3" w:rsidRDefault="00604DAD" w:rsidP="00604DAD">
      <w:pPr>
        <w:pStyle w:val="aff0"/>
        <w:tabs>
          <w:tab w:val="left" w:pos="993"/>
        </w:tabs>
        <w:ind w:firstLine="709"/>
        <w:rPr>
          <w:bCs/>
          <w:sz w:val="24"/>
          <w:szCs w:val="24"/>
        </w:rPr>
      </w:pPr>
      <w:proofErr w:type="gramStart"/>
      <w:r>
        <w:rPr>
          <w:bCs/>
          <w:sz w:val="24"/>
          <w:szCs w:val="24"/>
        </w:rPr>
        <w:t>в</w:t>
      </w:r>
      <w:r w:rsidRPr="007131E3">
        <w:rPr>
          <w:bCs/>
          <w:sz w:val="24"/>
          <w:szCs w:val="24"/>
        </w:rPr>
        <w:t>)</w:t>
      </w:r>
      <w:r>
        <w:rPr>
          <w:bCs/>
          <w:sz w:val="24"/>
          <w:szCs w:val="24"/>
        </w:rPr>
        <w:t xml:space="preserve"> </w:t>
      </w:r>
      <w:r w:rsidRPr="007131E3">
        <w:rPr>
          <w:bCs/>
          <w:sz w:val="24"/>
          <w:szCs w:val="24"/>
        </w:rPr>
        <w:t>для организаций, осуществляющих производство промышленной и (или) сельскохозяйственной продукции,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не менее 70</w:t>
      </w:r>
      <w:r>
        <w:rPr>
          <w:bCs/>
          <w:sz w:val="24"/>
          <w:szCs w:val="24"/>
        </w:rPr>
        <w:t>%</w:t>
      </w:r>
      <w:r w:rsidRPr="007131E3">
        <w:rPr>
          <w:bCs/>
          <w:sz w:val="24"/>
          <w:szCs w:val="24"/>
        </w:rPr>
        <w:t xml:space="preserve"> </w:t>
      </w:r>
      <w:r w:rsidRPr="007131E3">
        <w:rPr>
          <w:bCs/>
          <w:sz w:val="24"/>
          <w:szCs w:val="24"/>
        </w:rPr>
        <w:noBreakHyphen/>
        <w:t xml:space="preserve"> 1 454,83 руб. за 1 тыс. куб. м. по магистральным трубопроводам и 1 705,83 руб. за 1 тыс. куб. м </w:t>
      </w:r>
      <w:r>
        <w:rPr>
          <w:bCs/>
          <w:sz w:val="24"/>
          <w:szCs w:val="24"/>
        </w:rPr>
        <w:t xml:space="preserve"> по </w:t>
      </w:r>
      <w:r w:rsidRPr="007131E3">
        <w:rPr>
          <w:bCs/>
          <w:sz w:val="24"/>
          <w:szCs w:val="24"/>
        </w:rPr>
        <w:t>распределительным сетям соответственно.</w:t>
      </w:r>
      <w:proofErr w:type="gramEnd"/>
      <w:r w:rsidRPr="007131E3">
        <w:rPr>
          <w:bCs/>
          <w:sz w:val="24"/>
          <w:szCs w:val="24"/>
        </w:rPr>
        <w:t xml:space="preserve"> Снижение по сравнению с тарифами, действующими для данных потребителей с 1 января 2017 года, составило до 1</w:t>
      </w:r>
      <w:r>
        <w:rPr>
          <w:bCs/>
          <w:sz w:val="24"/>
          <w:szCs w:val="24"/>
        </w:rPr>
        <w:t>,0%</w:t>
      </w:r>
      <w:r w:rsidRPr="007131E3">
        <w:rPr>
          <w:bCs/>
          <w:sz w:val="24"/>
          <w:szCs w:val="24"/>
        </w:rPr>
        <w:t>.</w:t>
      </w:r>
    </w:p>
    <w:p w:rsidR="00604DAD" w:rsidRDefault="00604DAD" w:rsidP="00604DAD">
      <w:pPr>
        <w:pStyle w:val="aff0"/>
        <w:tabs>
          <w:tab w:val="left" w:pos="993"/>
        </w:tabs>
        <w:ind w:firstLine="709"/>
        <w:rPr>
          <w:sz w:val="24"/>
          <w:szCs w:val="24"/>
          <w:lang w:eastAsia="en-US"/>
        </w:rPr>
      </w:pPr>
      <w:proofErr w:type="gramStart"/>
      <w:r>
        <w:rPr>
          <w:bCs/>
          <w:sz w:val="24"/>
          <w:szCs w:val="24"/>
        </w:rPr>
        <w:t>г) д</w:t>
      </w:r>
      <w:r w:rsidRPr="007131E3">
        <w:rPr>
          <w:bCs/>
          <w:sz w:val="24"/>
          <w:szCs w:val="24"/>
        </w:rPr>
        <w:t xml:space="preserve">ля </w:t>
      </w:r>
      <w:r w:rsidRPr="007131E3">
        <w:rPr>
          <w:sz w:val="24"/>
          <w:szCs w:val="24"/>
          <w:lang w:eastAsia="en-US"/>
        </w:rPr>
        <w:t>промышленных предприятий, осуществляющих экспорт продукции, произведённой на территории Приднестровской Молдавской Республики, основной вид деятельности которых: электротехническая промышленность, химическая промышленность, цементно-шиферная промышленность, черная металлургия, текстильная промышленность</w:t>
      </w:r>
      <w:r w:rsidRPr="00A904BF">
        <w:rPr>
          <w:sz w:val="24"/>
          <w:szCs w:val="24"/>
          <w:lang w:eastAsia="en-US"/>
        </w:rPr>
        <w:t xml:space="preserve"> </w:t>
      </w:r>
      <w:r w:rsidRPr="007131E3">
        <w:rPr>
          <w:sz w:val="24"/>
          <w:szCs w:val="24"/>
          <w:lang w:eastAsia="en-US"/>
        </w:rPr>
        <w:t>с численностью работников на предприятии от 500 до 1 00</w:t>
      </w:r>
      <w:r>
        <w:rPr>
          <w:sz w:val="24"/>
          <w:szCs w:val="24"/>
          <w:lang w:eastAsia="en-US"/>
        </w:rPr>
        <w:t>0 человек и свыше 1 000 человек</w:t>
      </w:r>
      <w:r w:rsidRPr="007131E3">
        <w:rPr>
          <w:sz w:val="24"/>
          <w:szCs w:val="24"/>
          <w:lang w:eastAsia="en-US"/>
        </w:rPr>
        <w:t xml:space="preserve">, тарифы на услуги газоснабжения со 2 полугодия </w:t>
      </w:r>
      <w:r>
        <w:rPr>
          <w:sz w:val="24"/>
          <w:szCs w:val="24"/>
          <w:lang w:eastAsia="en-US"/>
        </w:rPr>
        <w:t xml:space="preserve">2017 года </w:t>
      </w:r>
      <w:r w:rsidRPr="007131E3">
        <w:rPr>
          <w:sz w:val="24"/>
          <w:szCs w:val="24"/>
          <w:lang w:eastAsia="en-US"/>
        </w:rPr>
        <w:t xml:space="preserve">сохранены на уровне тарифов, </w:t>
      </w:r>
      <w:r>
        <w:rPr>
          <w:sz w:val="24"/>
          <w:szCs w:val="24"/>
          <w:lang w:eastAsia="en-US"/>
        </w:rPr>
        <w:t>действующих до 1 июля</w:t>
      </w:r>
      <w:proofErr w:type="gramEnd"/>
      <w:r>
        <w:rPr>
          <w:sz w:val="24"/>
          <w:szCs w:val="24"/>
          <w:lang w:eastAsia="en-US"/>
        </w:rPr>
        <w:t xml:space="preserve"> 2017 года и составляют:</w:t>
      </w:r>
    </w:p>
    <w:p w:rsidR="00604DAD" w:rsidRDefault="00604DAD" w:rsidP="00604DAD">
      <w:pPr>
        <w:pStyle w:val="aff0"/>
        <w:tabs>
          <w:tab w:val="left" w:pos="993"/>
        </w:tabs>
        <w:ind w:firstLine="709"/>
        <w:rPr>
          <w:bCs/>
          <w:sz w:val="24"/>
          <w:szCs w:val="24"/>
        </w:rPr>
      </w:pPr>
      <w:r>
        <w:rPr>
          <w:sz w:val="24"/>
          <w:szCs w:val="24"/>
          <w:lang w:eastAsia="en-US"/>
        </w:rPr>
        <w:t>-</w:t>
      </w:r>
      <w:r w:rsidRPr="007131E3">
        <w:rPr>
          <w:sz w:val="24"/>
          <w:szCs w:val="24"/>
          <w:lang w:eastAsia="en-US"/>
        </w:rPr>
        <w:t xml:space="preserve"> с численностью работников на предприятии от 500 до 1 000 человек</w:t>
      </w:r>
      <w:r>
        <w:rPr>
          <w:sz w:val="24"/>
          <w:szCs w:val="24"/>
          <w:lang w:eastAsia="en-US"/>
        </w:rPr>
        <w:t xml:space="preserve"> - </w:t>
      </w:r>
      <w:r>
        <w:rPr>
          <w:bCs/>
          <w:sz w:val="24"/>
          <w:szCs w:val="24"/>
        </w:rPr>
        <w:t>574</w:t>
      </w:r>
      <w:r w:rsidRPr="007131E3">
        <w:rPr>
          <w:bCs/>
          <w:sz w:val="24"/>
          <w:szCs w:val="24"/>
        </w:rPr>
        <w:t>,83 руб. за</w:t>
      </w:r>
      <w:r>
        <w:rPr>
          <w:bCs/>
          <w:sz w:val="24"/>
          <w:szCs w:val="24"/>
        </w:rPr>
        <w:t xml:space="preserve">            </w:t>
      </w:r>
      <w:r w:rsidRPr="007131E3">
        <w:rPr>
          <w:bCs/>
          <w:sz w:val="24"/>
          <w:szCs w:val="24"/>
        </w:rPr>
        <w:t xml:space="preserve"> 1 тыс. куб. м. по магистральным трубопроводам и </w:t>
      </w:r>
      <w:r>
        <w:rPr>
          <w:bCs/>
          <w:sz w:val="24"/>
          <w:szCs w:val="24"/>
        </w:rPr>
        <w:t>825,83</w:t>
      </w:r>
      <w:r w:rsidRPr="007131E3">
        <w:rPr>
          <w:bCs/>
          <w:sz w:val="24"/>
          <w:szCs w:val="24"/>
        </w:rPr>
        <w:t xml:space="preserve"> руб. за 1 тыс. куб. м </w:t>
      </w:r>
      <w:r>
        <w:rPr>
          <w:bCs/>
          <w:sz w:val="24"/>
          <w:szCs w:val="24"/>
        </w:rPr>
        <w:t xml:space="preserve">по </w:t>
      </w:r>
      <w:r w:rsidRPr="007131E3">
        <w:rPr>
          <w:bCs/>
          <w:sz w:val="24"/>
          <w:szCs w:val="24"/>
        </w:rPr>
        <w:t>распределительным сетям соответственно</w:t>
      </w:r>
      <w:r>
        <w:rPr>
          <w:bCs/>
          <w:sz w:val="24"/>
          <w:szCs w:val="24"/>
        </w:rPr>
        <w:t>;</w:t>
      </w:r>
    </w:p>
    <w:p w:rsidR="00604DAD" w:rsidRDefault="00604DAD" w:rsidP="00604DAD">
      <w:pPr>
        <w:pStyle w:val="aff0"/>
        <w:tabs>
          <w:tab w:val="left" w:pos="993"/>
        </w:tabs>
        <w:ind w:firstLine="709"/>
        <w:rPr>
          <w:bCs/>
          <w:sz w:val="24"/>
          <w:szCs w:val="24"/>
        </w:rPr>
      </w:pPr>
      <w:r>
        <w:rPr>
          <w:sz w:val="24"/>
          <w:szCs w:val="24"/>
          <w:lang w:eastAsia="en-US"/>
        </w:rPr>
        <w:t>-</w:t>
      </w:r>
      <w:r w:rsidRPr="007131E3">
        <w:rPr>
          <w:sz w:val="24"/>
          <w:szCs w:val="24"/>
          <w:lang w:eastAsia="en-US"/>
        </w:rPr>
        <w:t xml:space="preserve"> с численностью работников на предприятии</w:t>
      </w:r>
      <w:r>
        <w:rPr>
          <w:sz w:val="24"/>
          <w:szCs w:val="24"/>
          <w:lang w:eastAsia="en-US"/>
        </w:rPr>
        <w:t xml:space="preserve"> </w:t>
      </w:r>
      <w:r w:rsidRPr="007131E3">
        <w:rPr>
          <w:sz w:val="24"/>
          <w:szCs w:val="24"/>
          <w:lang w:eastAsia="en-US"/>
        </w:rPr>
        <w:t>свыше 1 000 человек</w:t>
      </w:r>
      <w:r>
        <w:rPr>
          <w:sz w:val="24"/>
          <w:szCs w:val="24"/>
          <w:lang w:eastAsia="en-US"/>
        </w:rPr>
        <w:t xml:space="preserve"> –</w:t>
      </w:r>
      <w:r w:rsidRPr="00A904BF">
        <w:rPr>
          <w:bCs/>
          <w:sz w:val="24"/>
          <w:szCs w:val="24"/>
        </w:rPr>
        <w:t xml:space="preserve"> </w:t>
      </w:r>
      <w:r>
        <w:rPr>
          <w:bCs/>
          <w:sz w:val="24"/>
          <w:szCs w:val="24"/>
        </w:rPr>
        <w:t>134</w:t>
      </w:r>
      <w:r w:rsidRPr="007131E3">
        <w:rPr>
          <w:bCs/>
          <w:sz w:val="24"/>
          <w:szCs w:val="24"/>
        </w:rPr>
        <w:t>,83 руб. за 1</w:t>
      </w:r>
      <w:r>
        <w:rPr>
          <w:bCs/>
          <w:sz w:val="24"/>
          <w:szCs w:val="24"/>
        </w:rPr>
        <w:t> </w:t>
      </w:r>
      <w:r w:rsidRPr="007131E3">
        <w:rPr>
          <w:bCs/>
          <w:sz w:val="24"/>
          <w:szCs w:val="24"/>
        </w:rPr>
        <w:t xml:space="preserve">тыс. куб. м. по магистральным трубопроводам и </w:t>
      </w:r>
      <w:r>
        <w:rPr>
          <w:bCs/>
          <w:sz w:val="24"/>
          <w:szCs w:val="24"/>
        </w:rPr>
        <w:t>385,83</w:t>
      </w:r>
      <w:r w:rsidRPr="007131E3">
        <w:rPr>
          <w:bCs/>
          <w:sz w:val="24"/>
          <w:szCs w:val="24"/>
        </w:rPr>
        <w:t xml:space="preserve"> руб. за 1 тыс. куб. м </w:t>
      </w:r>
      <w:r>
        <w:rPr>
          <w:bCs/>
          <w:sz w:val="24"/>
          <w:szCs w:val="24"/>
        </w:rPr>
        <w:t xml:space="preserve">по </w:t>
      </w:r>
      <w:r w:rsidRPr="007131E3">
        <w:rPr>
          <w:bCs/>
          <w:sz w:val="24"/>
          <w:szCs w:val="24"/>
        </w:rPr>
        <w:t>распределительным сетям соответственно</w:t>
      </w:r>
      <w:r>
        <w:rPr>
          <w:bCs/>
          <w:sz w:val="24"/>
          <w:szCs w:val="24"/>
        </w:rPr>
        <w:t>.</w:t>
      </w:r>
    </w:p>
    <w:p w:rsidR="00604DAD" w:rsidRPr="007131E3" w:rsidRDefault="00604DAD" w:rsidP="00604DAD">
      <w:pPr>
        <w:pStyle w:val="aff0"/>
        <w:tabs>
          <w:tab w:val="left" w:pos="993"/>
        </w:tabs>
        <w:ind w:firstLine="709"/>
        <w:rPr>
          <w:bCs/>
          <w:sz w:val="24"/>
          <w:szCs w:val="24"/>
        </w:rPr>
      </w:pPr>
      <w:proofErr w:type="spellStart"/>
      <w:r>
        <w:rPr>
          <w:bCs/>
          <w:sz w:val="24"/>
          <w:szCs w:val="24"/>
        </w:rPr>
        <w:t>д</w:t>
      </w:r>
      <w:proofErr w:type="spellEnd"/>
      <w:r w:rsidRPr="007131E3">
        <w:rPr>
          <w:bCs/>
          <w:sz w:val="24"/>
          <w:szCs w:val="24"/>
        </w:rPr>
        <w:t>)</w:t>
      </w:r>
      <w:r>
        <w:rPr>
          <w:bCs/>
          <w:sz w:val="24"/>
          <w:szCs w:val="24"/>
        </w:rPr>
        <w:t xml:space="preserve"> </w:t>
      </w:r>
      <w:r w:rsidRPr="007131E3">
        <w:rPr>
          <w:bCs/>
          <w:sz w:val="24"/>
          <w:szCs w:val="24"/>
        </w:rPr>
        <w:t>для промышленных и прочих потребителей – 1 719,83 руб. за 1 тыс. куб. м. по магистральным трубопроводам и 1 970,83 руб. за 1 тыс. куб. м распределительным сетям, что на 16,86</w:t>
      </w:r>
      <w:r>
        <w:rPr>
          <w:bCs/>
          <w:sz w:val="24"/>
          <w:szCs w:val="24"/>
        </w:rPr>
        <w:t xml:space="preserve">% </w:t>
      </w:r>
      <w:r w:rsidRPr="007131E3">
        <w:rPr>
          <w:bCs/>
          <w:sz w:val="24"/>
          <w:szCs w:val="24"/>
        </w:rPr>
        <w:t>и 15,04</w:t>
      </w:r>
      <w:r>
        <w:rPr>
          <w:bCs/>
          <w:sz w:val="24"/>
          <w:szCs w:val="24"/>
        </w:rPr>
        <w:t>%</w:t>
      </w:r>
      <w:r w:rsidRPr="007131E3">
        <w:rPr>
          <w:bCs/>
          <w:sz w:val="24"/>
          <w:szCs w:val="24"/>
        </w:rPr>
        <w:t xml:space="preserve"> соответственно ниже тарифов, действующих для данных потребителей с 1 января 2017 года;</w:t>
      </w:r>
    </w:p>
    <w:p w:rsidR="00604DAD" w:rsidRPr="00C90DDF" w:rsidRDefault="00604DAD" w:rsidP="00604DAD">
      <w:pPr>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b/>
          <w:sz w:val="24"/>
          <w:szCs w:val="24"/>
        </w:rPr>
      </w:pPr>
      <w:r w:rsidRPr="00137213">
        <w:rPr>
          <w:rFonts w:ascii="Times New Roman" w:hAnsi="Times New Roman"/>
          <w:b/>
          <w:sz w:val="24"/>
          <w:szCs w:val="24"/>
        </w:rPr>
        <w:t>2. Услуги в сфере электроэнергетики</w:t>
      </w:r>
    </w:p>
    <w:p w:rsidR="00604DAD" w:rsidRPr="007131E3" w:rsidRDefault="00604DAD" w:rsidP="00604DAD">
      <w:pPr>
        <w:pStyle w:val="aff0"/>
        <w:tabs>
          <w:tab w:val="left" w:pos="993"/>
        </w:tabs>
        <w:ind w:firstLine="709"/>
        <w:rPr>
          <w:bCs/>
          <w:sz w:val="24"/>
          <w:szCs w:val="24"/>
        </w:rPr>
      </w:pPr>
      <w:r w:rsidRPr="007131E3">
        <w:rPr>
          <w:bCs/>
          <w:sz w:val="24"/>
          <w:szCs w:val="24"/>
        </w:rPr>
        <w:t>а)</w:t>
      </w:r>
      <w:r>
        <w:rPr>
          <w:bCs/>
          <w:sz w:val="24"/>
          <w:szCs w:val="24"/>
        </w:rPr>
        <w:t xml:space="preserve"> </w:t>
      </w:r>
      <w:r w:rsidRPr="007131E3">
        <w:rPr>
          <w:bCs/>
          <w:sz w:val="24"/>
          <w:szCs w:val="24"/>
        </w:rPr>
        <w:t xml:space="preserve">для организаций и учреждений, финансируемых из бюджетов всех уровней </w:t>
      </w:r>
      <w:r w:rsidRPr="007131E3">
        <w:rPr>
          <w:bCs/>
          <w:sz w:val="24"/>
          <w:szCs w:val="24"/>
        </w:rPr>
        <w:noBreakHyphen/>
        <w:t xml:space="preserve"> 0,29</w:t>
      </w:r>
      <w:r>
        <w:rPr>
          <w:bCs/>
          <w:sz w:val="24"/>
          <w:szCs w:val="24"/>
        </w:rPr>
        <w:t> </w:t>
      </w:r>
      <w:r w:rsidRPr="007131E3">
        <w:rPr>
          <w:bCs/>
          <w:sz w:val="24"/>
          <w:szCs w:val="24"/>
        </w:rPr>
        <w:t xml:space="preserve">руб. за 1 </w:t>
      </w:r>
      <w:proofErr w:type="spellStart"/>
      <w:r w:rsidRPr="007131E3">
        <w:rPr>
          <w:bCs/>
          <w:sz w:val="24"/>
          <w:szCs w:val="24"/>
        </w:rPr>
        <w:t>кВт</w:t>
      </w:r>
      <w:proofErr w:type="gramStart"/>
      <w:r w:rsidRPr="007131E3">
        <w:rPr>
          <w:bCs/>
          <w:sz w:val="24"/>
          <w:szCs w:val="24"/>
        </w:rPr>
        <w:t>.ч</w:t>
      </w:r>
      <w:proofErr w:type="spellEnd"/>
      <w:proofErr w:type="gramEnd"/>
      <w:r w:rsidRPr="007131E3">
        <w:rPr>
          <w:bCs/>
          <w:sz w:val="24"/>
          <w:szCs w:val="24"/>
        </w:rPr>
        <w:t xml:space="preserve">. по передающим сетям и 0,55 руб. за 1 </w:t>
      </w:r>
      <w:proofErr w:type="spellStart"/>
      <w:r w:rsidRPr="007131E3">
        <w:rPr>
          <w:bCs/>
          <w:sz w:val="24"/>
          <w:szCs w:val="24"/>
        </w:rPr>
        <w:t>кВт.ч</w:t>
      </w:r>
      <w:proofErr w:type="spellEnd"/>
      <w:r w:rsidRPr="007131E3">
        <w:rPr>
          <w:bCs/>
          <w:sz w:val="24"/>
          <w:szCs w:val="24"/>
        </w:rPr>
        <w:t>. по распределительным сетям, что на 49,12</w:t>
      </w:r>
      <w:r>
        <w:rPr>
          <w:bCs/>
          <w:sz w:val="24"/>
          <w:szCs w:val="24"/>
        </w:rPr>
        <w:t>%</w:t>
      </w:r>
      <w:r w:rsidRPr="007131E3">
        <w:rPr>
          <w:bCs/>
          <w:sz w:val="24"/>
          <w:szCs w:val="24"/>
        </w:rPr>
        <w:t xml:space="preserve"> и 3,51</w:t>
      </w:r>
      <w:r>
        <w:rPr>
          <w:bCs/>
          <w:sz w:val="24"/>
          <w:szCs w:val="24"/>
        </w:rPr>
        <w:t>%</w:t>
      </w:r>
      <w:r w:rsidRPr="007131E3">
        <w:rPr>
          <w:bCs/>
          <w:sz w:val="24"/>
          <w:szCs w:val="24"/>
        </w:rPr>
        <w:t xml:space="preserve"> соответственно ниже тарифов, действующих для данных потребителей с 1 января 2017 года;</w:t>
      </w:r>
    </w:p>
    <w:p w:rsidR="00604DAD" w:rsidRPr="007131E3" w:rsidRDefault="00604DAD" w:rsidP="00604DAD">
      <w:pPr>
        <w:pStyle w:val="aff0"/>
        <w:tabs>
          <w:tab w:val="left" w:pos="993"/>
        </w:tabs>
        <w:ind w:firstLine="709"/>
        <w:rPr>
          <w:bCs/>
          <w:sz w:val="24"/>
          <w:szCs w:val="24"/>
        </w:rPr>
      </w:pPr>
      <w:r w:rsidRPr="007131E3">
        <w:rPr>
          <w:bCs/>
          <w:sz w:val="24"/>
          <w:szCs w:val="24"/>
        </w:rPr>
        <w:t>б)</w:t>
      </w:r>
      <w:r>
        <w:rPr>
          <w:bCs/>
          <w:sz w:val="24"/>
          <w:szCs w:val="24"/>
        </w:rPr>
        <w:t xml:space="preserve"> </w:t>
      </w:r>
      <w:r w:rsidRPr="007131E3">
        <w:rPr>
          <w:bCs/>
          <w:sz w:val="24"/>
          <w:szCs w:val="24"/>
        </w:rPr>
        <w:t xml:space="preserve">для организаций городского электрического транспорта – 0,55 руб. за 1 </w:t>
      </w:r>
      <w:proofErr w:type="spellStart"/>
      <w:r w:rsidRPr="007131E3">
        <w:rPr>
          <w:bCs/>
          <w:sz w:val="24"/>
          <w:szCs w:val="24"/>
        </w:rPr>
        <w:t>кВт</w:t>
      </w:r>
      <w:proofErr w:type="gramStart"/>
      <w:r w:rsidRPr="007131E3">
        <w:rPr>
          <w:bCs/>
          <w:sz w:val="24"/>
          <w:szCs w:val="24"/>
        </w:rPr>
        <w:t>.ч</w:t>
      </w:r>
      <w:proofErr w:type="spellEnd"/>
      <w:proofErr w:type="gramEnd"/>
      <w:r w:rsidRPr="007131E3">
        <w:rPr>
          <w:bCs/>
          <w:sz w:val="24"/>
          <w:szCs w:val="24"/>
        </w:rPr>
        <w:t>., что на 5,17</w:t>
      </w:r>
      <w:r>
        <w:rPr>
          <w:bCs/>
          <w:sz w:val="24"/>
          <w:szCs w:val="24"/>
        </w:rPr>
        <w:t>%</w:t>
      </w:r>
      <w:r w:rsidRPr="007131E3">
        <w:rPr>
          <w:bCs/>
          <w:sz w:val="24"/>
          <w:szCs w:val="24"/>
        </w:rPr>
        <w:t xml:space="preserve"> ниже тарифа, действующего для данных потребителей с 1 января 2017 года;</w:t>
      </w:r>
    </w:p>
    <w:p w:rsidR="00604DAD" w:rsidRPr="007131E3" w:rsidRDefault="00604DAD" w:rsidP="00604DAD">
      <w:pPr>
        <w:pStyle w:val="aff0"/>
        <w:tabs>
          <w:tab w:val="left" w:pos="993"/>
        </w:tabs>
        <w:ind w:firstLine="709"/>
        <w:rPr>
          <w:bCs/>
          <w:sz w:val="24"/>
          <w:szCs w:val="24"/>
        </w:rPr>
      </w:pPr>
      <w:r w:rsidRPr="007131E3">
        <w:rPr>
          <w:bCs/>
          <w:sz w:val="24"/>
          <w:szCs w:val="24"/>
        </w:rPr>
        <w:t>в)</w:t>
      </w:r>
      <w:r>
        <w:rPr>
          <w:bCs/>
          <w:sz w:val="24"/>
          <w:szCs w:val="24"/>
        </w:rPr>
        <w:t xml:space="preserve"> </w:t>
      </w:r>
      <w:r w:rsidRPr="007131E3">
        <w:rPr>
          <w:bCs/>
          <w:sz w:val="24"/>
          <w:szCs w:val="24"/>
        </w:rPr>
        <w:t>для организаций, осуществляющих производство мяса (выращивание скота, птиц), молока, куриных яиц, переработку мясомолочного сырья, в общем объеме дохода от продаж (выручки) или в общем объеме произведенной (выполненных, оказанных) продукции (работ, услуг) которых доля дохода от продаж (выручки) или доля объема произведенной продукции собственного производства по итогам последнего отчетного периода составляет не менее 50</w:t>
      </w:r>
      <w:r>
        <w:rPr>
          <w:bCs/>
          <w:sz w:val="24"/>
          <w:szCs w:val="24"/>
        </w:rPr>
        <w:t>%</w:t>
      </w:r>
      <w:r w:rsidRPr="007131E3">
        <w:rPr>
          <w:bCs/>
          <w:sz w:val="24"/>
          <w:szCs w:val="24"/>
        </w:rPr>
        <w:t xml:space="preserve"> </w:t>
      </w:r>
      <w:r w:rsidRPr="007131E3">
        <w:rPr>
          <w:bCs/>
          <w:sz w:val="24"/>
          <w:szCs w:val="24"/>
        </w:rPr>
        <w:noBreakHyphen/>
        <w:t xml:space="preserve"> 0,57 руб. за 1 </w:t>
      </w:r>
      <w:proofErr w:type="spellStart"/>
      <w:r w:rsidRPr="007131E3">
        <w:rPr>
          <w:bCs/>
          <w:sz w:val="24"/>
          <w:szCs w:val="24"/>
        </w:rPr>
        <w:t>кВт</w:t>
      </w:r>
      <w:proofErr w:type="gramStart"/>
      <w:r w:rsidRPr="007131E3">
        <w:rPr>
          <w:bCs/>
          <w:sz w:val="24"/>
          <w:szCs w:val="24"/>
        </w:rPr>
        <w:t>.ч</w:t>
      </w:r>
      <w:proofErr w:type="spellEnd"/>
      <w:proofErr w:type="gramEnd"/>
      <w:r w:rsidRPr="007131E3">
        <w:rPr>
          <w:bCs/>
          <w:sz w:val="24"/>
          <w:szCs w:val="24"/>
        </w:rPr>
        <w:t xml:space="preserve">. по передающим сетям и 0,83 руб. за 1 </w:t>
      </w:r>
      <w:proofErr w:type="spellStart"/>
      <w:r w:rsidRPr="007131E3">
        <w:rPr>
          <w:bCs/>
          <w:sz w:val="24"/>
          <w:szCs w:val="24"/>
        </w:rPr>
        <w:t>кВт</w:t>
      </w:r>
      <w:proofErr w:type="gramStart"/>
      <w:r w:rsidRPr="007131E3">
        <w:rPr>
          <w:bCs/>
          <w:sz w:val="24"/>
          <w:szCs w:val="24"/>
        </w:rPr>
        <w:t>.ч</w:t>
      </w:r>
      <w:proofErr w:type="spellEnd"/>
      <w:proofErr w:type="gramEnd"/>
      <w:r w:rsidRPr="007131E3">
        <w:rPr>
          <w:bCs/>
          <w:sz w:val="24"/>
          <w:szCs w:val="24"/>
        </w:rPr>
        <w:t xml:space="preserve">. по </w:t>
      </w:r>
      <w:r w:rsidRPr="007131E3">
        <w:rPr>
          <w:bCs/>
          <w:sz w:val="24"/>
          <w:szCs w:val="24"/>
        </w:rPr>
        <w:lastRenderedPageBreak/>
        <w:t>распределительным сетям, что на 5,00</w:t>
      </w:r>
      <w:r>
        <w:rPr>
          <w:bCs/>
          <w:sz w:val="24"/>
          <w:szCs w:val="24"/>
        </w:rPr>
        <w:t>%</w:t>
      </w:r>
      <w:r w:rsidRPr="007131E3">
        <w:rPr>
          <w:bCs/>
          <w:sz w:val="24"/>
          <w:szCs w:val="24"/>
        </w:rPr>
        <w:t xml:space="preserve"> и 3,49</w:t>
      </w:r>
      <w:r>
        <w:rPr>
          <w:bCs/>
          <w:sz w:val="24"/>
          <w:szCs w:val="24"/>
        </w:rPr>
        <w:t>%</w:t>
      </w:r>
      <w:r w:rsidRPr="007131E3">
        <w:rPr>
          <w:bCs/>
          <w:sz w:val="24"/>
          <w:szCs w:val="24"/>
        </w:rPr>
        <w:t xml:space="preserve"> соответственно ниже тарифов, действующих для данных потребителей с 1 января 2017 года;</w:t>
      </w:r>
    </w:p>
    <w:p w:rsidR="00604DAD" w:rsidRPr="007131E3" w:rsidRDefault="00604DAD" w:rsidP="00604DAD">
      <w:pPr>
        <w:pStyle w:val="aff0"/>
        <w:tabs>
          <w:tab w:val="left" w:pos="993"/>
        </w:tabs>
        <w:ind w:firstLine="709"/>
        <w:rPr>
          <w:bCs/>
          <w:sz w:val="24"/>
          <w:szCs w:val="24"/>
        </w:rPr>
      </w:pPr>
      <w:r w:rsidRPr="007131E3">
        <w:rPr>
          <w:bCs/>
          <w:sz w:val="24"/>
          <w:szCs w:val="24"/>
        </w:rPr>
        <w:t>г)</w:t>
      </w:r>
      <w:r>
        <w:rPr>
          <w:bCs/>
          <w:sz w:val="24"/>
          <w:szCs w:val="24"/>
        </w:rPr>
        <w:t xml:space="preserve"> </w:t>
      </w:r>
      <w:r w:rsidRPr="007131E3">
        <w:rPr>
          <w:bCs/>
          <w:sz w:val="24"/>
          <w:szCs w:val="24"/>
        </w:rPr>
        <w:t>для организаций, осуществляющих производство промышленной и (или) сельскохозяйственной продукции, в общем объеме дохода от продаж (выручки) которых доля дохода от продаж (выручки) продукции собственного производства по итогам последнего отчетного периода составляет не менее 70</w:t>
      </w:r>
      <w:r>
        <w:rPr>
          <w:bCs/>
          <w:sz w:val="24"/>
          <w:szCs w:val="24"/>
        </w:rPr>
        <w:t>%</w:t>
      </w:r>
      <w:r w:rsidRPr="007131E3">
        <w:rPr>
          <w:bCs/>
          <w:sz w:val="24"/>
          <w:szCs w:val="24"/>
        </w:rPr>
        <w:t xml:space="preserve"> </w:t>
      </w:r>
      <w:r w:rsidRPr="007131E3">
        <w:rPr>
          <w:bCs/>
          <w:sz w:val="24"/>
          <w:szCs w:val="24"/>
        </w:rPr>
        <w:noBreakHyphen/>
        <w:t xml:space="preserve"> 0,72 руб. за 1 </w:t>
      </w:r>
      <w:proofErr w:type="spellStart"/>
      <w:r w:rsidRPr="007131E3">
        <w:rPr>
          <w:bCs/>
          <w:sz w:val="24"/>
          <w:szCs w:val="24"/>
        </w:rPr>
        <w:t>кВт</w:t>
      </w:r>
      <w:proofErr w:type="gramStart"/>
      <w:r w:rsidRPr="007131E3">
        <w:rPr>
          <w:bCs/>
          <w:sz w:val="24"/>
          <w:szCs w:val="24"/>
        </w:rPr>
        <w:t>.ч</w:t>
      </w:r>
      <w:proofErr w:type="spellEnd"/>
      <w:proofErr w:type="gramEnd"/>
      <w:r w:rsidRPr="007131E3">
        <w:rPr>
          <w:bCs/>
          <w:sz w:val="24"/>
          <w:szCs w:val="24"/>
        </w:rPr>
        <w:t xml:space="preserve">. по передающим сетям и 0,98 руб. за 1 </w:t>
      </w:r>
      <w:proofErr w:type="spellStart"/>
      <w:r w:rsidRPr="007131E3">
        <w:rPr>
          <w:bCs/>
          <w:sz w:val="24"/>
          <w:szCs w:val="24"/>
        </w:rPr>
        <w:t>кВт.ч</w:t>
      </w:r>
      <w:proofErr w:type="spellEnd"/>
      <w:r w:rsidRPr="007131E3">
        <w:rPr>
          <w:bCs/>
          <w:sz w:val="24"/>
          <w:szCs w:val="24"/>
        </w:rPr>
        <w:t xml:space="preserve">. по </w:t>
      </w:r>
      <w:r>
        <w:rPr>
          <w:bCs/>
          <w:sz w:val="24"/>
          <w:szCs w:val="24"/>
        </w:rPr>
        <w:t xml:space="preserve">распределительным сетям, что на </w:t>
      </w:r>
      <w:r w:rsidRPr="007131E3">
        <w:rPr>
          <w:bCs/>
          <w:sz w:val="24"/>
          <w:szCs w:val="24"/>
        </w:rPr>
        <w:t>1,37</w:t>
      </w:r>
      <w:r>
        <w:rPr>
          <w:bCs/>
          <w:sz w:val="24"/>
          <w:szCs w:val="24"/>
        </w:rPr>
        <w:t>%</w:t>
      </w:r>
      <w:r w:rsidRPr="007131E3">
        <w:rPr>
          <w:bCs/>
          <w:sz w:val="24"/>
          <w:szCs w:val="24"/>
        </w:rPr>
        <w:t xml:space="preserve"> и 1,01</w:t>
      </w:r>
      <w:r>
        <w:rPr>
          <w:bCs/>
          <w:sz w:val="24"/>
          <w:szCs w:val="24"/>
        </w:rPr>
        <w:t>%</w:t>
      </w:r>
      <w:r w:rsidRPr="007131E3">
        <w:rPr>
          <w:bCs/>
          <w:sz w:val="24"/>
          <w:szCs w:val="24"/>
        </w:rPr>
        <w:t xml:space="preserve"> соответственно ниже тарифов, действующих для данных потребителей с 1 января 2017 года;</w:t>
      </w:r>
    </w:p>
    <w:p w:rsidR="00604DAD" w:rsidRDefault="00604DAD" w:rsidP="00604DAD">
      <w:pPr>
        <w:pStyle w:val="aff0"/>
        <w:tabs>
          <w:tab w:val="left" w:pos="993"/>
        </w:tabs>
        <w:ind w:firstLine="709"/>
        <w:rPr>
          <w:sz w:val="24"/>
          <w:szCs w:val="24"/>
          <w:lang w:eastAsia="en-US"/>
        </w:rPr>
      </w:pPr>
      <w:proofErr w:type="spellStart"/>
      <w:proofErr w:type="gramStart"/>
      <w:r>
        <w:rPr>
          <w:bCs/>
          <w:sz w:val="24"/>
          <w:szCs w:val="24"/>
        </w:rPr>
        <w:t>д</w:t>
      </w:r>
      <w:proofErr w:type="spellEnd"/>
      <w:r>
        <w:rPr>
          <w:bCs/>
          <w:sz w:val="24"/>
          <w:szCs w:val="24"/>
        </w:rPr>
        <w:t>) д</w:t>
      </w:r>
      <w:r w:rsidRPr="007131E3">
        <w:rPr>
          <w:bCs/>
          <w:sz w:val="24"/>
          <w:szCs w:val="24"/>
        </w:rPr>
        <w:t xml:space="preserve">ля </w:t>
      </w:r>
      <w:r w:rsidRPr="007131E3">
        <w:rPr>
          <w:sz w:val="24"/>
          <w:szCs w:val="24"/>
          <w:lang w:eastAsia="en-US"/>
        </w:rPr>
        <w:t>промышленных предприятий, осуществляющих экспорт продукции, произведённой на территории Приднестровской Молдавской Республики, основной вид деятельности которых: электротехническая промышленность, химическая промышленность, цементно-шиферная промышленность, черная металлургия, текстильная промышленность, с численностью работников на предприятии от 500 до 1 000 человек и свыше 1 000 человек, тарифы на услуги в сфере электроэнергетики со 2 полугодия сохранены на уровне тарифов, действующих до 1 июля</w:t>
      </w:r>
      <w:proofErr w:type="gramEnd"/>
      <w:r w:rsidRPr="007131E3">
        <w:rPr>
          <w:sz w:val="24"/>
          <w:szCs w:val="24"/>
          <w:lang w:eastAsia="en-US"/>
        </w:rPr>
        <w:t xml:space="preserve"> 2017 года</w:t>
      </w:r>
      <w:r>
        <w:rPr>
          <w:sz w:val="24"/>
          <w:szCs w:val="24"/>
          <w:lang w:eastAsia="en-US"/>
        </w:rPr>
        <w:t xml:space="preserve"> и составляют:</w:t>
      </w:r>
    </w:p>
    <w:p w:rsidR="00604DAD" w:rsidRDefault="00604DAD" w:rsidP="00604DAD">
      <w:pPr>
        <w:pStyle w:val="aff0"/>
        <w:tabs>
          <w:tab w:val="left" w:pos="993"/>
        </w:tabs>
        <w:ind w:firstLine="709"/>
        <w:rPr>
          <w:bCs/>
          <w:sz w:val="24"/>
          <w:szCs w:val="24"/>
        </w:rPr>
      </w:pPr>
      <w:r>
        <w:rPr>
          <w:sz w:val="24"/>
          <w:szCs w:val="24"/>
          <w:lang w:eastAsia="en-US"/>
        </w:rPr>
        <w:t>-</w:t>
      </w:r>
      <w:r w:rsidRPr="007131E3">
        <w:rPr>
          <w:sz w:val="24"/>
          <w:szCs w:val="24"/>
          <w:lang w:eastAsia="en-US"/>
        </w:rPr>
        <w:t xml:space="preserve"> с численностью работников на предприятии от 500 до 1 000 человек</w:t>
      </w:r>
      <w:r>
        <w:rPr>
          <w:sz w:val="24"/>
          <w:szCs w:val="24"/>
          <w:lang w:eastAsia="en-US"/>
        </w:rPr>
        <w:t xml:space="preserve"> - </w:t>
      </w:r>
      <w:r w:rsidRPr="007131E3">
        <w:rPr>
          <w:bCs/>
          <w:sz w:val="24"/>
          <w:szCs w:val="24"/>
        </w:rPr>
        <w:t>0,</w:t>
      </w:r>
      <w:r>
        <w:rPr>
          <w:bCs/>
          <w:sz w:val="24"/>
          <w:szCs w:val="24"/>
        </w:rPr>
        <w:t>45</w:t>
      </w:r>
      <w:r w:rsidRPr="007131E3">
        <w:rPr>
          <w:bCs/>
          <w:sz w:val="24"/>
          <w:szCs w:val="24"/>
        </w:rPr>
        <w:t xml:space="preserve"> руб. за 1</w:t>
      </w:r>
      <w:r>
        <w:rPr>
          <w:bCs/>
          <w:sz w:val="24"/>
          <w:szCs w:val="24"/>
        </w:rPr>
        <w:t> </w:t>
      </w:r>
      <w:proofErr w:type="spellStart"/>
      <w:r w:rsidRPr="007131E3">
        <w:rPr>
          <w:bCs/>
          <w:sz w:val="24"/>
          <w:szCs w:val="24"/>
        </w:rPr>
        <w:t>кВт</w:t>
      </w:r>
      <w:proofErr w:type="gramStart"/>
      <w:r w:rsidRPr="007131E3">
        <w:rPr>
          <w:bCs/>
          <w:sz w:val="24"/>
          <w:szCs w:val="24"/>
        </w:rPr>
        <w:t>.ч</w:t>
      </w:r>
      <w:proofErr w:type="spellEnd"/>
      <w:proofErr w:type="gramEnd"/>
      <w:r w:rsidRPr="007131E3">
        <w:rPr>
          <w:bCs/>
          <w:sz w:val="24"/>
          <w:szCs w:val="24"/>
        </w:rPr>
        <w:t xml:space="preserve">. по передающим сетям и </w:t>
      </w:r>
      <w:r>
        <w:rPr>
          <w:bCs/>
          <w:sz w:val="24"/>
          <w:szCs w:val="24"/>
        </w:rPr>
        <w:t>0,71</w:t>
      </w:r>
      <w:r w:rsidRPr="007131E3">
        <w:rPr>
          <w:bCs/>
          <w:sz w:val="24"/>
          <w:szCs w:val="24"/>
        </w:rPr>
        <w:t xml:space="preserve"> руб. за 1 </w:t>
      </w:r>
      <w:proofErr w:type="spellStart"/>
      <w:r w:rsidRPr="007131E3">
        <w:rPr>
          <w:bCs/>
          <w:sz w:val="24"/>
          <w:szCs w:val="24"/>
        </w:rPr>
        <w:t>кВт.ч</w:t>
      </w:r>
      <w:proofErr w:type="spellEnd"/>
      <w:r w:rsidRPr="007131E3">
        <w:rPr>
          <w:bCs/>
          <w:sz w:val="24"/>
          <w:szCs w:val="24"/>
        </w:rPr>
        <w:t>. по распределительным сетям соответственно</w:t>
      </w:r>
      <w:r>
        <w:rPr>
          <w:bCs/>
          <w:sz w:val="24"/>
          <w:szCs w:val="24"/>
        </w:rPr>
        <w:t>;</w:t>
      </w:r>
    </w:p>
    <w:p w:rsidR="00604DAD" w:rsidRDefault="00604DAD" w:rsidP="00604DAD">
      <w:pPr>
        <w:pStyle w:val="aff0"/>
        <w:tabs>
          <w:tab w:val="left" w:pos="993"/>
        </w:tabs>
        <w:ind w:firstLine="709"/>
        <w:rPr>
          <w:bCs/>
          <w:sz w:val="24"/>
          <w:szCs w:val="24"/>
        </w:rPr>
      </w:pPr>
      <w:r>
        <w:rPr>
          <w:sz w:val="24"/>
          <w:szCs w:val="24"/>
          <w:lang w:eastAsia="en-US"/>
        </w:rPr>
        <w:t>-</w:t>
      </w:r>
      <w:r w:rsidRPr="007131E3">
        <w:rPr>
          <w:sz w:val="24"/>
          <w:szCs w:val="24"/>
          <w:lang w:eastAsia="en-US"/>
        </w:rPr>
        <w:t xml:space="preserve"> с численностью работников на предприятии</w:t>
      </w:r>
      <w:r>
        <w:rPr>
          <w:sz w:val="24"/>
          <w:szCs w:val="24"/>
          <w:lang w:eastAsia="en-US"/>
        </w:rPr>
        <w:t xml:space="preserve"> </w:t>
      </w:r>
      <w:r w:rsidRPr="007131E3">
        <w:rPr>
          <w:sz w:val="24"/>
          <w:szCs w:val="24"/>
          <w:lang w:eastAsia="en-US"/>
        </w:rPr>
        <w:t>свыше 1 000 человек</w:t>
      </w:r>
      <w:r>
        <w:rPr>
          <w:sz w:val="24"/>
          <w:szCs w:val="24"/>
          <w:lang w:eastAsia="en-US"/>
        </w:rPr>
        <w:t xml:space="preserve"> –</w:t>
      </w:r>
      <w:r w:rsidRPr="00A904BF">
        <w:rPr>
          <w:bCs/>
          <w:sz w:val="24"/>
          <w:szCs w:val="24"/>
        </w:rPr>
        <w:t xml:space="preserve"> </w:t>
      </w:r>
      <w:r w:rsidRPr="007131E3">
        <w:rPr>
          <w:bCs/>
          <w:sz w:val="24"/>
          <w:szCs w:val="24"/>
        </w:rPr>
        <w:t>0,</w:t>
      </w:r>
      <w:r>
        <w:rPr>
          <w:bCs/>
          <w:sz w:val="24"/>
          <w:szCs w:val="24"/>
        </w:rPr>
        <w:t>32</w:t>
      </w:r>
      <w:r w:rsidRPr="007131E3">
        <w:rPr>
          <w:bCs/>
          <w:sz w:val="24"/>
          <w:szCs w:val="24"/>
        </w:rPr>
        <w:t xml:space="preserve"> руб. за 1</w:t>
      </w:r>
      <w:r>
        <w:rPr>
          <w:bCs/>
          <w:sz w:val="24"/>
          <w:szCs w:val="24"/>
        </w:rPr>
        <w:t> </w:t>
      </w:r>
      <w:proofErr w:type="spellStart"/>
      <w:r w:rsidRPr="007131E3">
        <w:rPr>
          <w:bCs/>
          <w:sz w:val="24"/>
          <w:szCs w:val="24"/>
        </w:rPr>
        <w:t>кВт</w:t>
      </w:r>
      <w:proofErr w:type="gramStart"/>
      <w:r w:rsidRPr="007131E3">
        <w:rPr>
          <w:bCs/>
          <w:sz w:val="24"/>
          <w:szCs w:val="24"/>
        </w:rPr>
        <w:t>.ч</w:t>
      </w:r>
      <w:proofErr w:type="spellEnd"/>
      <w:proofErr w:type="gramEnd"/>
      <w:r w:rsidRPr="007131E3">
        <w:rPr>
          <w:bCs/>
          <w:sz w:val="24"/>
          <w:szCs w:val="24"/>
        </w:rPr>
        <w:t xml:space="preserve">. по передающим сетям и </w:t>
      </w:r>
      <w:r>
        <w:rPr>
          <w:bCs/>
          <w:sz w:val="24"/>
          <w:szCs w:val="24"/>
        </w:rPr>
        <w:t>0,58</w:t>
      </w:r>
      <w:r w:rsidRPr="007131E3">
        <w:rPr>
          <w:bCs/>
          <w:sz w:val="24"/>
          <w:szCs w:val="24"/>
        </w:rPr>
        <w:t xml:space="preserve"> руб. за 1 </w:t>
      </w:r>
      <w:proofErr w:type="spellStart"/>
      <w:r w:rsidRPr="007131E3">
        <w:rPr>
          <w:bCs/>
          <w:sz w:val="24"/>
          <w:szCs w:val="24"/>
        </w:rPr>
        <w:t>кВт.ч</w:t>
      </w:r>
      <w:proofErr w:type="spellEnd"/>
      <w:r w:rsidRPr="007131E3">
        <w:rPr>
          <w:bCs/>
          <w:sz w:val="24"/>
          <w:szCs w:val="24"/>
        </w:rPr>
        <w:t>. по распределительным сетям соответственно</w:t>
      </w:r>
      <w:r>
        <w:rPr>
          <w:bCs/>
          <w:sz w:val="24"/>
          <w:szCs w:val="24"/>
        </w:rPr>
        <w:t>.</w:t>
      </w:r>
    </w:p>
    <w:p w:rsidR="00604DAD" w:rsidRPr="007131E3" w:rsidRDefault="00604DAD" w:rsidP="00604DAD">
      <w:pPr>
        <w:pStyle w:val="aff0"/>
        <w:tabs>
          <w:tab w:val="left" w:pos="993"/>
        </w:tabs>
        <w:ind w:firstLine="709"/>
        <w:rPr>
          <w:bCs/>
          <w:sz w:val="24"/>
          <w:szCs w:val="24"/>
        </w:rPr>
      </w:pPr>
      <w:r>
        <w:rPr>
          <w:bCs/>
          <w:sz w:val="24"/>
          <w:szCs w:val="24"/>
        </w:rPr>
        <w:t>е</w:t>
      </w:r>
      <w:r w:rsidRPr="007131E3">
        <w:rPr>
          <w:bCs/>
          <w:sz w:val="24"/>
          <w:szCs w:val="24"/>
        </w:rPr>
        <w:t>)</w:t>
      </w:r>
      <w:r>
        <w:rPr>
          <w:bCs/>
          <w:sz w:val="24"/>
          <w:szCs w:val="24"/>
        </w:rPr>
        <w:t xml:space="preserve"> </w:t>
      </w:r>
      <w:r w:rsidRPr="007131E3">
        <w:rPr>
          <w:bCs/>
          <w:sz w:val="24"/>
          <w:szCs w:val="24"/>
        </w:rPr>
        <w:t xml:space="preserve">для промышленных и прочих потребителей 0,80 руб. за 1 </w:t>
      </w:r>
      <w:proofErr w:type="spellStart"/>
      <w:r w:rsidRPr="007131E3">
        <w:rPr>
          <w:bCs/>
          <w:sz w:val="24"/>
          <w:szCs w:val="24"/>
        </w:rPr>
        <w:t>кВт</w:t>
      </w:r>
      <w:proofErr w:type="gramStart"/>
      <w:r w:rsidRPr="007131E3">
        <w:rPr>
          <w:bCs/>
          <w:sz w:val="24"/>
          <w:szCs w:val="24"/>
        </w:rPr>
        <w:t>.ч</w:t>
      </w:r>
      <w:proofErr w:type="spellEnd"/>
      <w:proofErr w:type="gramEnd"/>
      <w:r w:rsidRPr="007131E3">
        <w:rPr>
          <w:bCs/>
          <w:sz w:val="24"/>
          <w:szCs w:val="24"/>
        </w:rPr>
        <w:t xml:space="preserve">. по передающим сетям и 1,06 руб. за 1 </w:t>
      </w:r>
      <w:proofErr w:type="spellStart"/>
      <w:r w:rsidRPr="007131E3">
        <w:rPr>
          <w:bCs/>
          <w:sz w:val="24"/>
          <w:szCs w:val="24"/>
        </w:rPr>
        <w:t>кВт.ч</w:t>
      </w:r>
      <w:proofErr w:type="spellEnd"/>
      <w:r w:rsidRPr="007131E3">
        <w:rPr>
          <w:bCs/>
          <w:sz w:val="24"/>
          <w:szCs w:val="24"/>
        </w:rPr>
        <w:t xml:space="preserve">. по распределительным сетям. Тарифы установлены на уровне </w:t>
      </w:r>
      <w:proofErr w:type="gramStart"/>
      <w:r w:rsidRPr="007131E3">
        <w:rPr>
          <w:bCs/>
          <w:sz w:val="24"/>
          <w:szCs w:val="24"/>
        </w:rPr>
        <w:t>действующих</w:t>
      </w:r>
      <w:proofErr w:type="gramEnd"/>
      <w:r w:rsidRPr="007131E3">
        <w:rPr>
          <w:bCs/>
          <w:sz w:val="24"/>
          <w:szCs w:val="24"/>
        </w:rPr>
        <w:t xml:space="preserve"> с 1 января 2017 года.</w:t>
      </w:r>
    </w:p>
    <w:p w:rsidR="00604DAD" w:rsidRDefault="00604DAD" w:rsidP="00604DAD">
      <w:pPr>
        <w:tabs>
          <w:tab w:val="left" w:pos="567"/>
          <w:tab w:val="left" w:pos="993"/>
          <w:tab w:val="left" w:pos="1276"/>
          <w:tab w:val="left" w:pos="2832"/>
          <w:tab w:val="left" w:pos="3540"/>
          <w:tab w:val="left" w:pos="4248"/>
          <w:tab w:val="left" w:pos="4956"/>
          <w:tab w:val="left" w:pos="5664"/>
          <w:tab w:val="left" w:pos="6372"/>
          <w:tab w:val="left" w:pos="7080"/>
          <w:tab w:val="left" w:pos="7788"/>
          <w:tab w:val="left" w:pos="8735"/>
        </w:tabs>
        <w:spacing w:after="0" w:line="240" w:lineRule="auto"/>
        <w:ind w:firstLine="709"/>
        <w:jc w:val="both"/>
        <w:rPr>
          <w:rFonts w:ascii="Times New Roman" w:hAnsi="Times New Roman"/>
          <w:b/>
          <w:sz w:val="24"/>
          <w:szCs w:val="24"/>
        </w:rPr>
      </w:pPr>
      <w:r>
        <w:rPr>
          <w:rFonts w:ascii="Times New Roman" w:hAnsi="Times New Roman"/>
          <w:b/>
          <w:sz w:val="24"/>
          <w:szCs w:val="24"/>
        </w:rPr>
        <w:t>3. У</w:t>
      </w:r>
      <w:r w:rsidRPr="005765A7">
        <w:rPr>
          <w:rFonts w:ascii="Times New Roman" w:hAnsi="Times New Roman"/>
          <w:b/>
          <w:sz w:val="24"/>
          <w:szCs w:val="24"/>
        </w:rPr>
        <w:t>слуги</w:t>
      </w:r>
      <w:r w:rsidRPr="002C0EF6">
        <w:rPr>
          <w:rFonts w:ascii="Times New Roman" w:hAnsi="Times New Roman"/>
          <w:b/>
          <w:sz w:val="24"/>
          <w:szCs w:val="24"/>
        </w:rPr>
        <w:t xml:space="preserve"> по снабжению тепловой энергией (отопление и подогрев воды)</w:t>
      </w:r>
    </w:p>
    <w:p w:rsidR="00604DAD" w:rsidRPr="007131E3" w:rsidRDefault="00604DAD" w:rsidP="00604DAD">
      <w:pPr>
        <w:pStyle w:val="aff0"/>
        <w:tabs>
          <w:tab w:val="left" w:pos="993"/>
        </w:tabs>
        <w:ind w:firstLine="709"/>
        <w:rPr>
          <w:bCs/>
          <w:sz w:val="24"/>
          <w:szCs w:val="24"/>
        </w:rPr>
      </w:pPr>
      <w:r w:rsidRPr="007131E3">
        <w:rPr>
          <w:bCs/>
          <w:sz w:val="24"/>
          <w:szCs w:val="24"/>
        </w:rPr>
        <w:t>а)</w:t>
      </w:r>
      <w:r>
        <w:rPr>
          <w:bCs/>
          <w:sz w:val="24"/>
          <w:szCs w:val="24"/>
        </w:rPr>
        <w:t xml:space="preserve"> </w:t>
      </w:r>
      <w:r w:rsidRPr="007131E3">
        <w:rPr>
          <w:bCs/>
          <w:sz w:val="24"/>
          <w:szCs w:val="24"/>
        </w:rPr>
        <w:t xml:space="preserve">по всем городам и районам Приднестровской Молдавской Республики, за исключением города Днестровск и </w:t>
      </w:r>
      <w:proofErr w:type="gramStart"/>
      <w:r w:rsidRPr="007131E3">
        <w:rPr>
          <w:bCs/>
          <w:sz w:val="24"/>
          <w:szCs w:val="24"/>
        </w:rPr>
        <w:t>с</w:t>
      </w:r>
      <w:proofErr w:type="gramEnd"/>
      <w:r>
        <w:rPr>
          <w:bCs/>
          <w:sz w:val="24"/>
          <w:szCs w:val="24"/>
        </w:rPr>
        <w:t>.</w:t>
      </w:r>
      <w:r w:rsidRPr="007131E3">
        <w:rPr>
          <w:bCs/>
          <w:sz w:val="24"/>
          <w:szCs w:val="24"/>
        </w:rPr>
        <w:t xml:space="preserve"> </w:t>
      </w:r>
      <w:proofErr w:type="gramStart"/>
      <w:r w:rsidRPr="007131E3">
        <w:rPr>
          <w:bCs/>
          <w:sz w:val="24"/>
          <w:szCs w:val="24"/>
        </w:rPr>
        <w:t>Незавертайловка</w:t>
      </w:r>
      <w:proofErr w:type="gramEnd"/>
      <w:r w:rsidRPr="007131E3">
        <w:rPr>
          <w:bCs/>
          <w:sz w:val="24"/>
          <w:szCs w:val="24"/>
        </w:rPr>
        <w:t>, а также города Бендеры:</w:t>
      </w:r>
    </w:p>
    <w:p w:rsidR="00604DAD" w:rsidRPr="007131E3" w:rsidRDefault="00604DAD" w:rsidP="00604DAD">
      <w:pPr>
        <w:pStyle w:val="aff0"/>
        <w:tabs>
          <w:tab w:val="left" w:pos="993"/>
        </w:tabs>
        <w:ind w:firstLine="709"/>
        <w:rPr>
          <w:bCs/>
          <w:sz w:val="24"/>
          <w:szCs w:val="24"/>
        </w:rPr>
      </w:pPr>
      <w:r w:rsidRPr="007131E3">
        <w:rPr>
          <w:bCs/>
          <w:sz w:val="24"/>
          <w:szCs w:val="24"/>
        </w:rPr>
        <w:noBreakHyphen/>
      </w:r>
      <w:r>
        <w:rPr>
          <w:bCs/>
          <w:sz w:val="24"/>
          <w:szCs w:val="24"/>
        </w:rPr>
        <w:t xml:space="preserve"> </w:t>
      </w:r>
      <w:r w:rsidRPr="007131E3">
        <w:rPr>
          <w:bCs/>
          <w:sz w:val="24"/>
          <w:szCs w:val="24"/>
        </w:rPr>
        <w:t xml:space="preserve">для организаций и учреждений, финансируемых из бюджетов всех уровней, </w:t>
      </w:r>
      <w:r w:rsidRPr="007131E3">
        <w:rPr>
          <w:bCs/>
          <w:sz w:val="24"/>
          <w:szCs w:val="24"/>
        </w:rPr>
        <w:noBreakHyphen/>
        <w:t xml:space="preserve"> 272,58 руб. за 1 Гкал, что на 33,26</w:t>
      </w:r>
      <w:r>
        <w:rPr>
          <w:bCs/>
          <w:sz w:val="24"/>
          <w:szCs w:val="24"/>
        </w:rPr>
        <w:t>%</w:t>
      </w:r>
      <w:r w:rsidRPr="007131E3">
        <w:rPr>
          <w:bCs/>
          <w:sz w:val="24"/>
          <w:szCs w:val="24"/>
        </w:rPr>
        <w:t xml:space="preserve"> ниже тарифа, действующего для данных потребителей с 1 января 2017 года;</w:t>
      </w:r>
    </w:p>
    <w:p w:rsidR="00604DAD" w:rsidRPr="007131E3" w:rsidRDefault="00604DAD" w:rsidP="00604DAD">
      <w:pPr>
        <w:pStyle w:val="aff0"/>
        <w:tabs>
          <w:tab w:val="left" w:pos="993"/>
        </w:tabs>
        <w:ind w:firstLine="709"/>
        <w:rPr>
          <w:bCs/>
          <w:sz w:val="24"/>
          <w:szCs w:val="24"/>
        </w:rPr>
      </w:pPr>
      <w:r w:rsidRPr="007131E3">
        <w:rPr>
          <w:bCs/>
          <w:sz w:val="24"/>
          <w:szCs w:val="24"/>
        </w:rPr>
        <w:noBreakHyphen/>
      </w:r>
      <w:r>
        <w:rPr>
          <w:bCs/>
          <w:sz w:val="24"/>
          <w:szCs w:val="24"/>
        </w:rPr>
        <w:t xml:space="preserve"> </w:t>
      </w:r>
      <w:r w:rsidRPr="007131E3">
        <w:rPr>
          <w:bCs/>
          <w:sz w:val="24"/>
          <w:szCs w:val="24"/>
        </w:rPr>
        <w:t>для промышленных и прочих потребителей – 590,86 руб. за 1 Гкал, что на 1,83</w:t>
      </w:r>
      <w:r>
        <w:rPr>
          <w:bCs/>
          <w:sz w:val="24"/>
          <w:szCs w:val="24"/>
        </w:rPr>
        <w:t>%</w:t>
      </w:r>
      <w:r w:rsidRPr="007131E3">
        <w:rPr>
          <w:bCs/>
          <w:sz w:val="24"/>
          <w:szCs w:val="24"/>
        </w:rPr>
        <w:t xml:space="preserve"> ниже тарифа, действующего для данных потребителей с 1 января 2017 года;</w:t>
      </w:r>
    </w:p>
    <w:p w:rsidR="00604DAD" w:rsidRPr="007131E3" w:rsidRDefault="00604DAD" w:rsidP="00604DAD">
      <w:pPr>
        <w:pStyle w:val="aff0"/>
        <w:tabs>
          <w:tab w:val="left" w:pos="993"/>
        </w:tabs>
        <w:ind w:firstLine="709"/>
        <w:rPr>
          <w:bCs/>
          <w:sz w:val="24"/>
          <w:szCs w:val="24"/>
        </w:rPr>
      </w:pPr>
      <w:r w:rsidRPr="007131E3">
        <w:rPr>
          <w:bCs/>
          <w:sz w:val="24"/>
          <w:szCs w:val="24"/>
        </w:rPr>
        <w:t>б)</w:t>
      </w:r>
      <w:r>
        <w:rPr>
          <w:bCs/>
          <w:sz w:val="24"/>
          <w:szCs w:val="24"/>
        </w:rPr>
        <w:t xml:space="preserve"> </w:t>
      </w:r>
      <w:r w:rsidRPr="007131E3">
        <w:rPr>
          <w:bCs/>
          <w:sz w:val="24"/>
          <w:szCs w:val="24"/>
        </w:rPr>
        <w:t>по городу Бендеры:</w:t>
      </w:r>
    </w:p>
    <w:p w:rsidR="00604DAD" w:rsidRPr="007131E3" w:rsidRDefault="00604DAD" w:rsidP="00604DAD">
      <w:pPr>
        <w:pStyle w:val="aff0"/>
        <w:tabs>
          <w:tab w:val="left" w:pos="993"/>
        </w:tabs>
        <w:ind w:firstLine="709"/>
        <w:rPr>
          <w:bCs/>
          <w:sz w:val="24"/>
          <w:szCs w:val="24"/>
        </w:rPr>
      </w:pPr>
      <w:r w:rsidRPr="007131E3">
        <w:rPr>
          <w:bCs/>
          <w:sz w:val="24"/>
          <w:szCs w:val="24"/>
        </w:rPr>
        <w:noBreakHyphen/>
      </w:r>
      <w:r>
        <w:rPr>
          <w:bCs/>
          <w:sz w:val="24"/>
          <w:szCs w:val="24"/>
        </w:rPr>
        <w:t xml:space="preserve"> </w:t>
      </w:r>
      <w:r w:rsidRPr="007131E3">
        <w:rPr>
          <w:bCs/>
          <w:sz w:val="24"/>
          <w:szCs w:val="24"/>
        </w:rPr>
        <w:t xml:space="preserve">для организаций и учреждений, финансируемых из бюджетов всех уровней, </w:t>
      </w:r>
      <w:r w:rsidRPr="007131E3">
        <w:rPr>
          <w:bCs/>
          <w:sz w:val="24"/>
          <w:szCs w:val="24"/>
        </w:rPr>
        <w:noBreakHyphen/>
        <w:t xml:space="preserve"> 255,82 руб. за 1 Гкал, что на 35,12</w:t>
      </w:r>
      <w:r>
        <w:rPr>
          <w:bCs/>
          <w:sz w:val="24"/>
          <w:szCs w:val="24"/>
        </w:rPr>
        <w:t>%</w:t>
      </w:r>
      <w:r w:rsidRPr="007131E3">
        <w:rPr>
          <w:bCs/>
          <w:sz w:val="24"/>
          <w:szCs w:val="24"/>
        </w:rPr>
        <w:t xml:space="preserve"> ниже тарифа, действующего для данных потребителей с 1 января 2017 года;</w:t>
      </w:r>
    </w:p>
    <w:p w:rsidR="00604DAD" w:rsidRPr="007131E3" w:rsidRDefault="00604DAD" w:rsidP="00604DAD">
      <w:pPr>
        <w:pStyle w:val="aff0"/>
        <w:tabs>
          <w:tab w:val="left" w:pos="993"/>
        </w:tabs>
        <w:ind w:firstLine="709"/>
        <w:rPr>
          <w:bCs/>
          <w:sz w:val="24"/>
          <w:szCs w:val="24"/>
        </w:rPr>
      </w:pPr>
      <w:r w:rsidRPr="007131E3">
        <w:rPr>
          <w:bCs/>
          <w:sz w:val="24"/>
          <w:szCs w:val="24"/>
        </w:rPr>
        <w:noBreakHyphen/>
      </w:r>
      <w:r>
        <w:rPr>
          <w:bCs/>
          <w:sz w:val="24"/>
          <w:szCs w:val="24"/>
        </w:rPr>
        <w:t xml:space="preserve"> </w:t>
      </w:r>
      <w:r w:rsidRPr="007131E3">
        <w:rPr>
          <w:bCs/>
          <w:sz w:val="24"/>
          <w:szCs w:val="24"/>
        </w:rPr>
        <w:t>для промышленных и прочих потребителей – 555,45 руб. за 1 Гкал, что на 2,48</w:t>
      </w:r>
      <w:r>
        <w:rPr>
          <w:bCs/>
          <w:sz w:val="24"/>
          <w:szCs w:val="24"/>
        </w:rPr>
        <w:t>%</w:t>
      </w:r>
      <w:r w:rsidRPr="007131E3">
        <w:rPr>
          <w:bCs/>
          <w:sz w:val="24"/>
          <w:szCs w:val="24"/>
        </w:rPr>
        <w:t xml:space="preserve"> ниже тарифа, действующего для данных потребителей с 1 января 2017 года;</w:t>
      </w:r>
    </w:p>
    <w:p w:rsidR="00604DAD" w:rsidRPr="007131E3" w:rsidRDefault="00604DAD" w:rsidP="00604DAD">
      <w:pPr>
        <w:pStyle w:val="aff0"/>
        <w:tabs>
          <w:tab w:val="left" w:pos="993"/>
        </w:tabs>
        <w:ind w:firstLine="709"/>
        <w:rPr>
          <w:bCs/>
          <w:sz w:val="24"/>
          <w:szCs w:val="24"/>
        </w:rPr>
      </w:pPr>
      <w:r w:rsidRPr="007131E3">
        <w:rPr>
          <w:bCs/>
          <w:sz w:val="24"/>
          <w:szCs w:val="24"/>
        </w:rPr>
        <w:t>в)</w:t>
      </w:r>
      <w:r>
        <w:rPr>
          <w:bCs/>
          <w:sz w:val="24"/>
          <w:szCs w:val="24"/>
        </w:rPr>
        <w:t xml:space="preserve"> </w:t>
      </w:r>
      <w:r w:rsidRPr="007131E3">
        <w:rPr>
          <w:bCs/>
          <w:sz w:val="24"/>
          <w:szCs w:val="24"/>
        </w:rPr>
        <w:t xml:space="preserve">по городу Днестровск и </w:t>
      </w:r>
      <w:proofErr w:type="gramStart"/>
      <w:r w:rsidRPr="007131E3">
        <w:rPr>
          <w:bCs/>
          <w:sz w:val="24"/>
          <w:szCs w:val="24"/>
        </w:rPr>
        <w:t>с</w:t>
      </w:r>
      <w:proofErr w:type="gramEnd"/>
      <w:r>
        <w:rPr>
          <w:bCs/>
          <w:sz w:val="24"/>
          <w:szCs w:val="24"/>
        </w:rPr>
        <w:t>.</w:t>
      </w:r>
      <w:r w:rsidRPr="007131E3">
        <w:rPr>
          <w:bCs/>
          <w:sz w:val="24"/>
          <w:szCs w:val="24"/>
        </w:rPr>
        <w:t xml:space="preserve"> Незавертайловка:</w:t>
      </w:r>
    </w:p>
    <w:p w:rsidR="00604DAD" w:rsidRPr="007131E3" w:rsidRDefault="00604DAD" w:rsidP="00604DAD">
      <w:pPr>
        <w:pStyle w:val="aff0"/>
        <w:tabs>
          <w:tab w:val="left" w:pos="993"/>
        </w:tabs>
        <w:ind w:firstLine="709"/>
        <w:rPr>
          <w:bCs/>
          <w:sz w:val="24"/>
          <w:szCs w:val="24"/>
        </w:rPr>
      </w:pPr>
      <w:r w:rsidRPr="007131E3">
        <w:rPr>
          <w:bCs/>
          <w:sz w:val="24"/>
          <w:szCs w:val="24"/>
        </w:rPr>
        <w:noBreakHyphen/>
      </w:r>
      <w:r>
        <w:rPr>
          <w:bCs/>
          <w:sz w:val="24"/>
          <w:szCs w:val="24"/>
        </w:rPr>
        <w:t xml:space="preserve"> </w:t>
      </w:r>
      <w:r w:rsidRPr="007131E3">
        <w:rPr>
          <w:bCs/>
          <w:sz w:val="24"/>
          <w:szCs w:val="24"/>
        </w:rPr>
        <w:t xml:space="preserve">для организаций и учреждений, финансируемых из бюджетов всех уровней, </w:t>
      </w:r>
      <w:r w:rsidRPr="007131E3">
        <w:rPr>
          <w:bCs/>
          <w:sz w:val="24"/>
          <w:szCs w:val="24"/>
        </w:rPr>
        <w:noBreakHyphen/>
        <w:t xml:space="preserve"> 167,30 руб. за 1 Гкал, что на 55,19</w:t>
      </w:r>
      <w:r>
        <w:rPr>
          <w:bCs/>
          <w:sz w:val="24"/>
          <w:szCs w:val="24"/>
        </w:rPr>
        <w:t>%</w:t>
      </w:r>
      <w:r w:rsidRPr="007131E3">
        <w:rPr>
          <w:bCs/>
          <w:sz w:val="24"/>
          <w:szCs w:val="24"/>
        </w:rPr>
        <w:t xml:space="preserve"> ниже тарифа, действующего для данных потребителей с 1 января 2017 года;</w:t>
      </w:r>
    </w:p>
    <w:p w:rsidR="00604DAD" w:rsidRPr="007131E3" w:rsidRDefault="00604DAD" w:rsidP="00604DAD">
      <w:pPr>
        <w:pStyle w:val="aff0"/>
        <w:tabs>
          <w:tab w:val="left" w:pos="993"/>
        </w:tabs>
        <w:ind w:firstLine="709"/>
        <w:rPr>
          <w:bCs/>
          <w:sz w:val="24"/>
          <w:szCs w:val="24"/>
        </w:rPr>
      </w:pPr>
      <w:r w:rsidRPr="007131E3">
        <w:rPr>
          <w:bCs/>
          <w:sz w:val="24"/>
          <w:szCs w:val="24"/>
        </w:rPr>
        <w:noBreakHyphen/>
      </w:r>
      <w:r>
        <w:rPr>
          <w:bCs/>
          <w:sz w:val="24"/>
          <w:szCs w:val="24"/>
        </w:rPr>
        <w:t xml:space="preserve"> </w:t>
      </w:r>
      <w:r w:rsidRPr="007131E3">
        <w:rPr>
          <w:bCs/>
          <w:sz w:val="24"/>
          <w:szCs w:val="24"/>
        </w:rPr>
        <w:t>для промышленных и прочих потребителей – 588,47 руб. за 1 Гкал, что на 2,33</w:t>
      </w:r>
      <w:r>
        <w:rPr>
          <w:bCs/>
          <w:sz w:val="24"/>
          <w:szCs w:val="24"/>
        </w:rPr>
        <w:t>%</w:t>
      </w:r>
      <w:r w:rsidRPr="007131E3">
        <w:rPr>
          <w:bCs/>
          <w:sz w:val="24"/>
          <w:szCs w:val="24"/>
        </w:rPr>
        <w:t xml:space="preserve"> выше тарифа, действующего для данных потребителей с 1 января 2017 года.</w:t>
      </w:r>
    </w:p>
    <w:p w:rsidR="00604DAD" w:rsidRPr="006F0021" w:rsidRDefault="00604DAD" w:rsidP="00604DAD">
      <w:pPr>
        <w:widowControl w:val="0"/>
        <w:spacing w:after="0" w:line="240" w:lineRule="auto"/>
        <w:ind w:firstLine="709"/>
        <w:jc w:val="both"/>
        <w:rPr>
          <w:rFonts w:ascii="Times New Roman" w:hAnsi="Times New Roman"/>
          <w:b/>
          <w:sz w:val="24"/>
          <w:szCs w:val="24"/>
        </w:rPr>
      </w:pPr>
      <w:r w:rsidRPr="007754B4">
        <w:rPr>
          <w:rFonts w:ascii="Times New Roman" w:hAnsi="Times New Roman"/>
          <w:b/>
          <w:sz w:val="24"/>
          <w:szCs w:val="24"/>
        </w:rPr>
        <w:t>4</w:t>
      </w:r>
      <w:r>
        <w:rPr>
          <w:rFonts w:ascii="Times New Roman" w:hAnsi="Times New Roman"/>
          <w:sz w:val="24"/>
          <w:szCs w:val="24"/>
        </w:rPr>
        <w:t xml:space="preserve">. </w:t>
      </w:r>
      <w:r w:rsidRPr="006F0021">
        <w:rPr>
          <w:rFonts w:ascii="Times New Roman" w:hAnsi="Times New Roman"/>
          <w:b/>
          <w:sz w:val="24"/>
          <w:szCs w:val="24"/>
        </w:rPr>
        <w:t>Услуги водоснабжения и водоотведения (канализация)</w:t>
      </w:r>
    </w:p>
    <w:p w:rsidR="00604DAD" w:rsidRDefault="00604DAD" w:rsidP="00604DAD">
      <w:pPr>
        <w:pStyle w:val="aff0"/>
        <w:tabs>
          <w:tab w:val="left" w:pos="993"/>
        </w:tabs>
        <w:ind w:firstLine="709"/>
        <w:rPr>
          <w:bCs/>
          <w:sz w:val="24"/>
          <w:szCs w:val="24"/>
        </w:rPr>
      </w:pPr>
      <w:r w:rsidRPr="00E34329">
        <w:rPr>
          <w:i/>
          <w:sz w:val="24"/>
          <w:szCs w:val="24"/>
        </w:rPr>
        <w:t>Тарифы на услуги водоснабжения и водоотведения (канализация)</w:t>
      </w:r>
      <w:r>
        <w:rPr>
          <w:sz w:val="24"/>
          <w:szCs w:val="24"/>
        </w:rPr>
        <w:t xml:space="preserve"> </w:t>
      </w:r>
      <w:r w:rsidRPr="007131E3">
        <w:rPr>
          <w:bCs/>
          <w:sz w:val="24"/>
          <w:szCs w:val="24"/>
        </w:rPr>
        <w:t xml:space="preserve">со второго </w:t>
      </w:r>
      <w:r w:rsidRPr="00C84457">
        <w:rPr>
          <w:bCs/>
          <w:sz w:val="24"/>
          <w:szCs w:val="24"/>
        </w:rPr>
        <w:t>полугодия не изменились.</w:t>
      </w:r>
    </w:p>
    <w:p w:rsidR="00604DAD" w:rsidRPr="003E0A79" w:rsidRDefault="00604DAD" w:rsidP="00604DAD">
      <w:pPr>
        <w:widowControl w:val="0"/>
        <w:spacing w:after="0" w:line="240" w:lineRule="auto"/>
        <w:ind w:firstLine="709"/>
        <w:jc w:val="both"/>
        <w:rPr>
          <w:rFonts w:ascii="Times New Roman" w:hAnsi="Times New Roman"/>
          <w:b/>
          <w:sz w:val="24"/>
          <w:szCs w:val="24"/>
        </w:rPr>
      </w:pPr>
      <w:r>
        <w:rPr>
          <w:rFonts w:ascii="Times New Roman" w:hAnsi="Times New Roman"/>
          <w:b/>
          <w:sz w:val="24"/>
          <w:szCs w:val="24"/>
        </w:rPr>
        <w:t>5</w:t>
      </w:r>
      <w:r w:rsidRPr="00174F00">
        <w:rPr>
          <w:rFonts w:ascii="Times New Roman" w:hAnsi="Times New Roman"/>
          <w:b/>
          <w:sz w:val="24"/>
          <w:szCs w:val="24"/>
        </w:rPr>
        <w:t>.</w:t>
      </w:r>
      <w:r>
        <w:rPr>
          <w:rFonts w:ascii="Times New Roman" w:hAnsi="Times New Roman"/>
          <w:sz w:val="24"/>
          <w:szCs w:val="24"/>
        </w:rPr>
        <w:t xml:space="preserve"> </w:t>
      </w:r>
      <w:r w:rsidRPr="00EE688D">
        <w:rPr>
          <w:rFonts w:ascii="Times New Roman" w:hAnsi="Times New Roman"/>
          <w:b/>
          <w:sz w:val="24"/>
          <w:szCs w:val="24"/>
        </w:rPr>
        <w:t>У</w:t>
      </w:r>
      <w:r w:rsidRPr="003E0A79">
        <w:rPr>
          <w:rFonts w:ascii="Times New Roman" w:hAnsi="Times New Roman"/>
          <w:b/>
          <w:sz w:val="24"/>
          <w:szCs w:val="24"/>
        </w:rPr>
        <w:t>слуги на перевозку пассажиров электрическим транспортом и услуги железнодорожного транспорта в местном сообщении</w:t>
      </w:r>
    </w:p>
    <w:p w:rsidR="00604DAD" w:rsidRPr="00EE688D" w:rsidRDefault="00604DAD" w:rsidP="00604DAD">
      <w:pPr>
        <w:tabs>
          <w:tab w:val="left" w:pos="709"/>
        </w:tabs>
        <w:spacing w:after="0" w:line="240" w:lineRule="auto"/>
        <w:ind w:firstLine="709"/>
        <w:jc w:val="both"/>
        <w:rPr>
          <w:rFonts w:ascii="Times New Roman" w:hAnsi="Times New Roman"/>
          <w:sz w:val="24"/>
          <w:szCs w:val="24"/>
        </w:rPr>
      </w:pPr>
      <w:r>
        <w:rPr>
          <w:rFonts w:ascii="Times New Roman" w:hAnsi="Times New Roman"/>
          <w:sz w:val="24"/>
          <w:szCs w:val="24"/>
        </w:rPr>
        <w:t>Т</w:t>
      </w:r>
      <w:r w:rsidRPr="00EE688D">
        <w:rPr>
          <w:rFonts w:ascii="Times New Roman" w:hAnsi="Times New Roman"/>
          <w:sz w:val="24"/>
          <w:szCs w:val="24"/>
        </w:rPr>
        <w:t>арифы на услуги перевозке пассажиров электрическим транспортом не изменились. При этом применяемые тарифы утверждены на уровне ниже предельных тарифов, установленных на 2017 год.</w:t>
      </w:r>
    </w:p>
    <w:p w:rsidR="00604DAD" w:rsidRPr="00EE688D" w:rsidRDefault="00604DAD" w:rsidP="00604DAD">
      <w:pPr>
        <w:pStyle w:val="aff0"/>
        <w:tabs>
          <w:tab w:val="left" w:pos="993"/>
        </w:tabs>
        <w:ind w:firstLine="709"/>
        <w:rPr>
          <w:b/>
          <w:bCs/>
          <w:sz w:val="24"/>
          <w:szCs w:val="24"/>
        </w:rPr>
      </w:pPr>
      <w:r>
        <w:rPr>
          <w:color w:val="000000"/>
          <w:sz w:val="24"/>
          <w:szCs w:val="24"/>
          <w:lang w:bidi="ru-RU"/>
        </w:rPr>
        <w:lastRenderedPageBreak/>
        <w:t>На у</w:t>
      </w:r>
      <w:r w:rsidRPr="00EE688D">
        <w:rPr>
          <w:color w:val="000000"/>
          <w:sz w:val="24"/>
          <w:szCs w:val="24"/>
          <w:lang w:bidi="ru-RU"/>
        </w:rPr>
        <w:t>слуги железнодорожного транспорта</w:t>
      </w:r>
      <w:r w:rsidRPr="007131E3">
        <w:rPr>
          <w:color w:val="000000"/>
          <w:sz w:val="24"/>
          <w:szCs w:val="24"/>
          <w:lang w:bidi="ru-RU"/>
        </w:rPr>
        <w:t xml:space="preserve"> в местном сообщении с 1 мая 2017 года применяемые тарифы снижены на 4,80</w:t>
      </w:r>
      <w:r>
        <w:rPr>
          <w:color w:val="000000"/>
          <w:sz w:val="24"/>
          <w:szCs w:val="24"/>
          <w:lang w:bidi="ru-RU"/>
        </w:rPr>
        <w:t>%</w:t>
      </w:r>
      <w:r w:rsidRPr="007131E3">
        <w:rPr>
          <w:color w:val="000000"/>
          <w:sz w:val="24"/>
          <w:szCs w:val="24"/>
          <w:lang w:bidi="ru-RU"/>
        </w:rPr>
        <w:t xml:space="preserve"> и утверждены на уровне предельных тарифов, установленных на 2016 год.</w:t>
      </w:r>
    </w:p>
    <w:p w:rsidR="00935F83" w:rsidRPr="00185C09" w:rsidRDefault="00935F83" w:rsidP="00604DAD">
      <w:pPr>
        <w:tabs>
          <w:tab w:val="left" w:pos="709"/>
        </w:tabs>
        <w:spacing w:after="0" w:line="240" w:lineRule="auto"/>
        <w:ind w:firstLine="709"/>
        <w:jc w:val="both"/>
        <w:rPr>
          <w:rFonts w:ascii="Times New Roman" w:hAnsi="Times New Roman"/>
          <w:b/>
          <w:sz w:val="24"/>
          <w:szCs w:val="24"/>
        </w:rPr>
      </w:pPr>
    </w:p>
    <w:p w:rsidR="00604DAD" w:rsidRPr="00C90DDF" w:rsidRDefault="00604DAD" w:rsidP="00604DAD">
      <w:pPr>
        <w:tabs>
          <w:tab w:val="left" w:pos="709"/>
        </w:tabs>
        <w:spacing w:after="0" w:line="240" w:lineRule="auto"/>
        <w:ind w:firstLine="709"/>
        <w:jc w:val="both"/>
        <w:rPr>
          <w:rFonts w:ascii="Times New Roman" w:eastAsia="MS Mincho" w:hAnsi="Times New Roman"/>
          <w:b/>
          <w:bCs/>
          <w:sz w:val="24"/>
          <w:szCs w:val="24"/>
        </w:rPr>
      </w:pPr>
      <w:r w:rsidRPr="00C90DDF">
        <w:rPr>
          <w:rFonts w:ascii="Times New Roman" w:hAnsi="Times New Roman"/>
          <w:b/>
          <w:sz w:val="24"/>
          <w:szCs w:val="24"/>
        </w:rPr>
        <w:t xml:space="preserve">Ценовая и тарифная политика в </w:t>
      </w:r>
      <w:r w:rsidRPr="00C90DDF">
        <w:rPr>
          <w:rFonts w:ascii="Times New Roman" w:eastAsia="MS Mincho" w:hAnsi="Times New Roman"/>
          <w:b/>
          <w:bCs/>
          <w:sz w:val="24"/>
          <w:szCs w:val="24"/>
        </w:rPr>
        <w:t>сфере социально значимых товаров (работ, услуг)</w:t>
      </w:r>
    </w:p>
    <w:p w:rsidR="00604DAD" w:rsidRPr="00CA5BD3" w:rsidRDefault="00604DAD" w:rsidP="00604DAD">
      <w:pPr>
        <w:pStyle w:val="aff0"/>
        <w:ind w:firstLine="709"/>
        <w:rPr>
          <w:bCs/>
          <w:sz w:val="24"/>
          <w:szCs w:val="24"/>
        </w:rPr>
      </w:pPr>
      <w:r w:rsidRPr="00CA5BD3">
        <w:rPr>
          <w:bCs/>
          <w:sz w:val="24"/>
          <w:szCs w:val="24"/>
        </w:rPr>
        <w:t xml:space="preserve">Ценовая и тарифная политика </w:t>
      </w:r>
      <w:r>
        <w:rPr>
          <w:bCs/>
          <w:sz w:val="24"/>
          <w:szCs w:val="24"/>
        </w:rPr>
        <w:t>в</w:t>
      </w:r>
      <w:r w:rsidRPr="00CA5BD3">
        <w:rPr>
          <w:bCs/>
          <w:sz w:val="24"/>
          <w:szCs w:val="24"/>
        </w:rPr>
        <w:t xml:space="preserve"> 201</w:t>
      </w:r>
      <w:r>
        <w:rPr>
          <w:bCs/>
          <w:sz w:val="24"/>
          <w:szCs w:val="24"/>
        </w:rPr>
        <w:t xml:space="preserve">7 </w:t>
      </w:r>
      <w:r w:rsidRPr="00CA5BD3">
        <w:rPr>
          <w:bCs/>
          <w:sz w:val="24"/>
          <w:szCs w:val="24"/>
        </w:rPr>
        <w:t>год</w:t>
      </w:r>
      <w:r>
        <w:rPr>
          <w:bCs/>
          <w:sz w:val="24"/>
          <w:szCs w:val="24"/>
        </w:rPr>
        <w:t>у</w:t>
      </w:r>
      <w:r w:rsidRPr="00CA5BD3">
        <w:rPr>
          <w:bCs/>
          <w:sz w:val="24"/>
          <w:szCs w:val="24"/>
        </w:rPr>
        <w:t xml:space="preserve"> в сфере социально значимых товаров (работ, услуг) сформирована с учетом норм действующего законодательства в области ценообразования и влияния следующих факторов:</w:t>
      </w:r>
    </w:p>
    <w:p w:rsidR="00604DAD" w:rsidRPr="00CA5BD3" w:rsidRDefault="00604DAD" w:rsidP="00604DAD">
      <w:pPr>
        <w:pStyle w:val="aff0"/>
        <w:numPr>
          <w:ilvl w:val="0"/>
          <w:numId w:val="12"/>
        </w:numPr>
        <w:tabs>
          <w:tab w:val="left" w:pos="142"/>
          <w:tab w:val="left" w:pos="784"/>
        </w:tabs>
        <w:ind w:left="0" w:firstLine="709"/>
        <w:rPr>
          <w:bCs/>
          <w:sz w:val="24"/>
          <w:szCs w:val="24"/>
        </w:rPr>
      </w:pPr>
      <w:r w:rsidRPr="00CA5BD3">
        <w:rPr>
          <w:bCs/>
          <w:sz w:val="24"/>
          <w:szCs w:val="24"/>
        </w:rPr>
        <w:t>изменения цен на сырье и материалы, тарифов на энергоносители;</w:t>
      </w:r>
    </w:p>
    <w:p w:rsidR="00604DAD" w:rsidRPr="00656074" w:rsidRDefault="00604DAD" w:rsidP="00604DAD">
      <w:pPr>
        <w:pStyle w:val="aff0"/>
        <w:numPr>
          <w:ilvl w:val="0"/>
          <w:numId w:val="12"/>
        </w:numPr>
        <w:tabs>
          <w:tab w:val="left" w:pos="142"/>
          <w:tab w:val="left" w:pos="784"/>
        </w:tabs>
        <w:ind w:left="0" w:firstLine="709"/>
        <w:rPr>
          <w:bCs/>
          <w:sz w:val="24"/>
          <w:szCs w:val="24"/>
        </w:rPr>
      </w:pPr>
      <w:r w:rsidRPr="00656074">
        <w:rPr>
          <w:bCs/>
          <w:sz w:val="24"/>
          <w:szCs w:val="24"/>
        </w:rPr>
        <w:t>влияния инфляционных процессов;</w:t>
      </w:r>
    </w:p>
    <w:p w:rsidR="00604DAD" w:rsidRPr="00656074" w:rsidRDefault="00604DAD" w:rsidP="00604DAD">
      <w:pPr>
        <w:pStyle w:val="aff0"/>
        <w:numPr>
          <w:ilvl w:val="0"/>
          <w:numId w:val="12"/>
        </w:numPr>
        <w:tabs>
          <w:tab w:val="left" w:pos="142"/>
          <w:tab w:val="left" w:pos="784"/>
        </w:tabs>
        <w:ind w:left="0" w:firstLine="709"/>
        <w:rPr>
          <w:bCs/>
          <w:sz w:val="24"/>
          <w:szCs w:val="24"/>
        </w:rPr>
      </w:pPr>
      <w:r w:rsidRPr="00656074">
        <w:rPr>
          <w:bCs/>
          <w:sz w:val="24"/>
          <w:szCs w:val="24"/>
        </w:rPr>
        <w:t xml:space="preserve">изменения среднегодового минимального </w:t>
      </w:r>
      <w:proofErr w:type="gramStart"/>
      <w:r w:rsidRPr="00656074">
        <w:rPr>
          <w:bCs/>
          <w:sz w:val="24"/>
          <w:szCs w:val="24"/>
        </w:rPr>
        <w:t>размера оплаты труда</w:t>
      </w:r>
      <w:proofErr w:type="gramEnd"/>
      <w:r w:rsidRPr="00656074">
        <w:rPr>
          <w:bCs/>
          <w:sz w:val="24"/>
          <w:szCs w:val="24"/>
        </w:rPr>
        <w:t xml:space="preserve"> на соответствующий расчетный период регулирования;</w:t>
      </w:r>
    </w:p>
    <w:p w:rsidR="00604DAD" w:rsidRPr="00656074" w:rsidRDefault="00604DAD" w:rsidP="00604DAD">
      <w:pPr>
        <w:pStyle w:val="aff0"/>
        <w:numPr>
          <w:ilvl w:val="0"/>
          <w:numId w:val="13"/>
        </w:numPr>
        <w:tabs>
          <w:tab w:val="left" w:pos="142"/>
          <w:tab w:val="left" w:pos="784"/>
        </w:tabs>
        <w:ind w:left="0" w:firstLine="709"/>
        <w:rPr>
          <w:bCs/>
          <w:sz w:val="24"/>
          <w:szCs w:val="24"/>
        </w:rPr>
      </w:pPr>
      <w:r w:rsidRPr="00656074">
        <w:rPr>
          <w:bCs/>
          <w:sz w:val="24"/>
          <w:szCs w:val="24"/>
        </w:rPr>
        <w:t>фактических результатов деятельности хозяйствующих субъектов, производящих (осуществляющих, оказывающих) социально значимые товары (работы, услуги), по итогам работы за прошедшие расчетные периоды регулирования.</w:t>
      </w:r>
    </w:p>
    <w:p w:rsidR="00604DAD" w:rsidRPr="00C90DDF" w:rsidRDefault="00604DAD" w:rsidP="00604DAD">
      <w:pPr>
        <w:tabs>
          <w:tab w:val="left" w:pos="993"/>
        </w:tabs>
        <w:spacing w:after="0" w:line="240" w:lineRule="auto"/>
        <w:ind w:firstLine="709"/>
        <w:jc w:val="both"/>
        <w:rPr>
          <w:rFonts w:ascii="Times New Roman" w:eastAsia="MS Mincho" w:hAnsi="Times New Roman"/>
          <w:bCs/>
          <w:sz w:val="24"/>
          <w:szCs w:val="24"/>
          <w:u w:val="single"/>
        </w:rPr>
      </w:pPr>
      <w:r w:rsidRPr="00C90DDF">
        <w:rPr>
          <w:rFonts w:ascii="Times New Roman" w:eastAsia="MS Mincho" w:hAnsi="Times New Roman"/>
          <w:bCs/>
          <w:sz w:val="24"/>
          <w:szCs w:val="24"/>
          <w:u w:val="single"/>
        </w:rPr>
        <w:t>а)</w:t>
      </w:r>
      <w:r>
        <w:rPr>
          <w:rFonts w:ascii="Times New Roman" w:eastAsia="MS Mincho" w:hAnsi="Times New Roman"/>
          <w:bCs/>
          <w:sz w:val="24"/>
          <w:szCs w:val="24"/>
          <w:u w:val="single"/>
        </w:rPr>
        <w:t xml:space="preserve"> </w:t>
      </w:r>
      <w:r w:rsidRPr="00C90DDF">
        <w:rPr>
          <w:rFonts w:ascii="Times New Roman" w:eastAsia="MS Mincho" w:hAnsi="Times New Roman"/>
          <w:bCs/>
          <w:sz w:val="24"/>
          <w:szCs w:val="24"/>
          <w:u w:val="single"/>
        </w:rPr>
        <w:t xml:space="preserve">мука для хлебопечения </w:t>
      </w:r>
    </w:p>
    <w:p w:rsidR="00604DAD" w:rsidRPr="00CE55BB" w:rsidRDefault="00604DAD" w:rsidP="00604DAD">
      <w:pPr>
        <w:spacing w:after="0" w:line="240" w:lineRule="auto"/>
        <w:ind w:firstLine="709"/>
        <w:jc w:val="both"/>
        <w:rPr>
          <w:rFonts w:ascii="Times New Roman" w:eastAsia="MS Mincho" w:hAnsi="Times New Roman"/>
          <w:bCs/>
          <w:sz w:val="24"/>
          <w:szCs w:val="24"/>
        </w:rPr>
      </w:pPr>
      <w:proofErr w:type="gramStart"/>
      <w:r w:rsidRPr="00CE55BB">
        <w:rPr>
          <w:rFonts w:ascii="Times New Roman" w:eastAsia="MS Mincho" w:hAnsi="Times New Roman"/>
          <w:bCs/>
          <w:sz w:val="24"/>
          <w:szCs w:val="24"/>
        </w:rPr>
        <w:t>С 1 января 2017 года предельные отпускные цены на муку для хлебопечения по сравнению с предельными отпускными ценами, действующими с 1 января 2016 года, снизились в пределах от 4,5</w:t>
      </w:r>
      <w:r>
        <w:rPr>
          <w:rFonts w:ascii="Times New Roman" w:eastAsia="MS Mincho" w:hAnsi="Times New Roman"/>
          <w:bCs/>
          <w:sz w:val="24"/>
          <w:szCs w:val="24"/>
        </w:rPr>
        <w:t>%</w:t>
      </w:r>
      <w:r w:rsidRPr="00CE55BB">
        <w:rPr>
          <w:rFonts w:ascii="Times New Roman" w:eastAsia="MS Mincho" w:hAnsi="Times New Roman"/>
          <w:bCs/>
          <w:sz w:val="24"/>
          <w:szCs w:val="24"/>
        </w:rPr>
        <w:t xml:space="preserve"> до 8,2</w:t>
      </w:r>
      <w:r>
        <w:rPr>
          <w:rFonts w:ascii="Times New Roman" w:eastAsia="MS Mincho" w:hAnsi="Times New Roman"/>
          <w:bCs/>
          <w:sz w:val="24"/>
          <w:szCs w:val="24"/>
        </w:rPr>
        <w:t>%</w:t>
      </w:r>
      <w:r w:rsidRPr="00CE55BB">
        <w:rPr>
          <w:rFonts w:ascii="Times New Roman" w:eastAsia="MS Mincho" w:hAnsi="Times New Roman"/>
          <w:bCs/>
          <w:sz w:val="24"/>
          <w:szCs w:val="24"/>
        </w:rPr>
        <w:t xml:space="preserve">. Основной причиной </w:t>
      </w:r>
      <w:r>
        <w:rPr>
          <w:rFonts w:ascii="Times New Roman" w:eastAsia="MS Mincho" w:hAnsi="Times New Roman"/>
          <w:bCs/>
          <w:sz w:val="24"/>
          <w:szCs w:val="24"/>
        </w:rPr>
        <w:t>данного факта явилось</w:t>
      </w:r>
      <w:r w:rsidRPr="00CE55BB">
        <w:rPr>
          <w:rFonts w:ascii="Times New Roman" w:eastAsia="MS Mincho" w:hAnsi="Times New Roman"/>
          <w:bCs/>
          <w:sz w:val="24"/>
          <w:szCs w:val="24"/>
        </w:rPr>
        <w:t xml:space="preserve"> снижение стоимости зерна продовольственной пшеницы IV класса на внутреннем рынке Приднестровской Молдавской Республики урожая 2016 года (1</w:t>
      </w:r>
      <w:r>
        <w:rPr>
          <w:rFonts w:ascii="Times New Roman" w:eastAsia="MS Mincho" w:hAnsi="Times New Roman"/>
          <w:bCs/>
          <w:sz w:val="24"/>
          <w:szCs w:val="24"/>
        </w:rPr>
        <w:t> </w:t>
      </w:r>
      <w:r w:rsidRPr="00CE55BB">
        <w:rPr>
          <w:rFonts w:ascii="Times New Roman" w:eastAsia="MS Mincho" w:hAnsi="Times New Roman"/>
          <w:bCs/>
          <w:sz w:val="24"/>
          <w:szCs w:val="24"/>
        </w:rPr>
        <w:t>500 руб. за тонну)</w:t>
      </w:r>
      <w:r>
        <w:rPr>
          <w:rFonts w:ascii="Times New Roman" w:eastAsia="MS Mincho" w:hAnsi="Times New Roman"/>
          <w:bCs/>
          <w:sz w:val="24"/>
          <w:szCs w:val="24"/>
        </w:rPr>
        <w:t>.</w:t>
      </w:r>
      <w:r w:rsidRPr="00CE55BB">
        <w:rPr>
          <w:rFonts w:ascii="Times New Roman" w:eastAsia="MS Mincho" w:hAnsi="Times New Roman"/>
          <w:bCs/>
          <w:sz w:val="24"/>
          <w:szCs w:val="24"/>
        </w:rPr>
        <w:t xml:space="preserve"> </w:t>
      </w:r>
      <w:proofErr w:type="gramEnd"/>
    </w:p>
    <w:p w:rsidR="00604DAD" w:rsidRPr="00C90DDF" w:rsidRDefault="00604DAD" w:rsidP="00604DAD">
      <w:pPr>
        <w:spacing w:after="0" w:line="240" w:lineRule="auto"/>
        <w:ind w:firstLine="709"/>
        <w:rPr>
          <w:rFonts w:ascii="Times New Roman" w:eastAsia="MS Mincho" w:hAnsi="Times New Roman"/>
          <w:bCs/>
          <w:sz w:val="24"/>
          <w:szCs w:val="24"/>
          <w:u w:val="single"/>
        </w:rPr>
      </w:pPr>
      <w:r w:rsidRPr="00C90DDF">
        <w:rPr>
          <w:rFonts w:ascii="Times New Roman" w:eastAsia="MS Mincho" w:hAnsi="Times New Roman"/>
          <w:bCs/>
          <w:sz w:val="24"/>
          <w:szCs w:val="24"/>
          <w:u w:val="single"/>
        </w:rPr>
        <w:t>б) хлеб и хлебобулочные изделия</w:t>
      </w:r>
    </w:p>
    <w:p w:rsidR="00604DAD" w:rsidRDefault="00604DAD" w:rsidP="00604DAD">
      <w:pPr>
        <w:pStyle w:val="justifyfull"/>
        <w:shd w:val="clear" w:color="auto" w:fill="FFFFFF"/>
        <w:tabs>
          <w:tab w:val="left" w:pos="784"/>
        </w:tabs>
        <w:spacing w:before="0" w:beforeAutospacing="0" w:after="0" w:afterAutospacing="0" w:line="285" w:lineRule="atLeast"/>
        <w:ind w:firstLine="709"/>
        <w:jc w:val="both"/>
        <w:textAlignment w:val="baseline"/>
        <w:rPr>
          <w:rFonts w:eastAsia="MS Mincho"/>
          <w:bCs/>
        </w:rPr>
      </w:pPr>
      <w:proofErr w:type="gramStart"/>
      <w:r>
        <w:rPr>
          <w:rFonts w:eastAsia="MS Mincho"/>
          <w:bCs/>
        </w:rPr>
        <w:t xml:space="preserve">Учитывая снижение предельных отпускных цен на муку для хлебопечения в 2017 году, а также признанных экономически обоснованными затрат и нормы прибыли производителей хлебобулочных изделий с </w:t>
      </w:r>
      <w:r>
        <w:t>1 января 2017 года</w:t>
      </w:r>
      <w:r>
        <w:rPr>
          <w:rFonts w:eastAsia="MS Mincho"/>
          <w:bCs/>
        </w:rPr>
        <w:t xml:space="preserve"> предельные отпускные цены на хлеб и хлебобулочные изделия в среднем установлены на 10 копеек ниже уровня 2016 года за одну булку хлеба, за исключением цен на хлеб пшеничный и хлеб «Столовый</w:t>
      </w:r>
      <w:proofErr w:type="gramEnd"/>
      <w:r>
        <w:rPr>
          <w:rFonts w:eastAsia="MS Mincho"/>
          <w:bCs/>
        </w:rPr>
        <w:t xml:space="preserve">», производства ЗАО Рыбницкий </w:t>
      </w:r>
      <w:proofErr w:type="spellStart"/>
      <w:r>
        <w:rPr>
          <w:rFonts w:eastAsia="MS Mincho"/>
          <w:bCs/>
        </w:rPr>
        <w:t>хлебокомбинат</w:t>
      </w:r>
      <w:proofErr w:type="spellEnd"/>
      <w:r>
        <w:rPr>
          <w:rFonts w:eastAsia="MS Mincho"/>
          <w:bCs/>
        </w:rPr>
        <w:t xml:space="preserve">» (снижение – на 5 копеек за одну булку хлеба). </w:t>
      </w:r>
      <w:r>
        <w:t>Так, снижение конечных цен на хлеб и хлебобулочные изделия в 2017 году составило от 1,3% до 3,7%.</w:t>
      </w:r>
    </w:p>
    <w:p w:rsidR="00604DAD" w:rsidRPr="00C90DDF" w:rsidRDefault="00604DAD" w:rsidP="00604DAD">
      <w:pPr>
        <w:spacing w:after="0" w:line="240" w:lineRule="auto"/>
        <w:ind w:firstLine="709"/>
        <w:jc w:val="both"/>
        <w:rPr>
          <w:rFonts w:ascii="Times New Roman" w:eastAsia="MS Mincho" w:hAnsi="Times New Roman"/>
          <w:bCs/>
          <w:sz w:val="24"/>
          <w:szCs w:val="24"/>
          <w:u w:val="single"/>
        </w:rPr>
      </w:pPr>
      <w:r w:rsidRPr="00C90DDF">
        <w:rPr>
          <w:rFonts w:ascii="Times New Roman" w:eastAsia="MS Mincho" w:hAnsi="Times New Roman"/>
          <w:bCs/>
          <w:sz w:val="24"/>
          <w:szCs w:val="24"/>
          <w:u w:val="single"/>
        </w:rPr>
        <w:t>в) услуги телефонной сети и телеграфной связи</w:t>
      </w:r>
    </w:p>
    <w:p w:rsidR="00604DAD" w:rsidRPr="00CE55BB" w:rsidRDefault="00604DAD" w:rsidP="00604DAD">
      <w:pPr>
        <w:tabs>
          <w:tab w:val="left" w:pos="709"/>
        </w:tabs>
        <w:spacing w:after="0" w:line="240" w:lineRule="auto"/>
        <w:ind w:firstLine="709"/>
        <w:jc w:val="both"/>
        <w:rPr>
          <w:rFonts w:ascii="Times New Roman" w:eastAsia="MS Mincho" w:hAnsi="Times New Roman"/>
          <w:bCs/>
          <w:sz w:val="24"/>
          <w:szCs w:val="24"/>
        </w:rPr>
      </w:pPr>
      <w:r w:rsidRPr="00CE55BB">
        <w:rPr>
          <w:rFonts w:ascii="Times New Roman" w:eastAsia="MS Mincho" w:hAnsi="Times New Roman"/>
          <w:bCs/>
          <w:sz w:val="24"/>
          <w:szCs w:val="24"/>
        </w:rPr>
        <w:t xml:space="preserve">Предельные уровни тарифов на регулируемые услуги телефонной сети в 2017 году по сравнению с </w:t>
      </w:r>
      <w:proofErr w:type="gramStart"/>
      <w:r w:rsidRPr="00CE55BB">
        <w:rPr>
          <w:rFonts w:ascii="Times New Roman" w:eastAsia="MS Mincho" w:hAnsi="Times New Roman"/>
          <w:bCs/>
          <w:sz w:val="24"/>
          <w:szCs w:val="24"/>
        </w:rPr>
        <w:t>тарифами, действующими в 2016 году увеличились</w:t>
      </w:r>
      <w:proofErr w:type="gramEnd"/>
      <w:r w:rsidRPr="00CE55BB">
        <w:rPr>
          <w:rFonts w:ascii="Times New Roman" w:eastAsia="MS Mincho" w:hAnsi="Times New Roman"/>
          <w:bCs/>
          <w:sz w:val="24"/>
          <w:szCs w:val="24"/>
        </w:rPr>
        <w:t xml:space="preserve"> в среднем на 1,7</w:t>
      </w:r>
      <w:r>
        <w:rPr>
          <w:rFonts w:ascii="Times New Roman" w:eastAsia="MS Mincho" w:hAnsi="Times New Roman"/>
          <w:bCs/>
          <w:sz w:val="24"/>
          <w:szCs w:val="24"/>
        </w:rPr>
        <w:t xml:space="preserve">%. </w:t>
      </w:r>
      <w:r w:rsidRPr="00CE55BB">
        <w:rPr>
          <w:rFonts w:ascii="Times New Roman" w:eastAsia="MS Mincho" w:hAnsi="Times New Roman"/>
          <w:bCs/>
          <w:sz w:val="24"/>
          <w:szCs w:val="24"/>
        </w:rPr>
        <w:t>Данное увеличение связано с повышением уровня рентабельности до уровня предельного при расче</w:t>
      </w:r>
      <w:r>
        <w:rPr>
          <w:rFonts w:ascii="Times New Roman" w:eastAsia="MS Mincho" w:hAnsi="Times New Roman"/>
          <w:bCs/>
          <w:sz w:val="24"/>
          <w:szCs w:val="24"/>
        </w:rPr>
        <w:t>те данных тарифов, в размере 20%</w:t>
      </w:r>
      <w:r w:rsidRPr="00CE55BB">
        <w:rPr>
          <w:rFonts w:ascii="Times New Roman" w:eastAsia="MS Mincho" w:hAnsi="Times New Roman"/>
          <w:bCs/>
          <w:sz w:val="24"/>
          <w:szCs w:val="24"/>
        </w:rPr>
        <w:t>.</w:t>
      </w:r>
    </w:p>
    <w:p w:rsidR="00604DAD" w:rsidRDefault="00604DAD" w:rsidP="00604DAD">
      <w:pPr>
        <w:tabs>
          <w:tab w:val="left" w:pos="709"/>
        </w:tabs>
        <w:spacing w:after="0" w:line="240" w:lineRule="auto"/>
        <w:ind w:firstLine="709"/>
        <w:jc w:val="both"/>
        <w:rPr>
          <w:rFonts w:ascii="Times New Roman" w:eastAsia="MS Mincho" w:hAnsi="Times New Roman"/>
          <w:bCs/>
          <w:sz w:val="24"/>
          <w:szCs w:val="24"/>
        </w:rPr>
      </w:pPr>
      <w:r w:rsidRPr="00CE55BB">
        <w:rPr>
          <w:rFonts w:ascii="Times New Roman" w:eastAsia="MS Mincho" w:hAnsi="Times New Roman"/>
          <w:bCs/>
          <w:sz w:val="24"/>
          <w:szCs w:val="24"/>
        </w:rPr>
        <w:t>Предельные уровни тарифов на услуги телеграфной связи в 2017 году по сравнению с действующими тарифами в 2016 году увеличились в среднем на 7,4</w:t>
      </w:r>
      <w:r>
        <w:rPr>
          <w:rFonts w:ascii="Times New Roman" w:eastAsia="MS Mincho" w:hAnsi="Times New Roman"/>
          <w:bCs/>
          <w:sz w:val="24"/>
          <w:szCs w:val="24"/>
        </w:rPr>
        <w:t>%.</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Pr>
          <w:rFonts w:ascii="Times New Roman" w:eastAsia="MS Mincho" w:hAnsi="Times New Roman"/>
          <w:bCs/>
          <w:sz w:val="24"/>
          <w:szCs w:val="24"/>
          <w:u w:val="single"/>
        </w:rPr>
        <w:t>г</w:t>
      </w:r>
      <w:r w:rsidRPr="001567E0">
        <w:rPr>
          <w:rFonts w:ascii="Times New Roman" w:eastAsia="MS Mincho" w:hAnsi="Times New Roman"/>
          <w:bCs/>
          <w:sz w:val="24"/>
          <w:szCs w:val="24"/>
          <w:u w:val="single"/>
        </w:rPr>
        <w:t>) услуги почтовой связи</w:t>
      </w:r>
      <w:r w:rsidRPr="006C4669">
        <w:rPr>
          <w:rFonts w:ascii="Times New Roman" w:eastAsia="MS Mincho" w:hAnsi="Times New Roman"/>
          <w:bCs/>
          <w:sz w:val="24"/>
          <w:szCs w:val="24"/>
        </w:rPr>
        <w:t xml:space="preserve"> (пересылка письменной корреспонденции, посылок, денежных переводов) </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Предельные уровни тарифов на услуги почтовой связи на 2017 год установлены на уровне тарифов на данные услуги, действующих в 2016 году.</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u w:val="single"/>
        </w:rPr>
      </w:pPr>
      <w:proofErr w:type="spellStart"/>
      <w:r>
        <w:rPr>
          <w:rFonts w:ascii="Times New Roman" w:eastAsia="MS Mincho" w:hAnsi="Times New Roman"/>
          <w:bCs/>
          <w:sz w:val="24"/>
          <w:szCs w:val="24"/>
          <w:u w:val="single"/>
        </w:rPr>
        <w:t>д</w:t>
      </w:r>
      <w:proofErr w:type="spellEnd"/>
      <w:r w:rsidRPr="006C4669">
        <w:rPr>
          <w:rFonts w:ascii="Times New Roman" w:eastAsia="MS Mincho" w:hAnsi="Times New Roman"/>
          <w:bCs/>
          <w:sz w:val="24"/>
          <w:szCs w:val="24"/>
          <w:u w:val="single"/>
        </w:rPr>
        <w:t>) услуги по перевозке пассажиров и багажа автомобильным транспортом общего пользования на регулярных маршрутах и услуги по продаже проездных документов</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На 2017 год предельные уровни тарифов на услуги по перевозке пассажиров и багажа автомобильным транспортом общего пользования на регулярных маршрутах и услуги по продаже проездных документов по сравнению с тарифами, действующими в 2016 году, не изменились.</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u w:val="single"/>
        </w:rPr>
      </w:pPr>
      <w:r>
        <w:rPr>
          <w:rFonts w:ascii="Times New Roman" w:eastAsia="MS Mincho" w:hAnsi="Times New Roman"/>
          <w:bCs/>
          <w:sz w:val="24"/>
          <w:szCs w:val="24"/>
          <w:u w:val="single"/>
        </w:rPr>
        <w:t>е</w:t>
      </w:r>
      <w:r w:rsidRPr="006C4669">
        <w:rPr>
          <w:rFonts w:ascii="Times New Roman" w:eastAsia="MS Mincho" w:hAnsi="Times New Roman"/>
          <w:bCs/>
          <w:sz w:val="24"/>
          <w:szCs w:val="24"/>
          <w:u w:val="single"/>
        </w:rPr>
        <w:t>) услуги по найму государственной и муниципальной жилой площади</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Установленный на 2017 год предельный уровень тарифа на услуги по найму государственной и муниципальной жилой площади установлен на уровне тарифа на данные услуги, действующего в 2016 году.</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u w:val="single"/>
        </w:rPr>
      </w:pPr>
      <w:r w:rsidRPr="00EB17D1">
        <w:rPr>
          <w:rFonts w:ascii="Times New Roman" w:eastAsia="MS Mincho" w:hAnsi="Times New Roman"/>
          <w:bCs/>
          <w:sz w:val="24"/>
          <w:szCs w:val="24"/>
        </w:rPr>
        <w:t>ж)</w:t>
      </w:r>
      <w:r w:rsidRPr="006C4669">
        <w:rPr>
          <w:rFonts w:ascii="Times New Roman" w:eastAsia="MS Mincho" w:hAnsi="Times New Roman"/>
          <w:bCs/>
          <w:sz w:val="24"/>
          <w:szCs w:val="24"/>
          <w:u w:val="single"/>
        </w:rPr>
        <w:t xml:space="preserve"> услуги по содержанию и ремонту (включая </w:t>
      </w:r>
      <w:proofErr w:type="gramStart"/>
      <w:r w:rsidRPr="006C4669">
        <w:rPr>
          <w:rFonts w:ascii="Times New Roman" w:eastAsia="MS Mincho" w:hAnsi="Times New Roman"/>
          <w:bCs/>
          <w:sz w:val="24"/>
          <w:szCs w:val="24"/>
          <w:u w:val="single"/>
        </w:rPr>
        <w:t>капитальный</w:t>
      </w:r>
      <w:proofErr w:type="gramEnd"/>
      <w:r w:rsidRPr="006C4669">
        <w:rPr>
          <w:rFonts w:ascii="Times New Roman" w:eastAsia="MS Mincho" w:hAnsi="Times New Roman"/>
          <w:bCs/>
          <w:sz w:val="24"/>
          <w:szCs w:val="24"/>
          <w:u w:val="single"/>
        </w:rPr>
        <w:t>) жилищного фонда, санитарному содержанию зданий и прилегающих территорий</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lastRenderedPageBreak/>
        <w:t>Предельные уровни тарифов за 1 кв. м жилого помещения в месяц в 2017 году по сравнению с тарифами, действующими в 2016 году, изменились следующим образом:</w:t>
      </w:r>
    </w:p>
    <w:p w:rsidR="00604DAD" w:rsidRPr="006C4669" w:rsidRDefault="00604DAD" w:rsidP="00604DAD">
      <w:pPr>
        <w:tabs>
          <w:tab w:val="left" w:pos="709"/>
        </w:tabs>
        <w:spacing w:after="0" w:line="240" w:lineRule="auto"/>
        <w:ind w:firstLine="709"/>
        <w:jc w:val="both"/>
        <w:rPr>
          <w:rFonts w:ascii="Times New Roman" w:eastAsia="MS Mincho" w:hAnsi="Times New Roman"/>
          <w:bCs/>
          <w:i/>
          <w:sz w:val="24"/>
          <w:szCs w:val="24"/>
        </w:rPr>
      </w:pPr>
      <w:r w:rsidRPr="006C4669">
        <w:rPr>
          <w:rFonts w:ascii="Times New Roman" w:eastAsia="MS Mincho" w:hAnsi="Times New Roman"/>
          <w:bCs/>
          <w:i/>
          <w:sz w:val="24"/>
          <w:szCs w:val="24"/>
        </w:rPr>
        <w:t>1. снижение по услугам:</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 техническое обслуживание и ремонт внутридомовых сетей холодного водоснабжения и канализации на 9,1</w:t>
      </w:r>
      <w:r>
        <w:rPr>
          <w:rFonts w:ascii="Times New Roman" w:eastAsia="MS Mincho" w:hAnsi="Times New Roman"/>
          <w:bCs/>
          <w:sz w:val="24"/>
          <w:szCs w:val="24"/>
        </w:rPr>
        <w:t>%</w:t>
      </w:r>
      <w:r w:rsidRPr="006C4669">
        <w:rPr>
          <w:rFonts w:ascii="Times New Roman" w:eastAsia="MS Mincho" w:hAnsi="Times New Roman"/>
          <w:bCs/>
          <w:sz w:val="24"/>
          <w:szCs w:val="24"/>
        </w:rPr>
        <w:t xml:space="preserve"> или на 0,02 руб.;</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 диагностика, электроизмерительные работы и освидетельствование лифтов на 20,0</w:t>
      </w:r>
      <w:r>
        <w:rPr>
          <w:rFonts w:ascii="Times New Roman" w:eastAsia="MS Mincho" w:hAnsi="Times New Roman"/>
          <w:bCs/>
          <w:sz w:val="24"/>
          <w:szCs w:val="24"/>
        </w:rPr>
        <w:t>%</w:t>
      </w:r>
      <w:r w:rsidRPr="006C4669">
        <w:rPr>
          <w:rFonts w:ascii="Times New Roman" w:eastAsia="MS Mincho" w:hAnsi="Times New Roman"/>
          <w:bCs/>
          <w:sz w:val="24"/>
          <w:szCs w:val="24"/>
        </w:rPr>
        <w:t xml:space="preserve"> или на 0,01 руб.;</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 санитарное содержание придомовых территорий на 4,0</w:t>
      </w:r>
      <w:r>
        <w:rPr>
          <w:rFonts w:ascii="Times New Roman" w:eastAsia="MS Mincho" w:hAnsi="Times New Roman"/>
          <w:bCs/>
          <w:sz w:val="24"/>
          <w:szCs w:val="24"/>
        </w:rPr>
        <w:t>%</w:t>
      </w:r>
      <w:r w:rsidRPr="006C4669">
        <w:rPr>
          <w:rFonts w:ascii="Times New Roman" w:eastAsia="MS Mincho" w:hAnsi="Times New Roman"/>
          <w:bCs/>
          <w:sz w:val="24"/>
          <w:szCs w:val="24"/>
        </w:rPr>
        <w:t xml:space="preserve"> или на 0,02 руб.</w:t>
      </w:r>
    </w:p>
    <w:p w:rsidR="00604DAD" w:rsidRPr="006C4669" w:rsidRDefault="00604DAD" w:rsidP="00604DAD">
      <w:pPr>
        <w:tabs>
          <w:tab w:val="left" w:pos="709"/>
        </w:tabs>
        <w:spacing w:after="0" w:line="240" w:lineRule="auto"/>
        <w:ind w:firstLine="709"/>
        <w:jc w:val="both"/>
        <w:rPr>
          <w:rFonts w:ascii="Times New Roman" w:eastAsia="MS Mincho" w:hAnsi="Times New Roman"/>
          <w:bCs/>
          <w:i/>
          <w:sz w:val="24"/>
          <w:szCs w:val="24"/>
        </w:rPr>
      </w:pPr>
      <w:r w:rsidRPr="006C4669">
        <w:rPr>
          <w:rFonts w:ascii="Times New Roman" w:eastAsia="MS Mincho" w:hAnsi="Times New Roman"/>
          <w:bCs/>
          <w:i/>
          <w:sz w:val="24"/>
          <w:szCs w:val="24"/>
        </w:rPr>
        <w:t>2. увеличение по услугам:</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 техническое обслуживание и текущий ремонт строительных конструкций здания на 3,1</w:t>
      </w:r>
      <w:r>
        <w:rPr>
          <w:rFonts w:ascii="Times New Roman" w:eastAsia="MS Mincho" w:hAnsi="Times New Roman"/>
          <w:bCs/>
          <w:sz w:val="24"/>
          <w:szCs w:val="24"/>
        </w:rPr>
        <w:t>%</w:t>
      </w:r>
      <w:r w:rsidRPr="006C4669">
        <w:rPr>
          <w:rFonts w:ascii="Times New Roman" w:eastAsia="MS Mincho" w:hAnsi="Times New Roman"/>
          <w:bCs/>
          <w:sz w:val="24"/>
          <w:szCs w:val="24"/>
        </w:rPr>
        <w:t xml:space="preserve"> или на 0,02 руб.;</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 капитальный ремонт строительных конструкций зданий на 6,5</w:t>
      </w:r>
      <w:r>
        <w:rPr>
          <w:rFonts w:ascii="Times New Roman" w:eastAsia="MS Mincho" w:hAnsi="Times New Roman"/>
          <w:bCs/>
          <w:sz w:val="24"/>
          <w:szCs w:val="24"/>
        </w:rPr>
        <w:t>%</w:t>
      </w:r>
      <w:r w:rsidRPr="006C4669">
        <w:rPr>
          <w:rFonts w:ascii="Times New Roman" w:eastAsia="MS Mincho" w:hAnsi="Times New Roman"/>
          <w:bCs/>
          <w:sz w:val="24"/>
          <w:szCs w:val="24"/>
        </w:rPr>
        <w:t xml:space="preserve"> или на 0,02 руб.;</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 капитальный ремонт лифтов на 4,8</w:t>
      </w:r>
      <w:r>
        <w:rPr>
          <w:rFonts w:ascii="Times New Roman" w:eastAsia="MS Mincho" w:hAnsi="Times New Roman"/>
          <w:bCs/>
          <w:sz w:val="24"/>
          <w:szCs w:val="24"/>
        </w:rPr>
        <w:t>%</w:t>
      </w:r>
      <w:r w:rsidRPr="006C4669">
        <w:rPr>
          <w:rFonts w:ascii="Times New Roman" w:eastAsia="MS Mincho" w:hAnsi="Times New Roman"/>
          <w:bCs/>
          <w:sz w:val="24"/>
          <w:szCs w:val="24"/>
        </w:rPr>
        <w:t xml:space="preserve"> или на 0,01 руб.</w:t>
      </w:r>
    </w:p>
    <w:p w:rsidR="00604DAD" w:rsidRPr="001567E0" w:rsidRDefault="00604DAD" w:rsidP="00604DAD">
      <w:pPr>
        <w:tabs>
          <w:tab w:val="left" w:pos="709"/>
        </w:tabs>
        <w:spacing w:after="0" w:line="240" w:lineRule="auto"/>
        <w:ind w:firstLine="709"/>
        <w:jc w:val="both"/>
        <w:rPr>
          <w:rFonts w:ascii="Times New Roman" w:eastAsia="MS Mincho" w:hAnsi="Times New Roman"/>
          <w:bCs/>
          <w:sz w:val="24"/>
          <w:szCs w:val="24"/>
          <w:u w:val="single"/>
        </w:rPr>
      </w:pPr>
      <w:proofErr w:type="spellStart"/>
      <w:r>
        <w:rPr>
          <w:rFonts w:ascii="Times New Roman" w:eastAsia="MS Mincho" w:hAnsi="Times New Roman"/>
          <w:bCs/>
          <w:sz w:val="24"/>
          <w:szCs w:val="24"/>
          <w:u w:val="single"/>
        </w:rPr>
        <w:t>з</w:t>
      </w:r>
      <w:proofErr w:type="spellEnd"/>
      <w:r w:rsidRPr="001567E0">
        <w:rPr>
          <w:rFonts w:ascii="Times New Roman" w:eastAsia="MS Mincho" w:hAnsi="Times New Roman"/>
          <w:bCs/>
          <w:sz w:val="24"/>
          <w:szCs w:val="24"/>
          <w:u w:val="single"/>
        </w:rPr>
        <w:t xml:space="preserve">) услуги по сбору и вывозу твёрдых и жидких бытовых отходов </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proofErr w:type="gramStart"/>
      <w:r w:rsidRPr="006C4669">
        <w:rPr>
          <w:rFonts w:ascii="Times New Roman" w:eastAsia="MS Mincho" w:hAnsi="Times New Roman"/>
          <w:bCs/>
          <w:sz w:val="24"/>
          <w:szCs w:val="24"/>
        </w:rPr>
        <w:t>Предельные уровни тарифов на услуги по сбору и вывозу твердых и жидких бытовых отходов, оказываемые на территории г</w:t>
      </w:r>
      <w:r>
        <w:rPr>
          <w:rFonts w:ascii="Times New Roman" w:eastAsia="MS Mincho" w:hAnsi="Times New Roman"/>
          <w:bCs/>
          <w:sz w:val="24"/>
          <w:szCs w:val="24"/>
        </w:rPr>
        <w:t>.</w:t>
      </w:r>
      <w:r w:rsidRPr="006C4669">
        <w:rPr>
          <w:rFonts w:ascii="Times New Roman" w:eastAsia="MS Mincho" w:hAnsi="Times New Roman"/>
          <w:bCs/>
          <w:sz w:val="24"/>
          <w:szCs w:val="24"/>
        </w:rPr>
        <w:t xml:space="preserve"> Тирасполь, г</w:t>
      </w:r>
      <w:r>
        <w:rPr>
          <w:rFonts w:ascii="Times New Roman" w:eastAsia="MS Mincho" w:hAnsi="Times New Roman"/>
          <w:bCs/>
          <w:sz w:val="24"/>
          <w:szCs w:val="24"/>
        </w:rPr>
        <w:t>.</w:t>
      </w:r>
      <w:r w:rsidRPr="006C4669">
        <w:rPr>
          <w:rFonts w:ascii="Times New Roman" w:eastAsia="MS Mincho" w:hAnsi="Times New Roman"/>
          <w:bCs/>
          <w:sz w:val="24"/>
          <w:szCs w:val="24"/>
        </w:rPr>
        <w:t xml:space="preserve"> Днестровск, г</w:t>
      </w:r>
      <w:r>
        <w:rPr>
          <w:rFonts w:ascii="Times New Roman" w:eastAsia="MS Mincho" w:hAnsi="Times New Roman"/>
          <w:bCs/>
          <w:sz w:val="24"/>
          <w:szCs w:val="24"/>
        </w:rPr>
        <w:t>.</w:t>
      </w:r>
      <w:r w:rsidRPr="006C4669">
        <w:rPr>
          <w:rFonts w:ascii="Times New Roman" w:eastAsia="MS Mincho" w:hAnsi="Times New Roman"/>
          <w:bCs/>
          <w:sz w:val="24"/>
          <w:szCs w:val="24"/>
        </w:rPr>
        <w:t xml:space="preserve"> Бендеры, </w:t>
      </w:r>
      <w:proofErr w:type="spellStart"/>
      <w:r w:rsidRPr="006C4669">
        <w:rPr>
          <w:rFonts w:ascii="Times New Roman" w:eastAsia="MS Mincho" w:hAnsi="Times New Roman"/>
          <w:bCs/>
          <w:sz w:val="24"/>
          <w:szCs w:val="24"/>
        </w:rPr>
        <w:t>Слободзейского</w:t>
      </w:r>
      <w:proofErr w:type="spellEnd"/>
      <w:r w:rsidRPr="006C4669">
        <w:rPr>
          <w:rFonts w:ascii="Times New Roman" w:eastAsia="MS Mincho" w:hAnsi="Times New Roman"/>
          <w:bCs/>
          <w:sz w:val="24"/>
          <w:szCs w:val="24"/>
        </w:rPr>
        <w:t xml:space="preserve"> района и г</w:t>
      </w:r>
      <w:r>
        <w:rPr>
          <w:rFonts w:ascii="Times New Roman" w:eastAsia="MS Mincho" w:hAnsi="Times New Roman"/>
          <w:bCs/>
          <w:sz w:val="24"/>
          <w:szCs w:val="24"/>
        </w:rPr>
        <w:t>.</w:t>
      </w:r>
      <w:r w:rsidRPr="006C4669">
        <w:rPr>
          <w:rFonts w:ascii="Times New Roman" w:eastAsia="MS Mincho" w:hAnsi="Times New Roman"/>
          <w:bCs/>
          <w:sz w:val="24"/>
          <w:szCs w:val="24"/>
        </w:rPr>
        <w:t xml:space="preserve"> Слободзея, </w:t>
      </w:r>
      <w:proofErr w:type="spellStart"/>
      <w:r w:rsidRPr="006C4669">
        <w:rPr>
          <w:rFonts w:ascii="Times New Roman" w:eastAsia="MS Mincho" w:hAnsi="Times New Roman"/>
          <w:bCs/>
          <w:sz w:val="24"/>
          <w:szCs w:val="24"/>
        </w:rPr>
        <w:t>Григориопольского</w:t>
      </w:r>
      <w:proofErr w:type="spellEnd"/>
      <w:r w:rsidRPr="006C4669">
        <w:rPr>
          <w:rFonts w:ascii="Times New Roman" w:eastAsia="MS Mincho" w:hAnsi="Times New Roman"/>
          <w:bCs/>
          <w:sz w:val="24"/>
          <w:szCs w:val="24"/>
        </w:rPr>
        <w:t xml:space="preserve"> района и г</w:t>
      </w:r>
      <w:r>
        <w:rPr>
          <w:rFonts w:ascii="Times New Roman" w:eastAsia="MS Mincho" w:hAnsi="Times New Roman"/>
          <w:bCs/>
          <w:sz w:val="24"/>
          <w:szCs w:val="24"/>
        </w:rPr>
        <w:t>.</w:t>
      </w:r>
      <w:r w:rsidRPr="006C4669">
        <w:rPr>
          <w:rFonts w:ascii="Times New Roman" w:eastAsia="MS Mincho" w:hAnsi="Times New Roman"/>
          <w:bCs/>
          <w:sz w:val="24"/>
          <w:szCs w:val="24"/>
        </w:rPr>
        <w:t xml:space="preserve"> Григориополь, а также </w:t>
      </w:r>
      <w:proofErr w:type="spellStart"/>
      <w:r w:rsidRPr="006C4669">
        <w:rPr>
          <w:rFonts w:ascii="Times New Roman" w:eastAsia="MS Mincho" w:hAnsi="Times New Roman"/>
          <w:bCs/>
          <w:sz w:val="24"/>
          <w:szCs w:val="24"/>
        </w:rPr>
        <w:t>Рыбницкого</w:t>
      </w:r>
      <w:proofErr w:type="spellEnd"/>
      <w:r w:rsidRPr="006C4669">
        <w:rPr>
          <w:rFonts w:ascii="Times New Roman" w:eastAsia="MS Mincho" w:hAnsi="Times New Roman"/>
          <w:bCs/>
          <w:sz w:val="24"/>
          <w:szCs w:val="24"/>
        </w:rPr>
        <w:t xml:space="preserve"> района и г</w:t>
      </w:r>
      <w:r>
        <w:rPr>
          <w:rFonts w:ascii="Times New Roman" w:eastAsia="MS Mincho" w:hAnsi="Times New Roman"/>
          <w:bCs/>
          <w:sz w:val="24"/>
          <w:szCs w:val="24"/>
        </w:rPr>
        <w:t>.</w:t>
      </w:r>
      <w:r w:rsidRPr="006C4669">
        <w:rPr>
          <w:rFonts w:ascii="Times New Roman" w:eastAsia="MS Mincho" w:hAnsi="Times New Roman"/>
          <w:bCs/>
          <w:sz w:val="24"/>
          <w:szCs w:val="24"/>
        </w:rPr>
        <w:t xml:space="preserve"> Рыбница в 2017 году по сравнению с предельными уровнями тарифов, действующими в 2016 году, увеличились в пределах от 1,0</w:t>
      </w:r>
      <w:r>
        <w:rPr>
          <w:rFonts w:ascii="Times New Roman" w:eastAsia="MS Mincho" w:hAnsi="Times New Roman"/>
          <w:bCs/>
          <w:sz w:val="24"/>
          <w:szCs w:val="24"/>
        </w:rPr>
        <w:t>%</w:t>
      </w:r>
      <w:r w:rsidRPr="006C4669">
        <w:rPr>
          <w:rFonts w:ascii="Times New Roman" w:eastAsia="MS Mincho" w:hAnsi="Times New Roman"/>
          <w:bCs/>
          <w:sz w:val="24"/>
          <w:szCs w:val="24"/>
        </w:rPr>
        <w:t xml:space="preserve"> до 32,0</w:t>
      </w:r>
      <w:proofErr w:type="gramEnd"/>
      <w:r>
        <w:rPr>
          <w:rFonts w:ascii="Times New Roman" w:eastAsia="MS Mincho" w:hAnsi="Times New Roman"/>
          <w:bCs/>
          <w:sz w:val="24"/>
          <w:szCs w:val="24"/>
        </w:rPr>
        <w:t>%</w:t>
      </w:r>
      <w:r w:rsidRPr="006C4669">
        <w:rPr>
          <w:rFonts w:ascii="Times New Roman" w:eastAsia="MS Mincho" w:hAnsi="Times New Roman"/>
          <w:bCs/>
          <w:sz w:val="24"/>
          <w:szCs w:val="24"/>
        </w:rPr>
        <w:t xml:space="preserve">. На территории </w:t>
      </w:r>
      <w:proofErr w:type="spellStart"/>
      <w:r w:rsidRPr="006C4669">
        <w:rPr>
          <w:rFonts w:ascii="Times New Roman" w:eastAsia="MS Mincho" w:hAnsi="Times New Roman"/>
          <w:bCs/>
          <w:sz w:val="24"/>
          <w:szCs w:val="24"/>
        </w:rPr>
        <w:t>Дубоссарского</w:t>
      </w:r>
      <w:proofErr w:type="spellEnd"/>
      <w:r w:rsidRPr="006C4669">
        <w:rPr>
          <w:rFonts w:ascii="Times New Roman" w:eastAsia="MS Mincho" w:hAnsi="Times New Roman"/>
          <w:bCs/>
          <w:sz w:val="24"/>
          <w:szCs w:val="24"/>
        </w:rPr>
        <w:t xml:space="preserve"> района и </w:t>
      </w:r>
      <w:proofErr w:type="gramStart"/>
      <w:r w:rsidRPr="006C4669">
        <w:rPr>
          <w:rFonts w:ascii="Times New Roman" w:eastAsia="MS Mincho" w:hAnsi="Times New Roman"/>
          <w:bCs/>
          <w:sz w:val="24"/>
          <w:szCs w:val="24"/>
        </w:rPr>
        <w:t>г</w:t>
      </w:r>
      <w:proofErr w:type="gramEnd"/>
      <w:r>
        <w:rPr>
          <w:rFonts w:ascii="Times New Roman" w:eastAsia="MS Mincho" w:hAnsi="Times New Roman"/>
          <w:bCs/>
          <w:sz w:val="24"/>
          <w:szCs w:val="24"/>
        </w:rPr>
        <w:t>.</w:t>
      </w:r>
      <w:r w:rsidRPr="006C4669">
        <w:rPr>
          <w:rFonts w:ascii="Times New Roman" w:eastAsia="MS Mincho" w:hAnsi="Times New Roman"/>
          <w:bCs/>
          <w:sz w:val="24"/>
          <w:szCs w:val="24"/>
        </w:rPr>
        <w:t xml:space="preserve"> Дубоссары предельные уровни тарифов на данные услуги в 2017 году по сравнению с предельными уровнями тарифов, действующими в </w:t>
      </w:r>
      <w:r w:rsidR="00185C09">
        <w:rPr>
          <w:rFonts w:ascii="Times New Roman" w:eastAsia="MS Mincho" w:hAnsi="Times New Roman"/>
          <w:bCs/>
          <w:sz w:val="24"/>
          <w:szCs w:val="24"/>
        </w:rPr>
        <w:t xml:space="preserve">               </w:t>
      </w:r>
      <w:r w:rsidRPr="006C4669">
        <w:rPr>
          <w:rFonts w:ascii="Times New Roman" w:eastAsia="MS Mincho" w:hAnsi="Times New Roman"/>
          <w:bCs/>
          <w:sz w:val="24"/>
          <w:szCs w:val="24"/>
        </w:rPr>
        <w:t>2016 году, снизились на 1,7</w:t>
      </w:r>
      <w:r>
        <w:rPr>
          <w:rFonts w:ascii="Times New Roman" w:eastAsia="MS Mincho" w:hAnsi="Times New Roman"/>
          <w:bCs/>
          <w:sz w:val="24"/>
          <w:szCs w:val="24"/>
        </w:rPr>
        <w:t>%</w:t>
      </w:r>
      <w:r w:rsidRPr="006C4669">
        <w:rPr>
          <w:rFonts w:ascii="Times New Roman" w:eastAsia="MS Mincho" w:hAnsi="Times New Roman"/>
          <w:bCs/>
          <w:sz w:val="24"/>
          <w:szCs w:val="24"/>
        </w:rPr>
        <w:t>.</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На 2017 год предельные уровни тарифов на услуги по сбору и вывозу жидких бытовых отходов сформированы с учетом необходимости проведения субъектами ценообразования работ по содержанию полигонов твердых бытовых отходов.</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Pr>
          <w:rFonts w:ascii="Times New Roman" w:eastAsia="MS Mincho" w:hAnsi="Times New Roman"/>
          <w:bCs/>
          <w:sz w:val="24"/>
          <w:szCs w:val="24"/>
          <w:u w:val="single"/>
        </w:rPr>
        <w:t>и</w:t>
      </w:r>
      <w:r w:rsidRPr="001567E0">
        <w:rPr>
          <w:rFonts w:ascii="Times New Roman" w:eastAsia="MS Mincho" w:hAnsi="Times New Roman"/>
          <w:bCs/>
          <w:sz w:val="24"/>
          <w:szCs w:val="24"/>
          <w:u w:val="single"/>
        </w:rPr>
        <w:t>) услуги почтовой связи</w:t>
      </w:r>
      <w:r w:rsidRPr="006C4669">
        <w:rPr>
          <w:rFonts w:ascii="Times New Roman" w:eastAsia="MS Mincho" w:hAnsi="Times New Roman"/>
          <w:bCs/>
          <w:sz w:val="24"/>
          <w:szCs w:val="24"/>
        </w:rPr>
        <w:t xml:space="preserve"> (пересылка письменной корреспонденции, посылок, денежных переводов) </w:t>
      </w:r>
    </w:p>
    <w:p w:rsidR="00604DAD" w:rsidRPr="006C4669" w:rsidRDefault="00604DAD" w:rsidP="00604DAD">
      <w:pPr>
        <w:tabs>
          <w:tab w:val="left" w:pos="709"/>
        </w:tabs>
        <w:spacing w:after="0" w:line="240" w:lineRule="auto"/>
        <w:ind w:firstLine="709"/>
        <w:jc w:val="both"/>
        <w:rPr>
          <w:rFonts w:ascii="Times New Roman" w:eastAsia="MS Mincho" w:hAnsi="Times New Roman"/>
          <w:bCs/>
          <w:sz w:val="24"/>
          <w:szCs w:val="24"/>
        </w:rPr>
      </w:pPr>
      <w:r w:rsidRPr="006C4669">
        <w:rPr>
          <w:rFonts w:ascii="Times New Roman" w:eastAsia="MS Mincho" w:hAnsi="Times New Roman"/>
          <w:bCs/>
          <w:sz w:val="24"/>
          <w:szCs w:val="24"/>
        </w:rPr>
        <w:t>Предельные уровни тарифов на услуги почтовой связи на 2017 год установлены на уровне тарифов на данные услуги, действующих в 2016 году.</w:t>
      </w:r>
    </w:p>
    <w:p w:rsidR="00604DAD" w:rsidRPr="00C90DDF" w:rsidRDefault="00604DAD" w:rsidP="00604DAD">
      <w:pPr>
        <w:tabs>
          <w:tab w:val="left" w:pos="709"/>
        </w:tabs>
        <w:spacing w:after="0" w:line="240" w:lineRule="auto"/>
        <w:ind w:firstLine="709"/>
        <w:jc w:val="both"/>
        <w:rPr>
          <w:rFonts w:ascii="Times New Roman" w:eastAsia="MS Mincho" w:hAnsi="Times New Roman"/>
          <w:b/>
          <w:bCs/>
          <w:sz w:val="24"/>
          <w:szCs w:val="24"/>
        </w:rPr>
      </w:pPr>
      <w:r w:rsidRPr="00C90DDF">
        <w:rPr>
          <w:rFonts w:ascii="Times New Roman" w:eastAsia="MS Mincho" w:hAnsi="Times New Roman"/>
          <w:b/>
          <w:bCs/>
          <w:sz w:val="24"/>
          <w:szCs w:val="24"/>
        </w:rPr>
        <w:t>Тарифная политика в сфере услуг государственных и муниципальных учреждений</w:t>
      </w:r>
    </w:p>
    <w:p w:rsidR="00604DAD" w:rsidRPr="001567E0" w:rsidRDefault="00604DAD" w:rsidP="00604DAD">
      <w:pPr>
        <w:tabs>
          <w:tab w:val="left" w:pos="709"/>
        </w:tabs>
        <w:spacing w:after="0" w:line="240" w:lineRule="auto"/>
        <w:ind w:firstLine="709"/>
        <w:jc w:val="both"/>
        <w:rPr>
          <w:rFonts w:ascii="Times New Roman" w:hAnsi="Times New Roman"/>
          <w:bCs/>
          <w:sz w:val="24"/>
          <w:szCs w:val="24"/>
        </w:rPr>
      </w:pPr>
      <w:r w:rsidRPr="001567E0">
        <w:rPr>
          <w:rFonts w:ascii="Times New Roman" w:hAnsi="Times New Roman"/>
          <w:bCs/>
          <w:sz w:val="24"/>
          <w:szCs w:val="24"/>
        </w:rPr>
        <w:t>Тарифная политика на 2017 год в сфере услуг государственных и муниципальных учреждений (8 075 услуг, в том числе 3 741 медицинских услуг) сформирована с учетом норм действующего законодательства в области ценообразования и влияния следующих факторов:</w:t>
      </w:r>
    </w:p>
    <w:p w:rsidR="00604DAD" w:rsidRPr="001567E0" w:rsidRDefault="00604DAD" w:rsidP="00604DAD">
      <w:pPr>
        <w:tabs>
          <w:tab w:val="left" w:pos="709"/>
          <w:tab w:val="left" w:pos="851"/>
        </w:tabs>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Pr="001567E0">
        <w:rPr>
          <w:rFonts w:ascii="Times New Roman" w:hAnsi="Times New Roman"/>
          <w:bCs/>
          <w:sz w:val="24"/>
          <w:szCs w:val="24"/>
        </w:rPr>
        <w:tab/>
        <w:t>изменения среднегодового РУ МЗП на соответствующий расчетный период регулирования;</w:t>
      </w:r>
    </w:p>
    <w:p w:rsidR="00604DAD" w:rsidRPr="001567E0" w:rsidRDefault="00604DAD" w:rsidP="00604DAD">
      <w:pPr>
        <w:tabs>
          <w:tab w:val="left" w:pos="709"/>
          <w:tab w:val="left" w:pos="851"/>
        </w:tabs>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Pr="001567E0">
        <w:rPr>
          <w:rFonts w:ascii="Times New Roman" w:hAnsi="Times New Roman"/>
          <w:bCs/>
          <w:sz w:val="24"/>
          <w:szCs w:val="24"/>
        </w:rPr>
        <w:tab/>
        <w:t>влияния инфляционных процессов;</w:t>
      </w:r>
    </w:p>
    <w:p w:rsidR="00604DAD" w:rsidRPr="001567E0" w:rsidRDefault="00604DAD" w:rsidP="00604DAD">
      <w:pPr>
        <w:tabs>
          <w:tab w:val="left" w:pos="709"/>
          <w:tab w:val="left" w:pos="851"/>
        </w:tabs>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Pr="001567E0">
        <w:rPr>
          <w:rFonts w:ascii="Times New Roman" w:hAnsi="Times New Roman"/>
          <w:bCs/>
          <w:sz w:val="24"/>
          <w:szCs w:val="24"/>
        </w:rPr>
        <w:tab/>
        <w:t>фактических результатов деятельности государственных и муниципальных учреждений по итогам работы за прошедшие расчетные периоды регулирования;</w:t>
      </w:r>
    </w:p>
    <w:p w:rsidR="00604DAD" w:rsidRDefault="00604DAD" w:rsidP="00604DAD">
      <w:pPr>
        <w:tabs>
          <w:tab w:val="left" w:pos="709"/>
        </w:tabs>
        <w:spacing w:after="0" w:line="240" w:lineRule="auto"/>
        <w:ind w:firstLine="709"/>
        <w:jc w:val="both"/>
        <w:rPr>
          <w:rFonts w:ascii="Times New Roman" w:hAnsi="Times New Roman"/>
          <w:bCs/>
          <w:sz w:val="24"/>
          <w:szCs w:val="24"/>
        </w:rPr>
      </w:pPr>
      <w:r w:rsidRPr="001567E0">
        <w:rPr>
          <w:rFonts w:ascii="Times New Roman" w:hAnsi="Times New Roman"/>
          <w:bCs/>
          <w:sz w:val="24"/>
          <w:szCs w:val="24"/>
        </w:rPr>
        <w:t>В 2017 году по сравнению с 2016 годом предельные уровни тарифов на услуги государственных и муниципальных учреждений в среднем увеличились на 3</w:t>
      </w:r>
      <w:r>
        <w:rPr>
          <w:rFonts w:ascii="Times New Roman" w:hAnsi="Times New Roman"/>
          <w:bCs/>
          <w:sz w:val="24"/>
          <w:szCs w:val="24"/>
        </w:rPr>
        <w:t>%</w:t>
      </w:r>
      <w:r w:rsidRPr="001567E0">
        <w:rPr>
          <w:rFonts w:ascii="Times New Roman" w:hAnsi="Times New Roman"/>
          <w:bCs/>
          <w:sz w:val="24"/>
          <w:szCs w:val="24"/>
        </w:rPr>
        <w:t>.</w:t>
      </w:r>
    </w:p>
    <w:p w:rsidR="00604DAD" w:rsidRPr="00C90DDF" w:rsidRDefault="00604DAD" w:rsidP="00604DAD">
      <w:pPr>
        <w:tabs>
          <w:tab w:val="left" w:pos="709"/>
        </w:tabs>
        <w:spacing w:after="0" w:line="240" w:lineRule="auto"/>
        <w:ind w:firstLine="709"/>
        <w:jc w:val="both"/>
        <w:rPr>
          <w:rFonts w:ascii="Times New Roman" w:eastAsia="MS Mincho" w:hAnsi="Times New Roman"/>
          <w:b/>
          <w:bCs/>
          <w:sz w:val="24"/>
          <w:szCs w:val="24"/>
        </w:rPr>
      </w:pPr>
      <w:r w:rsidRPr="00C90DDF">
        <w:rPr>
          <w:rFonts w:ascii="Times New Roman" w:eastAsia="MS Mincho" w:hAnsi="Times New Roman"/>
          <w:b/>
          <w:bCs/>
          <w:sz w:val="24"/>
          <w:szCs w:val="24"/>
        </w:rPr>
        <w:t>Тарифная политика в сфере работ, услуг по стандартизации, метрологии и обязательной сертификации продукции и услуг</w:t>
      </w:r>
    </w:p>
    <w:p w:rsidR="00604DAD" w:rsidRPr="00C90DDF" w:rsidRDefault="00604DAD" w:rsidP="00604DAD">
      <w:pPr>
        <w:tabs>
          <w:tab w:val="left" w:pos="709"/>
        </w:tabs>
        <w:spacing w:after="0" w:line="240" w:lineRule="auto"/>
        <w:ind w:firstLine="709"/>
        <w:jc w:val="both"/>
        <w:rPr>
          <w:rFonts w:ascii="Times New Roman" w:hAnsi="Times New Roman"/>
          <w:color w:val="000000"/>
          <w:sz w:val="24"/>
          <w:szCs w:val="24"/>
          <w:lang w:bidi="ru-RU"/>
        </w:rPr>
      </w:pPr>
      <w:r w:rsidRPr="001567E0">
        <w:rPr>
          <w:rFonts w:ascii="Times New Roman" w:eastAsia="MS Mincho" w:hAnsi="Times New Roman"/>
          <w:bCs/>
          <w:sz w:val="24"/>
          <w:szCs w:val="24"/>
        </w:rPr>
        <w:t>В 2017 году по сравнению с 2016 годом снижение тарифов на работы, услуги по стандартизации, метрологии и обязательной сертификации продукции и услуг составило в среднем 0,4</w:t>
      </w:r>
      <w:r>
        <w:rPr>
          <w:rFonts w:ascii="Times New Roman" w:eastAsia="MS Mincho" w:hAnsi="Times New Roman"/>
          <w:bCs/>
          <w:sz w:val="24"/>
          <w:szCs w:val="24"/>
        </w:rPr>
        <w:t>%</w:t>
      </w:r>
      <w:r w:rsidRPr="001567E0">
        <w:rPr>
          <w:rFonts w:ascii="Times New Roman" w:eastAsia="MS Mincho" w:hAnsi="Times New Roman"/>
          <w:bCs/>
          <w:sz w:val="24"/>
          <w:szCs w:val="24"/>
        </w:rPr>
        <w:t>.</w:t>
      </w:r>
    </w:p>
    <w:p w:rsidR="00604DAD" w:rsidRDefault="00604DAD" w:rsidP="00CE326F">
      <w:pPr>
        <w:spacing w:after="0" w:line="240" w:lineRule="auto"/>
        <w:ind w:firstLine="708"/>
        <w:jc w:val="both"/>
        <w:rPr>
          <w:rFonts w:ascii="Times New Roman" w:hAnsi="Times New Roman"/>
          <w:sz w:val="24"/>
          <w:szCs w:val="24"/>
        </w:rPr>
      </w:pPr>
    </w:p>
    <w:p w:rsidR="00797085" w:rsidRPr="008B3BD3" w:rsidRDefault="00797085" w:rsidP="00797085">
      <w:pPr>
        <w:spacing w:after="0" w:line="240" w:lineRule="auto"/>
        <w:ind w:firstLine="709"/>
        <w:jc w:val="both"/>
        <w:rPr>
          <w:rFonts w:ascii="Times New Roman" w:hAnsi="Times New Roman"/>
          <w:b/>
          <w:sz w:val="24"/>
          <w:szCs w:val="24"/>
        </w:rPr>
      </w:pPr>
      <w:r w:rsidRPr="008B3BD3">
        <w:rPr>
          <w:rFonts w:ascii="Times New Roman" w:hAnsi="Times New Roman"/>
          <w:b/>
          <w:sz w:val="24"/>
          <w:szCs w:val="24"/>
        </w:rPr>
        <w:t>Инфляционные процессы</w:t>
      </w:r>
    </w:p>
    <w:p w:rsidR="00797085" w:rsidRDefault="00797085" w:rsidP="00797085">
      <w:pPr>
        <w:spacing w:after="0" w:line="240" w:lineRule="auto"/>
        <w:ind w:left="4" w:firstLine="705"/>
        <w:jc w:val="both"/>
        <w:rPr>
          <w:rFonts w:ascii="Times New Roman" w:hAnsi="Times New Roman"/>
          <w:sz w:val="24"/>
          <w:szCs w:val="24"/>
        </w:rPr>
      </w:pPr>
      <w:r>
        <w:rPr>
          <w:rFonts w:ascii="Times New Roman" w:hAnsi="Times New Roman"/>
          <w:sz w:val="24"/>
          <w:szCs w:val="24"/>
        </w:rPr>
        <w:t>П</w:t>
      </w:r>
      <w:r w:rsidRPr="008A1697">
        <w:rPr>
          <w:rFonts w:ascii="Times New Roman" w:hAnsi="Times New Roman"/>
          <w:sz w:val="24"/>
          <w:szCs w:val="24"/>
        </w:rPr>
        <w:t>овышение инфляционного фона</w:t>
      </w:r>
      <w:r>
        <w:rPr>
          <w:rFonts w:ascii="Times New Roman" w:hAnsi="Times New Roman"/>
          <w:sz w:val="24"/>
          <w:szCs w:val="24"/>
        </w:rPr>
        <w:t xml:space="preserve"> в 2017 году</w:t>
      </w:r>
      <w:r w:rsidRPr="008A1697">
        <w:rPr>
          <w:rFonts w:ascii="Times New Roman" w:hAnsi="Times New Roman"/>
          <w:sz w:val="24"/>
          <w:szCs w:val="24"/>
        </w:rPr>
        <w:t xml:space="preserve"> следует отнести к негативным последствиям реализованной девальвации в условиях высокой открытости приднестровской экономики. С учётом изменения трендов на мировых продовольственных рынках это обусловило формирование по итогам 2017 года </w:t>
      </w:r>
      <w:r w:rsidRPr="008A1697">
        <w:rPr>
          <w:rFonts w:ascii="Times New Roman" w:hAnsi="Times New Roman"/>
          <w:b/>
          <w:sz w:val="24"/>
          <w:szCs w:val="24"/>
        </w:rPr>
        <w:t>инфляции</w:t>
      </w:r>
      <w:r w:rsidRPr="008A1697">
        <w:rPr>
          <w:rFonts w:ascii="Times New Roman" w:hAnsi="Times New Roman"/>
          <w:sz w:val="24"/>
          <w:szCs w:val="24"/>
        </w:rPr>
        <w:t xml:space="preserve"> в пределах двузначных значений – </w:t>
      </w:r>
      <w:r w:rsidRPr="008A1697">
        <w:rPr>
          <w:rFonts w:ascii="Times New Roman" w:hAnsi="Times New Roman"/>
          <w:b/>
          <w:sz w:val="24"/>
          <w:szCs w:val="24"/>
        </w:rPr>
        <w:t>11,8%</w:t>
      </w:r>
      <w:r>
        <w:rPr>
          <w:rFonts w:ascii="Times New Roman" w:hAnsi="Times New Roman"/>
          <w:b/>
          <w:sz w:val="24"/>
          <w:szCs w:val="24"/>
        </w:rPr>
        <w:t xml:space="preserve"> </w:t>
      </w:r>
      <w:r w:rsidRPr="00797085">
        <w:rPr>
          <w:rFonts w:ascii="Times New Roman" w:hAnsi="Times New Roman"/>
          <w:sz w:val="24"/>
          <w:szCs w:val="24"/>
        </w:rPr>
        <w:t>(рис. 33),</w:t>
      </w:r>
      <w:r w:rsidRPr="008A1697">
        <w:rPr>
          <w:rFonts w:ascii="Times New Roman" w:hAnsi="Times New Roman"/>
          <w:sz w:val="24"/>
          <w:szCs w:val="24"/>
        </w:rPr>
        <w:t xml:space="preserve"> при этом на товарном сегм</w:t>
      </w:r>
      <w:r>
        <w:rPr>
          <w:rFonts w:ascii="Times New Roman" w:hAnsi="Times New Roman"/>
          <w:sz w:val="24"/>
          <w:szCs w:val="24"/>
        </w:rPr>
        <w:t>енте прирост цен составил 15,2%.</w:t>
      </w:r>
    </w:p>
    <w:p w:rsidR="00797085" w:rsidRDefault="00797085" w:rsidP="00797085">
      <w:pPr>
        <w:spacing w:after="0" w:line="240" w:lineRule="auto"/>
        <w:ind w:left="4" w:firstLine="422"/>
        <w:jc w:val="right"/>
        <w:rPr>
          <w:rFonts w:ascii="Times New Roman" w:hAnsi="Times New Roman"/>
          <w:b/>
          <w:i/>
          <w:sz w:val="24"/>
        </w:rPr>
      </w:pPr>
      <w:r>
        <w:rPr>
          <w:rFonts w:ascii="Times New Roman" w:hAnsi="Times New Roman"/>
          <w:b/>
          <w:i/>
          <w:sz w:val="24"/>
        </w:rPr>
        <w:lastRenderedPageBreak/>
        <w:t>Рисунок 33</w:t>
      </w:r>
    </w:p>
    <w:p w:rsidR="00797085" w:rsidRPr="00797085" w:rsidRDefault="00797085" w:rsidP="00797085">
      <w:pPr>
        <w:spacing w:after="0" w:line="240" w:lineRule="auto"/>
        <w:ind w:left="4" w:firstLine="705"/>
        <w:jc w:val="both"/>
        <w:rPr>
          <w:rFonts w:ascii="Times New Roman" w:hAnsi="Times New Roman"/>
          <w:sz w:val="4"/>
          <w:szCs w:val="4"/>
        </w:rPr>
      </w:pPr>
    </w:p>
    <w:p w:rsidR="00797085" w:rsidRPr="008A1697" w:rsidRDefault="00797085" w:rsidP="00797085">
      <w:pPr>
        <w:spacing w:after="0" w:line="240" w:lineRule="auto"/>
        <w:ind w:left="4" w:hanging="288"/>
        <w:jc w:val="both"/>
        <w:rPr>
          <w:rFonts w:ascii="Times New Roman" w:hAnsi="Times New Roman"/>
          <w:sz w:val="24"/>
          <w:szCs w:val="24"/>
        </w:rPr>
      </w:pPr>
      <w:r w:rsidRPr="00797085">
        <w:rPr>
          <w:rFonts w:ascii="Times New Roman" w:hAnsi="Times New Roman"/>
          <w:noProof/>
          <w:sz w:val="24"/>
          <w:szCs w:val="24"/>
        </w:rPr>
        <w:drawing>
          <wp:inline distT="0" distB="0" distL="0" distR="0">
            <wp:extent cx="6219825" cy="1990725"/>
            <wp:effectExtent l="0" t="0" r="0" b="0"/>
            <wp:docPr id="116"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97085" w:rsidRDefault="00797085" w:rsidP="00797085">
      <w:pPr>
        <w:spacing w:after="0" w:line="240" w:lineRule="auto"/>
        <w:ind w:firstLine="705"/>
        <w:jc w:val="both"/>
        <w:rPr>
          <w:rFonts w:ascii="Times New Roman" w:hAnsi="Times New Roman"/>
          <w:sz w:val="24"/>
          <w:szCs w:val="24"/>
        </w:rPr>
      </w:pPr>
      <w:proofErr w:type="gramStart"/>
      <w:r w:rsidRPr="008A1697">
        <w:rPr>
          <w:rFonts w:ascii="Times New Roman" w:hAnsi="Times New Roman"/>
          <w:sz w:val="24"/>
          <w:szCs w:val="24"/>
        </w:rPr>
        <w:t xml:space="preserve">С точки зрения основных структурных составляющих, необходимо отметить, что в целом по итогам 2017 года основной вклад в формирование сводного показателя внесла продовольственная инфляция – 68,3%. Так, на фоне ценовых изменений в странах – основных поставщиках в совокупности с реализованной девальвацией приднестровского рубля, а также под воздействием административных и сезонных аспектов, цены на </w:t>
      </w:r>
      <w:r w:rsidRPr="008A1697">
        <w:rPr>
          <w:rFonts w:ascii="Times New Roman" w:hAnsi="Times New Roman"/>
          <w:b/>
          <w:sz w:val="24"/>
          <w:szCs w:val="24"/>
        </w:rPr>
        <w:t>продукты питания</w:t>
      </w:r>
      <w:r w:rsidRPr="008A1697">
        <w:rPr>
          <w:rFonts w:ascii="Times New Roman" w:hAnsi="Times New Roman"/>
          <w:sz w:val="24"/>
          <w:szCs w:val="24"/>
        </w:rPr>
        <w:t xml:space="preserve"> на внутреннем рынке в среднем выросли на</w:t>
      </w:r>
      <w:proofErr w:type="gramEnd"/>
      <w:r w:rsidRPr="008A1697">
        <w:rPr>
          <w:rFonts w:ascii="Times New Roman" w:hAnsi="Times New Roman"/>
          <w:sz w:val="24"/>
          <w:szCs w:val="24"/>
        </w:rPr>
        <w:t xml:space="preserve"> 19,7%</w:t>
      </w:r>
      <w:r>
        <w:rPr>
          <w:rFonts w:ascii="Times New Roman" w:hAnsi="Times New Roman"/>
          <w:sz w:val="24"/>
          <w:szCs w:val="24"/>
        </w:rPr>
        <w:t>. Значительное влияние на динамику</w:t>
      </w:r>
      <w:r w:rsidRPr="0084204F">
        <w:rPr>
          <w:rFonts w:ascii="Times New Roman" w:hAnsi="Times New Roman"/>
          <w:sz w:val="24"/>
          <w:szCs w:val="24"/>
        </w:rPr>
        <w:t xml:space="preserve"> сводного индекса потребительских цен </w:t>
      </w:r>
      <w:r>
        <w:rPr>
          <w:rFonts w:ascii="Times New Roman" w:hAnsi="Times New Roman"/>
          <w:sz w:val="24"/>
          <w:szCs w:val="24"/>
        </w:rPr>
        <w:t>оказали</w:t>
      </w:r>
      <w:r w:rsidRPr="0084204F">
        <w:rPr>
          <w:rFonts w:ascii="Times New Roman" w:hAnsi="Times New Roman"/>
          <w:sz w:val="24"/>
          <w:szCs w:val="24"/>
        </w:rPr>
        <w:t xml:space="preserve"> такие товарные позиции, как «масла и жиры» - рост на 34,8%, «плодоовощная продукция» – на 24,4%, «мясо и мясопродукты» – на 17,7% и «молоко и молочная продукция» - на 14,0%, обеспечивш</w:t>
      </w:r>
      <w:r>
        <w:rPr>
          <w:rFonts w:ascii="Times New Roman" w:hAnsi="Times New Roman"/>
          <w:sz w:val="24"/>
          <w:szCs w:val="24"/>
        </w:rPr>
        <w:t>и</w:t>
      </w:r>
      <w:r w:rsidRPr="0084204F">
        <w:rPr>
          <w:rFonts w:ascii="Times New Roman" w:hAnsi="Times New Roman"/>
          <w:sz w:val="24"/>
          <w:szCs w:val="24"/>
        </w:rPr>
        <w:t xml:space="preserve">е 4,6%, 15,2%, 12,04% и 7,6% общего прироста цен соответственно. Частичный нивелирующий эффект на итоговый показатель оказало удешевление стоимости картофеля на 9,0%. </w:t>
      </w:r>
      <w:r>
        <w:rPr>
          <w:rFonts w:ascii="Times New Roman" w:hAnsi="Times New Roman"/>
          <w:sz w:val="24"/>
          <w:szCs w:val="24"/>
        </w:rPr>
        <w:t>Помимо девальвации необходимо отметить и повышение воздействия импортируемой инфляции. В частности, существенную роль сыграла активизация инфляционных процессов в Украине, которая является страной, откуда импортируется основная доля потребительских товаров.</w:t>
      </w:r>
    </w:p>
    <w:p w:rsidR="00797085" w:rsidRDefault="00797085" w:rsidP="00797085">
      <w:pPr>
        <w:spacing w:after="0" w:line="240" w:lineRule="auto"/>
        <w:ind w:firstLine="705"/>
        <w:jc w:val="both"/>
        <w:rPr>
          <w:rFonts w:ascii="Times New Roman" w:hAnsi="Times New Roman"/>
          <w:sz w:val="24"/>
          <w:szCs w:val="24"/>
        </w:rPr>
      </w:pPr>
      <w:r w:rsidRPr="0084204F">
        <w:rPr>
          <w:rFonts w:ascii="Times New Roman" w:hAnsi="Times New Roman"/>
          <w:sz w:val="24"/>
          <w:szCs w:val="24"/>
        </w:rPr>
        <w:t xml:space="preserve">Ценовое давление со стороны рынка </w:t>
      </w:r>
      <w:r w:rsidRPr="0084204F">
        <w:rPr>
          <w:rFonts w:ascii="Times New Roman" w:hAnsi="Times New Roman"/>
          <w:b/>
          <w:sz w:val="24"/>
          <w:szCs w:val="24"/>
        </w:rPr>
        <w:t>непродовольственных товаров</w:t>
      </w:r>
      <w:r w:rsidRPr="0084204F">
        <w:rPr>
          <w:rFonts w:ascii="Times New Roman" w:hAnsi="Times New Roman"/>
          <w:sz w:val="24"/>
          <w:szCs w:val="24"/>
        </w:rPr>
        <w:t xml:space="preserve"> в сравнении с продовольственным сегментом в среднем было слабее практически вдвое, </w:t>
      </w:r>
      <w:r>
        <w:rPr>
          <w:rFonts w:ascii="Times New Roman" w:hAnsi="Times New Roman"/>
          <w:sz w:val="24"/>
          <w:szCs w:val="24"/>
        </w:rPr>
        <w:t xml:space="preserve">однако в абсолютном выражении </w:t>
      </w:r>
      <w:r w:rsidRPr="0084204F">
        <w:rPr>
          <w:rFonts w:ascii="Times New Roman" w:hAnsi="Times New Roman"/>
          <w:sz w:val="24"/>
          <w:szCs w:val="24"/>
        </w:rPr>
        <w:t>остава</w:t>
      </w:r>
      <w:r>
        <w:rPr>
          <w:rFonts w:ascii="Times New Roman" w:hAnsi="Times New Roman"/>
          <w:sz w:val="24"/>
          <w:szCs w:val="24"/>
        </w:rPr>
        <w:t>лось</w:t>
      </w:r>
      <w:r w:rsidRPr="0084204F">
        <w:rPr>
          <w:rFonts w:ascii="Times New Roman" w:hAnsi="Times New Roman"/>
          <w:sz w:val="24"/>
          <w:szCs w:val="24"/>
        </w:rPr>
        <w:t xml:space="preserve"> достаточно существенным </w:t>
      </w:r>
      <w:r>
        <w:rPr>
          <w:rFonts w:ascii="Times New Roman" w:hAnsi="Times New Roman"/>
          <w:sz w:val="24"/>
          <w:szCs w:val="24"/>
        </w:rPr>
        <w:t xml:space="preserve">и сложилось на уровне </w:t>
      </w:r>
      <w:r w:rsidRPr="0084204F">
        <w:rPr>
          <w:rFonts w:ascii="Times New Roman" w:hAnsi="Times New Roman"/>
          <w:sz w:val="24"/>
          <w:szCs w:val="24"/>
        </w:rPr>
        <w:t>9,9%</w:t>
      </w:r>
      <w:r>
        <w:rPr>
          <w:rFonts w:ascii="Times New Roman" w:hAnsi="Times New Roman"/>
          <w:sz w:val="24"/>
          <w:szCs w:val="24"/>
        </w:rPr>
        <w:t>. Среди ключевых товарных позиций следует отметить значительный рост цен на топливо: +</w:t>
      </w:r>
      <w:r w:rsidRPr="0084204F">
        <w:rPr>
          <w:rFonts w:ascii="Times New Roman" w:hAnsi="Times New Roman"/>
          <w:sz w:val="24"/>
          <w:szCs w:val="24"/>
        </w:rPr>
        <w:t>35,4%</w:t>
      </w:r>
      <w:r>
        <w:rPr>
          <w:rFonts w:ascii="Times New Roman" w:hAnsi="Times New Roman"/>
          <w:sz w:val="24"/>
          <w:szCs w:val="24"/>
        </w:rPr>
        <w:t>, что обусловило</w:t>
      </w:r>
      <w:r w:rsidRPr="0084204F">
        <w:rPr>
          <w:rFonts w:ascii="Times New Roman" w:hAnsi="Times New Roman"/>
          <w:sz w:val="24"/>
          <w:szCs w:val="24"/>
        </w:rPr>
        <w:t xml:space="preserve"> 10,6% общей инфляции</w:t>
      </w:r>
      <w:r>
        <w:rPr>
          <w:rFonts w:ascii="Times New Roman" w:hAnsi="Times New Roman"/>
          <w:sz w:val="24"/>
          <w:szCs w:val="24"/>
        </w:rPr>
        <w:t>. Основным фактором выступала</w:t>
      </w:r>
      <w:r w:rsidRPr="0084204F">
        <w:rPr>
          <w:rFonts w:ascii="Times New Roman" w:hAnsi="Times New Roman"/>
          <w:sz w:val="24"/>
          <w:szCs w:val="24"/>
        </w:rPr>
        <w:t xml:space="preserve"> динамик</w:t>
      </w:r>
      <w:r>
        <w:rPr>
          <w:rFonts w:ascii="Times New Roman" w:hAnsi="Times New Roman"/>
          <w:sz w:val="24"/>
          <w:szCs w:val="24"/>
        </w:rPr>
        <w:t>а</w:t>
      </w:r>
      <w:r w:rsidRPr="0084204F">
        <w:rPr>
          <w:rFonts w:ascii="Times New Roman" w:hAnsi="Times New Roman"/>
          <w:sz w:val="24"/>
          <w:szCs w:val="24"/>
        </w:rPr>
        <w:t xml:space="preserve"> нефтяных котировок </w:t>
      </w:r>
      <w:r>
        <w:rPr>
          <w:rFonts w:ascii="Times New Roman" w:hAnsi="Times New Roman"/>
          <w:sz w:val="24"/>
          <w:szCs w:val="24"/>
        </w:rPr>
        <w:t>на мировом рынке, так баррель нефти в среднем за год подорожал на 22%. Однако даже на фоне такого прироста цены на бензин в течение всего года в Приднестровье оставались ниже, чем в соседних странах.</w:t>
      </w:r>
      <w:r w:rsidRPr="008A1697">
        <w:rPr>
          <w:rFonts w:ascii="Times New Roman" w:hAnsi="Times New Roman"/>
          <w:sz w:val="24"/>
          <w:szCs w:val="24"/>
        </w:rPr>
        <w:t xml:space="preserve"> </w:t>
      </w:r>
      <w:r>
        <w:rPr>
          <w:rFonts w:ascii="Times New Roman" w:hAnsi="Times New Roman"/>
          <w:sz w:val="24"/>
          <w:szCs w:val="24"/>
        </w:rPr>
        <w:t>Помимо топлива</w:t>
      </w:r>
      <w:r w:rsidRPr="0084204F">
        <w:rPr>
          <w:rFonts w:ascii="Times New Roman" w:hAnsi="Times New Roman"/>
          <w:sz w:val="24"/>
          <w:szCs w:val="24"/>
        </w:rPr>
        <w:t xml:space="preserve"> значительно повысились в цене табачные изделия</w:t>
      </w:r>
      <w:r>
        <w:rPr>
          <w:rFonts w:ascii="Times New Roman" w:hAnsi="Times New Roman"/>
          <w:sz w:val="24"/>
          <w:szCs w:val="24"/>
        </w:rPr>
        <w:t>:</w:t>
      </w:r>
      <w:r w:rsidRPr="0084204F">
        <w:rPr>
          <w:rFonts w:ascii="Times New Roman" w:hAnsi="Times New Roman"/>
          <w:sz w:val="24"/>
          <w:szCs w:val="24"/>
        </w:rPr>
        <w:t xml:space="preserve"> +29,3%</w:t>
      </w:r>
      <w:r>
        <w:rPr>
          <w:rFonts w:ascii="Times New Roman" w:hAnsi="Times New Roman"/>
          <w:sz w:val="24"/>
          <w:szCs w:val="24"/>
        </w:rPr>
        <w:t>, что обусловило формирование</w:t>
      </w:r>
      <w:r w:rsidRPr="0084204F">
        <w:rPr>
          <w:rFonts w:ascii="Times New Roman" w:hAnsi="Times New Roman"/>
          <w:sz w:val="24"/>
          <w:szCs w:val="24"/>
        </w:rPr>
        <w:t xml:space="preserve"> 2,1% </w:t>
      </w:r>
      <w:r>
        <w:rPr>
          <w:rFonts w:ascii="Times New Roman" w:hAnsi="Times New Roman"/>
          <w:sz w:val="24"/>
          <w:szCs w:val="24"/>
        </w:rPr>
        <w:t>СИПЦ</w:t>
      </w:r>
      <w:r w:rsidRPr="0084204F">
        <w:rPr>
          <w:rFonts w:ascii="Times New Roman" w:hAnsi="Times New Roman"/>
          <w:sz w:val="24"/>
          <w:szCs w:val="24"/>
        </w:rPr>
        <w:t>.</w:t>
      </w:r>
      <w:r>
        <w:rPr>
          <w:rFonts w:ascii="Times New Roman" w:hAnsi="Times New Roman"/>
          <w:sz w:val="24"/>
          <w:szCs w:val="24"/>
        </w:rPr>
        <w:t xml:space="preserve"> Основную роль здесь также сыграли внешние факторы.</w:t>
      </w:r>
      <w:r w:rsidRPr="008A1697">
        <w:rPr>
          <w:rFonts w:ascii="Times New Roman" w:hAnsi="Times New Roman"/>
          <w:sz w:val="24"/>
          <w:szCs w:val="24"/>
        </w:rPr>
        <w:t xml:space="preserve"> </w:t>
      </w:r>
      <w:r w:rsidRPr="0084204F">
        <w:rPr>
          <w:rFonts w:ascii="Times New Roman" w:hAnsi="Times New Roman"/>
          <w:sz w:val="24"/>
          <w:szCs w:val="24"/>
        </w:rPr>
        <w:t>Среди наиболее значимых инфляционных факторов, генерируемых непродовольственным сектором, также выделяется динамика цен на фармацевтическую продукцию, которая за год подорожала на 11,3%</w:t>
      </w:r>
      <w:r>
        <w:rPr>
          <w:rFonts w:ascii="Times New Roman" w:hAnsi="Times New Roman"/>
          <w:sz w:val="24"/>
          <w:szCs w:val="24"/>
        </w:rPr>
        <w:t>.</w:t>
      </w:r>
    </w:p>
    <w:p w:rsidR="00797085" w:rsidRPr="008A1697" w:rsidRDefault="00797085" w:rsidP="00797085">
      <w:pPr>
        <w:spacing w:after="0" w:line="240" w:lineRule="auto"/>
        <w:ind w:firstLine="705"/>
        <w:jc w:val="both"/>
        <w:rPr>
          <w:rFonts w:ascii="Times New Roman" w:hAnsi="Times New Roman"/>
          <w:sz w:val="24"/>
          <w:szCs w:val="24"/>
        </w:rPr>
      </w:pPr>
      <w:r w:rsidRPr="0084204F">
        <w:rPr>
          <w:rFonts w:ascii="Times New Roman" w:hAnsi="Times New Roman"/>
          <w:sz w:val="24"/>
        </w:rPr>
        <w:t xml:space="preserve">В противовес товарным рынкам в сфере оказания потребительских </w:t>
      </w:r>
      <w:r w:rsidRPr="0084204F">
        <w:rPr>
          <w:rFonts w:ascii="Times New Roman" w:hAnsi="Times New Roman"/>
          <w:b/>
          <w:sz w:val="24"/>
        </w:rPr>
        <w:t>услуг</w:t>
      </w:r>
      <w:r>
        <w:rPr>
          <w:rFonts w:ascii="Times New Roman" w:hAnsi="Times New Roman"/>
          <w:b/>
          <w:sz w:val="24"/>
        </w:rPr>
        <w:t xml:space="preserve"> </w:t>
      </w:r>
      <w:r>
        <w:rPr>
          <w:rFonts w:ascii="Times New Roman" w:hAnsi="Times New Roman"/>
          <w:sz w:val="24"/>
        </w:rPr>
        <w:t>сводный индекс сформировался на минимальном среди всех составляющих уровне. Это было обусловлено проведением</w:t>
      </w:r>
      <w:r w:rsidRPr="0084204F">
        <w:rPr>
          <w:rFonts w:ascii="Times New Roman" w:hAnsi="Times New Roman"/>
          <w:sz w:val="24"/>
        </w:rPr>
        <w:t xml:space="preserve"> государством </w:t>
      </w:r>
      <w:proofErr w:type="spellStart"/>
      <w:r w:rsidRPr="0084204F">
        <w:rPr>
          <w:rFonts w:ascii="Times New Roman" w:hAnsi="Times New Roman"/>
          <w:sz w:val="24"/>
        </w:rPr>
        <w:t>социальноориентированной</w:t>
      </w:r>
      <w:proofErr w:type="spellEnd"/>
      <w:r w:rsidRPr="0084204F">
        <w:rPr>
          <w:rFonts w:ascii="Times New Roman" w:hAnsi="Times New Roman"/>
          <w:sz w:val="24"/>
        </w:rPr>
        <w:t xml:space="preserve"> политики </w:t>
      </w:r>
      <w:proofErr w:type="spellStart"/>
      <w:r w:rsidRPr="0084204F">
        <w:rPr>
          <w:rFonts w:ascii="Times New Roman" w:hAnsi="Times New Roman"/>
          <w:sz w:val="24"/>
        </w:rPr>
        <w:t>тарифицирования</w:t>
      </w:r>
      <w:proofErr w:type="spellEnd"/>
      <w:r w:rsidRPr="0084204F">
        <w:rPr>
          <w:rFonts w:ascii="Times New Roman" w:hAnsi="Times New Roman"/>
          <w:sz w:val="24"/>
        </w:rPr>
        <w:t xml:space="preserve"> услуг естественных монополий</w:t>
      </w:r>
      <w:r>
        <w:rPr>
          <w:rFonts w:ascii="Times New Roman" w:hAnsi="Times New Roman"/>
          <w:sz w:val="24"/>
        </w:rPr>
        <w:t xml:space="preserve">, прежде всего, «заморозкой» тарифов в сфере коммунального хозяйства на услуги водоснабжения, отопления, </w:t>
      </w:r>
      <w:proofErr w:type="spellStart"/>
      <w:r>
        <w:rPr>
          <w:rFonts w:ascii="Times New Roman" w:hAnsi="Times New Roman"/>
          <w:sz w:val="24"/>
        </w:rPr>
        <w:t>электро</w:t>
      </w:r>
      <w:proofErr w:type="spellEnd"/>
      <w:r>
        <w:rPr>
          <w:rFonts w:ascii="Times New Roman" w:hAnsi="Times New Roman"/>
          <w:sz w:val="24"/>
        </w:rPr>
        <w:t>- и газоснабжения</w:t>
      </w:r>
      <w:r w:rsidRPr="0084204F">
        <w:rPr>
          <w:rFonts w:ascii="Times New Roman" w:hAnsi="Times New Roman"/>
          <w:sz w:val="24"/>
        </w:rPr>
        <w:t xml:space="preserve">. </w:t>
      </w:r>
      <w:r>
        <w:rPr>
          <w:rFonts w:ascii="Times New Roman" w:hAnsi="Times New Roman"/>
          <w:sz w:val="24"/>
        </w:rPr>
        <w:t>В результате</w:t>
      </w:r>
      <w:r w:rsidRPr="0084204F">
        <w:rPr>
          <w:rFonts w:ascii="Times New Roman" w:hAnsi="Times New Roman"/>
          <w:sz w:val="24"/>
        </w:rPr>
        <w:t xml:space="preserve"> по итогам года стоимость услуг возросла</w:t>
      </w:r>
      <w:r>
        <w:rPr>
          <w:rFonts w:ascii="Times New Roman" w:hAnsi="Times New Roman"/>
          <w:sz w:val="24"/>
        </w:rPr>
        <w:t xml:space="preserve"> всего</w:t>
      </w:r>
      <w:r w:rsidRPr="0084204F">
        <w:rPr>
          <w:rFonts w:ascii="Times New Roman" w:hAnsi="Times New Roman"/>
          <w:sz w:val="24"/>
        </w:rPr>
        <w:t xml:space="preserve"> на 1,7</w:t>
      </w:r>
      <w:r>
        <w:rPr>
          <w:rFonts w:ascii="Times New Roman" w:hAnsi="Times New Roman"/>
          <w:sz w:val="24"/>
        </w:rPr>
        <w:t>%.</w:t>
      </w:r>
    </w:p>
    <w:p w:rsidR="00CE326F" w:rsidRPr="008A5819" w:rsidRDefault="00CE326F" w:rsidP="00CE326F">
      <w:pPr>
        <w:spacing w:after="0" w:line="240" w:lineRule="auto"/>
        <w:ind w:firstLine="709"/>
        <w:jc w:val="both"/>
        <w:rPr>
          <w:rStyle w:val="afa"/>
          <w:rFonts w:ascii="Times New Roman" w:hAnsi="Times New Roman"/>
          <w:color w:val="000000"/>
          <w:sz w:val="24"/>
          <w:szCs w:val="24"/>
        </w:rPr>
      </w:pPr>
    </w:p>
    <w:p w:rsidR="00335844" w:rsidRPr="00DC0B52" w:rsidRDefault="00335844" w:rsidP="00335844">
      <w:pPr>
        <w:spacing w:after="0" w:line="240" w:lineRule="auto"/>
        <w:ind w:firstLine="720"/>
        <w:jc w:val="both"/>
        <w:rPr>
          <w:rFonts w:ascii="Times New Roman" w:hAnsi="Times New Roman"/>
          <w:b/>
          <w:sz w:val="24"/>
          <w:szCs w:val="24"/>
        </w:rPr>
      </w:pPr>
      <w:r w:rsidRPr="00DC0B52">
        <w:rPr>
          <w:rFonts w:ascii="Times New Roman" w:hAnsi="Times New Roman"/>
          <w:b/>
          <w:sz w:val="24"/>
          <w:szCs w:val="24"/>
        </w:rPr>
        <w:t>Состояние социальной сферы</w:t>
      </w:r>
    </w:p>
    <w:p w:rsidR="00335844" w:rsidRPr="00DC0B52" w:rsidRDefault="00335844" w:rsidP="00335844">
      <w:pPr>
        <w:spacing w:after="0" w:line="240" w:lineRule="auto"/>
        <w:ind w:firstLine="720"/>
        <w:jc w:val="both"/>
        <w:rPr>
          <w:rFonts w:ascii="Times New Roman" w:hAnsi="Times New Roman"/>
          <w:sz w:val="24"/>
          <w:szCs w:val="24"/>
        </w:rPr>
      </w:pPr>
    </w:p>
    <w:p w:rsidR="001C6BA9" w:rsidRPr="0080737A" w:rsidRDefault="001C6BA9" w:rsidP="001C6BA9">
      <w:pPr>
        <w:widowControl w:val="0"/>
        <w:spacing w:after="0" w:line="240" w:lineRule="auto"/>
        <w:ind w:firstLineChars="302" w:firstLine="728"/>
        <w:jc w:val="both"/>
        <w:rPr>
          <w:rFonts w:ascii="Times New Roman" w:hAnsi="Times New Roman"/>
          <w:b/>
          <w:sz w:val="24"/>
          <w:szCs w:val="24"/>
        </w:rPr>
      </w:pPr>
      <w:r w:rsidRPr="00DC0B52">
        <w:rPr>
          <w:rFonts w:ascii="Times New Roman" w:hAnsi="Times New Roman"/>
          <w:b/>
          <w:sz w:val="24"/>
          <w:szCs w:val="24"/>
        </w:rPr>
        <w:t>Уровень жизни населения</w:t>
      </w:r>
    </w:p>
    <w:p w:rsidR="001C6BA9" w:rsidRDefault="001C6BA9" w:rsidP="00335844">
      <w:pPr>
        <w:spacing w:after="0" w:line="240" w:lineRule="auto"/>
        <w:ind w:firstLine="720"/>
        <w:jc w:val="both"/>
        <w:rPr>
          <w:rFonts w:ascii="Times New Roman" w:hAnsi="Times New Roman"/>
          <w:sz w:val="24"/>
          <w:szCs w:val="24"/>
        </w:rPr>
      </w:pPr>
    </w:p>
    <w:p w:rsidR="001C6BA9" w:rsidRPr="009B0ADD" w:rsidRDefault="001C6BA9" w:rsidP="001C6BA9">
      <w:pPr>
        <w:spacing w:after="0" w:line="240" w:lineRule="auto"/>
        <w:ind w:firstLineChars="295" w:firstLine="708"/>
        <w:jc w:val="both"/>
        <w:rPr>
          <w:rFonts w:ascii="Times New Roman" w:hAnsi="Times New Roman"/>
          <w:sz w:val="24"/>
          <w:szCs w:val="24"/>
          <w:shd w:val="clear" w:color="auto" w:fill="FFFFFF"/>
        </w:rPr>
      </w:pPr>
      <w:r w:rsidRPr="009B0ADD">
        <w:rPr>
          <w:rFonts w:ascii="Times New Roman" w:hAnsi="Times New Roman"/>
          <w:sz w:val="24"/>
          <w:szCs w:val="24"/>
          <w:shd w:val="clear" w:color="auto" w:fill="FFFFFF"/>
        </w:rPr>
        <w:t xml:space="preserve">Оценка уровня и качества жизни происходит на основе статистических показателей и комплексного учёта иных параметров, в которые входят разные аспекты жизни среднестатистического жителя. </w:t>
      </w:r>
    </w:p>
    <w:p w:rsidR="001C6BA9" w:rsidRDefault="001C6BA9" w:rsidP="001C6BA9">
      <w:pPr>
        <w:spacing w:after="0" w:line="240" w:lineRule="auto"/>
        <w:ind w:firstLineChars="295" w:firstLine="708"/>
        <w:jc w:val="both"/>
        <w:rPr>
          <w:rFonts w:ascii="Times New Roman" w:eastAsia="Calibri" w:hAnsi="Times New Roman"/>
          <w:sz w:val="24"/>
          <w:szCs w:val="24"/>
        </w:rPr>
      </w:pPr>
      <w:proofErr w:type="gramStart"/>
      <w:r w:rsidRPr="009B0ADD">
        <w:rPr>
          <w:rFonts w:ascii="Times New Roman" w:hAnsi="Times New Roman"/>
          <w:sz w:val="24"/>
          <w:szCs w:val="24"/>
          <w:shd w:val="clear" w:color="auto" w:fill="FFFFFF"/>
        </w:rPr>
        <w:t>Среднемесячная номинальная начисленная заработная плата одного работника с учетом субъектов малого предпринимательства, некоммерческих, религиозных организаций</w:t>
      </w:r>
      <w:r w:rsidRPr="009B0ADD">
        <w:rPr>
          <w:rFonts w:ascii="Times New Roman" w:hAnsi="Times New Roman"/>
          <w:sz w:val="24"/>
          <w:szCs w:val="24"/>
          <w:shd w:val="clear" w:color="auto" w:fill="FFFFFF"/>
          <w:vertAlign w:val="superscript"/>
        </w:rPr>
        <w:t xml:space="preserve"> </w:t>
      </w:r>
      <w:r w:rsidRPr="009B0ADD">
        <w:rPr>
          <w:rFonts w:ascii="Times New Roman" w:hAnsi="Times New Roman"/>
          <w:sz w:val="24"/>
          <w:szCs w:val="24"/>
          <w:shd w:val="clear" w:color="auto" w:fill="FFFFFF"/>
        </w:rPr>
        <w:lastRenderedPageBreak/>
        <w:t>(без силовых структур и таможенных орг</w:t>
      </w:r>
      <w:r>
        <w:rPr>
          <w:rFonts w:ascii="Times New Roman" w:hAnsi="Times New Roman"/>
          <w:sz w:val="24"/>
          <w:szCs w:val="24"/>
          <w:shd w:val="clear" w:color="auto" w:fill="FFFFFF"/>
        </w:rPr>
        <w:t xml:space="preserve">анов) в целом по республике за </w:t>
      </w:r>
      <w:r w:rsidRPr="009B0ADD">
        <w:rPr>
          <w:rFonts w:ascii="Times New Roman" w:hAnsi="Times New Roman"/>
          <w:sz w:val="24"/>
          <w:szCs w:val="24"/>
          <w:shd w:val="clear" w:color="auto" w:fill="FFFFFF"/>
        </w:rPr>
        <w:t>2017 год выросла на 3,1% и составила 3 912,0 руб., при этом с учетом удорожания жизни реальная величина заработной платы работающих в отчетном году сократилась по отнош</w:t>
      </w:r>
      <w:r>
        <w:rPr>
          <w:rFonts w:ascii="Times New Roman" w:hAnsi="Times New Roman"/>
          <w:sz w:val="24"/>
          <w:szCs w:val="24"/>
          <w:shd w:val="clear" w:color="auto" w:fill="FFFFFF"/>
        </w:rPr>
        <w:t xml:space="preserve">ению к базовому периоду на 4,4%. </w:t>
      </w:r>
      <w:r w:rsidRPr="009B0ADD">
        <w:rPr>
          <w:rFonts w:ascii="Times New Roman" w:hAnsi="Times New Roman"/>
          <w:sz w:val="24"/>
          <w:szCs w:val="24"/>
          <w:shd w:val="clear" w:color="auto" w:fill="FFFFFF"/>
        </w:rPr>
        <w:t>В долларовом</w:t>
      </w:r>
      <w:proofErr w:type="gramEnd"/>
      <w:r w:rsidRPr="009B0ADD">
        <w:rPr>
          <w:rFonts w:ascii="Times New Roman" w:hAnsi="Times New Roman"/>
          <w:sz w:val="24"/>
          <w:szCs w:val="24"/>
          <w:shd w:val="clear" w:color="auto" w:fill="FFFFFF"/>
        </w:rPr>
        <w:t xml:space="preserve"> </w:t>
      </w:r>
      <w:proofErr w:type="gramStart"/>
      <w:r w:rsidRPr="009B0ADD">
        <w:rPr>
          <w:rFonts w:ascii="Times New Roman" w:hAnsi="Times New Roman"/>
          <w:sz w:val="24"/>
          <w:szCs w:val="24"/>
          <w:shd w:val="clear" w:color="auto" w:fill="FFFFFF"/>
        </w:rPr>
        <w:t>эквиваленте</w:t>
      </w:r>
      <w:proofErr w:type="gramEnd"/>
      <w:r w:rsidRPr="009B0ADD">
        <w:rPr>
          <w:rFonts w:ascii="Times New Roman" w:hAnsi="Times New Roman"/>
          <w:sz w:val="24"/>
          <w:szCs w:val="24"/>
          <w:shd w:val="clear" w:color="auto" w:fill="FFFFFF"/>
        </w:rPr>
        <w:t xml:space="preserve"> ее размер соответствовал 292 долл. США, сократившись на 13,1%</w:t>
      </w:r>
      <w:r>
        <w:rPr>
          <w:rFonts w:ascii="Times New Roman" w:hAnsi="Times New Roman"/>
          <w:sz w:val="24"/>
          <w:szCs w:val="24"/>
          <w:shd w:val="clear" w:color="auto" w:fill="FFFFFF"/>
        </w:rPr>
        <w:t xml:space="preserve"> </w:t>
      </w:r>
      <w:r w:rsidRPr="001C6BA9">
        <w:rPr>
          <w:rFonts w:ascii="Times New Roman" w:hAnsi="Times New Roman"/>
          <w:sz w:val="24"/>
          <w:szCs w:val="24"/>
          <w:shd w:val="clear" w:color="auto" w:fill="FFFFFF"/>
        </w:rPr>
        <w:t>(рис. 34),</w:t>
      </w:r>
      <w:r w:rsidRPr="009B0ADD">
        <w:rPr>
          <w:rFonts w:ascii="Times New Roman" w:hAnsi="Times New Roman"/>
          <w:sz w:val="24"/>
          <w:szCs w:val="24"/>
          <w:shd w:val="clear" w:color="auto" w:fill="FFFFFF"/>
        </w:rPr>
        <w:t xml:space="preserve"> что связано с </w:t>
      </w:r>
      <w:r w:rsidRPr="009B0ADD">
        <w:rPr>
          <w:rFonts w:ascii="Times New Roman" w:eastAsia="Calibri" w:hAnsi="Times New Roman"/>
          <w:sz w:val="24"/>
          <w:szCs w:val="24"/>
        </w:rPr>
        <w:t xml:space="preserve">девальвацией приднестровского рубля, которая в складывающемся на начало 2017 года глубоком системном кризисе стала безальтернативным решением. В целом за 2017 год ее значение составило 37,2% (как соотношение значений официальных курсов на 1 января 2017 </w:t>
      </w:r>
      <w:r>
        <w:rPr>
          <w:rFonts w:ascii="Times New Roman" w:eastAsia="Calibri" w:hAnsi="Times New Roman"/>
          <w:sz w:val="24"/>
          <w:szCs w:val="24"/>
        </w:rPr>
        <w:t xml:space="preserve">и </w:t>
      </w:r>
      <w:r w:rsidRPr="009B0ADD">
        <w:rPr>
          <w:rFonts w:ascii="Times New Roman" w:eastAsia="Calibri" w:hAnsi="Times New Roman"/>
          <w:sz w:val="24"/>
          <w:szCs w:val="24"/>
        </w:rPr>
        <w:t>1 января 2016 года), а по средневзвешенному значению к уровню 2016 года – 18,8%.</w:t>
      </w:r>
    </w:p>
    <w:p w:rsidR="001C6BA9" w:rsidRPr="00C20602" w:rsidRDefault="001C6BA9" w:rsidP="001C6BA9">
      <w:pPr>
        <w:spacing w:after="0" w:line="240" w:lineRule="auto"/>
        <w:ind w:firstLineChars="295" w:firstLine="295"/>
        <w:jc w:val="both"/>
        <w:rPr>
          <w:rFonts w:ascii="Times New Roman" w:eastAsia="Calibri" w:hAnsi="Times New Roman"/>
          <w:sz w:val="10"/>
          <w:szCs w:val="10"/>
        </w:rPr>
      </w:pPr>
    </w:p>
    <w:p w:rsidR="001C6BA9" w:rsidRDefault="001C6BA9" w:rsidP="001C6BA9">
      <w:pPr>
        <w:spacing w:after="0" w:line="240" w:lineRule="auto"/>
        <w:ind w:firstLineChars="295" w:firstLine="711"/>
        <w:jc w:val="right"/>
        <w:rPr>
          <w:rFonts w:ascii="Times New Roman" w:eastAsia="Calibri" w:hAnsi="Times New Roman"/>
          <w:b/>
          <w:i/>
          <w:sz w:val="24"/>
          <w:szCs w:val="24"/>
        </w:rPr>
      </w:pPr>
      <w:r w:rsidRPr="00C20602">
        <w:rPr>
          <w:rFonts w:ascii="Times New Roman" w:eastAsia="Calibri" w:hAnsi="Times New Roman"/>
          <w:b/>
          <w:i/>
          <w:sz w:val="24"/>
          <w:szCs w:val="24"/>
        </w:rPr>
        <w:t>Рисунок</w:t>
      </w:r>
      <w:r>
        <w:rPr>
          <w:rFonts w:ascii="Times New Roman" w:eastAsia="Calibri" w:hAnsi="Times New Roman"/>
          <w:b/>
          <w:i/>
          <w:sz w:val="24"/>
          <w:szCs w:val="24"/>
        </w:rPr>
        <w:t xml:space="preserve"> 34</w:t>
      </w:r>
    </w:p>
    <w:p w:rsidR="001C6BA9" w:rsidRPr="00C20602" w:rsidRDefault="001C6BA9" w:rsidP="001C6BA9">
      <w:pPr>
        <w:spacing w:after="0" w:line="240" w:lineRule="auto"/>
        <w:ind w:firstLineChars="295" w:firstLine="295"/>
        <w:jc w:val="right"/>
        <w:rPr>
          <w:rFonts w:ascii="Times New Roman" w:eastAsia="Calibri" w:hAnsi="Times New Roman"/>
          <w:sz w:val="10"/>
          <w:szCs w:val="10"/>
        </w:rPr>
      </w:pPr>
    </w:p>
    <w:p w:rsidR="001C6BA9" w:rsidRPr="009B0ADD" w:rsidRDefault="001C6BA9" w:rsidP="001C6BA9">
      <w:pPr>
        <w:spacing w:after="0" w:line="240" w:lineRule="auto"/>
        <w:jc w:val="both"/>
        <w:rPr>
          <w:rFonts w:ascii="Times New Roman" w:hAnsi="Times New Roman"/>
          <w:sz w:val="24"/>
          <w:szCs w:val="24"/>
          <w:shd w:val="clear" w:color="auto" w:fill="FFFFFF"/>
        </w:rPr>
      </w:pPr>
      <w:r w:rsidRPr="009B0ADD">
        <w:rPr>
          <w:rFonts w:ascii="Times New Roman" w:hAnsi="Times New Roman"/>
          <w:b/>
          <w:noProof/>
          <w:sz w:val="24"/>
          <w:szCs w:val="24"/>
        </w:rPr>
        <w:drawing>
          <wp:inline distT="0" distB="0" distL="0" distR="0">
            <wp:extent cx="6124575" cy="3086100"/>
            <wp:effectExtent l="0" t="0" r="0" b="0"/>
            <wp:docPr id="1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C6BA9" w:rsidRPr="009B0ADD" w:rsidRDefault="001C6BA9" w:rsidP="001C6BA9">
      <w:pPr>
        <w:spacing w:after="0" w:line="240" w:lineRule="auto"/>
        <w:ind w:firstLineChars="295" w:firstLine="708"/>
        <w:jc w:val="both"/>
        <w:rPr>
          <w:rFonts w:ascii="Times New Roman" w:eastAsia="Calibri" w:hAnsi="Times New Roman"/>
          <w:sz w:val="24"/>
          <w:szCs w:val="24"/>
        </w:rPr>
      </w:pPr>
      <w:proofErr w:type="gramStart"/>
      <w:r w:rsidRPr="009B0ADD">
        <w:rPr>
          <w:rFonts w:ascii="Times New Roman" w:hAnsi="Times New Roman"/>
          <w:sz w:val="24"/>
          <w:szCs w:val="24"/>
          <w:shd w:val="clear" w:color="auto" w:fill="FFFFFF"/>
        </w:rPr>
        <w:t>Номинальная заработная плата в целом по республике за 2017 год (кроме субъектов малого предпринимательства и без учета силовых структур) выросла на 3,5%, составив             3 977 руб., при этом с учетом удорожания жизни реальная ее величина сократилась по отношению к базовому периоду на 4,4%. В долларовом эквиваленте ее размер соответствовал 297 долл. США, сократившись на 13,2% к уровню 2016 года.</w:t>
      </w:r>
      <w:proofErr w:type="gramEnd"/>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Значимым обстоятельством напряженности в обществе продолжает выступать степень дифференциации размера заработной платы. Превышение уровня заработной платы в высоко- и низкооплачиваемых отраслях экономики составило 4,9 раза. Самый высокий уровень заработной платы наблюдался у работников таких отраслей экономики как, «</w:t>
      </w:r>
      <w:proofErr w:type="spellStart"/>
      <w:r w:rsidRPr="009B0ADD">
        <w:rPr>
          <w:rFonts w:ascii="Times New Roman" w:hAnsi="Times New Roman"/>
          <w:sz w:val="24"/>
          <w:szCs w:val="24"/>
        </w:rPr>
        <w:t>Электро</w:t>
      </w:r>
      <w:proofErr w:type="spellEnd"/>
      <w:r w:rsidRPr="009B0ADD">
        <w:rPr>
          <w:rFonts w:ascii="Times New Roman" w:hAnsi="Times New Roman"/>
          <w:sz w:val="24"/>
          <w:szCs w:val="24"/>
        </w:rPr>
        <w:t xml:space="preserve"> и радиосвязь» 10 198 руб. (+5,2%), «Страхование» 7 136 руб. (+3,0%), «Банки и кредитование» 7 331 руб. (-</w:t>
      </w:r>
      <w:r>
        <w:rPr>
          <w:rFonts w:ascii="Times New Roman" w:hAnsi="Times New Roman"/>
          <w:sz w:val="24"/>
          <w:szCs w:val="24"/>
        </w:rPr>
        <w:t>2,9</w:t>
      </w:r>
      <w:r w:rsidRPr="001C6BA9">
        <w:rPr>
          <w:rFonts w:ascii="Times New Roman" w:hAnsi="Times New Roman"/>
          <w:sz w:val="24"/>
          <w:szCs w:val="24"/>
        </w:rPr>
        <w:t>%) (рис. 35).</w:t>
      </w: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 xml:space="preserve">Сокращение среднемесячной заработной платы отмечено у работников таких отраслей, как: «Лесное хозяйство» (на 12,4% до 2 223 руб.), «Троллейбусный транспорт» (на 1,2% до 2 615 руб.), «Наука и научное обслуживание» (на 6,3% до 2 912 руб.), ее размер сложился ниже </w:t>
      </w:r>
      <w:proofErr w:type="spellStart"/>
      <w:r w:rsidRPr="009B0ADD">
        <w:rPr>
          <w:rFonts w:ascii="Times New Roman" w:hAnsi="Times New Roman"/>
          <w:sz w:val="24"/>
          <w:szCs w:val="24"/>
        </w:rPr>
        <w:t>среднереспубликанского</w:t>
      </w:r>
      <w:proofErr w:type="spellEnd"/>
      <w:r w:rsidRPr="009B0ADD">
        <w:rPr>
          <w:rFonts w:ascii="Times New Roman" w:hAnsi="Times New Roman"/>
          <w:sz w:val="24"/>
          <w:szCs w:val="24"/>
        </w:rPr>
        <w:t xml:space="preserve"> уровня </w:t>
      </w:r>
      <w:proofErr w:type="gramStart"/>
      <w:r w:rsidRPr="009B0ADD">
        <w:rPr>
          <w:rFonts w:ascii="Times New Roman" w:hAnsi="Times New Roman"/>
          <w:sz w:val="24"/>
          <w:szCs w:val="24"/>
        </w:rPr>
        <w:t>на</w:t>
      </w:r>
      <w:proofErr w:type="gramEnd"/>
      <w:r w:rsidRPr="009B0ADD">
        <w:rPr>
          <w:rFonts w:ascii="Times New Roman" w:hAnsi="Times New Roman"/>
          <w:sz w:val="24"/>
          <w:szCs w:val="24"/>
        </w:rPr>
        <w:t xml:space="preserve"> 43,2%, 33,2%, 25,6% соответственно. </w:t>
      </w:r>
    </w:p>
    <w:p w:rsidR="001C6BA9" w:rsidRDefault="001C6BA9" w:rsidP="001C6BA9">
      <w:pPr>
        <w:widowControl w:val="0"/>
        <w:spacing w:after="0" w:line="240" w:lineRule="auto"/>
        <w:ind w:firstLine="709"/>
        <w:jc w:val="both"/>
        <w:rPr>
          <w:rFonts w:ascii="Times New Roman" w:hAnsi="Times New Roman"/>
          <w:sz w:val="24"/>
          <w:szCs w:val="24"/>
        </w:rPr>
      </w:pPr>
      <w:r w:rsidRPr="009B0ADD">
        <w:rPr>
          <w:rFonts w:ascii="Times New Roman" w:hAnsi="Times New Roman"/>
          <w:sz w:val="24"/>
          <w:szCs w:val="24"/>
        </w:rPr>
        <w:t xml:space="preserve">В целом по экономике в 2017 году прирост стоимости минимального набора товаров и услуг, </w:t>
      </w:r>
      <w:r w:rsidRPr="009B0ADD">
        <w:rPr>
          <w:rFonts w:ascii="Times New Roman" w:hAnsi="Times New Roman"/>
          <w:color w:val="000000"/>
          <w:sz w:val="24"/>
          <w:szCs w:val="24"/>
        </w:rPr>
        <w:t xml:space="preserve">необходимых человеку для поддержания жизнедеятельности </w:t>
      </w:r>
      <w:r w:rsidRPr="009B0ADD">
        <w:rPr>
          <w:rFonts w:ascii="Times New Roman" w:hAnsi="Times New Roman"/>
          <w:sz w:val="24"/>
          <w:szCs w:val="24"/>
        </w:rPr>
        <w:t>(+6,1% до 1 449,5 руб.) опережал повышение оплаты труда (+3,5%), что привело к сокращению покупательной способности заработной платы одного работника до 2,7 набора прожиточного минимума против 2,8 в 2016 году.</w:t>
      </w:r>
    </w:p>
    <w:p w:rsidR="001C6BA9" w:rsidRDefault="001C6BA9" w:rsidP="001C6BA9">
      <w:pPr>
        <w:widowControl w:val="0"/>
        <w:spacing w:after="0" w:line="240" w:lineRule="auto"/>
        <w:ind w:firstLine="709"/>
        <w:jc w:val="right"/>
        <w:rPr>
          <w:rFonts w:ascii="Times New Roman" w:hAnsi="Times New Roman"/>
          <w:b/>
          <w:i/>
          <w:sz w:val="24"/>
          <w:szCs w:val="24"/>
        </w:rPr>
      </w:pPr>
    </w:p>
    <w:p w:rsidR="001C6BA9" w:rsidRDefault="001C6BA9" w:rsidP="001C6BA9">
      <w:pPr>
        <w:widowControl w:val="0"/>
        <w:spacing w:after="0" w:line="240" w:lineRule="auto"/>
        <w:ind w:firstLine="709"/>
        <w:jc w:val="right"/>
        <w:rPr>
          <w:rFonts w:ascii="Times New Roman" w:hAnsi="Times New Roman"/>
          <w:b/>
          <w:i/>
          <w:sz w:val="24"/>
          <w:szCs w:val="24"/>
        </w:rPr>
      </w:pPr>
    </w:p>
    <w:p w:rsidR="001C6BA9" w:rsidRDefault="001C6BA9" w:rsidP="001C6BA9">
      <w:pPr>
        <w:widowControl w:val="0"/>
        <w:spacing w:after="0" w:line="240" w:lineRule="auto"/>
        <w:ind w:firstLine="709"/>
        <w:jc w:val="right"/>
        <w:rPr>
          <w:rFonts w:ascii="Times New Roman" w:hAnsi="Times New Roman"/>
          <w:b/>
          <w:i/>
          <w:sz w:val="24"/>
          <w:szCs w:val="24"/>
        </w:rPr>
      </w:pPr>
    </w:p>
    <w:p w:rsidR="001C6BA9" w:rsidRDefault="001C6BA9" w:rsidP="001C6BA9">
      <w:pPr>
        <w:widowControl w:val="0"/>
        <w:spacing w:after="0" w:line="240" w:lineRule="auto"/>
        <w:ind w:firstLine="709"/>
        <w:jc w:val="right"/>
        <w:rPr>
          <w:rFonts w:ascii="Times New Roman" w:hAnsi="Times New Roman"/>
          <w:b/>
          <w:i/>
          <w:sz w:val="24"/>
          <w:szCs w:val="24"/>
        </w:rPr>
      </w:pPr>
    </w:p>
    <w:p w:rsidR="001C6BA9" w:rsidRDefault="001C6BA9" w:rsidP="001C6BA9">
      <w:pPr>
        <w:widowControl w:val="0"/>
        <w:spacing w:after="0" w:line="240" w:lineRule="auto"/>
        <w:ind w:firstLine="709"/>
        <w:jc w:val="right"/>
        <w:rPr>
          <w:rFonts w:ascii="Times New Roman" w:hAnsi="Times New Roman"/>
          <w:b/>
          <w:i/>
          <w:sz w:val="24"/>
          <w:szCs w:val="24"/>
        </w:rPr>
      </w:pPr>
    </w:p>
    <w:p w:rsidR="001C6BA9" w:rsidRDefault="001C6BA9" w:rsidP="001C6BA9">
      <w:pPr>
        <w:widowControl w:val="0"/>
        <w:spacing w:after="0" w:line="240" w:lineRule="auto"/>
        <w:ind w:firstLine="709"/>
        <w:jc w:val="right"/>
        <w:rPr>
          <w:rFonts w:ascii="Times New Roman" w:hAnsi="Times New Roman"/>
          <w:b/>
          <w:i/>
          <w:sz w:val="24"/>
          <w:szCs w:val="24"/>
        </w:rPr>
      </w:pPr>
    </w:p>
    <w:p w:rsidR="001C6BA9" w:rsidRDefault="001C6BA9" w:rsidP="001C6BA9">
      <w:pPr>
        <w:widowControl w:val="0"/>
        <w:spacing w:after="0" w:line="240" w:lineRule="auto"/>
        <w:ind w:firstLine="709"/>
        <w:jc w:val="right"/>
        <w:rPr>
          <w:rFonts w:ascii="Times New Roman" w:hAnsi="Times New Roman"/>
          <w:b/>
          <w:i/>
          <w:sz w:val="24"/>
          <w:szCs w:val="24"/>
        </w:rPr>
      </w:pPr>
      <w:r w:rsidRPr="00C20602">
        <w:rPr>
          <w:rFonts w:ascii="Times New Roman" w:hAnsi="Times New Roman"/>
          <w:b/>
          <w:i/>
          <w:sz w:val="24"/>
          <w:szCs w:val="24"/>
        </w:rPr>
        <w:lastRenderedPageBreak/>
        <w:t>Рисунок</w:t>
      </w:r>
      <w:r>
        <w:rPr>
          <w:rFonts w:ascii="Times New Roman" w:hAnsi="Times New Roman"/>
          <w:b/>
          <w:i/>
          <w:sz w:val="24"/>
          <w:szCs w:val="24"/>
        </w:rPr>
        <w:t xml:space="preserve"> 35</w:t>
      </w:r>
    </w:p>
    <w:p w:rsidR="001C6BA9" w:rsidRPr="001C6BA9" w:rsidRDefault="001C6BA9" w:rsidP="001C6BA9">
      <w:pPr>
        <w:widowControl w:val="0"/>
        <w:spacing w:after="0" w:line="240" w:lineRule="auto"/>
        <w:ind w:firstLine="709"/>
        <w:jc w:val="right"/>
        <w:rPr>
          <w:rFonts w:ascii="Times New Roman" w:hAnsi="Times New Roman"/>
          <w:sz w:val="10"/>
          <w:szCs w:val="10"/>
        </w:rPr>
      </w:pPr>
    </w:p>
    <w:p w:rsidR="001C6BA9" w:rsidRPr="009B0ADD" w:rsidRDefault="001C6BA9" w:rsidP="001C6BA9">
      <w:pPr>
        <w:widowControl w:val="0"/>
        <w:spacing w:after="0" w:line="240" w:lineRule="auto"/>
        <w:ind w:left="-284"/>
        <w:jc w:val="both"/>
        <w:rPr>
          <w:rFonts w:ascii="Times New Roman" w:hAnsi="Times New Roman"/>
          <w:sz w:val="24"/>
          <w:szCs w:val="24"/>
        </w:rPr>
      </w:pPr>
      <w:r w:rsidRPr="009B0ADD">
        <w:rPr>
          <w:rFonts w:ascii="Times New Roman" w:hAnsi="Times New Roman"/>
          <w:noProof/>
          <w:sz w:val="24"/>
          <w:szCs w:val="24"/>
        </w:rPr>
        <w:drawing>
          <wp:inline distT="0" distB="0" distL="0" distR="0">
            <wp:extent cx="6334125" cy="4076700"/>
            <wp:effectExtent l="0" t="0" r="0" b="0"/>
            <wp:docPr id="11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C6BA9" w:rsidRDefault="001C6BA9" w:rsidP="001C6BA9">
      <w:pPr>
        <w:widowControl w:val="0"/>
        <w:spacing w:after="0" w:line="240" w:lineRule="auto"/>
        <w:ind w:left="-284"/>
        <w:jc w:val="both"/>
        <w:rPr>
          <w:rFonts w:ascii="Times New Roman" w:hAnsi="Times New Roman"/>
          <w:sz w:val="20"/>
          <w:szCs w:val="20"/>
          <w:shd w:val="clear" w:color="auto" w:fill="FFFFFF"/>
        </w:rPr>
      </w:pPr>
      <w:r w:rsidRPr="009B0ADD">
        <w:rPr>
          <w:rFonts w:ascii="Times New Roman" w:hAnsi="Times New Roman"/>
          <w:sz w:val="20"/>
          <w:szCs w:val="20"/>
        </w:rPr>
        <w:t xml:space="preserve">       * - без </w:t>
      </w:r>
      <w:r w:rsidRPr="009B0ADD">
        <w:rPr>
          <w:rFonts w:ascii="Times New Roman" w:hAnsi="Times New Roman"/>
          <w:sz w:val="20"/>
          <w:szCs w:val="20"/>
          <w:shd w:val="clear" w:color="auto" w:fill="FFFFFF"/>
        </w:rPr>
        <w:t>учета субъектов малого предпринимательства и силовых структур</w:t>
      </w:r>
    </w:p>
    <w:p w:rsidR="001C6BA9" w:rsidRPr="001C6BA9" w:rsidRDefault="001C6BA9" w:rsidP="001C6BA9">
      <w:pPr>
        <w:widowControl w:val="0"/>
        <w:spacing w:after="0" w:line="240" w:lineRule="auto"/>
        <w:ind w:left="-284"/>
        <w:jc w:val="both"/>
        <w:rPr>
          <w:rFonts w:ascii="Times New Roman" w:hAnsi="Times New Roman"/>
          <w:sz w:val="10"/>
          <w:szCs w:val="10"/>
        </w:rPr>
      </w:pPr>
    </w:p>
    <w:p w:rsidR="001C6BA9" w:rsidRDefault="001C6BA9" w:rsidP="001C6BA9">
      <w:pPr>
        <w:spacing w:after="0"/>
        <w:jc w:val="right"/>
        <w:rPr>
          <w:rFonts w:ascii="Times New Roman" w:hAnsi="Times New Roman"/>
          <w:sz w:val="24"/>
          <w:szCs w:val="24"/>
        </w:rPr>
      </w:pPr>
      <w:r>
        <w:rPr>
          <w:rFonts w:ascii="Times New Roman" w:hAnsi="Times New Roman"/>
          <w:sz w:val="24"/>
          <w:szCs w:val="24"/>
        </w:rPr>
        <w:t>Таблица №6</w:t>
      </w:r>
    </w:p>
    <w:p w:rsidR="001C6BA9" w:rsidRPr="001C6BA9" w:rsidRDefault="001C6BA9" w:rsidP="001C6BA9">
      <w:pPr>
        <w:spacing w:after="0"/>
        <w:jc w:val="right"/>
        <w:rPr>
          <w:rFonts w:ascii="Times New Roman" w:hAnsi="Times New Roman"/>
          <w:sz w:val="10"/>
          <w:szCs w:val="10"/>
        </w:rPr>
      </w:pPr>
    </w:p>
    <w:p w:rsidR="001C6BA9" w:rsidRPr="009B0ADD" w:rsidRDefault="001C6BA9" w:rsidP="001C6BA9">
      <w:pPr>
        <w:spacing w:after="0" w:line="240" w:lineRule="auto"/>
        <w:ind w:firstLine="709"/>
        <w:jc w:val="center"/>
        <w:rPr>
          <w:rFonts w:ascii="Times New Roman" w:hAnsi="Times New Roman"/>
          <w:b/>
          <w:sz w:val="24"/>
          <w:szCs w:val="24"/>
        </w:rPr>
      </w:pPr>
      <w:r w:rsidRPr="009B0ADD">
        <w:rPr>
          <w:rFonts w:ascii="Times New Roman" w:hAnsi="Times New Roman"/>
          <w:b/>
          <w:sz w:val="24"/>
          <w:szCs w:val="24"/>
        </w:rPr>
        <w:t>Покупательная способность среднемесячной заработной платы</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984"/>
        <w:gridCol w:w="1984"/>
      </w:tblGrid>
      <w:tr w:rsidR="001C6BA9" w:rsidRPr="009B0ADD" w:rsidTr="00E546EE">
        <w:trPr>
          <w:trHeight w:val="292"/>
        </w:trPr>
        <w:tc>
          <w:tcPr>
            <w:tcW w:w="5529" w:type="dxa"/>
            <w:shd w:val="clear" w:color="auto" w:fill="E0E0E0"/>
            <w:vAlign w:val="center"/>
          </w:tcPr>
          <w:p w:rsidR="001C6BA9" w:rsidRPr="009B0ADD" w:rsidRDefault="001C6BA9" w:rsidP="00E546EE">
            <w:pPr>
              <w:widowControl w:val="0"/>
              <w:spacing w:after="0" w:line="240" w:lineRule="auto"/>
              <w:rPr>
                <w:rFonts w:ascii="Times New Roman" w:hAnsi="Times New Roman"/>
                <w:b/>
              </w:rPr>
            </w:pPr>
            <w:r w:rsidRPr="009B0ADD">
              <w:rPr>
                <w:rFonts w:ascii="Times New Roman" w:hAnsi="Times New Roman"/>
                <w:b/>
              </w:rPr>
              <w:t>Покупательная способность среднемесячной заработной платы</w:t>
            </w:r>
          </w:p>
        </w:tc>
        <w:tc>
          <w:tcPr>
            <w:tcW w:w="1984" w:type="dxa"/>
            <w:shd w:val="clear" w:color="auto" w:fill="E0E0E0"/>
            <w:vAlign w:val="center"/>
          </w:tcPr>
          <w:p w:rsidR="001C6BA9" w:rsidRPr="009B0ADD" w:rsidRDefault="001C6BA9" w:rsidP="00E546EE">
            <w:pPr>
              <w:widowControl w:val="0"/>
              <w:spacing w:after="0" w:line="240" w:lineRule="auto"/>
              <w:jc w:val="center"/>
              <w:rPr>
                <w:rFonts w:ascii="Times New Roman" w:hAnsi="Times New Roman"/>
                <w:b/>
              </w:rPr>
            </w:pPr>
            <w:r w:rsidRPr="009B0ADD">
              <w:rPr>
                <w:rFonts w:ascii="Times New Roman" w:hAnsi="Times New Roman"/>
                <w:b/>
              </w:rPr>
              <w:t>2016 год</w:t>
            </w:r>
          </w:p>
        </w:tc>
        <w:tc>
          <w:tcPr>
            <w:tcW w:w="1984" w:type="dxa"/>
            <w:shd w:val="clear" w:color="auto" w:fill="E0E0E0"/>
            <w:vAlign w:val="center"/>
          </w:tcPr>
          <w:p w:rsidR="001C6BA9" w:rsidRPr="009B0ADD" w:rsidRDefault="001C6BA9" w:rsidP="00E546EE">
            <w:pPr>
              <w:widowControl w:val="0"/>
              <w:spacing w:after="0" w:line="240" w:lineRule="auto"/>
              <w:jc w:val="center"/>
              <w:rPr>
                <w:rFonts w:ascii="Times New Roman" w:hAnsi="Times New Roman"/>
                <w:b/>
              </w:rPr>
            </w:pPr>
            <w:r w:rsidRPr="009B0ADD">
              <w:rPr>
                <w:rFonts w:ascii="Times New Roman" w:hAnsi="Times New Roman"/>
                <w:b/>
              </w:rPr>
              <w:t>2017 год</w:t>
            </w:r>
          </w:p>
        </w:tc>
      </w:tr>
      <w:tr w:rsidR="001C6BA9" w:rsidRPr="009B0ADD" w:rsidTr="00E546EE">
        <w:trPr>
          <w:trHeight w:val="360"/>
        </w:trPr>
        <w:tc>
          <w:tcPr>
            <w:tcW w:w="5529" w:type="dxa"/>
            <w:vAlign w:val="center"/>
          </w:tcPr>
          <w:p w:rsidR="001C6BA9" w:rsidRPr="009B0ADD" w:rsidRDefault="001C6BA9" w:rsidP="00E546EE">
            <w:pPr>
              <w:widowControl w:val="0"/>
              <w:spacing w:after="0" w:line="240" w:lineRule="auto"/>
              <w:rPr>
                <w:rFonts w:ascii="Times New Roman" w:hAnsi="Times New Roman"/>
              </w:rPr>
            </w:pPr>
            <w:r w:rsidRPr="009B0ADD">
              <w:rPr>
                <w:rFonts w:ascii="Times New Roman" w:hAnsi="Times New Roman"/>
              </w:rPr>
              <w:t>- в целом по республике</w:t>
            </w:r>
          </w:p>
        </w:tc>
        <w:tc>
          <w:tcPr>
            <w:tcW w:w="1984" w:type="dxa"/>
            <w:vAlign w:val="center"/>
          </w:tcPr>
          <w:p w:rsidR="001C6BA9" w:rsidRPr="009B0ADD" w:rsidRDefault="001C6BA9" w:rsidP="00E546EE">
            <w:pPr>
              <w:widowControl w:val="0"/>
              <w:spacing w:after="0" w:line="240" w:lineRule="auto"/>
              <w:jc w:val="center"/>
              <w:rPr>
                <w:rFonts w:ascii="Times New Roman" w:hAnsi="Times New Roman"/>
              </w:rPr>
            </w:pPr>
            <w:r w:rsidRPr="009B0ADD">
              <w:rPr>
                <w:rFonts w:ascii="Times New Roman" w:hAnsi="Times New Roman"/>
              </w:rPr>
              <w:t>2,8</w:t>
            </w:r>
          </w:p>
        </w:tc>
        <w:tc>
          <w:tcPr>
            <w:tcW w:w="1984" w:type="dxa"/>
            <w:vAlign w:val="center"/>
          </w:tcPr>
          <w:p w:rsidR="001C6BA9" w:rsidRPr="009B0ADD" w:rsidRDefault="001C6BA9" w:rsidP="00E546EE">
            <w:pPr>
              <w:widowControl w:val="0"/>
              <w:spacing w:after="0" w:line="240" w:lineRule="auto"/>
              <w:jc w:val="center"/>
              <w:rPr>
                <w:rFonts w:ascii="Times New Roman" w:hAnsi="Times New Roman"/>
              </w:rPr>
            </w:pPr>
            <w:r w:rsidRPr="009B0ADD">
              <w:rPr>
                <w:rFonts w:ascii="Times New Roman" w:hAnsi="Times New Roman"/>
              </w:rPr>
              <w:t>2,7</w:t>
            </w:r>
          </w:p>
        </w:tc>
      </w:tr>
      <w:tr w:rsidR="001C6BA9" w:rsidRPr="009B0ADD" w:rsidTr="00E546EE">
        <w:trPr>
          <w:trHeight w:val="360"/>
        </w:trPr>
        <w:tc>
          <w:tcPr>
            <w:tcW w:w="5529" w:type="dxa"/>
            <w:vAlign w:val="center"/>
          </w:tcPr>
          <w:p w:rsidR="001C6BA9" w:rsidRPr="009B0ADD" w:rsidRDefault="001C6BA9" w:rsidP="00E546EE">
            <w:pPr>
              <w:widowControl w:val="0"/>
              <w:spacing w:after="0" w:line="240" w:lineRule="auto"/>
              <w:rPr>
                <w:rFonts w:ascii="Times New Roman" w:hAnsi="Times New Roman"/>
              </w:rPr>
            </w:pPr>
            <w:r w:rsidRPr="009B0ADD">
              <w:rPr>
                <w:rFonts w:ascii="Times New Roman" w:hAnsi="Times New Roman"/>
              </w:rPr>
              <w:t xml:space="preserve">- в хозрасчетном секторе </w:t>
            </w:r>
          </w:p>
        </w:tc>
        <w:tc>
          <w:tcPr>
            <w:tcW w:w="1984" w:type="dxa"/>
            <w:vAlign w:val="center"/>
          </w:tcPr>
          <w:p w:rsidR="001C6BA9" w:rsidRPr="009B0ADD" w:rsidRDefault="001C6BA9" w:rsidP="00E546EE">
            <w:pPr>
              <w:widowControl w:val="0"/>
              <w:spacing w:after="0" w:line="240" w:lineRule="auto"/>
              <w:jc w:val="center"/>
              <w:rPr>
                <w:rFonts w:ascii="Times New Roman" w:hAnsi="Times New Roman"/>
              </w:rPr>
            </w:pPr>
            <w:r w:rsidRPr="009B0ADD">
              <w:rPr>
                <w:rFonts w:ascii="Times New Roman" w:hAnsi="Times New Roman"/>
              </w:rPr>
              <w:t>3,5</w:t>
            </w:r>
          </w:p>
        </w:tc>
        <w:tc>
          <w:tcPr>
            <w:tcW w:w="1984" w:type="dxa"/>
            <w:vAlign w:val="center"/>
          </w:tcPr>
          <w:p w:rsidR="001C6BA9" w:rsidRPr="009B0ADD" w:rsidRDefault="001C6BA9" w:rsidP="00E546EE">
            <w:pPr>
              <w:widowControl w:val="0"/>
              <w:spacing w:after="0" w:line="240" w:lineRule="auto"/>
              <w:jc w:val="center"/>
              <w:rPr>
                <w:rFonts w:ascii="Times New Roman" w:hAnsi="Times New Roman"/>
              </w:rPr>
            </w:pPr>
            <w:r w:rsidRPr="009B0ADD">
              <w:rPr>
                <w:rFonts w:ascii="Times New Roman" w:hAnsi="Times New Roman"/>
              </w:rPr>
              <w:t>3,5</w:t>
            </w:r>
          </w:p>
        </w:tc>
      </w:tr>
      <w:tr w:rsidR="001C6BA9" w:rsidRPr="009B0ADD" w:rsidTr="00E546EE">
        <w:trPr>
          <w:trHeight w:val="360"/>
        </w:trPr>
        <w:tc>
          <w:tcPr>
            <w:tcW w:w="5529" w:type="dxa"/>
            <w:vAlign w:val="center"/>
          </w:tcPr>
          <w:p w:rsidR="001C6BA9" w:rsidRPr="009B0ADD" w:rsidRDefault="001C6BA9" w:rsidP="00E546EE">
            <w:pPr>
              <w:widowControl w:val="0"/>
              <w:spacing w:after="0" w:line="240" w:lineRule="auto"/>
              <w:rPr>
                <w:rFonts w:ascii="Times New Roman" w:hAnsi="Times New Roman"/>
              </w:rPr>
            </w:pPr>
            <w:r w:rsidRPr="009B0ADD">
              <w:rPr>
                <w:rFonts w:ascii="Times New Roman" w:hAnsi="Times New Roman"/>
              </w:rPr>
              <w:t>- в бюджетной сфере</w:t>
            </w:r>
          </w:p>
        </w:tc>
        <w:tc>
          <w:tcPr>
            <w:tcW w:w="1984" w:type="dxa"/>
            <w:vAlign w:val="center"/>
          </w:tcPr>
          <w:p w:rsidR="001C6BA9" w:rsidRPr="009B0ADD" w:rsidRDefault="001C6BA9" w:rsidP="00E546EE">
            <w:pPr>
              <w:widowControl w:val="0"/>
              <w:spacing w:after="0" w:line="240" w:lineRule="auto"/>
              <w:jc w:val="center"/>
              <w:rPr>
                <w:rFonts w:ascii="Times New Roman" w:hAnsi="Times New Roman"/>
              </w:rPr>
            </w:pPr>
            <w:r w:rsidRPr="009B0ADD">
              <w:rPr>
                <w:rFonts w:ascii="Times New Roman" w:hAnsi="Times New Roman"/>
              </w:rPr>
              <w:t>2,0</w:t>
            </w:r>
          </w:p>
        </w:tc>
        <w:tc>
          <w:tcPr>
            <w:tcW w:w="1984" w:type="dxa"/>
            <w:vAlign w:val="center"/>
          </w:tcPr>
          <w:p w:rsidR="001C6BA9" w:rsidRPr="009B0ADD" w:rsidRDefault="001C6BA9" w:rsidP="00E546EE">
            <w:pPr>
              <w:widowControl w:val="0"/>
              <w:spacing w:after="0" w:line="240" w:lineRule="auto"/>
              <w:jc w:val="center"/>
              <w:rPr>
                <w:rFonts w:ascii="Times New Roman" w:hAnsi="Times New Roman"/>
              </w:rPr>
            </w:pPr>
            <w:r w:rsidRPr="009B0ADD">
              <w:rPr>
                <w:rFonts w:ascii="Times New Roman" w:hAnsi="Times New Roman"/>
              </w:rPr>
              <w:t>1,9</w:t>
            </w:r>
          </w:p>
        </w:tc>
      </w:tr>
    </w:tbl>
    <w:p w:rsidR="001C6BA9" w:rsidRPr="009B0ADD" w:rsidRDefault="001C6BA9" w:rsidP="001C6BA9">
      <w:pPr>
        <w:widowControl w:val="0"/>
        <w:spacing w:after="0" w:line="240" w:lineRule="auto"/>
        <w:ind w:firstLine="720"/>
        <w:jc w:val="both"/>
        <w:rPr>
          <w:rFonts w:ascii="Times New Roman" w:hAnsi="Times New Roman"/>
          <w:b/>
          <w:sz w:val="24"/>
          <w:szCs w:val="24"/>
        </w:rPr>
      </w:pPr>
    </w:p>
    <w:p w:rsidR="001C6BA9" w:rsidRPr="009B0ADD" w:rsidRDefault="001C6BA9" w:rsidP="001C6BA9">
      <w:pPr>
        <w:widowControl w:val="0"/>
        <w:spacing w:after="0" w:line="240" w:lineRule="auto"/>
        <w:ind w:firstLine="720"/>
        <w:jc w:val="both"/>
        <w:rPr>
          <w:rFonts w:ascii="Times New Roman" w:hAnsi="Times New Roman"/>
          <w:sz w:val="24"/>
          <w:szCs w:val="24"/>
        </w:rPr>
      </w:pPr>
      <w:r w:rsidRPr="009B0ADD">
        <w:rPr>
          <w:rFonts w:ascii="Times New Roman" w:hAnsi="Times New Roman"/>
          <w:b/>
          <w:sz w:val="24"/>
          <w:szCs w:val="24"/>
        </w:rPr>
        <w:t>Во внебюджетном (хозрасчетном) секторе</w:t>
      </w:r>
      <w:r w:rsidRPr="009B0ADD">
        <w:rPr>
          <w:rFonts w:ascii="Times New Roman" w:hAnsi="Times New Roman"/>
          <w:sz w:val="24"/>
          <w:szCs w:val="24"/>
        </w:rPr>
        <w:t xml:space="preserve"> экономики начисленная среднемесячная заработная плата одного работника за 2017 год выросла по отношению к базовому показателю 2016 года на 4,4% и сложилась в размере 5 072 руб., однако с учетом корректировки на индекс инфляции соответствует ее реальному сокращению на 3,4</w:t>
      </w:r>
      <w:r>
        <w:rPr>
          <w:rFonts w:ascii="Times New Roman" w:hAnsi="Times New Roman"/>
          <w:sz w:val="24"/>
          <w:szCs w:val="24"/>
        </w:rPr>
        <w:t xml:space="preserve">%               </w:t>
      </w:r>
      <w:r w:rsidRPr="00230BFA">
        <w:rPr>
          <w:rFonts w:ascii="Times New Roman" w:hAnsi="Times New Roman"/>
          <w:sz w:val="24"/>
          <w:szCs w:val="24"/>
        </w:rPr>
        <w:t>(рис. 36).</w:t>
      </w:r>
    </w:p>
    <w:p w:rsidR="001C6BA9" w:rsidRDefault="001C6BA9" w:rsidP="001C6BA9">
      <w:pPr>
        <w:widowControl w:val="0"/>
        <w:spacing w:after="0" w:line="240" w:lineRule="auto"/>
        <w:ind w:firstLine="708"/>
        <w:jc w:val="both"/>
        <w:rPr>
          <w:rFonts w:ascii="Times New Roman" w:hAnsi="Times New Roman"/>
          <w:sz w:val="24"/>
          <w:szCs w:val="24"/>
        </w:rPr>
      </w:pPr>
      <w:r w:rsidRPr="009B0ADD">
        <w:rPr>
          <w:rFonts w:ascii="Times New Roman" w:hAnsi="Times New Roman"/>
          <w:sz w:val="24"/>
          <w:szCs w:val="24"/>
        </w:rPr>
        <w:t xml:space="preserve">Повышение номинальной заработной платы за 2017 год по отношению к базовому показателю 2016 года в хозрасчетном (внебюджетном) секторе экономики варьировало от 0,8% в организациях жилищно-коммунального хозяйства (4 194 руб.) до 23,2% в организациях физкультуры, отдыха и туризма (8 093 руб.). При этом также самыми высокооплачиваемыми отраслями в данном секторе экономики в отчетном году оставались «Связь» (7 498 руб.) и «Страхование» (7 136 руб.), где превышение </w:t>
      </w:r>
      <w:proofErr w:type="spellStart"/>
      <w:r w:rsidRPr="009B0ADD">
        <w:rPr>
          <w:rFonts w:ascii="Times New Roman" w:hAnsi="Times New Roman"/>
          <w:sz w:val="24"/>
          <w:szCs w:val="24"/>
        </w:rPr>
        <w:t>среднереспубликанского</w:t>
      </w:r>
      <w:proofErr w:type="spellEnd"/>
      <w:r w:rsidRPr="009B0ADD">
        <w:rPr>
          <w:rFonts w:ascii="Times New Roman" w:hAnsi="Times New Roman"/>
          <w:sz w:val="24"/>
          <w:szCs w:val="24"/>
        </w:rPr>
        <w:t xml:space="preserve"> уровня заработной платы организаций хозрасчетного сектора варьировало от 47,8% до 40,7%. </w:t>
      </w:r>
    </w:p>
    <w:p w:rsidR="001C6BA9" w:rsidRDefault="001C6BA9" w:rsidP="001C6BA9">
      <w:pPr>
        <w:widowControl w:val="0"/>
        <w:spacing w:after="0" w:line="240" w:lineRule="auto"/>
        <w:ind w:firstLine="708"/>
        <w:jc w:val="right"/>
        <w:rPr>
          <w:rFonts w:ascii="Times New Roman" w:hAnsi="Times New Roman"/>
          <w:b/>
          <w:i/>
          <w:sz w:val="24"/>
          <w:szCs w:val="24"/>
          <w:highlight w:val="yellow"/>
        </w:rPr>
      </w:pPr>
    </w:p>
    <w:p w:rsidR="001C6BA9" w:rsidRDefault="001C6BA9" w:rsidP="001C6BA9">
      <w:pPr>
        <w:widowControl w:val="0"/>
        <w:spacing w:after="0" w:line="240" w:lineRule="auto"/>
        <w:ind w:firstLine="708"/>
        <w:jc w:val="right"/>
        <w:rPr>
          <w:rFonts w:ascii="Times New Roman" w:hAnsi="Times New Roman"/>
          <w:b/>
          <w:i/>
          <w:sz w:val="24"/>
          <w:szCs w:val="24"/>
          <w:highlight w:val="yellow"/>
        </w:rPr>
      </w:pPr>
    </w:p>
    <w:p w:rsidR="001C6BA9" w:rsidRDefault="001C6BA9" w:rsidP="001C6BA9">
      <w:pPr>
        <w:widowControl w:val="0"/>
        <w:spacing w:after="0" w:line="240" w:lineRule="auto"/>
        <w:ind w:firstLine="708"/>
        <w:jc w:val="right"/>
        <w:rPr>
          <w:rFonts w:ascii="Times New Roman" w:hAnsi="Times New Roman"/>
          <w:b/>
          <w:i/>
          <w:sz w:val="24"/>
          <w:szCs w:val="24"/>
          <w:highlight w:val="yellow"/>
        </w:rPr>
      </w:pPr>
    </w:p>
    <w:p w:rsidR="001C6BA9" w:rsidRDefault="001C6BA9" w:rsidP="001C6BA9">
      <w:pPr>
        <w:widowControl w:val="0"/>
        <w:spacing w:after="0" w:line="240" w:lineRule="auto"/>
        <w:ind w:firstLine="708"/>
        <w:jc w:val="right"/>
        <w:rPr>
          <w:rFonts w:ascii="Times New Roman" w:hAnsi="Times New Roman"/>
          <w:b/>
          <w:i/>
          <w:sz w:val="24"/>
          <w:szCs w:val="24"/>
          <w:highlight w:val="yellow"/>
        </w:rPr>
      </w:pPr>
    </w:p>
    <w:p w:rsidR="001C6BA9" w:rsidRDefault="001C6BA9" w:rsidP="001C6BA9">
      <w:pPr>
        <w:widowControl w:val="0"/>
        <w:spacing w:after="0" w:line="240" w:lineRule="auto"/>
        <w:ind w:firstLine="708"/>
        <w:jc w:val="right"/>
        <w:rPr>
          <w:rFonts w:ascii="Times New Roman" w:hAnsi="Times New Roman"/>
          <w:b/>
          <w:i/>
          <w:sz w:val="24"/>
          <w:szCs w:val="24"/>
          <w:highlight w:val="yellow"/>
        </w:rPr>
      </w:pPr>
    </w:p>
    <w:p w:rsidR="001C6BA9" w:rsidRDefault="001C6BA9" w:rsidP="001C6BA9">
      <w:pPr>
        <w:widowControl w:val="0"/>
        <w:spacing w:after="0" w:line="240" w:lineRule="auto"/>
        <w:ind w:firstLine="708"/>
        <w:jc w:val="right"/>
        <w:rPr>
          <w:rFonts w:ascii="Times New Roman" w:hAnsi="Times New Roman"/>
          <w:b/>
          <w:i/>
          <w:sz w:val="24"/>
          <w:szCs w:val="24"/>
          <w:highlight w:val="yellow"/>
        </w:rPr>
      </w:pPr>
    </w:p>
    <w:p w:rsidR="001C6BA9" w:rsidRPr="009B0ADD" w:rsidRDefault="001C6BA9" w:rsidP="001C6BA9">
      <w:pPr>
        <w:widowControl w:val="0"/>
        <w:spacing w:after="0" w:line="240" w:lineRule="auto"/>
        <w:ind w:firstLine="708"/>
        <w:jc w:val="right"/>
        <w:rPr>
          <w:rFonts w:ascii="Times New Roman" w:hAnsi="Times New Roman"/>
          <w:sz w:val="24"/>
          <w:szCs w:val="24"/>
        </w:rPr>
      </w:pPr>
      <w:r w:rsidRPr="00C20602">
        <w:rPr>
          <w:rFonts w:ascii="Times New Roman" w:hAnsi="Times New Roman"/>
          <w:b/>
          <w:i/>
          <w:sz w:val="24"/>
          <w:szCs w:val="24"/>
        </w:rPr>
        <w:lastRenderedPageBreak/>
        <w:t>Рисунок</w:t>
      </w:r>
      <w:r>
        <w:rPr>
          <w:rFonts w:ascii="Times New Roman" w:hAnsi="Times New Roman"/>
          <w:b/>
          <w:i/>
          <w:sz w:val="24"/>
          <w:szCs w:val="24"/>
        </w:rPr>
        <w:t xml:space="preserve"> 36</w:t>
      </w:r>
    </w:p>
    <w:p w:rsidR="001C6BA9" w:rsidRPr="009B0ADD" w:rsidRDefault="001C6BA9" w:rsidP="001C6BA9">
      <w:pPr>
        <w:spacing w:line="240" w:lineRule="auto"/>
        <w:contextualSpacing/>
        <w:jc w:val="right"/>
        <w:rPr>
          <w:rFonts w:ascii="Times New Roman" w:hAnsi="Times New Roman"/>
          <w:sz w:val="24"/>
          <w:szCs w:val="24"/>
        </w:rPr>
      </w:pPr>
      <w:r w:rsidRPr="009B0ADD">
        <w:rPr>
          <w:rFonts w:ascii="Times New Roman" w:hAnsi="Times New Roman"/>
          <w:noProof/>
          <w:sz w:val="24"/>
          <w:szCs w:val="24"/>
        </w:rPr>
        <w:drawing>
          <wp:inline distT="0" distB="0" distL="0" distR="0">
            <wp:extent cx="5943600" cy="4171950"/>
            <wp:effectExtent l="0" t="0" r="0" b="0"/>
            <wp:docPr id="11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C6BA9" w:rsidRPr="009B0ADD" w:rsidRDefault="001C6BA9" w:rsidP="001C6BA9">
      <w:pPr>
        <w:widowControl w:val="0"/>
        <w:spacing w:after="0" w:line="240" w:lineRule="auto"/>
        <w:jc w:val="both"/>
        <w:rPr>
          <w:rFonts w:ascii="Times New Roman" w:hAnsi="Times New Roman"/>
          <w:sz w:val="20"/>
          <w:szCs w:val="20"/>
        </w:rPr>
      </w:pPr>
      <w:r w:rsidRPr="009B0ADD">
        <w:rPr>
          <w:rFonts w:ascii="Times New Roman" w:hAnsi="Times New Roman"/>
          <w:sz w:val="20"/>
          <w:szCs w:val="20"/>
        </w:rPr>
        <w:t xml:space="preserve">       * - без </w:t>
      </w:r>
      <w:r w:rsidRPr="009B0ADD">
        <w:rPr>
          <w:rFonts w:ascii="Times New Roman" w:hAnsi="Times New Roman"/>
          <w:sz w:val="20"/>
          <w:szCs w:val="20"/>
          <w:shd w:val="clear" w:color="auto" w:fill="FFFFFF"/>
        </w:rPr>
        <w:t>учета субъектов малого предпринимательства и силовых структур</w:t>
      </w:r>
    </w:p>
    <w:p w:rsidR="001C6BA9" w:rsidRPr="009B0ADD" w:rsidRDefault="001C6BA9" w:rsidP="001C6BA9">
      <w:pPr>
        <w:widowControl w:val="0"/>
        <w:spacing w:after="0" w:line="240" w:lineRule="auto"/>
        <w:ind w:firstLine="709"/>
        <w:jc w:val="both"/>
        <w:rPr>
          <w:rFonts w:ascii="Times New Roman" w:hAnsi="Times New Roman"/>
          <w:sz w:val="24"/>
          <w:szCs w:val="24"/>
        </w:rPr>
      </w:pPr>
    </w:p>
    <w:p w:rsidR="001C6BA9" w:rsidRPr="009B0ADD" w:rsidRDefault="001C6BA9" w:rsidP="001C6BA9">
      <w:pPr>
        <w:spacing w:after="0" w:line="240" w:lineRule="auto"/>
        <w:ind w:firstLine="540"/>
        <w:jc w:val="both"/>
        <w:rPr>
          <w:rFonts w:ascii="Times New Roman" w:hAnsi="Times New Roman"/>
          <w:sz w:val="24"/>
          <w:szCs w:val="24"/>
        </w:rPr>
      </w:pPr>
      <w:r w:rsidRPr="009B0ADD">
        <w:rPr>
          <w:rFonts w:ascii="Times New Roman" w:hAnsi="Times New Roman"/>
          <w:sz w:val="24"/>
          <w:szCs w:val="24"/>
        </w:rPr>
        <w:t>Ситуация в промышленном секторе республики в 2017 году складывалась в условиях стабилизация ситуации в индустрии посредством организации качественного менеджмента на государственных предприятиях, что обусловило</w:t>
      </w:r>
      <w:r w:rsidRPr="009B0ADD">
        <w:rPr>
          <w:rFonts w:ascii="Times New Roman" w:hAnsi="Times New Roman"/>
          <w:b/>
          <w:sz w:val="24"/>
          <w:szCs w:val="24"/>
        </w:rPr>
        <w:t xml:space="preserve"> </w:t>
      </w:r>
      <w:r w:rsidRPr="009B0ADD">
        <w:rPr>
          <w:rFonts w:ascii="Times New Roman" w:hAnsi="Times New Roman"/>
          <w:sz w:val="24"/>
          <w:szCs w:val="24"/>
        </w:rPr>
        <w:t>увеличение</w:t>
      </w:r>
      <w:r w:rsidRPr="009B0ADD">
        <w:rPr>
          <w:rFonts w:ascii="Times New Roman" w:hAnsi="Times New Roman"/>
          <w:b/>
          <w:sz w:val="24"/>
          <w:szCs w:val="24"/>
        </w:rPr>
        <w:t xml:space="preserve"> </w:t>
      </w:r>
      <w:r w:rsidRPr="009B0ADD">
        <w:rPr>
          <w:rFonts w:ascii="Times New Roman" w:hAnsi="Times New Roman"/>
          <w:sz w:val="24"/>
          <w:szCs w:val="24"/>
        </w:rPr>
        <w:t>среднемесячной номинальной заработной платы работников в отчетном году на 7,1%, что в абсолютной величине соответствовало 5 322 руб. или 398 дол</w:t>
      </w:r>
      <w:r w:rsidR="00F0148D">
        <w:rPr>
          <w:rFonts w:ascii="Times New Roman" w:hAnsi="Times New Roman"/>
          <w:sz w:val="24"/>
          <w:szCs w:val="24"/>
        </w:rPr>
        <w:t>л</w:t>
      </w:r>
      <w:r w:rsidRPr="009B0ADD">
        <w:rPr>
          <w:rFonts w:ascii="Times New Roman" w:hAnsi="Times New Roman"/>
          <w:sz w:val="24"/>
          <w:szCs w:val="24"/>
        </w:rPr>
        <w:t>. США. Однако</w:t>
      </w:r>
      <w:proofErr w:type="gramStart"/>
      <w:r w:rsidRPr="009B0ADD">
        <w:rPr>
          <w:rFonts w:ascii="Times New Roman" w:hAnsi="Times New Roman"/>
          <w:sz w:val="24"/>
          <w:szCs w:val="24"/>
        </w:rPr>
        <w:t>,</w:t>
      </w:r>
      <w:proofErr w:type="gramEnd"/>
      <w:r w:rsidRPr="009B0ADD">
        <w:rPr>
          <w:rFonts w:ascii="Times New Roman" w:hAnsi="Times New Roman"/>
          <w:sz w:val="24"/>
          <w:szCs w:val="24"/>
        </w:rPr>
        <w:t xml:space="preserve"> с учетом корректировки на индекс инфляции реальная ее величина сократилась на 0,9%.</w:t>
      </w:r>
    </w:p>
    <w:p w:rsidR="001C6BA9" w:rsidRDefault="001C6BA9" w:rsidP="001C6BA9">
      <w:pPr>
        <w:widowControl w:val="0"/>
        <w:spacing w:after="0" w:line="240" w:lineRule="auto"/>
        <w:ind w:firstLine="709"/>
        <w:jc w:val="both"/>
        <w:rPr>
          <w:rFonts w:ascii="Times New Roman" w:hAnsi="Times New Roman"/>
          <w:sz w:val="24"/>
          <w:szCs w:val="24"/>
        </w:rPr>
      </w:pPr>
      <w:r w:rsidRPr="009B0ADD">
        <w:rPr>
          <w:rFonts w:ascii="Times New Roman" w:hAnsi="Times New Roman"/>
          <w:sz w:val="24"/>
          <w:szCs w:val="24"/>
        </w:rPr>
        <w:t xml:space="preserve">В разрезе </w:t>
      </w:r>
      <w:proofErr w:type="spellStart"/>
      <w:r w:rsidRPr="009B0ADD">
        <w:rPr>
          <w:rFonts w:ascii="Times New Roman" w:hAnsi="Times New Roman"/>
          <w:sz w:val="24"/>
          <w:szCs w:val="24"/>
        </w:rPr>
        <w:t>подотраслей</w:t>
      </w:r>
      <w:proofErr w:type="spellEnd"/>
      <w:r w:rsidRPr="009B0ADD">
        <w:rPr>
          <w:rFonts w:ascii="Times New Roman" w:hAnsi="Times New Roman"/>
          <w:sz w:val="24"/>
          <w:szCs w:val="24"/>
        </w:rPr>
        <w:t xml:space="preserve"> промышленности динамика среднемесячной номинальной заработной платы за 2017 год по отношению к базовому показателю минувшего года варьировала от -11,7% в организациях деревообрабатывающей промышленности (суммарная величина – 2 576 руб.) до +16,1% в организациях черной металлургии (суммарная величина – 6 505 руб.)</w:t>
      </w:r>
      <w:r>
        <w:rPr>
          <w:rFonts w:ascii="Times New Roman" w:hAnsi="Times New Roman"/>
          <w:sz w:val="24"/>
          <w:szCs w:val="24"/>
        </w:rPr>
        <w:t xml:space="preserve"> </w:t>
      </w:r>
      <w:r w:rsidRPr="001C6BA9">
        <w:rPr>
          <w:rFonts w:ascii="Times New Roman" w:hAnsi="Times New Roman"/>
          <w:sz w:val="24"/>
          <w:szCs w:val="24"/>
        </w:rPr>
        <w:t>(рис. 37).</w:t>
      </w:r>
    </w:p>
    <w:p w:rsidR="001C6BA9" w:rsidRPr="009B0ADD" w:rsidRDefault="001C6BA9" w:rsidP="001C6BA9">
      <w:pPr>
        <w:widowControl w:val="0"/>
        <w:spacing w:after="0" w:line="240" w:lineRule="auto"/>
        <w:ind w:firstLine="709"/>
        <w:jc w:val="right"/>
        <w:rPr>
          <w:rFonts w:ascii="Times New Roman" w:hAnsi="Times New Roman"/>
          <w:sz w:val="24"/>
          <w:szCs w:val="24"/>
        </w:rPr>
      </w:pPr>
      <w:r w:rsidRPr="00C20602">
        <w:rPr>
          <w:rFonts w:ascii="Times New Roman" w:hAnsi="Times New Roman"/>
          <w:b/>
          <w:i/>
          <w:sz w:val="24"/>
          <w:szCs w:val="24"/>
        </w:rPr>
        <w:t>Рисунок</w:t>
      </w:r>
      <w:r>
        <w:rPr>
          <w:rFonts w:ascii="Times New Roman" w:hAnsi="Times New Roman"/>
          <w:b/>
          <w:i/>
          <w:sz w:val="24"/>
          <w:szCs w:val="24"/>
        </w:rPr>
        <w:t xml:space="preserve"> 37</w:t>
      </w:r>
    </w:p>
    <w:p w:rsidR="001C6BA9" w:rsidRPr="009B0ADD" w:rsidRDefault="001C6BA9" w:rsidP="001C6BA9">
      <w:pPr>
        <w:spacing w:line="240" w:lineRule="auto"/>
        <w:contextualSpacing/>
        <w:jc w:val="right"/>
        <w:rPr>
          <w:rFonts w:ascii="Times New Roman" w:hAnsi="Times New Roman"/>
          <w:sz w:val="18"/>
          <w:szCs w:val="18"/>
        </w:rPr>
      </w:pPr>
      <w:r w:rsidRPr="009B0ADD">
        <w:rPr>
          <w:rFonts w:ascii="Times New Roman" w:hAnsi="Times New Roman"/>
          <w:noProof/>
          <w:sz w:val="24"/>
          <w:szCs w:val="24"/>
        </w:rPr>
        <w:drawing>
          <wp:inline distT="0" distB="0" distL="0" distR="0">
            <wp:extent cx="6143625" cy="2590800"/>
            <wp:effectExtent l="19050" t="0" r="0" b="0"/>
            <wp:docPr id="1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C6BA9" w:rsidRDefault="001C6BA9" w:rsidP="001C6BA9">
      <w:pPr>
        <w:widowControl w:val="0"/>
        <w:spacing w:after="0" w:line="240" w:lineRule="auto"/>
        <w:jc w:val="both"/>
        <w:rPr>
          <w:rFonts w:ascii="Times New Roman" w:hAnsi="Times New Roman"/>
          <w:sz w:val="20"/>
          <w:szCs w:val="20"/>
          <w:shd w:val="clear" w:color="auto" w:fill="FFFFFF"/>
        </w:rPr>
      </w:pPr>
      <w:r w:rsidRPr="009B0ADD">
        <w:rPr>
          <w:rFonts w:ascii="Times New Roman" w:hAnsi="Times New Roman"/>
          <w:sz w:val="20"/>
          <w:szCs w:val="20"/>
        </w:rPr>
        <w:t xml:space="preserve">       * - без </w:t>
      </w:r>
      <w:r w:rsidRPr="009B0ADD">
        <w:rPr>
          <w:rFonts w:ascii="Times New Roman" w:hAnsi="Times New Roman"/>
          <w:sz w:val="20"/>
          <w:szCs w:val="20"/>
          <w:shd w:val="clear" w:color="auto" w:fill="FFFFFF"/>
        </w:rPr>
        <w:t>учета субъектов малого предпринимательства и силовых структур</w:t>
      </w:r>
    </w:p>
    <w:p w:rsidR="001C6BA9" w:rsidRPr="00C20602" w:rsidRDefault="001C6BA9" w:rsidP="001C6BA9">
      <w:pPr>
        <w:widowControl w:val="0"/>
        <w:spacing w:after="0" w:line="240" w:lineRule="auto"/>
        <w:jc w:val="both"/>
        <w:rPr>
          <w:rFonts w:ascii="Times New Roman" w:hAnsi="Times New Roman"/>
          <w:sz w:val="10"/>
          <w:szCs w:val="10"/>
        </w:rPr>
      </w:pPr>
    </w:p>
    <w:p w:rsidR="001C6BA9" w:rsidRPr="009B0ADD" w:rsidRDefault="001C6BA9" w:rsidP="001C6BA9">
      <w:pPr>
        <w:widowControl w:val="0"/>
        <w:spacing w:after="0" w:line="240" w:lineRule="auto"/>
        <w:ind w:firstLine="709"/>
        <w:jc w:val="both"/>
        <w:rPr>
          <w:rFonts w:ascii="Times New Roman" w:hAnsi="Times New Roman"/>
          <w:sz w:val="24"/>
          <w:szCs w:val="24"/>
        </w:rPr>
      </w:pPr>
      <w:r w:rsidRPr="009B0ADD">
        <w:rPr>
          <w:rFonts w:ascii="Times New Roman" w:hAnsi="Times New Roman"/>
          <w:sz w:val="24"/>
          <w:szCs w:val="24"/>
        </w:rPr>
        <w:lastRenderedPageBreak/>
        <w:t>Заработная плата у работников отрасли</w:t>
      </w:r>
      <w:r w:rsidRPr="009B0ADD">
        <w:rPr>
          <w:rFonts w:ascii="Times New Roman" w:hAnsi="Times New Roman"/>
          <w:b/>
          <w:sz w:val="24"/>
          <w:szCs w:val="24"/>
        </w:rPr>
        <w:t xml:space="preserve"> «Сельское хозяйство»</w:t>
      </w:r>
      <w:r w:rsidRPr="009B0ADD">
        <w:rPr>
          <w:rFonts w:ascii="Times New Roman" w:hAnsi="Times New Roman"/>
          <w:sz w:val="24"/>
          <w:szCs w:val="24"/>
        </w:rPr>
        <w:t xml:space="preserve"> в 2017 году выросла на 8,0% и составила 3 475 руб. (260 долл. США), с учетом корректировки на индекс инфляции материальное положение работников отрасли сократилось незначительно на 0,1%, при этом номинальный ее размер сложился на 11,2% ниже </w:t>
      </w:r>
      <w:proofErr w:type="spellStart"/>
      <w:r w:rsidRPr="009B0ADD">
        <w:rPr>
          <w:rFonts w:ascii="Times New Roman" w:hAnsi="Times New Roman"/>
          <w:sz w:val="24"/>
          <w:szCs w:val="24"/>
        </w:rPr>
        <w:t>среднереспубликанского</w:t>
      </w:r>
      <w:proofErr w:type="spellEnd"/>
      <w:r w:rsidRPr="009B0ADD">
        <w:rPr>
          <w:rFonts w:ascii="Times New Roman" w:hAnsi="Times New Roman"/>
          <w:sz w:val="24"/>
          <w:szCs w:val="24"/>
        </w:rPr>
        <w:t xml:space="preserve"> уровня.</w:t>
      </w:r>
    </w:p>
    <w:p w:rsidR="001C6BA9" w:rsidRDefault="001C6BA9" w:rsidP="001C6BA9">
      <w:pPr>
        <w:autoSpaceDE w:val="0"/>
        <w:autoSpaceDN w:val="0"/>
        <w:adjustRightInd w:val="0"/>
        <w:spacing w:after="0" w:line="240" w:lineRule="auto"/>
        <w:ind w:firstLine="709"/>
        <w:jc w:val="both"/>
        <w:rPr>
          <w:rFonts w:ascii="Times New Roman" w:hAnsi="Times New Roman"/>
          <w:sz w:val="24"/>
          <w:szCs w:val="24"/>
        </w:rPr>
      </w:pPr>
      <w:r w:rsidRPr="009B0ADD">
        <w:rPr>
          <w:rFonts w:ascii="Times New Roman" w:hAnsi="Times New Roman"/>
          <w:sz w:val="24"/>
          <w:szCs w:val="24"/>
        </w:rPr>
        <w:t>Оплата труда в бюджетной сфере по итогам 2017 года</w:t>
      </w:r>
      <w:r>
        <w:rPr>
          <w:rFonts w:ascii="Times New Roman" w:hAnsi="Times New Roman"/>
          <w:sz w:val="24"/>
          <w:szCs w:val="24"/>
        </w:rPr>
        <w:t xml:space="preserve"> </w:t>
      </w:r>
      <w:r w:rsidRPr="001C6BA9">
        <w:rPr>
          <w:rFonts w:ascii="Times New Roman" w:hAnsi="Times New Roman"/>
          <w:sz w:val="24"/>
          <w:szCs w:val="24"/>
        </w:rPr>
        <w:t>(рис. 38)</w:t>
      </w:r>
      <w:r w:rsidRPr="009B0ADD">
        <w:rPr>
          <w:rFonts w:ascii="Times New Roman" w:hAnsi="Times New Roman"/>
          <w:sz w:val="24"/>
          <w:szCs w:val="24"/>
        </w:rPr>
        <w:t xml:space="preserve"> относительно базового показателя 2016 года практически не изменилась (+0,8%) и составила в среднем 2 731 руб. (204 долл.), составив 69,8% от </w:t>
      </w:r>
      <w:proofErr w:type="spellStart"/>
      <w:r w:rsidRPr="009B0ADD">
        <w:rPr>
          <w:rFonts w:ascii="Times New Roman" w:hAnsi="Times New Roman"/>
          <w:sz w:val="24"/>
          <w:szCs w:val="24"/>
        </w:rPr>
        <w:t>среднереспубликанского</w:t>
      </w:r>
      <w:proofErr w:type="spellEnd"/>
      <w:r w:rsidRPr="009B0ADD">
        <w:rPr>
          <w:rFonts w:ascii="Times New Roman" w:hAnsi="Times New Roman"/>
          <w:sz w:val="24"/>
          <w:szCs w:val="24"/>
        </w:rPr>
        <w:t xml:space="preserve"> уровня. С учетом корректировки на индекс инфляции материальное положение </w:t>
      </w:r>
      <w:proofErr w:type="gramStart"/>
      <w:r w:rsidRPr="009B0ADD">
        <w:rPr>
          <w:rFonts w:ascii="Times New Roman" w:hAnsi="Times New Roman"/>
          <w:sz w:val="24"/>
          <w:szCs w:val="24"/>
        </w:rPr>
        <w:t>занятых</w:t>
      </w:r>
      <w:proofErr w:type="gramEnd"/>
      <w:r w:rsidRPr="009B0ADD">
        <w:rPr>
          <w:rFonts w:ascii="Times New Roman" w:hAnsi="Times New Roman"/>
          <w:sz w:val="24"/>
          <w:szCs w:val="24"/>
        </w:rPr>
        <w:t xml:space="preserve"> в</w:t>
      </w:r>
      <w:r w:rsidRPr="009B0ADD">
        <w:rPr>
          <w:rFonts w:ascii="Times New Roman" w:hAnsi="Times New Roman"/>
          <w:sz w:val="28"/>
          <w:szCs w:val="28"/>
        </w:rPr>
        <w:t xml:space="preserve"> </w:t>
      </w:r>
      <w:r w:rsidRPr="009B0ADD">
        <w:rPr>
          <w:rFonts w:ascii="Times New Roman" w:hAnsi="Times New Roman"/>
          <w:sz w:val="24"/>
          <w:szCs w:val="24"/>
        </w:rPr>
        <w:t>бюджетном секторе (реальная заработная плата) сократилось на 6,8%.</w:t>
      </w:r>
    </w:p>
    <w:p w:rsidR="001C6BA9" w:rsidRPr="009B0ADD" w:rsidRDefault="001C6BA9" w:rsidP="001C6BA9">
      <w:pPr>
        <w:autoSpaceDE w:val="0"/>
        <w:autoSpaceDN w:val="0"/>
        <w:adjustRightInd w:val="0"/>
        <w:spacing w:after="0" w:line="240" w:lineRule="auto"/>
        <w:ind w:firstLine="709"/>
        <w:jc w:val="right"/>
        <w:rPr>
          <w:rFonts w:ascii="Times New Roman" w:hAnsi="Times New Roman"/>
          <w:sz w:val="24"/>
          <w:szCs w:val="24"/>
        </w:rPr>
      </w:pPr>
      <w:r w:rsidRPr="00C20602">
        <w:rPr>
          <w:rFonts w:ascii="Times New Roman" w:hAnsi="Times New Roman"/>
          <w:b/>
          <w:i/>
          <w:sz w:val="24"/>
          <w:szCs w:val="24"/>
        </w:rPr>
        <w:t>Рисунок</w:t>
      </w:r>
      <w:r>
        <w:rPr>
          <w:rFonts w:ascii="Times New Roman" w:hAnsi="Times New Roman"/>
          <w:b/>
          <w:i/>
          <w:sz w:val="24"/>
          <w:szCs w:val="24"/>
        </w:rPr>
        <w:t xml:space="preserve"> 38</w:t>
      </w:r>
    </w:p>
    <w:p w:rsidR="001C6BA9" w:rsidRPr="009B0ADD" w:rsidRDefault="001C6BA9" w:rsidP="001C6BA9">
      <w:pPr>
        <w:spacing w:after="0" w:line="240" w:lineRule="auto"/>
        <w:jc w:val="both"/>
        <w:rPr>
          <w:rFonts w:ascii="Times New Roman" w:hAnsi="Times New Roman"/>
          <w:sz w:val="24"/>
          <w:szCs w:val="24"/>
        </w:rPr>
      </w:pPr>
      <w:r w:rsidRPr="009B0ADD">
        <w:rPr>
          <w:rFonts w:ascii="Times New Roman" w:hAnsi="Times New Roman"/>
          <w:noProof/>
          <w:sz w:val="24"/>
          <w:szCs w:val="24"/>
        </w:rPr>
        <w:drawing>
          <wp:inline distT="0" distB="0" distL="0" distR="0">
            <wp:extent cx="5940425" cy="3829050"/>
            <wp:effectExtent l="0" t="0" r="3175" b="0"/>
            <wp:docPr id="12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C6BA9" w:rsidRPr="009B0ADD" w:rsidRDefault="001C6BA9" w:rsidP="001C6BA9">
      <w:pPr>
        <w:spacing w:after="0" w:line="240" w:lineRule="auto"/>
        <w:ind w:firstLine="709"/>
        <w:jc w:val="both"/>
        <w:rPr>
          <w:rFonts w:ascii="Times New Roman" w:hAnsi="Times New Roman"/>
          <w:sz w:val="24"/>
          <w:szCs w:val="24"/>
        </w:rPr>
      </w:pP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 xml:space="preserve">Максимальная заработная плата из представленных отраслей сформировалась в организациях отрасли «Высшие учебные заведения» – 3 641 руб., в судебных органах власти – 3 440 руб. </w:t>
      </w: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 xml:space="preserve">Вместе с этим заработная плата в таких отраслях как: «Торговля и общепит», «Геология и метеорология», «Социальное обеспечение» сформировалась в пределах          45,4% – 54,5% от </w:t>
      </w:r>
      <w:proofErr w:type="spellStart"/>
      <w:r w:rsidRPr="009B0ADD">
        <w:rPr>
          <w:rFonts w:ascii="Times New Roman" w:hAnsi="Times New Roman"/>
          <w:sz w:val="24"/>
          <w:szCs w:val="24"/>
        </w:rPr>
        <w:t>среднереспубликанской</w:t>
      </w:r>
      <w:proofErr w:type="spellEnd"/>
      <w:r w:rsidRPr="009B0ADD">
        <w:rPr>
          <w:rFonts w:ascii="Times New Roman" w:hAnsi="Times New Roman"/>
          <w:sz w:val="24"/>
          <w:szCs w:val="24"/>
        </w:rPr>
        <w:t xml:space="preserve"> величины.</w:t>
      </w:r>
    </w:p>
    <w:p w:rsidR="001C6BA9" w:rsidRPr="009B0ADD" w:rsidRDefault="001C6BA9" w:rsidP="001C6BA9">
      <w:pPr>
        <w:spacing w:after="0" w:line="240" w:lineRule="auto"/>
        <w:ind w:firstLine="708"/>
        <w:jc w:val="both"/>
        <w:rPr>
          <w:rFonts w:ascii="Times New Roman" w:hAnsi="Times New Roman"/>
          <w:sz w:val="24"/>
          <w:szCs w:val="24"/>
        </w:rPr>
      </w:pPr>
      <w:proofErr w:type="gramStart"/>
      <w:r w:rsidRPr="009B0ADD">
        <w:rPr>
          <w:rFonts w:ascii="Times New Roman" w:hAnsi="Times New Roman"/>
          <w:b/>
          <w:sz w:val="24"/>
          <w:szCs w:val="24"/>
        </w:rPr>
        <w:t>Суммарная задолженность</w:t>
      </w:r>
      <w:r w:rsidRPr="009B0ADD">
        <w:rPr>
          <w:rFonts w:ascii="Times New Roman" w:hAnsi="Times New Roman"/>
          <w:sz w:val="24"/>
          <w:szCs w:val="24"/>
        </w:rPr>
        <w:t xml:space="preserve"> по заработной плате в целом по республике </w:t>
      </w:r>
      <w:r w:rsidRPr="009B0ADD">
        <w:rPr>
          <w:rFonts w:ascii="Times New Roman" w:hAnsi="Times New Roman"/>
          <w:sz w:val="24"/>
          <w:szCs w:val="24"/>
          <w:shd w:val="clear" w:color="auto" w:fill="FFFFFF"/>
        </w:rPr>
        <w:t>(без субъектов малого предпринимательства, религиозных и некоммерческих организаций, силовых структур и таможенных органов)</w:t>
      </w:r>
      <w:r w:rsidRPr="009B0ADD">
        <w:rPr>
          <w:rFonts w:ascii="Times New Roman" w:hAnsi="Times New Roman"/>
          <w:sz w:val="24"/>
          <w:szCs w:val="24"/>
        </w:rPr>
        <w:t xml:space="preserve"> на 1 января 2018 года по сравнению с задолженностью на 1 января 2017 года выросла на 9,9% и составила </w:t>
      </w:r>
      <w:r w:rsidRPr="009B0ADD">
        <w:rPr>
          <w:rFonts w:ascii="Times New Roman" w:hAnsi="Times New Roman"/>
          <w:bCs/>
          <w:sz w:val="24"/>
          <w:szCs w:val="24"/>
        </w:rPr>
        <w:t>32,7 млн</w:t>
      </w:r>
      <w:r w:rsidRPr="009B0ADD">
        <w:rPr>
          <w:rFonts w:ascii="Times New Roman" w:hAnsi="Times New Roman"/>
          <w:sz w:val="24"/>
          <w:szCs w:val="24"/>
        </w:rPr>
        <w:t xml:space="preserve"> руб. Наибольший удельный вес в общей суммарной задолженности приходится на организации промышленности, строительства и сельского хозяйства (90,1</w:t>
      </w:r>
      <w:proofErr w:type="gramEnd"/>
      <w:r w:rsidRPr="009B0ADD">
        <w:rPr>
          <w:rFonts w:ascii="Times New Roman" w:hAnsi="Times New Roman"/>
          <w:sz w:val="24"/>
          <w:szCs w:val="24"/>
        </w:rPr>
        <w:t xml:space="preserve">% общей суммарной задолженности по республике). Вся сумма задолженности по оплате труда приходится на </w:t>
      </w:r>
      <w:r w:rsidRPr="009B0ADD">
        <w:rPr>
          <w:rFonts w:ascii="Times New Roman" w:hAnsi="Times New Roman"/>
          <w:b/>
          <w:sz w:val="24"/>
          <w:szCs w:val="24"/>
        </w:rPr>
        <w:t>внебюджетный сектор</w:t>
      </w:r>
      <w:r w:rsidRPr="009B0ADD">
        <w:rPr>
          <w:rFonts w:ascii="Times New Roman" w:hAnsi="Times New Roman"/>
          <w:sz w:val="24"/>
          <w:szCs w:val="24"/>
        </w:rPr>
        <w:t>.</w:t>
      </w: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 xml:space="preserve">Следующей составляющей доходов населения и индикатором, характеризующим уровень жизни населения, является </w:t>
      </w:r>
      <w:r w:rsidRPr="009B0ADD">
        <w:rPr>
          <w:rFonts w:ascii="Times New Roman" w:hAnsi="Times New Roman"/>
          <w:b/>
          <w:sz w:val="24"/>
          <w:szCs w:val="24"/>
        </w:rPr>
        <w:t>пенсия.</w:t>
      </w:r>
    </w:p>
    <w:p w:rsidR="001C6BA9" w:rsidRPr="001C6BA9" w:rsidRDefault="001C6BA9" w:rsidP="001C6BA9">
      <w:pPr>
        <w:spacing w:after="0" w:line="240" w:lineRule="auto"/>
        <w:rPr>
          <w:rFonts w:ascii="Times New Roman" w:hAnsi="Times New Roman"/>
          <w:sz w:val="20"/>
          <w:szCs w:val="20"/>
        </w:rPr>
      </w:pPr>
      <w:r w:rsidRPr="009B0ADD">
        <w:rPr>
          <w:rFonts w:ascii="Times New Roman" w:hAnsi="Times New Roman"/>
          <w:noProof/>
          <w:sz w:val="24"/>
          <w:szCs w:val="24"/>
        </w:rPr>
        <w:lastRenderedPageBreak/>
        <w:drawing>
          <wp:inline distT="0" distB="0" distL="0" distR="0">
            <wp:extent cx="6076950" cy="2352675"/>
            <wp:effectExtent l="0" t="0" r="0" b="0"/>
            <wp:docPr id="1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C6BA9" w:rsidRPr="001C6BA9" w:rsidRDefault="001C6BA9" w:rsidP="001C6BA9">
      <w:pPr>
        <w:spacing w:after="0" w:line="240" w:lineRule="auto"/>
        <w:ind w:firstLine="709"/>
        <w:jc w:val="both"/>
        <w:rPr>
          <w:rFonts w:ascii="Times New Roman" w:eastAsiaTheme="minorHAnsi" w:hAnsi="Times New Roman" w:cstheme="minorBidi"/>
          <w:sz w:val="10"/>
          <w:szCs w:val="10"/>
          <w:lang w:eastAsia="en-US"/>
        </w:rPr>
      </w:pP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eastAsiaTheme="minorHAnsi" w:hAnsi="Times New Roman" w:cstheme="minorBidi"/>
          <w:sz w:val="24"/>
          <w:szCs w:val="24"/>
          <w:lang w:eastAsia="en-US"/>
        </w:rPr>
        <w:t>На фоне выбытия пенсионеров и переоформления пенсий, число получателей пенсий за 2017 год по сравнению с прошлым годом сократилось на 3 720 чел. или на 2,9% и составило 122,5 тыс. чел.</w:t>
      </w:r>
    </w:p>
    <w:p w:rsidR="001C6BA9" w:rsidRPr="009B0ADD" w:rsidRDefault="001C6BA9" w:rsidP="001C6BA9">
      <w:pPr>
        <w:tabs>
          <w:tab w:val="left" w:pos="851"/>
        </w:tabs>
        <w:spacing w:after="0" w:line="240" w:lineRule="auto"/>
        <w:ind w:firstLine="567"/>
        <w:jc w:val="both"/>
        <w:rPr>
          <w:rFonts w:ascii="Times New Roman" w:hAnsi="Times New Roman"/>
          <w:sz w:val="24"/>
          <w:szCs w:val="24"/>
        </w:rPr>
      </w:pPr>
      <w:proofErr w:type="gramStart"/>
      <w:r w:rsidRPr="009B0ADD">
        <w:rPr>
          <w:rFonts w:ascii="Times New Roman" w:hAnsi="Times New Roman"/>
          <w:sz w:val="24"/>
          <w:szCs w:val="24"/>
        </w:rPr>
        <w:t>Поступления в доходную часть Единого государственного фонда социального страхования Приднестровской Молдавской Республики за 2017 года (с учетом кредитов из прочих источников, поступления средств ежемесячной гуманитарной помощи Российской Федерации) составили 2 766,0 млн руб., что на 0,7% больше по сравнению с прошлым годом, исполнение расходной части бюджета составило 2 708,4 млн руб., что на 1,0% больше по сравнению с 2016 годом</w:t>
      </w:r>
      <w:proofErr w:type="gramEnd"/>
      <w:r w:rsidRPr="009B0ADD">
        <w:rPr>
          <w:rFonts w:ascii="Times New Roman" w:hAnsi="Times New Roman"/>
          <w:sz w:val="24"/>
          <w:szCs w:val="24"/>
        </w:rPr>
        <w:t>. При этом</w:t>
      </w:r>
      <w:proofErr w:type="gramStart"/>
      <w:r w:rsidRPr="009B0ADD">
        <w:rPr>
          <w:rFonts w:ascii="Times New Roman" w:hAnsi="Times New Roman"/>
          <w:sz w:val="24"/>
          <w:szCs w:val="24"/>
        </w:rPr>
        <w:t>,</w:t>
      </w:r>
      <w:proofErr w:type="gramEnd"/>
      <w:r w:rsidRPr="009B0ADD">
        <w:rPr>
          <w:rFonts w:ascii="Times New Roman" w:hAnsi="Times New Roman"/>
          <w:sz w:val="24"/>
          <w:szCs w:val="24"/>
        </w:rPr>
        <w:t xml:space="preserve"> расходы для осуществления основных функций бюджета по пенсионному обеспечению составили 2 321,8 млн руб. или 83,9% от общих доходов, данные расходы производились за счет следующих источников: </w:t>
      </w: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а) средства фонда – 1 882,8 млн руб. (81,1% от расходов по пенсионному обеспечению);</w:t>
      </w: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 xml:space="preserve">б) средства республиканского бюджета – 181,2 млн руб. (7,8% от расходов по пенсионному обеспечению); </w:t>
      </w: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в) средства гуманитарной помощи Российской Федерации – 257,6 млн руб., (11,1% от расходов по пенсионному обеспечению).</w:t>
      </w: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 xml:space="preserve">Следует отметить, что в 2017 году индексация государственных пенсий не производилась. Средний размер назначенных пенсий сократился на 10,95 руб. (-0,82%) и по состоянию на конец декабря составил 1 341,8 руб., превысив на 13,3% прожиточный минимум пенсионера. С учетом инфляции материальное положение пенсионеров сократилось на 8,3%. </w:t>
      </w: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В целях поддержания материального благосостояния пенсионеров республики дополнительно к пенсии в 2017 году производилась выплата ежемесячной гуманитарной помощи Российской Федерации, средний размер которой составил 150,0 рублей.</w:t>
      </w:r>
    </w:p>
    <w:p w:rsidR="001C6BA9" w:rsidRDefault="001C6BA9" w:rsidP="001C6BA9">
      <w:pPr>
        <w:spacing w:after="0" w:line="240" w:lineRule="auto"/>
        <w:ind w:firstLine="709"/>
        <w:jc w:val="both"/>
        <w:rPr>
          <w:rFonts w:ascii="Times New Roman" w:hAnsi="Times New Roman"/>
          <w:sz w:val="24"/>
          <w:szCs w:val="24"/>
        </w:rPr>
      </w:pPr>
      <w:proofErr w:type="gramStart"/>
      <w:r w:rsidRPr="009B0ADD">
        <w:rPr>
          <w:rFonts w:ascii="Times New Roman" w:hAnsi="Times New Roman"/>
          <w:b/>
          <w:sz w:val="24"/>
          <w:szCs w:val="24"/>
        </w:rPr>
        <w:t>Величина прожиточного минимума,</w:t>
      </w:r>
      <w:r w:rsidRPr="009B0ADD">
        <w:rPr>
          <w:rFonts w:ascii="Times New Roman" w:hAnsi="Times New Roman"/>
          <w:sz w:val="24"/>
          <w:szCs w:val="24"/>
        </w:rPr>
        <w:t xml:space="preserve"> определяющая минимально допустимый уровень потребления человеком товаров и услуг, обеспечивающих удовлетворение основных физиологических, социально-культурных и иных его потребностей, дифференцированных по социально-демографическим группам за 2017 год в среднем на душу населения составила 1 355 руб. (+5,4%), из которой расходы </w:t>
      </w:r>
      <w:r w:rsidR="008D5EC6">
        <w:rPr>
          <w:rFonts w:ascii="Times New Roman" w:hAnsi="Times New Roman"/>
          <w:sz w:val="24"/>
          <w:szCs w:val="24"/>
        </w:rPr>
        <w:t>на питание составили 620 руб. (</w:t>
      </w:r>
      <w:r w:rsidRPr="009B0ADD">
        <w:rPr>
          <w:rFonts w:ascii="Times New Roman" w:hAnsi="Times New Roman"/>
          <w:sz w:val="24"/>
          <w:szCs w:val="24"/>
        </w:rPr>
        <w:t>+10,2%), затраты на непродовольственные товары – 288 руб. (+4,7%), на оплату услуг – 423 руб. (-0,3</w:t>
      </w:r>
      <w:proofErr w:type="gramEnd"/>
      <w:r w:rsidRPr="009B0ADD">
        <w:rPr>
          <w:rFonts w:ascii="Times New Roman" w:hAnsi="Times New Roman"/>
          <w:sz w:val="24"/>
          <w:szCs w:val="24"/>
        </w:rPr>
        <w:t>%), а величина расходов по обязательным платежам и сборам – 24 руб. (+2,0</w:t>
      </w:r>
      <w:r w:rsidR="004E5859">
        <w:rPr>
          <w:rFonts w:ascii="Times New Roman" w:hAnsi="Times New Roman"/>
          <w:sz w:val="24"/>
          <w:szCs w:val="24"/>
        </w:rPr>
        <w:t>%) (рис. 39).</w:t>
      </w:r>
    </w:p>
    <w:p w:rsidR="004E5859" w:rsidRDefault="004E5859" w:rsidP="004E5859">
      <w:pPr>
        <w:spacing w:after="0" w:line="240" w:lineRule="auto"/>
        <w:ind w:firstLine="709"/>
        <w:jc w:val="right"/>
        <w:rPr>
          <w:rFonts w:ascii="Times New Roman" w:hAnsi="Times New Roman"/>
          <w:b/>
          <w:i/>
          <w:sz w:val="24"/>
          <w:szCs w:val="24"/>
        </w:rPr>
      </w:pPr>
    </w:p>
    <w:p w:rsidR="004E5859" w:rsidRDefault="004E5859" w:rsidP="004E5859">
      <w:pPr>
        <w:spacing w:after="0" w:line="240" w:lineRule="auto"/>
        <w:ind w:firstLine="709"/>
        <w:jc w:val="right"/>
        <w:rPr>
          <w:rFonts w:ascii="Times New Roman" w:hAnsi="Times New Roman"/>
          <w:b/>
          <w:i/>
          <w:sz w:val="24"/>
          <w:szCs w:val="24"/>
        </w:rPr>
      </w:pPr>
    </w:p>
    <w:p w:rsidR="004E5859" w:rsidRDefault="004E5859" w:rsidP="004E5859">
      <w:pPr>
        <w:spacing w:after="0" w:line="240" w:lineRule="auto"/>
        <w:ind w:firstLine="709"/>
        <w:jc w:val="right"/>
        <w:rPr>
          <w:rFonts w:ascii="Times New Roman" w:hAnsi="Times New Roman"/>
          <w:b/>
          <w:i/>
          <w:sz w:val="24"/>
          <w:szCs w:val="24"/>
        </w:rPr>
      </w:pPr>
    </w:p>
    <w:p w:rsidR="004E5859" w:rsidRDefault="004E5859" w:rsidP="004E5859">
      <w:pPr>
        <w:spacing w:after="0" w:line="240" w:lineRule="auto"/>
        <w:ind w:firstLine="709"/>
        <w:jc w:val="right"/>
        <w:rPr>
          <w:rFonts w:ascii="Times New Roman" w:hAnsi="Times New Roman"/>
          <w:b/>
          <w:i/>
          <w:sz w:val="24"/>
          <w:szCs w:val="24"/>
        </w:rPr>
      </w:pPr>
    </w:p>
    <w:p w:rsidR="004E5859" w:rsidRDefault="004E5859" w:rsidP="004E5859">
      <w:pPr>
        <w:spacing w:after="0" w:line="240" w:lineRule="auto"/>
        <w:ind w:firstLine="709"/>
        <w:jc w:val="right"/>
        <w:rPr>
          <w:rFonts w:ascii="Times New Roman" w:hAnsi="Times New Roman"/>
          <w:b/>
          <w:i/>
          <w:sz w:val="24"/>
          <w:szCs w:val="24"/>
        </w:rPr>
      </w:pPr>
    </w:p>
    <w:p w:rsidR="004E5859" w:rsidRDefault="004E5859" w:rsidP="004E5859">
      <w:pPr>
        <w:spacing w:after="0" w:line="240" w:lineRule="auto"/>
        <w:ind w:firstLine="709"/>
        <w:jc w:val="right"/>
        <w:rPr>
          <w:rFonts w:ascii="Times New Roman" w:hAnsi="Times New Roman"/>
          <w:b/>
          <w:i/>
          <w:sz w:val="24"/>
          <w:szCs w:val="24"/>
        </w:rPr>
      </w:pPr>
    </w:p>
    <w:p w:rsidR="004E5859" w:rsidRDefault="004E5859" w:rsidP="004E5859">
      <w:pPr>
        <w:spacing w:after="0" w:line="240" w:lineRule="auto"/>
        <w:ind w:firstLine="709"/>
        <w:jc w:val="right"/>
        <w:rPr>
          <w:rFonts w:ascii="Times New Roman" w:hAnsi="Times New Roman"/>
          <w:b/>
          <w:i/>
          <w:sz w:val="24"/>
          <w:szCs w:val="24"/>
        </w:rPr>
      </w:pPr>
    </w:p>
    <w:p w:rsidR="004E5859" w:rsidRDefault="004E5859" w:rsidP="004E5859">
      <w:pPr>
        <w:spacing w:after="0" w:line="240" w:lineRule="auto"/>
        <w:ind w:firstLine="709"/>
        <w:jc w:val="right"/>
        <w:rPr>
          <w:rFonts w:ascii="Times New Roman" w:hAnsi="Times New Roman"/>
          <w:b/>
          <w:i/>
          <w:sz w:val="24"/>
          <w:szCs w:val="24"/>
        </w:rPr>
      </w:pPr>
    </w:p>
    <w:p w:rsidR="004E5859" w:rsidRDefault="004E5859" w:rsidP="004E5859">
      <w:pPr>
        <w:spacing w:after="0" w:line="240" w:lineRule="auto"/>
        <w:ind w:firstLine="709"/>
        <w:jc w:val="right"/>
        <w:rPr>
          <w:rFonts w:ascii="Times New Roman" w:hAnsi="Times New Roman"/>
          <w:b/>
          <w:i/>
          <w:sz w:val="24"/>
          <w:szCs w:val="24"/>
        </w:rPr>
      </w:pPr>
    </w:p>
    <w:p w:rsidR="004E5859" w:rsidRPr="004E5859" w:rsidRDefault="004E5859" w:rsidP="004E5859">
      <w:pPr>
        <w:spacing w:after="0" w:line="240" w:lineRule="auto"/>
        <w:ind w:firstLine="709"/>
        <w:jc w:val="right"/>
        <w:rPr>
          <w:rFonts w:ascii="Times New Roman" w:hAnsi="Times New Roman"/>
          <w:b/>
          <w:i/>
          <w:sz w:val="24"/>
          <w:szCs w:val="24"/>
        </w:rPr>
      </w:pPr>
      <w:r w:rsidRPr="004E5859">
        <w:rPr>
          <w:rFonts w:ascii="Times New Roman" w:hAnsi="Times New Roman"/>
          <w:b/>
          <w:i/>
          <w:sz w:val="24"/>
          <w:szCs w:val="24"/>
        </w:rPr>
        <w:lastRenderedPageBreak/>
        <w:t>Рисунок 39</w:t>
      </w:r>
    </w:p>
    <w:p w:rsidR="001C6BA9" w:rsidRPr="009B0ADD" w:rsidRDefault="001C6BA9" w:rsidP="001C6BA9">
      <w:pPr>
        <w:spacing w:after="0" w:line="240" w:lineRule="auto"/>
        <w:jc w:val="center"/>
        <w:rPr>
          <w:rFonts w:ascii="Times New Roman" w:hAnsi="Times New Roman"/>
          <w:b/>
          <w:sz w:val="24"/>
          <w:szCs w:val="24"/>
        </w:rPr>
      </w:pPr>
      <w:r w:rsidRPr="009B0ADD">
        <w:rPr>
          <w:rFonts w:ascii="Times New Roman" w:hAnsi="Times New Roman"/>
          <w:b/>
          <w:noProof/>
          <w:sz w:val="24"/>
          <w:szCs w:val="24"/>
        </w:rPr>
        <w:drawing>
          <wp:inline distT="0" distB="0" distL="0" distR="0">
            <wp:extent cx="5486400" cy="2333625"/>
            <wp:effectExtent l="0" t="0" r="0" b="0"/>
            <wp:docPr id="1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C6BA9" w:rsidRPr="009B0ADD" w:rsidRDefault="001C6BA9" w:rsidP="001C6BA9">
      <w:pPr>
        <w:spacing w:after="0" w:line="240" w:lineRule="auto"/>
        <w:ind w:firstLine="709"/>
        <w:jc w:val="both"/>
        <w:rPr>
          <w:rFonts w:ascii="Times New Roman" w:hAnsi="Times New Roman"/>
          <w:sz w:val="24"/>
          <w:szCs w:val="24"/>
        </w:rPr>
      </w:pPr>
      <w:r w:rsidRPr="009B0ADD">
        <w:rPr>
          <w:rFonts w:ascii="Times New Roman" w:hAnsi="Times New Roman"/>
          <w:sz w:val="24"/>
          <w:szCs w:val="24"/>
        </w:rPr>
        <w:t>В разрезе социально-демографических групп населения величина прожиточного минимума в 2017 году сложилась следующим образом: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701"/>
        <w:gridCol w:w="1559"/>
        <w:gridCol w:w="2126"/>
      </w:tblGrid>
      <w:tr w:rsidR="001C6BA9" w:rsidRPr="009B0ADD" w:rsidTr="008D5EC6">
        <w:trPr>
          <w:trHeight w:val="743"/>
        </w:trPr>
        <w:tc>
          <w:tcPr>
            <w:tcW w:w="4253" w:type="dxa"/>
            <w:vMerge w:val="restart"/>
            <w:shd w:val="clear" w:color="auto" w:fill="D9D9D9" w:themeFill="background1" w:themeFillShade="D9"/>
            <w:vAlign w:val="center"/>
          </w:tcPr>
          <w:p w:rsidR="001C6BA9" w:rsidRPr="009B0ADD" w:rsidRDefault="001C6BA9" w:rsidP="00E546EE">
            <w:pPr>
              <w:spacing w:after="0"/>
              <w:ind w:left="34"/>
              <w:rPr>
                <w:rFonts w:ascii="Times New Roman" w:hAnsi="Times New Roman"/>
                <w:b/>
              </w:rPr>
            </w:pPr>
            <w:r w:rsidRPr="009B0ADD">
              <w:rPr>
                <w:rFonts w:ascii="Times New Roman" w:hAnsi="Times New Roman"/>
                <w:b/>
              </w:rPr>
              <w:t>Социально-демографическая группа</w:t>
            </w:r>
          </w:p>
        </w:tc>
        <w:tc>
          <w:tcPr>
            <w:tcW w:w="3260" w:type="dxa"/>
            <w:gridSpan w:val="2"/>
            <w:shd w:val="clear" w:color="auto" w:fill="D9D9D9" w:themeFill="background1" w:themeFillShade="D9"/>
            <w:vAlign w:val="center"/>
          </w:tcPr>
          <w:p w:rsidR="001C6BA9" w:rsidRPr="009B0ADD" w:rsidRDefault="001C6BA9" w:rsidP="00E546EE">
            <w:pPr>
              <w:spacing w:after="0"/>
              <w:ind w:left="34"/>
              <w:jc w:val="center"/>
              <w:rPr>
                <w:rFonts w:ascii="Times New Roman" w:hAnsi="Times New Roman"/>
                <w:b/>
              </w:rPr>
            </w:pPr>
            <w:r w:rsidRPr="009B0ADD">
              <w:rPr>
                <w:rFonts w:ascii="Times New Roman" w:hAnsi="Times New Roman"/>
                <w:b/>
              </w:rPr>
              <w:t xml:space="preserve">Величина ПМ, </w:t>
            </w:r>
          </w:p>
          <w:p w:rsidR="001C6BA9" w:rsidRPr="009B0ADD" w:rsidRDefault="001C6BA9" w:rsidP="00E546EE">
            <w:pPr>
              <w:spacing w:after="0"/>
              <w:ind w:firstLine="34"/>
              <w:jc w:val="center"/>
              <w:rPr>
                <w:rFonts w:ascii="Times New Roman" w:hAnsi="Times New Roman"/>
                <w:b/>
              </w:rPr>
            </w:pPr>
            <w:r w:rsidRPr="009B0ADD">
              <w:rPr>
                <w:rFonts w:ascii="Times New Roman" w:hAnsi="Times New Roman"/>
                <w:b/>
              </w:rPr>
              <w:t>руб.</w:t>
            </w:r>
          </w:p>
        </w:tc>
        <w:tc>
          <w:tcPr>
            <w:tcW w:w="2126" w:type="dxa"/>
            <w:vMerge w:val="restart"/>
            <w:shd w:val="clear" w:color="auto" w:fill="D9D9D9" w:themeFill="background1" w:themeFillShade="D9"/>
            <w:vAlign w:val="center"/>
          </w:tcPr>
          <w:p w:rsidR="001C6BA9" w:rsidRPr="009B0ADD" w:rsidRDefault="001C6BA9" w:rsidP="00E546EE">
            <w:pPr>
              <w:spacing w:after="0"/>
              <w:ind w:firstLine="34"/>
              <w:jc w:val="center"/>
              <w:rPr>
                <w:rFonts w:ascii="Times New Roman" w:hAnsi="Times New Roman"/>
                <w:b/>
              </w:rPr>
            </w:pPr>
            <w:r w:rsidRPr="009B0ADD">
              <w:rPr>
                <w:rFonts w:ascii="Times New Roman" w:hAnsi="Times New Roman"/>
                <w:b/>
              </w:rPr>
              <w:t xml:space="preserve">Темп роста </w:t>
            </w:r>
          </w:p>
          <w:p w:rsidR="001C6BA9" w:rsidRPr="009B0ADD" w:rsidRDefault="001C6BA9" w:rsidP="00E546EE">
            <w:pPr>
              <w:spacing w:after="0"/>
              <w:ind w:left="34"/>
              <w:jc w:val="center"/>
              <w:rPr>
                <w:rFonts w:ascii="Times New Roman" w:hAnsi="Times New Roman"/>
                <w:b/>
              </w:rPr>
            </w:pPr>
            <w:r w:rsidRPr="009B0ADD">
              <w:rPr>
                <w:rFonts w:ascii="Times New Roman" w:hAnsi="Times New Roman"/>
                <w:b/>
              </w:rPr>
              <w:t>2017 г. к 2016 г., %</w:t>
            </w:r>
          </w:p>
        </w:tc>
      </w:tr>
      <w:tr w:rsidR="001C6BA9" w:rsidRPr="009B0ADD" w:rsidTr="008D5EC6">
        <w:trPr>
          <w:trHeight w:val="143"/>
        </w:trPr>
        <w:tc>
          <w:tcPr>
            <w:tcW w:w="4253" w:type="dxa"/>
            <w:vMerge/>
            <w:vAlign w:val="center"/>
          </w:tcPr>
          <w:p w:rsidR="001C6BA9" w:rsidRPr="009B0ADD" w:rsidRDefault="001C6BA9" w:rsidP="00E546EE">
            <w:pPr>
              <w:spacing w:after="0"/>
              <w:ind w:left="34"/>
              <w:rPr>
                <w:rFonts w:ascii="Times New Roman" w:hAnsi="Times New Roman"/>
              </w:rPr>
            </w:pPr>
          </w:p>
        </w:tc>
        <w:tc>
          <w:tcPr>
            <w:tcW w:w="1701" w:type="dxa"/>
            <w:shd w:val="clear" w:color="auto" w:fill="D9D9D9" w:themeFill="background1" w:themeFillShade="D9"/>
            <w:vAlign w:val="center"/>
          </w:tcPr>
          <w:p w:rsidR="001C6BA9" w:rsidRPr="009B0ADD" w:rsidRDefault="001C6BA9" w:rsidP="00E546EE">
            <w:pPr>
              <w:spacing w:after="0"/>
              <w:ind w:left="-76" w:right="-96"/>
              <w:jc w:val="center"/>
              <w:rPr>
                <w:rFonts w:ascii="Times New Roman" w:hAnsi="Times New Roman"/>
                <w:b/>
              </w:rPr>
            </w:pPr>
            <w:r w:rsidRPr="009B0ADD">
              <w:rPr>
                <w:rFonts w:ascii="Times New Roman" w:hAnsi="Times New Roman"/>
                <w:b/>
              </w:rPr>
              <w:t>2016 год</w:t>
            </w:r>
          </w:p>
        </w:tc>
        <w:tc>
          <w:tcPr>
            <w:tcW w:w="1559" w:type="dxa"/>
            <w:shd w:val="clear" w:color="auto" w:fill="D9D9D9" w:themeFill="background1" w:themeFillShade="D9"/>
            <w:vAlign w:val="center"/>
          </w:tcPr>
          <w:p w:rsidR="001C6BA9" w:rsidRPr="009B0ADD" w:rsidRDefault="001C6BA9" w:rsidP="00E546EE">
            <w:pPr>
              <w:spacing w:after="0"/>
              <w:ind w:left="34"/>
              <w:jc w:val="center"/>
              <w:rPr>
                <w:rFonts w:ascii="Times New Roman" w:hAnsi="Times New Roman"/>
                <w:b/>
              </w:rPr>
            </w:pPr>
            <w:r w:rsidRPr="009B0ADD">
              <w:rPr>
                <w:rFonts w:ascii="Times New Roman" w:hAnsi="Times New Roman"/>
                <w:b/>
              </w:rPr>
              <w:t>2016 год</w:t>
            </w:r>
          </w:p>
        </w:tc>
        <w:tc>
          <w:tcPr>
            <w:tcW w:w="2126" w:type="dxa"/>
            <w:vMerge/>
            <w:vAlign w:val="center"/>
          </w:tcPr>
          <w:p w:rsidR="001C6BA9" w:rsidRPr="009B0ADD" w:rsidRDefault="001C6BA9" w:rsidP="00E546EE">
            <w:pPr>
              <w:spacing w:after="0"/>
              <w:ind w:firstLine="34"/>
              <w:jc w:val="center"/>
              <w:rPr>
                <w:rFonts w:ascii="Times New Roman" w:hAnsi="Times New Roman"/>
              </w:rPr>
            </w:pPr>
          </w:p>
        </w:tc>
      </w:tr>
      <w:tr w:rsidR="001C6BA9" w:rsidRPr="009B0ADD" w:rsidTr="004E5859">
        <w:trPr>
          <w:trHeight w:val="244"/>
        </w:trPr>
        <w:tc>
          <w:tcPr>
            <w:tcW w:w="4253" w:type="dxa"/>
          </w:tcPr>
          <w:p w:rsidR="001C6BA9" w:rsidRPr="009B0ADD" w:rsidRDefault="001C6BA9" w:rsidP="00E546EE">
            <w:pPr>
              <w:spacing w:after="0"/>
              <w:ind w:left="34"/>
              <w:rPr>
                <w:rFonts w:ascii="Times New Roman" w:hAnsi="Times New Roman"/>
              </w:rPr>
            </w:pPr>
            <w:r w:rsidRPr="009B0ADD">
              <w:rPr>
                <w:rFonts w:ascii="Times New Roman" w:hAnsi="Times New Roman"/>
              </w:rPr>
              <w:t>Мужчины трудоспособного возраста</w:t>
            </w:r>
          </w:p>
        </w:tc>
        <w:tc>
          <w:tcPr>
            <w:tcW w:w="1701"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1 404,74</w:t>
            </w:r>
          </w:p>
        </w:tc>
        <w:tc>
          <w:tcPr>
            <w:tcW w:w="1559"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1 492,6</w:t>
            </w:r>
          </w:p>
        </w:tc>
        <w:tc>
          <w:tcPr>
            <w:tcW w:w="2126"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106,3</w:t>
            </w:r>
          </w:p>
        </w:tc>
      </w:tr>
      <w:tr w:rsidR="001C6BA9" w:rsidRPr="009B0ADD" w:rsidTr="004E5859">
        <w:trPr>
          <w:trHeight w:val="257"/>
        </w:trPr>
        <w:tc>
          <w:tcPr>
            <w:tcW w:w="4253" w:type="dxa"/>
          </w:tcPr>
          <w:p w:rsidR="001C6BA9" w:rsidRPr="009B0ADD" w:rsidRDefault="001C6BA9" w:rsidP="00E546EE">
            <w:pPr>
              <w:spacing w:after="0"/>
              <w:ind w:left="34"/>
              <w:rPr>
                <w:rFonts w:ascii="Times New Roman" w:hAnsi="Times New Roman"/>
              </w:rPr>
            </w:pPr>
            <w:r w:rsidRPr="009B0ADD">
              <w:rPr>
                <w:rFonts w:ascii="Times New Roman" w:hAnsi="Times New Roman"/>
              </w:rPr>
              <w:t>Женщины трудоспособного возраста</w:t>
            </w:r>
          </w:p>
        </w:tc>
        <w:tc>
          <w:tcPr>
            <w:tcW w:w="1701"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1 333,20</w:t>
            </w:r>
          </w:p>
        </w:tc>
        <w:tc>
          <w:tcPr>
            <w:tcW w:w="1559"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1 402,5</w:t>
            </w:r>
          </w:p>
        </w:tc>
        <w:tc>
          <w:tcPr>
            <w:tcW w:w="2126"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105,2</w:t>
            </w:r>
          </w:p>
        </w:tc>
      </w:tr>
      <w:tr w:rsidR="001C6BA9" w:rsidRPr="009B0ADD" w:rsidTr="004E5859">
        <w:trPr>
          <w:trHeight w:val="244"/>
        </w:trPr>
        <w:tc>
          <w:tcPr>
            <w:tcW w:w="4253" w:type="dxa"/>
          </w:tcPr>
          <w:p w:rsidR="001C6BA9" w:rsidRPr="009B0ADD" w:rsidRDefault="001C6BA9" w:rsidP="00E546EE">
            <w:pPr>
              <w:spacing w:after="0"/>
              <w:ind w:left="34"/>
              <w:rPr>
                <w:rFonts w:ascii="Times New Roman" w:hAnsi="Times New Roman"/>
              </w:rPr>
            </w:pPr>
            <w:r w:rsidRPr="009B0ADD">
              <w:rPr>
                <w:rFonts w:ascii="Times New Roman" w:hAnsi="Times New Roman"/>
              </w:rPr>
              <w:t>Пенсионеры</w:t>
            </w:r>
          </w:p>
        </w:tc>
        <w:tc>
          <w:tcPr>
            <w:tcW w:w="1701"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1 081,01</w:t>
            </w:r>
          </w:p>
        </w:tc>
        <w:tc>
          <w:tcPr>
            <w:tcW w:w="1559"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1 140,4</w:t>
            </w:r>
          </w:p>
        </w:tc>
        <w:tc>
          <w:tcPr>
            <w:tcW w:w="2126"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105,5</w:t>
            </w:r>
          </w:p>
        </w:tc>
      </w:tr>
      <w:tr w:rsidR="001C6BA9" w:rsidRPr="009B0ADD" w:rsidTr="004E5859">
        <w:trPr>
          <w:trHeight w:val="257"/>
        </w:trPr>
        <w:tc>
          <w:tcPr>
            <w:tcW w:w="4253" w:type="dxa"/>
          </w:tcPr>
          <w:p w:rsidR="001C6BA9" w:rsidRPr="009B0ADD" w:rsidRDefault="001C6BA9" w:rsidP="00E546EE">
            <w:pPr>
              <w:spacing w:after="0"/>
              <w:ind w:left="34"/>
              <w:rPr>
                <w:rFonts w:ascii="Times New Roman" w:hAnsi="Times New Roman"/>
              </w:rPr>
            </w:pPr>
            <w:r w:rsidRPr="009B0ADD">
              <w:rPr>
                <w:rFonts w:ascii="Times New Roman" w:hAnsi="Times New Roman"/>
              </w:rPr>
              <w:t>Дети от 0 до 6 лет</w:t>
            </w:r>
          </w:p>
        </w:tc>
        <w:tc>
          <w:tcPr>
            <w:tcW w:w="1701"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1 181,63</w:t>
            </w:r>
          </w:p>
        </w:tc>
        <w:tc>
          <w:tcPr>
            <w:tcW w:w="1559"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1 258,9</w:t>
            </w:r>
          </w:p>
        </w:tc>
        <w:tc>
          <w:tcPr>
            <w:tcW w:w="2126"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106,5</w:t>
            </w:r>
          </w:p>
        </w:tc>
      </w:tr>
      <w:tr w:rsidR="001C6BA9" w:rsidRPr="009B0ADD" w:rsidTr="004E5859">
        <w:trPr>
          <w:trHeight w:val="257"/>
        </w:trPr>
        <w:tc>
          <w:tcPr>
            <w:tcW w:w="4253" w:type="dxa"/>
          </w:tcPr>
          <w:p w:rsidR="001C6BA9" w:rsidRPr="009B0ADD" w:rsidRDefault="001C6BA9" w:rsidP="00E546EE">
            <w:pPr>
              <w:spacing w:after="0"/>
              <w:ind w:left="34"/>
              <w:rPr>
                <w:rFonts w:ascii="Times New Roman" w:hAnsi="Times New Roman"/>
              </w:rPr>
            </w:pPr>
            <w:r w:rsidRPr="009B0ADD">
              <w:rPr>
                <w:rFonts w:ascii="Times New Roman" w:hAnsi="Times New Roman"/>
              </w:rPr>
              <w:t>Дети от 7 до 15 лет</w:t>
            </w:r>
          </w:p>
        </w:tc>
        <w:tc>
          <w:tcPr>
            <w:tcW w:w="1701"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1 417,61</w:t>
            </w:r>
          </w:p>
        </w:tc>
        <w:tc>
          <w:tcPr>
            <w:tcW w:w="1559"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1 518,3</w:t>
            </w:r>
          </w:p>
        </w:tc>
        <w:tc>
          <w:tcPr>
            <w:tcW w:w="2126" w:type="dxa"/>
            <w:vAlign w:val="center"/>
          </w:tcPr>
          <w:p w:rsidR="001C6BA9" w:rsidRPr="009B0ADD" w:rsidRDefault="001C6BA9" w:rsidP="00E546EE">
            <w:pPr>
              <w:spacing w:after="0"/>
              <w:ind w:firstLine="34"/>
              <w:jc w:val="center"/>
              <w:rPr>
                <w:rFonts w:ascii="Times New Roman" w:hAnsi="Times New Roman"/>
              </w:rPr>
            </w:pPr>
            <w:r w:rsidRPr="009B0ADD">
              <w:rPr>
                <w:rFonts w:ascii="Times New Roman" w:hAnsi="Times New Roman"/>
              </w:rPr>
              <w:t>107,1</w:t>
            </w:r>
          </w:p>
        </w:tc>
      </w:tr>
    </w:tbl>
    <w:p w:rsidR="001C6BA9" w:rsidRPr="004E5859" w:rsidRDefault="001C6BA9" w:rsidP="001C6BA9">
      <w:pPr>
        <w:spacing w:after="0" w:line="240" w:lineRule="auto"/>
        <w:ind w:firstLine="709"/>
        <w:jc w:val="both"/>
        <w:rPr>
          <w:rFonts w:ascii="Times New Roman" w:hAnsi="Times New Roman"/>
          <w:sz w:val="10"/>
          <w:szCs w:val="10"/>
        </w:rPr>
      </w:pPr>
    </w:p>
    <w:p w:rsidR="001C6BA9" w:rsidRPr="009F2F0B" w:rsidRDefault="001C6BA9" w:rsidP="001C6BA9">
      <w:pPr>
        <w:spacing w:after="0" w:line="240" w:lineRule="auto"/>
        <w:ind w:firstLine="851"/>
        <w:jc w:val="both"/>
        <w:rPr>
          <w:rFonts w:ascii="Times New Roman" w:hAnsi="Times New Roman"/>
          <w:sz w:val="24"/>
          <w:szCs w:val="24"/>
        </w:rPr>
      </w:pPr>
      <w:r w:rsidRPr="009B0ADD">
        <w:rPr>
          <w:rFonts w:ascii="Times New Roman" w:hAnsi="Times New Roman"/>
          <w:sz w:val="24"/>
          <w:szCs w:val="24"/>
        </w:rPr>
        <w:t>В помесячной динамике в течение 2017 года наблюдался прирост величины прожиточного минимума по отношению к предыдущему месяцу (на 0,4 – 4,3%%), за исключением февраля, марта, июля и августа 2017 года, который был обусловлен в основном увеличением стоимости продуктового набора. Затраты на продукты питания занимают в структуре потребительской корзины наибольший удельный вес, динамика цен на продовольственные товары оказывает наибольшее влияние на колебания величины прожиточного минимума.</w:t>
      </w:r>
      <w:r w:rsidRPr="00497CE7">
        <w:rPr>
          <w:rFonts w:ascii="Times New Roman" w:hAnsi="Times New Roman"/>
          <w:sz w:val="24"/>
          <w:szCs w:val="24"/>
        </w:rPr>
        <w:t xml:space="preserve"> </w:t>
      </w:r>
    </w:p>
    <w:p w:rsidR="001C6BA9" w:rsidRPr="00A24882" w:rsidRDefault="001C6BA9" w:rsidP="00335844">
      <w:pPr>
        <w:spacing w:after="0" w:line="240" w:lineRule="auto"/>
        <w:ind w:firstLine="720"/>
        <w:jc w:val="both"/>
        <w:rPr>
          <w:rFonts w:ascii="Times New Roman" w:hAnsi="Times New Roman"/>
          <w:sz w:val="14"/>
          <w:szCs w:val="14"/>
        </w:rPr>
      </w:pPr>
    </w:p>
    <w:p w:rsidR="00335844" w:rsidRDefault="00335844" w:rsidP="00335844">
      <w:pPr>
        <w:spacing w:after="0" w:line="240" w:lineRule="auto"/>
        <w:ind w:firstLine="720"/>
        <w:jc w:val="both"/>
        <w:rPr>
          <w:rFonts w:ascii="Times New Roman" w:hAnsi="Times New Roman"/>
          <w:b/>
          <w:sz w:val="24"/>
          <w:szCs w:val="24"/>
        </w:rPr>
      </w:pPr>
      <w:r w:rsidRPr="008D5EC6">
        <w:rPr>
          <w:rFonts w:ascii="Times New Roman" w:hAnsi="Times New Roman"/>
          <w:b/>
          <w:sz w:val="24"/>
          <w:szCs w:val="24"/>
        </w:rPr>
        <w:t>Рынок труда и сфера занятости</w:t>
      </w:r>
    </w:p>
    <w:p w:rsidR="00A24882" w:rsidRPr="00A24882" w:rsidRDefault="00A24882" w:rsidP="00335844">
      <w:pPr>
        <w:spacing w:after="0" w:line="240" w:lineRule="auto"/>
        <w:ind w:firstLine="720"/>
        <w:jc w:val="both"/>
        <w:rPr>
          <w:rFonts w:ascii="Times New Roman" w:hAnsi="Times New Roman"/>
          <w:b/>
          <w:sz w:val="14"/>
          <w:szCs w:val="14"/>
        </w:rPr>
      </w:pPr>
    </w:p>
    <w:p w:rsidR="00A24882" w:rsidRPr="00937E1C" w:rsidRDefault="00A24882" w:rsidP="00A24882">
      <w:pPr>
        <w:spacing w:after="0" w:line="240" w:lineRule="auto"/>
        <w:ind w:firstLine="709"/>
        <w:jc w:val="both"/>
        <w:rPr>
          <w:rFonts w:ascii="Times New Roman" w:hAnsi="Times New Roman"/>
          <w:sz w:val="24"/>
          <w:szCs w:val="24"/>
        </w:rPr>
      </w:pPr>
      <w:r w:rsidRPr="00937E1C">
        <w:rPr>
          <w:rFonts w:ascii="Times New Roman" w:hAnsi="Times New Roman"/>
          <w:sz w:val="24"/>
          <w:szCs w:val="24"/>
        </w:rPr>
        <w:t>Основные характеристики состояния рынка труда в 2017 год</w:t>
      </w:r>
      <w:r>
        <w:rPr>
          <w:rFonts w:ascii="Times New Roman" w:hAnsi="Times New Roman"/>
          <w:sz w:val="24"/>
          <w:szCs w:val="24"/>
        </w:rPr>
        <w:t>у</w:t>
      </w:r>
      <w:r w:rsidRPr="00937E1C">
        <w:rPr>
          <w:rFonts w:ascii="Times New Roman" w:hAnsi="Times New Roman"/>
          <w:sz w:val="24"/>
          <w:szCs w:val="24"/>
        </w:rPr>
        <w:t xml:space="preserve"> определялись динамикой экономического развития, параметрами спроса и предложения рабочей силы, а также демографическими процессами</w:t>
      </w:r>
      <w:r>
        <w:rPr>
          <w:rFonts w:ascii="Times New Roman" w:hAnsi="Times New Roman"/>
          <w:sz w:val="24"/>
          <w:szCs w:val="24"/>
        </w:rPr>
        <w:t>,</w:t>
      </w:r>
      <w:r w:rsidRPr="00937E1C">
        <w:rPr>
          <w:rFonts w:ascii="Times New Roman" w:hAnsi="Times New Roman"/>
          <w:sz w:val="24"/>
          <w:szCs w:val="24"/>
        </w:rPr>
        <w:t xml:space="preserve"> сложившимися в обществе.</w:t>
      </w:r>
    </w:p>
    <w:p w:rsidR="00A24882" w:rsidRDefault="00A24882" w:rsidP="00A24882">
      <w:pPr>
        <w:spacing w:after="0" w:line="240" w:lineRule="auto"/>
        <w:ind w:firstLine="720"/>
        <w:jc w:val="both"/>
        <w:rPr>
          <w:rFonts w:ascii="Times New Roman" w:hAnsi="Times New Roman"/>
          <w:sz w:val="24"/>
          <w:szCs w:val="24"/>
        </w:rPr>
      </w:pPr>
      <w:proofErr w:type="gramStart"/>
      <w:r w:rsidRPr="00937E1C">
        <w:rPr>
          <w:rFonts w:ascii="Times New Roman" w:hAnsi="Times New Roman"/>
          <w:sz w:val="24"/>
          <w:szCs w:val="24"/>
        </w:rPr>
        <w:t xml:space="preserve">Численность экономически активного населения по состоянию на 1 </w:t>
      </w:r>
      <w:r>
        <w:rPr>
          <w:rFonts w:ascii="Times New Roman" w:hAnsi="Times New Roman"/>
          <w:sz w:val="24"/>
          <w:szCs w:val="24"/>
        </w:rPr>
        <w:t>января</w:t>
      </w:r>
      <w:r w:rsidRPr="00937E1C">
        <w:rPr>
          <w:rFonts w:ascii="Times New Roman" w:hAnsi="Times New Roman"/>
          <w:sz w:val="24"/>
          <w:szCs w:val="24"/>
        </w:rPr>
        <w:t xml:space="preserve">               201</w:t>
      </w:r>
      <w:r>
        <w:rPr>
          <w:rFonts w:ascii="Times New Roman" w:hAnsi="Times New Roman"/>
          <w:sz w:val="24"/>
          <w:szCs w:val="24"/>
        </w:rPr>
        <w:t>8</w:t>
      </w:r>
      <w:r w:rsidRPr="00937E1C">
        <w:rPr>
          <w:rFonts w:ascii="Times New Roman" w:hAnsi="Times New Roman"/>
          <w:sz w:val="24"/>
          <w:szCs w:val="24"/>
        </w:rPr>
        <w:t xml:space="preserve"> года </w:t>
      </w:r>
      <w:r w:rsidRPr="000D7440">
        <w:rPr>
          <w:rFonts w:ascii="Times New Roman" w:hAnsi="Times New Roman"/>
          <w:sz w:val="24"/>
          <w:szCs w:val="24"/>
        </w:rPr>
        <w:t xml:space="preserve">составила 138,7 тыс. чел. (без учета работников силовых структур республики), увеличившись по сравнению с аналогичным показателем 2016 года на </w:t>
      </w:r>
      <w:r>
        <w:rPr>
          <w:rFonts w:ascii="Times New Roman" w:hAnsi="Times New Roman"/>
          <w:sz w:val="24"/>
          <w:szCs w:val="24"/>
        </w:rPr>
        <w:t>2,2</w:t>
      </w:r>
      <w:r w:rsidRPr="000D7440">
        <w:rPr>
          <w:rFonts w:ascii="Times New Roman" w:hAnsi="Times New Roman"/>
          <w:sz w:val="24"/>
          <w:szCs w:val="24"/>
        </w:rPr>
        <w:t xml:space="preserve"> тыс. чел. В составе экономически активного населения 96,3%, или 133,5 тыс. человек, были заняты в экономике республики, а 5,2 тыс. человек не имели</w:t>
      </w:r>
      <w:r w:rsidRPr="00937E1C">
        <w:rPr>
          <w:rFonts w:ascii="Times New Roman" w:hAnsi="Times New Roman"/>
          <w:sz w:val="24"/>
          <w:szCs w:val="24"/>
        </w:rPr>
        <w:t xml:space="preserve"> работы, но активно ее искали и</w:t>
      </w:r>
      <w:proofErr w:type="gramEnd"/>
      <w:r w:rsidRPr="00937E1C">
        <w:rPr>
          <w:rFonts w:ascii="Times New Roman" w:hAnsi="Times New Roman"/>
          <w:sz w:val="24"/>
          <w:szCs w:val="24"/>
        </w:rPr>
        <w:t xml:space="preserve"> состояли на учете в Центрах социального страхования и социальной защиты в качестве лиц</w:t>
      </w:r>
      <w:r>
        <w:rPr>
          <w:rFonts w:ascii="Times New Roman" w:hAnsi="Times New Roman"/>
          <w:sz w:val="24"/>
          <w:szCs w:val="24"/>
        </w:rPr>
        <w:t>,</w:t>
      </w:r>
      <w:r w:rsidRPr="00937E1C">
        <w:rPr>
          <w:rFonts w:ascii="Times New Roman" w:hAnsi="Times New Roman"/>
          <w:sz w:val="24"/>
          <w:szCs w:val="24"/>
        </w:rPr>
        <w:t xml:space="preserve"> ищущих подходящую работу</w:t>
      </w:r>
      <w:r>
        <w:rPr>
          <w:rFonts w:ascii="Times New Roman" w:hAnsi="Times New Roman"/>
          <w:sz w:val="24"/>
          <w:szCs w:val="24"/>
        </w:rPr>
        <w:t xml:space="preserve"> </w:t>
      </w:r>
      <w:r w:rsidRPr="00A24882">
        <w:rPr>
          <w:rFonts w:ascii="Times New Roman" w:hAnsi="Times New Roman"/>
          <w:sz w:val="24"/>
          <w:szCs w:val="24"/>
        </w:rPr>
        <w:t>(рис. 40).</w:t>
      </w:r>
    </w:p>
    <w:p w:rsidR="00A24882" w:rsidRPr="005537D4" w:rsidRDefault="00A24882" w:rsidP="00A24882">
      <w:pPr>
        <w:spacing w:after="0" w:line="240" w:lineRule="auto"/>
        <w:ind w:firstLine="426"/>
        <w:contextualSpacing/>
        <w:jc w:val="right"/>
        <w:rPr>
          <w:rFonts w:ascii="Times New Roman" w:hAnsi="Times New Roman"/>
          <w:b/>
          <w:i/>
          <w:sz w:val="24"/>
          <w:szCs w:val="24"/>
        </w:rPr>
      </w:pPr>
      <w:r w:rsidRPr="005537D4">
        <w:rPr>
          <w:rFonts w:ascii="Times New Roman" w:hAnsi="Times New Roman"/>
          <w:b/>
          <w:i/>
          <w:sz w:val="24"/>
          <w:szCs w:val="24"/>
        </w:rPr>
        <w:t xml:space="preserve">Рисунок </w:t>
      </w:r>
      <w:r>
        <w:rPr>
          <w:rFonts w:ascii="Times New Roman" w:hAnsi="Times New Roman"/>
          <w:b/>
          <w:i/>
          <w:sz w:val="24"/>
          <w:szCs w:val="24"/>
        </w:rPr>
        <w:t>40</w:t>
      </w:r>
    </w:p>
    <w:p w:rsidR="00A24882" w:rsidRPr="009A1D3E" w:rsidRDefault="00A24882" w:rsidP="00A24882">
      <w:pPr>
        <w:spacing w:after="0" w:line="240" w:lineRule="auto"/>
        <w:ind w:firstLine="720"/>
        <w:jc w:val="center"/>
        <w:rPr>
          <w:rFonts w:ascii="Times New Roman" w:hAnsi="Times New Roman"/>
          <w:b/>
          <w:sz w:val="24"/>
          <w:szCs w:val="24"/>
        </w:rPr>
      </w:pPr>
      <w:r w:rsidRPr="009A1D3E">
        <w:rPr>
          <w:rFonts w:ascii="Times New Roman" w:hAnsi="Times New Roman"/>
          <w:b/>
          <w:sz w:val="24"/>
          <w:szCs w:val="24"/>
        </w:rPr>
        <w:t>Структура экономически активного населения, %</w:t>
      </w:r>
    </w:p>
    <w:p w:rsidR="00A24882" w:rsidRPr="009A1D3E" w:rsidRDefault="00A24882" w:rsidP="00A24882">
      <w:pPr>
        <w:spacing w:after="0" w:line="240" w:lineRule="auto"/>
        <w:ind w:left="284"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5344" behindDoc="1" locked="0" layoutInCell="1" allowOverlap="1">
            <wp:simplePos x="0" y="0"/>
            <wp:positionH relativeFrom="column">
              <wp:posOffset>120015</wp:posOffset>
            </wp:positionH>
            <wp:positionV relativeFrom="paragraph">
              <wp:posOffset>6350</wp:posOffset>
            </wp:positionV>
            <wp:extent cx="2828925" cy="1276350"/>
            <wp:effectExtent l="19050" t="0" r="0" b="0"/>
            <wp:wrapTight wrapText="bothSides">
              <wp:wrapPolygon edited="0">
                <wp:start x="-145" y="0"/>
                <wp:lineTo x="-145" y="21278"/>
                <wp:lineTo x="21527" y="21278"/>
                <wp:lineTo x="21527" y="0"/>
                <wp:lineTo x="-145" y="0"/>
              </wp:wrapPolygon>
            </wp:wrapTight>
            <wp:docPr id="1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9A1D3E">
        <w:rPr>
          <w:rFonts w:ascii="Times New Roman" w:hAnsi="Times New Roman"/>
          <w:noProof/>
          <w:sz w:val="24"/>
          <w:szCs w:val="24"/>
        </w:rPr>
        <w:drawing>
          <wp:inline distT="0" distB="0" distL="0" distR="0">
            <wp:extent cx="2352675" cy="1285875"/>
            <wp:effectExtent l="19050" t="0" r="0" b="0"/>
            <wp:docPr id="1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24882" w:rsidRPr="00937E1C" w:rsidRDefault="00A24882" w:rsidP="00A24882">
      <w:pPr>
        <w:pStyle w:val="af2"/>
        <w:shd w:val="clear" w:color="auto" w:fill="FFFFFF" w:themeFill="background1"/>
        <w:tabs>
          <w:tab w:val="clear" w:pos="4153"/>
          <w:tab w:val="clear" w:pos="8306"/>
          <w:tab w:val="left" w:pos="900"/>
        </w:tabs>
        <w:ind w:firstLine="709"/>
        <w:jc w:val="both"/>
        <w:rPr>
          <w:sz w:val="24"/>
          <w:szCs w:val="24"/>
        </w:rPr>
      </w:pPr>
      <w:r w:rsidRPr="009A1D3E">
        <w:rPr>
          <w:sz w:val="24"/>
          <w:szCs w:val="24"/>
        </w:rPr>
        <w:lastRenderedPageBreak/>
        <w:t>Численность занятых в экономике республики (без учета субъектов малого предпринимательства) на 1 января 2018 года составила</w:t>
      </w:r>
      <w:r w:rsidRPr="009A1D3E">
        <w:rPr>
          <w:sz w:val="24"/>
          <w:szCs w:val="24"/>
          <w:shd w:val="clear" w:color="auto" w:fill="FFFFFF" w:themeFill="background1"/>
        </w:rPr>
        <w:t xml:space="preserve"> 95,5 тыс. чел., что на 2 058 человек меньше численности, сложившейся по состоянию на 1 января 2017 года.</w:t>
      </w:r>
      <w:r w:rsidRPr="00937E1C">
        <w:rPr>
          <w:sz w:val="24"/>
          <w:szCs w:val="24"/>
        </w:rPr>
        <w:t xml:space="preserve"> Всего с начала </w:t>
      </w:r>
      <w:r>
        <w:rPr>
          <w:sz w:val="24"/>
          <w:szCs w:val="24"/>
        </w:rPr>
        <w:t xml:space="preserve">            </w:t>
      </w:r>
      <w:r w:rsidRPr="00937E1C">
        <w:rPr>
          <w:sz w:val="24"/>
          <w:szCs w:val="24"/>
        </w:rPr>
        <w:t xml:space="preserve">2017 года было принято на работу </w:t>
      </w:r>
      <w:r>
        <w:rPr>
          <w:sz w:val="24"/>
          <w:szCs w:val="24"/>
        </w:rPr>
        <w:t>1</w:t>
      </w:r>
      <w:r w:rsidRPr="00937E1C">
        <w:rPr>
          <w:snapToGrid w:val="0"/>
          <w:sz w:val="24"/>
          <w:szCs w:val="24"/>
        </w:rPr>
        <w:t>8 20</w:t>
      </w:r>
      <w:r>
        <w:rPr>
          <w:snapToGrid w:val="0"/>
          <w:sz w:val="24"/>
          <w:szCs w:val="24"/>
        </w:rPr>
        <w:t>6</w:t>
      </w:r>
      <w:r w:rsidRPr="00937E1C">
        <w:rPr>
          <w:snapToGrid w:val="0"/>
          <w:sz w:val="24"/>
          <w:szCs w:val="24"/>
        </w:rPr>
        <w:t xml:space="preserve"> </w:t>
      </w:r>
      <w:r w:rsidRPr="00937E1C">
        <w:rPr>
          <w:sz w:val="24"/>
          <w:szCs w:val="24"/>
        </w:rPr>
        <w:t xml:space="preserve">чел., из них </w:t>
      </w:r>
      <w:r>
        <w:rPr>
          <w:sz w:val="24"/>
          <w:szCs w:val="24"/>
        </w:rPr>
        <w:t>976</w:t>
      </w:r>
      <w:r w:rsidRPr="00937E1C">
        <w:rPr>
          <w:sz w:val="24"/>
          <w:szCs w:val="24"/>
        </w:rPr>
        <w:t xml:space="preserve"> чел. – на дополнительно введенные рабочие места. Процент замещения выбывших работников новыми кадрами в рассматриваемом периоде составил </w:t>
      </w:r>
      <w:r>
        <w:rPr>
          <w:sz w:val="24"/>
          <w:szCs w:val="24"/>
        </w:rPr>
        <w:t>92,1</w:t>
      </w:r>
      <w:r w:rsidRPr="00937E1C">
        <w:rPr>
          <w:sz w:val="24"/>
          <w:szCs w:val="24"/>
        </w:rPr>
        <w:t>%.</w:t>
      </w:r>
    </w:p>
    <w:p w:rsidR="00A24882" w:rsidRPr="00937E1C" w:rsidRDefault="00A24882" w:rsidP="00A24882">
      <w:pPr>
        <w:pStyle w:val="af2"/>
        <w:tabs>
          <w:tab w:val="clear" w:pos="4153"/>
          <w:tab w:val="clear" w:pos="8306"/>
          <w:tab w:val="left" w:pos="900"/>
        </w:tabs>
        <w:ind w:firstLine="709"/>
        <w:jc w:val="both"/>
        <w:rPr>
          <w:sz w:val="24"/>
          <w:szCs w:val="24"/>
        </w:rPr>
      </w:pPr>
      <w:r w:rsidRPr="00937E1C">
        <w:rPr>
          <w:sz w:val="24"/>
          <w:szCs w:val="24"/>
        </w:rPr>
        <w:t xml:space="preserve">В течение 2017 года из организаций и учреждений уволилось </w:t>
      </w:r>
      <w:r>
        <w:rPr>
          <w:sz w:val="24"/>
          <w:szCs w:val="24"/>
        </w:rPr>
        <w:t>19</w:t>
      </w:r>
      <w:r w:rsidRPr="00937E1C">
        <w:rPr>
          <w:snapToGrid w:val="0"/>
          <w:sz w:val="24"/>
          <w:szCs w:val="24"/>
        </w:rPr>
        <w:t> </w:t>
      </w:r>
      <w:r>
        <w:rPr>
          <w:snapToGrid w:val="0"/>
          <w:sz w:val="24"/>
          <w:szCs w:val="24"/>
        </w:rPr>
        <w:t>766</w:t>
      </w:r>
      <w:r w:rsidRPr="00937E1C">
        <w:rPr>
          <w:sz w:val="24"/>
          <w:szCs w:val="24"/>
        </w:rPr>
        <w:t xml:space="preserve"> чел. (в 2016 год</w:t>
      </w:r>
      <w:r>
        <w:rPr>
          <w:sz w:val="24"/>
          <w:szCs w:val="24"/>
        </w:rPr>
        <w:t>у</w:t>
      </w:r>
      <w:r w:rsidRPr="00937E1C">
        <w:rPr>
          <w:sz w:val="24"/>
          <w:szCs w:val="24"/>
        </w:rPr>
        <w:t xml:space="preserve"> – </w:t>
      </w:r>
      <w:r>
        <w:rPr>
          <w:sz w:val="24"/>
          <w:szCs w:val="24"/>
        </w:rPr>
        <w:t>16</w:t>
      </w:r>
      <w:r w:rsidRPr="00937E1C">
        <w:rPr>
          <w:sz w:val="24"/>
          <w:szCs w:val="24"/>
        </w:rPr>
        <w:t> </w:t>
      </w:r>
      <w:r>
        <w:rPr>
          <w:sz w:val="24"/>
          <w:szCs w:val="24"/>
        </w:rPr>
        <w:t>853</w:t>
      </w:r>
      <w:r w:rsidRPr="00937E1C">
        <w:rPr>
          <w:sz w:val="24"/>
          <w:szCs w:val="24"/>
        </w:rPr>
        <w:t xml:space="preserve"> чел.), что составляет </w:t>
      </w:r>
      <w:r>
        <w:rPr>
          <w:sz w:val="24"/>
          <w:szCs w:val="24"/>
        </w:rPr>
        <w:t>20,4</w:t>
      </w:r>
      <w:r w:rsidRPr="00937E1C">
        <w:rPr>
          <w:sz w:val="24"/>
          <w:szCs w:val="24"/>
        </w:rPr>
        <w:t>% от списочной численности работников на начало года. Основной причиной</w:t>
      </w:r>
      <w:r w:rsidRPr="00937E1C">
        <w:rPr>
          <w:sz w:val="28"/>
          <w:szCs w:val="28"/>
        </w:rPr>
        <w:t xml:space="preserve"> </w:t>
      </w:r>
      <w:r w:rsidRPr="00937E1C">
        <w:rPr>
          <w:sz w:val="24"/>
          <w:szCs w:val="24"/>
        </w:rPr>
        <w:t>выбытия является увольнение по инициативе работника, на ее долю приходи</w:t>
      </w:r>
      <w:r>
        <w:rPr>
          <w:sz w:val="24"/>
          <w:szCs w:val="24"/>
        </w:rPr>
        <w:t>лось</w:t>
      </w:r>
      <w:r w:rsidRPr="00937E1C">
        <w:rPr>
          <w:sz w:val="24"/>
          <w:szCs w:val="24"/>
        </w:rPr>
        <w:t xml:space="preserve"> </w:t>
      </w:r>
      <w:r>
        <w:rPr>
          <w:sz w:val="24"/>
          <w:szCs w:val="24"/>
        </w:rPr>
        <w:t>82,4</w:t>
      </w:r>
      <w:r w:rsidRPr="00937E1C">
        <w:rPr>
          <w:sz w:val="24"/>
          <w:szCs w:val="24"/>
        </w:rPr>
        <w:t xml:space="preserve">% </w:t>
      </w:r>
      <w:r>
        <w:rPr>
          <w:sz w:val="24"/>
          <w:szCs w:val="24"/>
        </w:rPr>
        <w:t>случаев</w:t>
      </w:r>
      <w:r w:rsidRPr="00937E1C">
        <w:rPr>
          <w:sz w:val="24"/>
          <w:szCs w:val="24"/>
        </w:rPr>
        <w:t xml:space="preserve"> (</w:t>
      </w:r>
      <w:r>
        <w:rPr>
          <w:sz w:val="24"/>
          <w:szCs w:val="24"/>
        </w:rPr>
        <w:t>1</w:t>
      </w:r>
      <w:r w:rsidRPr="00937E1C">
        <w:rPr>
          <w:sz w:val="24"/>
          <w:szCs w:val="24"/>
        </w:rPr>
        <w:t xml:space="preserve">6 </w:t>
      </w:r>
      <w:r>
        <w:rPr>
          <w:sz w:val="24"/>
          <w:szCs w:val="24"/>
        </w:rPr>
        <w:t>286</w:t>
      </w:r>
      <w:r w:rsidRPr="00937E1C">
        <w:rPr>
          <w:sz w:val="24"/>
          <w:szCs w:val="24"/>
        </w:rPr>
        <w:t xml:space="preserve"> чел.).</w:t>
      </w:r>
    </w:p>
    <w:p w:rsidR="00A24882" w:rsidRPr="00A24882" w:rsidRDefault="00A24882" w:rsidP="00A24882">
      <w:pPr>
        <w:pStyle w:val="31"/>
        <w:spacing w:after="0" w:line="240" w:lineRule="auto"/>
        <w:ind w:left="0" w:firstLine="709"/>
        <w:jc w:val="both"/>
        <w:rPr>
          <w:rFonts w:ascii="Times New Roman" w:hAnsi="Times New Roman"/>
          <w:sz w:val="24"/>
          <w:szCs w:val="24"/>
        </w:rPr>
      </w:pPr>
      <w:r w:rsidRPr="00A24882">
        <w:rPr>
          <w:rFonts w:ascii="Times New Roman" w:hAnsi="Times New Roman"/>
          <w:color w:val="000000"/>
          <w:sz w:val="24"/>
          <w:szCs w:val="24"/>
        </w:rPr>
        <w:t xml:space="preserve">В рассматриваемом периоде 146 организаций республики предоставили в Центры социального страхования и социальной защиты городов и районов республики информацию </w:t>
      </w:r>
      <w:r w:rsidRPr="00A24882">
        <w:rPr>
          <w:rFonts w:ascii="Times New Roman" w:hAnsi="Times New Roman"/>
          <w:sz w:val="24"/>
          <w:szCs w:val="24"/>
        </w:rPr>
        <w:t>о предстоящем проведении мероприятий по увольнению работников в связи с ликвидацией организации, сокращением численности или штата работников организации. В связи с проведением данных мероприятий к увольнению было намечено 988 работников (в                           2016 году – 660 чел.), однако фактически было уволено 491 работников, или 2,5% от общей численности выбывших.</w:t>
      </w:r>
    </w:p>
    <w:p w:rsidR="00A24882" w:rsidRPr="00A24882" w:rsidRDefault="00A24882" w:rsidP="00A24882">
      <w:pPr>
        <w:pStyle w:val="31"/>
        <w:spacing w:after="0" w:line="240" w:lineRule="auto"/>
        <w:ind w:left="0" w:firstLine="709"/>
        <w:jc w:val="both"/>
        <w:rPr>
          <w:rFonts w:ascii="Times New Roman" w:hAnsi="Times New Roman"/>
          <w:sz w:val="24"/>
          <w:szCs w:val="24"/>
        </w:rPr>
      </w:pPr>
      <w:r w:rsidRPr="00A24882">
        <w:rPr>
          <w:rFonts w:ascii="Times New Roman" w:hAnsi="Times New Roman"/>
          <w:sz w:val="24"/>
          <w:szCs w:val="24"/>
        </w:rPr>
        <w:t xml:space="preserve">Среди намеченных к увольнению работников молодежь 16-29 лет составила 6,6%, граждане </w:t>
      </w:r>
      <w:proofErr w:type="spellStart"/>
      <w:r w:rsidRPr="00A24882">
        <w:rPr>
          <w:rFonts w:ascii="Times New Roman" w:hAnsi="Times New Roman"/>
          <w:sz w:val="24"/>
          <w:szCs w:val="24"/>
        </w:rPr>
        <w:t>предпенсионного</w:t>
      </w:r>
      <w:proofErr w:type="spellEnd"/>
      <w:r w:rsidRPr="00A24882">
        <w:rPr>
          <w:rFonts w:ascii="Times New Roman" w:hAnsi="Times New Roman"/>
          <w:sz w:val="24"/>
          <w:szCs w:val="24"/>
        </w:rPr>
        <w:t xml:space="preserve"> возраста – 8,8%.</w:t>
      </w:r>
    </w:p>
    <w:p w:rsidR="00A24882" w:rsidRPr="00937E1C" w:rsidRDefault="00A24882" w:rsidP="00A24882">
      <w:pPr>
        <w:pStyle w:val="a4"/>
      </w:pPr>
      <w:r w:rsidRPr="00A24882">
        <w:t>В разрезе отраслей экономики наибольшее количество</w:t>
      </w:r>
      <w:r w:rsidRPr="00937E1C">
        <w:rPr>
          <w:b/>
        </w:rPr>
        <w:t xml:space="preserve"> </w:t>
      </w:r>
      <w:r w:rsidRPr="00937E1C">
        <w:t xml:space="preserve">намеченных к высвобождению работников пришлось на промышленность – </w:t>
      </w:r>
      <w:r>
        <w:t>30,7</w:t>
      </w:r>
      <w:r w:rsidRPr="00937E1C">
        <w:t xml:space="preserve">%, </w:t>
      </w:r>
      <w:r>
        <w:t xml:space="preserve">управление – 12,5%, </w:t>
      </w:r>
      <w:r w:rsidRPr="00937E1C">
        <w:t>транспорт и связь –1</w:t>
      </w:r>
      <w:r>
        <w:t>0</w:t>
      </w:r>
      <w:r w:rsidRPr="00937E1C">
        <w:t xml:space="preserve">,0%, строительство – </w:t>
      </w:r>
      <w:r>
        <w:t>5,3</w:t>
      </w:r>
      <w:r w:rsidRPr="00937E1C">
        <w:t xml:space="preserve">%, жилищно-коммунальное хозяйство – </w:t>
      </w:r>
      <w:r>
        <w:t>4,4</w:t>
      </w:r>
      <w:r w:rsidRPr="00937E1C">
        <w:t xml:space="preserve">%, образование – </w:t>
      </w:r>
      <w:r>
        <w:t>4,3%</w:t>
      </w:r>
      <w:r w:rsidRPr="00937E1C">
        <w:t>.</w:t>
      </w:r>
    </w:p>
    <w:p w:rsidR="00A24882" w:rsidRPr="00937E1C" w:rsidRDefault="00A24882" w:rsidP="00A24882">
      <w:pPr>
        <w:pStyle w:val="a4"/>
      </w:pPr>
      <w:proofErr w:type="gramStart"/>
      <w:r w:rsidRPr="00937E1C">
        <w:t>В 2017 год</w:t>
      </w:r>
      <w:r>
        <w:t>у</w:t>
      </w:r>
      <w:r w:rsidRPr="00937E1C">
        <w:t xml:space="preserve"> в Центры социального страхования и социальной зашиты городов и районов за содействием в поиске подходящей работы и получением консультаций обратилось около </w:t>
      </w:r>
      <w:r>
        <w:t>29,4</w:t>
      </w:r>
      <w:r w:rsidRPr="00937E1C">
        <w:t xml:space="preserve"> тыс. человек, что составило 11</w:t>
      </w:r>
      <w:r>
        <w:t>4</w:t>
      </w:r>
      <w:r w:rsidRPr="00937E1C">
        <w:t>,</w:t>
      </w:r>
      <w:r>
        <w:t>0</w:t>
      </w:r>
      <w:r w:rsidRPr="00937E1C">
        <w:t>% к уровню прошлого года.</w:t>
      </w:r>
      <w:proofErr w:type="gramEnd"/>
    </w:p>
    <w:p w:rsidR="00A24882" w:rsidRPr="00937E1C" w:rsidRDefault="00A24882" w:rsidP="00A24882">
      <w:pPr>
        <w:spacing w:after="0" w:line="240" w:lineRule="auto"/>
        <w:ind w:firstLine="709"/>
        <w:jc w:val="both"/>
        <w:rPr>
          <w:rFonts w:ascii="Times New Roman" w:hAnsi="Times New Roman"/>
          <w:sz w:val="24"/>
          <w:szCs w:val="24"/>
        </w:rPr>
      </w:pPr>
      <w:r w:rsidRPr="00937E1C">
        <w:rPr>
          <w:rFonts w:ascii="Times New Roman" w:hAnsi="Times New Roman"/>
          <w:sz w:val="24"/>
          <w:szCs w:val="24"/>
        </w:rPr>
        <w:t>Численность граждан, получивших консультации по вопросам выбора места работы, законодательству о труде и занятости, возможности прохождения профессионального обучения и другим вопросам</w:t>
      </w:r>
      <w:r>
        <w:rPr>
          <w:rFonts w:ascii="Times New Roman" w:hAnsi="Times New Roman"/>
          <w:sz w:val="24"/>
          <w:szCs w:val="24"/>
        </w:rPr>
        <w:t>,</w:t>
      </w:r>
      <w:r w:rsidRPr="00937E1C">
        <w:rPr>
          <w:rFonts w:ascii="Times New Roman" w:hAnsi="Times New Roman"/>
          <w:sz w:val="24"/>
          <w:szCs w:val="24"/>
        </w:rPr>
        <w:t xml:space="preserve"> составила </w:t>
      </w:r>
      <w:r>
        <w:rPr>
          <w:rFonts w:ascii="Times New Roman" w:hAnsi="Times New Roman"/>
          <w:sz w:val="24"/>
          <w:szCs w:val="24"/>
        </w:rPr>
        <w:t>13,3</w:t>
      </w:r>
      <w:r w:rsidRPr="00937E1C">
        <w:rPr>
          <w:rFonts w:ascii="Times New Roman" w:hAnsi="Times New Roman"/>
          <w:sz w:val="24"/>
          <w:szCs w:val="24"/>
        </w:rPr>
        <w:t xml:space="preserve"> тыс. человек (за 2016 год – </w:t>
      </w:r>
      <w:r>
        <w:rPr>
          <w:rFonts w:ascii="Times New Roman" w:hAnsi="Times New Roman"/>
          <w:sz w:val="24"/>
          <w:szCs w:val="24"/>
        </w:rPr>
        <w:t>13,1</w:t>
      </w:r>
      <w:r w:rsidRPr="00937E1C">
        <w:rPr>
          <w:rFonts w:ascii="Times New Roman" w:hAnsi="Times New Roman"/>
          <w:sz w:val="24"/>
          <w:szCs w:val="24"/>
        </w:rPr>
        <w:t xml:space="preserve"> тыс. чел.). Услугами по профориентации воспользовались около </w:t>
      </w:r>
      <w:r>
        <w:rPr>
          <w:rFonts w:ascii="Times New Roman" w:hAnsi="Times New Roman"/>
          <w:sz w:val="24"/>
          <w:szCs w:val="24"/>
        </w:rPr>
        <w:t>11,1</w:t>
      </w:r>
      <w:r w:rsidRPr="00937E1C">
        <w:rPr>
          <w:rFonts w:ascii="Times New Roman" w:hAnsi="Times New Roman"/>
          <w:sz w:val="24"/>
          <w:szCs w:val="24"/>
        </w:rPr>
        <w:t xml:space="preserve"> тыс. граждан, психологическую поддержку получили около </w:t>
      </w:r>
      <w:r>
        <w:rPr>
          <w:rFonts w:ascii="Times New Roman" w:hAnsi="Times New Roman"/>
          <w:sz w:val="24"/>
          <w:szCs w:val="24"/>
        </w:rPr>
        <w:t>3,0</w:t>
      </w:r>
      <w:r w:rsidRPr="00937E1C">
        <w:rPr>
          <w:rFonts w:ascii="Times New Roman" w:hAnsi="Times New Roman"/>
          <w:sz w:val="24"/>
          <w:szCs w:val="24"/>
        </w:rPr>
        <w:t xml:space="preserve"> тыс. человек.</w:t>
      </w:r>
    </w:p>
    <w:p w:rsidR="00A24882" w:rsidRDefault="00A24882" w:rsidP="00A24882">
      <w:pPr>
        <w:spacing w:after="0" w:line="240" w:lineRule="auto"/>
        <w:ind w:firstLine="709"/>
        <w:contextualSpacing/>
        <w:jc w:val="both"/>
        <w:rPr>
          <w:rFonts w:ascii="Times New Roman" w:hAnsi="Times New Roman"/>
          <w:color w:val="000000"/>
          <w:sz w:val="24"/>
          <w:szCs w:val="24"/>
        </w:rPr>
      </w:pPr>
      <w:r w:rsidRPr="00937E1C">
        <w:rPr>
          <w:rFonts w:ascii="Times New Roman" w:hAnsi="Times New Roman"/>
          <w:sz w:val="24"/>
          <w:szCs w:val="24"/>
        </w:rPr>
        <w:t>В рассматриваемом периоде в качестве лиц ищущих подходящую работу</w:t>
      </w:r>
      <w:r>
        <w:rPr>
          <w:rFonts w:ascii="Times New Roman" w:hAnsi="Times New Roman"/>
          <w:sz w:val="24"/>
          <w:szCs w:val="24"/>
        </w:rPr>
        <w:t>,</w:t>
      </w:r>
      <w:r w:rsidRPr="00937E1C">
        <w:rPr>
          <w:rFonts w:ascii="Times New Roman" w:hAnsi="Times New Roman"/>
          <w:sz w:val="24"/>
          <w:szCs w:val="24"/>
        </w:rPr>
        <w:t xml:space="preserve"> было зарегистрировано </w:t>
      </w:r>
      <w:r>
        <w:rPr>
          <w:rFonts w:ascii="Times New Roman" w:hAnsi="Times New Roman"/>
          <w:sz w:val="24"/>
          <w:szCs w:val="24"/>
        </w:rPr>
        <w:t>11</w:t>
      </w:r>
      <w:r w:rsidRPr="00937E1C">
        <w:rPr>
          <w:rFonts w:ascii="Times New Roman" w:hAnsi="Times New Roman"/>
          <w:sz w:val="24"/>
          <w:szCs w:val="24"/>
        </w:rPr>
        <w:t xml:space="preserve"> </w:t>
      </w:r>
      <w:r>
        <w:rPr>
          <w:rFonts w:ascii="Times New Roman" w:hAnsi="Times New Roman"/>
          <w:sz w:val="24"/>
          <w:szCs w:val="24"/>
        </w:rPr>
        <w:t>775</w:t>
      </w:r>
      <w:r w:rsidRPr="00937E1C">
        <w:rPr>
          <w:rFonts w:ascii="Times New Roman" w:hAnsi="Times New Roman"/>
          <w:sz w:val="24"/>
          <w:szCs w:val="24"/>
        </w:rPr>
        <w:t xml:space="preserve"> человек </w:t>
      </w:r>
      <w:r w:rsidRPr="00937E1C">
        <w:rPr>
          <w:rFonts w:ascii="Times New Roman" w:hAnsi="Times New Roman"/>
          <w:color w:val="000000"/>
          <w:sz w:val="24"/>
          <w:szCs w:val="24"/>
        </w:rPr>
        <w:t xml:space="preserve">(в </w:t>
      </w:r>
      <w:r w:rsidRPr="00937E1C">
        <w:rPr>
          <w:rFonts w:ascii="Times New Roman" w:hAnsi="Times New Roman"/>
          <w:sz w:val="24"/>
          <w:szCs w:val="24"/>
        </w:rPr>
        <w:t>2016 год</w:t>
      </w:r>
      <w:r>
        <w:rPr>
          <w:rFonts w:ascii="Times New Roman" w:hAnsi="Times New Roman"/>
          <w:sz w:val="24"/>
          <w:szCs w:val="24"/>
        </w:rPr>
        <w:t>у</w:t>
      </w:r>
      <w:r w:rsidRPr="00937E1C">
        <w:rPr>
          <w:rFonts w:ascii="Times New Roman" w:hAnsi="Times New Roman"/>
          <w:sz w:val="24"/>
          <w:szCs w:val="24"/>
        </w:rPr>
        <w:t xml:space="preserve"> – </w:t>
      </w:r>
      <w:r>
        <w:rPr>
          <w:rFonts w:ascii="Times New Roman" w:hAnsi="Times New Roman"/>
          <w:sz w:val="24"/>
          <w:szCs w:val="24"/>
        </w:rPr>
        <w:t>8</w:t>
      </w:r>
      <w:r w:rsidRPr="00937E1C">
        <w:rPr>
          <w:rFonts w:ascii="Times New Roman" w:hAnsi="Times New Roman"/>
          <w:sz w:val="24"/>
          <w:szCs w:val="24"/>
        </w:rPr>
        <w:t xml:space="preserve"> </w:t>
      </w:r>
      <w:r>
        <w:rPr>
          <w:rFonts w:ascii="Times New Roman" w:hAnsi="Times New Roman"/>
          <w:sz w:val="24"/>
          <w:szCs w:val="24"/>
        </w:rPr>
        <w:t>261</w:t>
      </w:r>
      <w:r w:rsidRPr="00937E1C">
        <w:rPr>
          <w:rFonts w:ascii="Times New Roman" w:hAnsi="Times New Roman"/>
          <w:color w:val="000000"/>
          <w:sz w:val="24"/>
          <w:szCs w:val="24"/>
        </w:rPr>
        <w:t xml:space="preserve"> чел</w:t>
      </w:r>
      <w:r w:rsidRPr="00A24882">
        <w:rPr>
          <w:rFonts w:ascii="Times New Roman" w:hAnsi="Times New Roman"/>
          <w:color w:val="000000"/>
          <w:sz w:val="24"/>
          <w:szCs w:val="24"/>
        </w:rPr>
        <w:t>.) (рис. 41)</w:t>
      </w:r>
      <w:r w:rsidRPr="00A24882">
        <w:rPr>
          <w:rFonts w:ascii="Times New Roman" w:hAnsi="Times New Roman"/>
          <w:sz w:val="24"/>
          <w:szCs w:val="24"/>
        </w:rPr>
        <w:t>,</w:t>
      </w:r>
      <w:r w:rsidRPr="00937E1C">
        <w:rPr>
          <w:rFonts w:ascii="Times New Roman" w:hAnsi="Times New Roman"/>
          <w:sz w:val="24"/>
          <w:szCs w:val="24"/>
        </w:rPr>
        <w:t xml:space="preserve"> официально </w:t>
      </w:r>
      <w:proofErr w:type="gramStart"/>
      <w:r w:rsidRPr="00937E1C">
        <w:rPr>
          <w:rFonts w:ascii="Times New Roman" w:hAnsi="Times New Roman"/>
          <w:sz w:val="24"/>
          <w:szCs w:val="24"/>
        </w:rPr>
        <w:t>признаны</w:t>
      </w:r>
      <w:proofErr w:type="gramEnd"/>
      <w:r w:rsidRPr="00937E1C">
        <w:rPr>
          <w:rFonts w:ascii="Times New Roman" w:hAnsi="Times New Roman"/>
          <w:sz w:val="24"/>
          <w:szCs w:val="24"/>
        </w:rPr>
        <w:t xml:space="preserve"> безработными </w:t>
      </w:r>
      <w:r>
        <w:rPr>
          <w:rFonts w:ascii="Times New Roman" w:hAnsi="Times New Roman"/>
          <w:sz w:val="24"/>
          <w:szCs w:val="24"/>
        </w:rPr>
        <w:t>9</w:t>
      </w:r>
      <w:r w:rsidRPr="00937E1C">
        <w:rPr>
          <w:rFonts w:ascii="Times New Roman" w:hAnsi="Times New Roman"/>
          <w:sz w:val="24"/>
          <w:szCs w:val="24"/>
        </w:rPr>
        <w:t> </w:t>
      </w:r>
      <w:r>
        <w:rPr>
          <w:rFonts w:ascii="Times New Roman" w:hAnsi="Times New Roman"/>
          <w:sz w:val="24"/>
          <w:szCs w:val="24"/>
        </w:rPr>
        <w:t>414</w:t>
      </w:r>
      <w:r w:rsidRPr="00937E1C">
        <w:rPr>
          <w:rFonts w:ascii="Times New Roman" w:hAnsi="Times New Roman"/>
          <w:sz w:val="24"/>
          <w:szCs w:val="24"/>
        </w:rPr>
        <w:t xml:space="preserve"> человек </w:t>
      </w:r>
      <w:r w:rsidRPr="00937E1C">
        <w:rPr>
          <w:rFonts w:ascii="Times New Roman" w:hAnsi="Times New Roman"/>
          <w:color w:val="000000"/>
          <w:sz w:val="24"/>
          <w:szCs w:val="24"/>
        </w:rPr>
        <w:t xml:space="preserve">(в </w:t>
      </w:r>
      <w:r w:rsidRPr="00937E1C">
        <w:rPr>
          <w:rFonts w:ascii="Times New Roman" w:hAnsi="Times New Roman"/>
          <w:sz w:val="24"/>
          <w:szCs w:val="24"/>
        </w:rPr>
        <w:t>2016 год</w:t>
      </w:r>
      <w:r>
        <w:rPr>
          <w:rFonts w:ascii="Times New Roman" w:hAnsi="Times New Roman"/>
          <w:sz w:val="24"/>
          <w:szCs w:val="24"/>
        </w:rPr>
        <w:t>у</w:t>
      </w:r>
      <w:r w:rsidRPr="00937E1C">
        <w:rPr>
          <w:rFonts w:ascii="Times New Roman" w:hAnsi="Times New Roman"/>
          <w:sz w:val="24"/>
          <w:szCs w:val="24"/>
        </w:rPr>
        <w:t xml:space="preserve"> – </w:t>
      </w:r>
      <w:r>
        <w:rPr>
          <w:rFonts w:ascii="Times New Roman" w:hAnsi="Times New Roman"/>
          <w:sz w:val="24"/>
          <w:szCs w:val="24"/>
        </w:rPr>
        <w:t>6</w:t>
      </w:r>
      <w:r w:rsidRPr="00937E1C">
        <w:rPr>
          <w:rFonts w:ascii="Times New Roman" w:hAnsi="Times New Roman"/>
          <w:color w:val="000000"/>
          <w:sz w:val="24"/>
          <w:szCs w:val="24"/>
        </w:rPr>
        <w:t xml:space="preserve"> </w:t>
      </w:r>
      <w:r>
        <w:rPr>
          <w:rFonts w:ascii="Times New Roman" w:hAnsi="Times New Roman"/>
          <w:color w:val="000000"/>
          <w:sz w:val="24"/>
          <w:szCs w:val="24"/>
        </w:rPr>
        <w:t>327</w:t>
      </w:r>
      <w:r w:rsidRPr="00937E1C">
        <w:rPr>
          <w:rFonts w:ascii="Times New Roman" w:hAnsi="Times New Roman"/>
          <w:color w:val="000000"/>
          <w:sz w:val="24"/>
          <w:szCs w:val="24"/>
        </w:rPr>
        <w:t xml:space="preserve"> чел.).</w:t>
      </w:r>
    </w:p>
    <w:p w:rsidR="00A24882" w:rsidRPr="005537D4" w:rsidRDefault="00A24882" w:rsidP="00A24882">
      <w:pPr>
        <w:spacing w:after="0" w:line="240" w:lineRule="auto"/>
        <w:ind w:firstLine="426"/>
        <w:contextualSpacing/>
        <w:jc w:val="right"/>
        <w:rPr>
          <w:rFonts w:ascii="Times New Roman" w:hAnsi="Times New Roman"/>
          <w:b/>
          <w:i/>
          <w:sz w:val="24"/>
          <w:szCs w:val="24"/>
        </w:rPr>
      </w:pPr>
      <w:r w:rsidRPr="005537D4">
        <w:rPr>
          <w:rFonts w:ascii="Times New Roman" w:hAnsi="Times New Roman"/>
          <w:b/>
          <w:i/>
          <w:sz w:val="24"/>
          <w:szCs w:val="24"/>
        </w:rPr>
        <w:t xml:space="preserve">Рисунок </w:t>
      </w:r>
      <w:r>
        <w:rPr>
          <w:rFonts w:ascii="Times New Roman" w:hAnsi="Times New Roman"/>
          <w:b/>
          <w:i/>
          <w:sz w:val="24"/>
          <w:szCs w:val="24"/>
        </w:rPr>
        <w:t>41</w:t>
      </w:r>
    </w:p>
    <w:p w:rsidR="00A24882" w:rsidRPr="00937E1C" w:rsidRDefault="00A24882" w:rsidP="00A24882">
      <w:pPr>
        <w:spacing w:after="0" w:line="240" w:lineRule="auto"/>
        <w:ind w:right="-284"/>
        <w:contextualSpacing/>
        <w:jc w:val="both"/>
        <w:rPr>
          <w:rFonts w:ascii="Times New Roman" w:hAnsi="Times New Roman"/>
          <w:sz w:val="24"/>
          <w:szCs w:val="24"/>
        </w:rPr>
      </w:pPr>
      <w:r w:rsidRPr="00937E1C">
        <w:rPr>
          <w:rFonts w:ascii="Times New Roman" w:hAnsi="Times New Roman"/>
          <w:noProof/>
          <w:sz w:val="24"/>
          <w:szCs w:val="24"/>
        </w:rPr>
        <w:drawing>
          <wp:inline distT="0" distB="0" distL="0" distR="0">
            <wp:extent cx="6124575" cy="2019300"/>
            <wp:effectExtent l="0" t="0" r="0" b="0"/>
            <wp:docPr id="1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24882" w:rsidRPr="00937E1C" w:rsidRDefault="00A24882" w:rsidP="00A24882">
      <w:pPr>
        <w:pStyle w:val="11"/>
        <w:ind w:firstLine="709"/>
        <w:jc w:val="both"/>
        <w:rPr>
          <w:rFonts w:ascii="Times New Roman" w:hAnsi="Times New Roman"/>
          <w:sz w:val="24"/>
          <w:szCs w:val="24"/>
        </w:rPr>
      </w:pPr>
      <w:r w:rsidRPr="00937E1C">
        <w:rPr>
          <w:rFonts w:ascii="Times New Roman" w:hAnsi="Times New Roman"/>
          <w:sz w:val="24"/>
          <w:szCs w:val="24"/>
        </w:rPr>
        <w:t>В целом по республике 66,</w:t>
      </w:r>
      <w:r>
        <w:rPr>
          <w:rFonts w:ascii="Times New Roman" w:hAnsi="Times New Roman"/>
          <w:sz w:val="24"/>
          <w:szCs w:val="24"/>
        </w:rPr>
        <w:t>6</w:t>
      </w:r>
      <w:r w:rsidRPr="00937E1C">
        <w:rPr>
          <w:rFonts w:ascii="Times New Roman" w:hAnsi="Times New Roman"/>
          <w:sz w:val="24"/>
          <w:szCs w:val="24"/>
        </w:rPr>
        <w:t>% зарегистрированных граждан в качестве лиц</w:t>
      </w:r>
      <w:r>
        <w:rPr>
          <w:rFonts w:ascii="Times New Roman" w:hAnsi="Times New Roman"/>
          <w:sz w:val="24"/>
          <w:szCs w:val="24"/>
        </w:rPr>
        <w:t>,</w:t>
      </w:r>
      <w:r w:rsidRPr="00937E1C">
        <w:rPr>
          <w:rFonts w:ascii="Times New Roman" w:hAnsi="Times New Roman"/>
          <w:sz w:val="24"/>
          <w:szCs w:val="24"/>
        </w:rPr>
        <w:t xml:space="preserve"> ищущих подходящую работу</w:t>
      </w:r>
      <w:r>
        <w:rPr>
          <w:rFonts w:ascii="Times New Roman" w:hAnsi="Times New Roman"/>
          <w:sz w:val="24"/>
          <w:szCs w:val="24"/>
        </w:rPr>
        <w:t>,</w:t>
      </w:r>
      <w:r w:rsidRPr="00937E1C">
        <w:rPr>
          <w:rFonts w:ascii="Times New Roman" w:hAnsi="Times New Roman"/>
          <w:sz w:val="24"/>
          <w:szCs w:val="24"/>
        </w:rPr>
        <w:t xml:space="preserve"> являлись жителями городов. В то же время, по трем районам республики в числе зарегистрированных граждан преобладали жители сельской местности, удельный вес которых составил:</w:t>
      </w:r>
    </w:p>
    <w:p w:rsidR="00A24882" w:rsidRPr="00937E1C" w:rsidRDefault="00A24882" w:rsidP="00A24882">
      <w:pPr>
        <w:pStyle w:val="11"/>
        <w:ind w:firstLine="709"/>
        <w:jc w:val="both"/>
        <w:rPr>
          <w:rFonts w:ascii="Times New Roman" w:hAnsi="Times New Roman"/>
          <w:sz w:val="24"/>
          <w:szCs w:val="24"/>
        </w:rPr>
      </w:pPr>
      <w:r w:rsidRPr="00937E1C">
        <w:rPr>
          <w:rFonts w:ascii="Times New Roman" w:hAnsi="Times New Roman"/>
          <w:sz w:val="24"/>
          <w:szCs w:val="24"/>
        </w:rPr>
        <w:t>- в Григориопольском районе – 75,</w:t>
      </w:r>
      <w:r>
        <w:rPr>
          <w:rFonts w:ascii="Times New Roman" w:hAnsi="Times New Roman"/>
          <w:sz w:val="24"/>
          <w:szCs w:val="24"/>
        </w:rPr>
        <w:t>4</w:t>
      </w:r>
      <w:r w:rsidRPr="00937E1C">
        <w:rPr>
          <w:rFonts w:ascii="Times New Roman" w:hAnsi="Times New Roman"/>
          <w:sz w:val="24"/>
          <w:szCs w:val="24"/>
        </w:rPr>
        <w:t>%</w:t>
      </w:r>
      <w:r>
        <w:rPr>
          <w:rFonts w:ascii="Times New Roman" w:hAnsi="Times New Roman"/>
          <w:sz w:val="24"/>
          <w:szCs w:val="24"/>
        </w:rPr>
        <w:t xml:space="preserve"> от общей численности граждан района</w:t>
      </w:r>
      <w:r w:rsidRPr="00937E1C">
        <w:rPr>
          <w:rFonts w:ascii="Times New Roman" w:hAnsi="Times New Roman"/>
          <w:sz w:val="24"/>
          <w:szCs w:val="24"/>
        </w:rPr>
        <w:t>,</w:t>
      </w:r>
    </w:p>
    <w:p w:rsidR="00A24882" w:rsidRPr="00937E1C" w:rsidRDefault="00A24882" w:rsidP="00A24882">
      <w:pPr>
        <w:pStyle w:val="11"/>
        <w:ind w:firstLine="709"/>
        <w:jc w:val="both"/>
        <w:rPr>
          <w:rFonts w:ascii="Times New Roman" w:hAnsi="Times New Roman"/>
          <w:sz w:val="24"/>
          <w:szCs w:val="24"/>
        </w:rPr>
      </w:pPr>
      <w:r w:rsidRPr="00937E1C">
        <w:rPr>
          <w:rFonts w:ascii="Times New Roman" w:hAnsi="Times New Roman"/>
          <w:sz w:val="24"/>
          <w:szCs w:val="24"/>
        </w:rPr>
        <w:t>- в Слободзейском районе – 61,</w:t>
      </w:r>
      <w:r>
        <w:rPr>
          <w:rFonts w:ascii="Times New Roman" w:hAnsi="Times New Roman"/>
          <w:sz w:val="24"/>
          <w:szCs w:val="24"/>
        </w:rPr>
        <w:t>2</w:t>
      </w:r>
      <w:r w:rsidRPr="00937E1C">
        <w:rPr>
          <w:rFonts w:ascii="Times New Roman" w:hAnsi="Times New Roman"/>
          <w:sz w:val="24"/>
          <w:szCs w:val="24"/>
        </w:rPr>
        <w:t>%</w:t>
      </w:r>
      <w:r w:rsidRPr="00384414">
        <w:rPr>
          <w:rFonts w:ascii="Times New Roman" w:hAnsi="Times New Roman"/>
          <w:sz w:val="24"/>
          <w:szCs w:val="24"/>
        </w:rPr>
        <w:t xml:space="preserve"> </w:t>
      </w:r>
      <w:r>
        <w:rPr>
          <w:rFonts w:ascii="Times New Roman" w:hAnsi="Times New Roman"/>
          <w:sz w:val="24"/>
          <w:szCs w:val="24"/>
        </w:rPr>
        <w:t>от общей численности граждан района</w:t>
      </w:r>
      <w:r w:rsidRPr="00937E1C">
        <w:rPr>
          <w:rFonts w:ascii="Times New Roman" w:hAnsi="Times New Roman"/>
          <w:sz w:val="24"/>
          <w:szCs w:val="24"/>
        </w:rPr>
        <w:t>,</w:t>
      </w:r>
    </w:p>
    <w:p w:rsidR="00A24882" w:rsidRPr="00937E1C" w:rsidRDefault="00A24882" w:rsidP="00A24882">
      <w:pPr>
        <w:pStyle w:val="11"/>
        <w:ind w:firstLine="709"/>
        <w:jc w:val="both"/>
        <w:rPr>
          <w:rFonts w:ascii="Times New Roman" w:hAnsi="Times New Roman"/>
          <w:sz w:val="24"/>
          <w:szCs w:val="24"/>
        </w:rPr>
      </w:pPr>
      <w:r w:rsidRPr="00937E1C">
        <w:rPr>
          <w:rFonts w:ascii="Times New Roman" w:hAnsi="Times New Roman"/>
          <w:sz w:val="24"/>
          <w:szCs w:val="24"/>
        </w:rPr>
        <w:t xml:space="preserve">- в Каменском районе – </w:t>
      </w:r>
      <w:r>
        <w:rPr>
          <w:rFonts w:ascii="Times New Roman" w:hAnsi="Times New Roman"/>
          <w:sz w:val="24"/>
          <w:szCs w:val="24"/>
        </w:rPr>
        <w:t>58,8</w:t>
      </w:r>
      <w:r w:rsidRPr="00937E1C">
        <w:rPr>
          <w:rFonts w:ascii="Times New Roman" w:hAnsi="Times New Roman"/>
          <w:sz w:val="24"/>
          <w:szCs w:val="24"/>
        </w:rPr>
        <w:t>%</w:t>
      </w:r>
      <w:r w:rsidRPr="00384414">
        <w:rPr>
          <w:rFonts w:ascii="Times New Roman" w:hAnsi="Times New Roman"/>
          <w:sz w:val="24"/>
          <w:szCs w:val="24"/>
        </w:rPr>
        <w:t xml:space="preserve"> </w:t>
      </w:r>
      <w:r>
        <w:rPr>
          <w:rFonts w:ascii="Times New Roman" w:hAnsi="Times New Roman"/>
          <w:sz w:val="24"/>
          <w:szCs w:val="24"/>
        </w:rPr>
        <w:t>от общей численности граждан района</w:t>
      </w:r>
      <w:r w:rsidRPr="00937E1C">
        <w:rPr>
          <w:rFonts w:ascii="Times New Roman" w:hAnsi="Times New Roman"/>
          <w:sz w:val="24"/>
          <w:szCs w:val="24"/>
        </w:rPr>
        <w:t>.</w:t>
      </w:r>
    </w:p>
    <w:p w:rsidR="00A24882" w:rsidRPr="00A24882" w:rsidRDefault="00A24882" w:rsidP="00A24882">
      <w:pPr>
        <w:pStyle w:val="a4"/>
      </w:pPr>
      <w:r w:rsidRPr="00937E1C">
        <w:t xml:space="preserve">Наибольшее количество зарегистрированных граждан пришлось на следующие Центры социального страхования и социальной защиты: </w:t>
      </w:r>
      <w:proofErr w:type="gramStart"/>
      <w:r w:rsidRPr="00937E1C">
        <w:t>г</w:t>
      </w:r>
      <w:proofErr w:type="gramEnd"/>
      <w:r w:rsidRPr="00937E1C">
        <w:t xml:space="preserve">. Рыбница и Рыбницкий район – </w:t>
      </w:r>
      <w:r w:rsidRPr="00A24882">
        <w:lastRenderedPageBreak/>
        <w:t>1 315 человек, г. Слободзея и Слободзейский район – 1 190 человек, г. Тирасполь – 1 148 человек. На данные административно-территориальные образования пришлось 86,5% граждан, зарегистрированных в качестве лиц, ищущих работу, от их общей численности.</w:t>
      </w:r>
    </w:p>
    <w:p w:rsidR="00A24882" w:rsidRPr="00A24882" w:rsidRDefault="00A24882" w:rsidP="00A24882">
      <w:pPr>
        <w:pStyle w:val="31"/>
        <w:spacing w:after="0" w:line="240" w:lineRule="auto"/>
        <w:ind w:left="0" w:firstLine="709"/>
        <w:jc w:val="both"/>
        <w:rPr>
          <w:rFonts w:ascii="Times New Roman" w:hAnsi="Times New Roman"/>
          <w:sz w:val="24"/>
          <w:szCs w:val="24"/>
        </w:rPr>
      </w:pPr>
      <w:r w:rsidRPr="00A24882">
        <w:rPr>
          <w:rFonts w:ascii="Times New Roman" w:hAnsi="Times New Roman"/>
          <w:sz w:val="24"/>
          <w:szCs w:val="24"/>
        </w:rPr>
        <w:t>Также следует отметить активизацию на рынке труда лиц находящихся в трудоспособном возрасте и не обладающих постоянным местом работы в поиск</w:t>
      </w:r>
      <w:r w:rsidR="008D5EC6">
        <w:rPr>
          <w:rFonts w:ascii="Times New Roman" w:hAnsi="Times New Roman"/>
          <w:sz w:val="24"/>
          <w:szCs w:val="24"/>
        </w:rPr>
        <w:t>е</w:t>
      </w:r>
      <w:r w:rsidRPr="00A24882">
        <w:rPr>
          <w:rFonts w:ascii="Times New Roman" w:hAnsi="Times New Roman"/>
          <w:sz w:val="24"/>
          <w:szCs w:val="24"/>
        </w:rPr>
        <w:t xml:space="preserve"> места заработка. Среди граждан, зарегистрированных в Центрах социального страхования и социальной защиты в качестве лиц, ищущих работу, в 2017 году наиболее многочисленными являлись следующие категории:</w:t>
      </w:r>
    </w:p>
    <w:p w:rsidR="00A24882" w:rsidRPr="00A24882" w:rsidRDefault="00A24882" w:rsidP="00A24882">
      <w:pPr>
        <w:pStyle w:val="11"/>
        <w:ind w:firstLine="709"/>
        <w:jc w:val="both"/>
        <w:rPr>
          <w:rFonts w:ascii="Times New Roman" w:hAnsi="Times New Roman"/>
          <w:sz w:val="24"/>
          <w:szCs w:val="24"/>
        </w:rPr>
      </w:pPr>
      <w:r w:rsidRPr="00A24882">
        <w:rPr>
          <w:rFonts w:ascii="Times New Roman" w:hAnsi="Times New Roman"/>
          <w:sz w:val="24"/>
          <w:szCs w:val="24"/>
        </w:rPr>
        <w:t>- граждане, имеющие длительный (более года) перерыв в работе, – 6 589 человек, их удельный вес в общей численности составил 56,0% (+43,6%);</w:t>
      </w:r>
    </w:p>
    <w:p w:rsidR="00A24882" w:rsidRPr="00A24882" w:rsidRDefault="00A24882" w:rsidP="00A24882">
      <w:pPr>
        <w:pStyle w:val="11"/>
        <w:ind w:firstLine="709"/>
        <w:jc w:val="both"/>
        <w:rPr>
          <w:rFonts w:ascii="Times New Roman" w:hAnsi="Times New Roman"/>
          <w:sz w:val="24"/>
          <w:szCs w:val="24"/>
        </w:rPr>
      </w:pPr>
      <w:r w:rsidRPr="00A24882">
        <w:rPr>
          <w:rFonts w:ascii="Times New Roman" w:hAnsi="Times New Roman"/>
          <w:sz w:val="24"/>
          <w:szCs w:val="24"/>
        </w:rPr>
        <w:t>- граждане, ранее не работавшие, ищущие работу впервые, – 2 104 человек, их удельный вес достиг 17,9% (+50,8%);</w:t>
      </w:r>
    </w:p>
    <w:p w:rsidR="00A24882" w:rsidRPr="00A24882" w:rsidRDefault="00A24882" w:rsidP="00A24882">
      <w:pPr>
        <w:pStyle w:val="11"/>
        <w:ind w:firstLine="709"/>
        <w:jc w:val="both"/>
        <w:rPr>
          <w:rFonts w:ascii="Times New Roman" w:hAnsi="Times New Roman"/>
          <w:sz w:val="24"/>
          <w:szCs w:val="24"/>
        </w:rPr>
      </w:pPr>
      <w:r w:rsidRPr="00A24882">
        <w:rPr>
          <w:rFonts w:ascii="Times New Roman" w:hAnsi="Times New Roman"/>
          <w:sz w:val="24"/>
          <w:szCs w:val="24"/>
        </w:rPr>
        <w:t>- граждане, уволенные с последнего места работы в связи с ликвидацией организации, сокращением численности или штата работников организации и обратившиеся в службу занятости в течение года, - 751 человека, на их долю пришлось 6,4% (+49,6%).</w:t>
      </w:r>
    </w:p>
    <w:p w:rsidR="00A24882" w:rsidRPr="00A24882" w:rsidRDefault="00A24882" w:rsidP="00A24882">
      <w:pPr>
        <w:pStyle w:val="11"/>
        <w:ind w:firstLine="709"/>
        <w:jc w:val="both"/>
        <w:rPr>
          <w:rFonts w:ascii="Times New Roman" w:hAnsi="Times New Roman"/>
          <w:sz w:val="24"/>
          <w:szCs w:val="24"/>
        </w:rPr>
      </w:pPr>
      <w:r w:rsidRPr="00A24882">
        <w:rPr>
          <w:rFonts w:ascii="Times New Roman" w:hAnsi="Times New Roman"/>
          <w:sz w:val="24"/>
          <w:szCs w:val="24"/>
        </w:rPr>
        <w:t>По состоянию на 1 января 2018 года численность зарегистрированных граждан в качестве лиц, ищущих работу, составила 5 189 чел. (на 1 января 2017 года – 4 262 чел.), из них 4 225 гражданина имели статус безработного, т. е. получали пособие по безработице (на 1 января 2017 года – 3 403 чел.).</w:t>
      </w:r>
    </w:p>
    <w:p w:rsidR="00A24882" w:rsidRPr="00A24882" w:rsidRDefault="00A24882" w:rsidP="00A24882">
      <w:pPr>
        <w:spacing w:after="0" w:line="240" w:lineRule="auto"/>
        <w:ind w:firstLine="709"/>
        <w:contextualSpacing/>
        <w:jc w:val="both"/>
        <w:rPr>
          <w:rFonts w:ascii="Times New Roman" w:hAnsi="Times New Roman"/>
          <w:sz w:val="24"/>
          <w:szCs w:val="24"/>
        </w:rPr>
      </w:pPr>
      <w:proofErr w:type="gramStart"/>
      <w:r w:rsidRPr="00A24882">
        <w:rPr>
          <w:rFonts w:ascii="Times New Roman" w:hAnsi="Times New Roman"/>
          <w:sz w:val="24"/>
          <w:szCs w:val="24"/>
        </w:rPr>
        <w:t>Уровень регистрируемой безработицы в среднем по республике по состоянию на               1 января 2018 года составил 3,77% к численности экономически активного населения (без учета численности работающих в силовых структурах), увеличившись за год на 0,65 п.п. (рис. 42).</w:t>
      </w:r>
      <w:proofErr w:type="gramEnd"/>
    </w:p>
    <w:p w:rsidR="00A24882" w:rsidRPr="005537D4" w:rsidRDefault="00A24882" w:rsidP="00A24882">
      <w:pPr>
        <w:spacing w:after="0" w:line="240" w:lineRule="auto"/>
        <w:ind w:firstLine="426"/>
        <w:contextualSpacing/>
        <w:jc w:val="right"/>
        <w:rPr>
          <w:rFonts w:ascii="Times New Roman" w:hAnsi="Times New Roman"/>
          <w:b/>
          <w:i/>
          <w:sz w:val="24"/>
          <w:szCs w:val="24"/>
        </w:rPr>
      </w:pPr>
      <w:r w:rsidRPr="005537D4">
        <w:rPr>
          <w:rFonts w:ascii="Times New Roman" w:hAnsi="Times New Roman"/>
          <w:b/>
          <w:i/>
          <w:sz w:val="24"/>
          <w:szCs w:val="24"/>
        </w:rPr>
        <w:t xml:space="preserve">Рисунок </w:t>
      </w:r>
      <w:r>
        <w:rPr>
          <w:rFonts w:ascii="Times New Roman" w:hAnsi="Times New Roman"/>
          <w:b/>
          <w:i/>
          <w:sz w:val="24"/>
          <w:szCs w:val="24"/>
        </w:rPr>
        <w:t>42</w:t>
      </w:r>
    </w:p>
    <w:p w:rsidR="00A24882" w:rsidRPr="00937E1C" w:rsidRDefault="00A24882" w:rsidP="00A24882">
      <w:pPr>
        <w:spacing w:after="0" w:line="240" w:lineRule="auto"/>
        <w:jc w:val="both"/>
        <w:rPr>
          <w:noProof/>
        </w:rPr>
      </w:pPr>
      <w:r w:rsidRPr="00937E1C">
        <w:rPr>
          <w:noProof/>
        </w:rPr>
        <w:drawing>
          <wp:inline distT="0" distB="0" distL="0" distR="0">
            <wp:extent cx="5981700" cy="2447925"/>
            <wp:effectExtent l="19050" t="0" r="0" b="0"/>
            <wp:docPr id="12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24882" w:rsidRPr="00937E1C" w:rsidRDefault="00A24882" w:rsidP="00A24882">
      <w:pPr>
        <w:spacing w:after="0" w:line="240" w:lineRule="auto"/>
        <w:ind w:firstLine="709"/>
        <w:jc w:val="both"/>
        <w:rPr>
          <w:rFonts w:ascii="Times New Roman" w:hAnsi="Times New Roman"/>
          <w:noProof/>
          <w:sz w:val="24"/>
          <w:szCs w:val="24"/>
        </w:rPr>
      </w:pPr>
      <w:r>
        <w:rPr>
          <w:rFonts w:ascii="Times New Roman" w:hAnsi="Times New Roman"/>
          <w:sz w:val="24"/>
          <w:szCs w:val="24"/>
        </w:rPr>
        <w:t>Повышение активности в части роста предложения на рынке труда наблюдается на фоне положительной динамики результатов деятельности ответственного бизнеса. Так, з</w:t>
      </w:r>
      <w:r w:rsidRPr="00937E1C">
        <w:rPr>
          <w:rFonts w:ascii="Times New Roman" w:hAnsi="Times New Roman"/>
          <w:sz w:val="24"/>
          <w:szCs w:val="24"/>
        </w:rPr>
        <w:t xml:space="preserve">а 2017 год в Центры социального страхования и социальной защиты республики работодателями заявлено </w:t>
      </w:r>
      <w:r>
        <w:rPr>
          <w:rFonts w:ascii="Times New Roman" w:hAnsi="Times New Roman"/>
          <w:sz w:val="24"/>
          <w:szCs w:val="24"/>
        </w:rPr>
        <w:t>4</w:t>
      </w:r>
      <w:r w:rsidRPr="00937E1C">
        <w:rPr>
          <w:rFonts w:ascii="Times New Roman" w:hAnsi="Times New Roman"/>
          <w:sz w:val="24"/>
          <w:szCs w:val="24"/>
        </w:rPr>
        <w:t xml:space="preserve"> </w:t>
      </w:r>
      <w:r>
        <w:rPr>
          <w:rFonts w:ascii="Times New Roman" w:hAnsi="Times New Roman"/>
          <w:sz w:val="24"/>
          <w:szCs w:val="24"/>
        </w:rPr>
        <w:t>033</w:t>
      </w:r>
      <w:r w:rsidRPr="00937E1C">
        <w:rPr>
          <w:rFonts w:ascii="Times New Roman" w:hAnsi="Times New Roman"/>
          <w:sz w:val="24"/>
          <w:szCs w:val="24"/>
        </w:rPr>
        <w:t xml:space="preserve"> вакантных рабочих места (должности) (за 2016</w:t>
      </w:r>
      <w:r>
        <w:rPr>
          <w:rFonts w:ascii="Times New Roman" w:hAnsi="Times New Roman"/>
          <w:sz w:val="24"/>
          <w:szCs w:val="24"/>
        </w:rPr>
        <w:t xml:space="preserve"> год</w:t>
      </w:r>
      <w:r w:rsidRPr="00937E1C">
        <w:rPr>
          <w:rFonts w:ascii="Times New Roman" w:hAnsi="Times New Roman"/>
          <w:sz w:val="24"/>
          <w:szCs w:val="24"/>
        </w:rPr>
        <w:t xml:space="preserve"> – </w:t>
      </w:r>
      <w:r>
        <w:rPr>
          <w:rFonts w:ascii="Times New Roman" w:hAnsi="Times New Roman"/>
          <w:sz w:val="24"/>
          <w:szCs w:val="24"/>
        </w:rPr>
        <w:t>2</w:t>
      </w:r>
      <w:r w:rsidRPr="00937E1C">
        <w:rPr>
          <w:rFonts w:ascii="Times New Roman" w:hAnsi="Times New Roman"/>
          <w:sz w:val="24"/>
          <w:szCs w:val="24"/>
        </w:rPr>
        <w:t xml:space="preserve"> </w:t>
      </w:r>
      <w:r>
        <w:rPr>
          <w:rFonts w:ascii="Times New Roman" w:hAnsi="Times New Roman"/>
          <w:sz w:val="24"/>
          <w:szCs w:val="24"/>
        </w:rPr>
        <w:t>48</w:t>
      </w:r>
      <w:r w:rsidRPr="00937E1C">
        <w:rPr>
          <w:rFonts w:ascii="Times New Roman" w:hAnsi="Times New Roman"/>
          <w:sz w:val="24"/>
          <w:szCs w:val="24"/>
        </w:rPr>
        <w:t xml:space="preserve">0 ед.), однако следует отметить, что по состоянию на 1 </w:t>
      </w:r>
      <w:r>
        <w:rPr>
          <w:rFonts w:ascii="Times New Roman" w:hAnsi="Times New Roman"/>
          <w:sz w:val="24"/>
          <w:szCs w:val="24"/>
        </w:rPr>
        <w:t>январ</w:t>
      </w:r>
      <w:r w:rsidRPr="00937E1C">
        <w:rPr>
          <w:rFonts w:ascii="Times New Roman" w:hAnsi="Times New Roman"/>
          <w:sz w:val="24"/>
          <w:szCs w:val="24"/>
        </w:rPr>
        <w:t>я 201</w:t>
      </w:r>
      <w:r>
        <w:rPr>
          <w:rFonts w:ascii="Times New Roman" w:hAnsi="Times New Roman"/>
          <w:sz w:val="24"/>
          <w:szCs w:val="24"/>
        </w:rPr>
        <w:t>8</w:t>
      </w:r>
      <w:r w:rsidRPr="00937E1C">
        <w:rPr>
          <w:rFonts w:ascii="Times New Roman" w:hAnsi="Times New Roman"/>
          <w:sz w:val="24"/>
          <w:szCs w:val="24"/>
        </w:rPr>
        <w:t xml:space="preserve"> года в банке вакансий числилось 1 </w:t>
      </w:r>
      <w:r>
        <w:rPr>
          <w:rFonts w:ascii="Times New Roman" w:hAnsi="Times New Roman"/>
          <w:sz w:val="24"/>
          <w:szCs w:val="24"/>
        </w:rPr>
        <w:t>545</w:t>
      </w:r>
      <w:r w:rsidRPr="00937E1C">
        <w:rPr>
          <w:rFonts w:ascii="Times New Roman" w:hAnsi="Times New Roman"/>
          <w:sz w:val="24"/>
          <w:szCs w:val="24"/>
        </w:rPr>
        <w:t xml:space="preserve"> вакансий</w:t>
      </w:r>
      <w:r>
        <w:rPr>
          <w:rFonts w:ascii="Times New Roman" w:hAnsi="Times New Roman"/>
          <w:sz w:val="24"/>
          <w:szCs w:val="24"/>
        </w:rPr>
        <w:t xml:space="preserve"> </w:t>
      </w:r>
      <w:r w:rsidRPr="00A24882">
        <w:rPr>
          <w:rFonts w:ascii="Times New Roman" w:hAnsi="Times New Roman"/>
          <w:sz w:val="24"/>
          <w:szCs w:val="24"/>
        </w:rPr>
        <w:t>(рис. 43).</w:t>
      </w:r>
      <w:r w:rsidRPr="00937E1C">
        <w:rPr>
          <w:rFonts w:ascii="Times New Roman" w:hAnsi="Times New Roman"/>
          <w:sz w:val="24"/>
          <w:szCs w:val="24"/>
        </w:rPr>
        <w:t xml:space="preserve"> Среди заявленных по итогам 2017 года работодателями вакансий 81,</w:t>
      </w:r>
      <w:r>
        <w:rPr>
          <w:rFonts w:ascii="Times New Roman" w:hAnsi="Times New Roman"/>
          <w:sz w:val="24"/>
          <w:szCs w:val="24"/>
        </w:rPr>
        <w:t>3</w:t>
      </w:r>
      <w:r w:rsidRPr="00937E1C">
        <w:rPr>
          <w:rFonts w:ascii="Times New Roman" w:hAnsi="Times New Roman"/>
          <w:color w:val="000000"/>
          <w:sz w:val="24"/>
          <w:szCs w:val="24"/>
        </w:rPr>
        <w:t xml:space="preserve">% составляли вакантные места по рабочим профессиям и </w:t>
      </w:r>
      <w:r>
        <w:rPr>
          <w:rFonts w:ascii="Times New Roman" w:hAnsi="Times New Roman"/>
          <w:color w:val="000000"/>
          <w:sz w:val="24"/>
          <w:szCs w:val="24"/>
        </w:rPr>
        <w:t>18,7</w:t>
      </w:r>
      <w:r w:rsidRPr="00937E1C">
        <w:rPr>
          <w:rFonts w:ascii="Times New Roman" w:hAnsi="Times New Roman"/>
          <w:color w:val="000000"/>
          <w:sz w:val="24"/>
          <w:szCs w:val="24"/>
        </w:rPr>
        <w:t>% - вакансии для специалистов и служащих.</w:t>
      </w:r>
    </w:p>
    <w:p w:rsidR="00A24882" w:rsidRPr="00937E1C" w:rsidRDefault="00A24882" w:rsidP="00A24882">
      <w:pPr>
        <w:pStyle w:val="a4"/>
        <w:rPr>
          <w:sz w:val="28"/>
          <w:szCs w:val="28"/>
        </w:rPr>
      </w:pPr>
      <w:r w:rsidRPr="00937E1C">
        <w:t xml:space="preserve">В разрезе отраслей экономики наибольшее количество заявленных вакансий приходилось на: промышленность – </w:t>
      </w:r>
      <w:r>
        <w:t>36,8</w:t>
      </w:r>
      <w:r w:rsidRPr="00937E1C">
        <w:t xml:space="preserve">% от общего количества представленных вакантных рабочих мест (должностей); сельское хозяйство – </w:t>
      </w:r>
      <w:r>
        <w:t>14,3</w:t>
      </w:r>
      <w:r w:rsidRPr="00937E1C">
        <w:t>%, образование – 1</w:t>
      </w:r>
      <w:r>
        <w:t>1</w:t>
      </w:r>
      <w:r w:rsidRPr="00937E1C">
        <w:t>,</w:t>
      </w:r>
      <w:r>
        <w:t>7</w:t>
      </w:r>
      <w:r w:rsidRPr="00937E1C">
        <w:t>%, строительство – 7,</w:t>
      </w:r>
      <w:r>
        <w:t>9</w:t>
      </w:r>
      <w:r w:rsidRPr="00937E1C">
        <w:t>%</w:t>
      </w:r>
      <w:r>
        <w:t xml:space="preserve"> от общей потребности организаций в рабочей силе</w:t>
      </w:r>
      <w:r w:rsidRPr="00937E1C">
        <w:t>.</w:t>
      </w:r>
    </w:p>
    <w:p w:rsidR="00A24882" w:rsidRDefault="00A24882" w:rsidP="00A24882">
      <w:pPr>
        <w:pStyle w:val="af2"/>
        <w:tabs>
          <w:tab w:val="clear" w:pos="4153"/>
          <w:tab w:val="clear" w:pos="8306"/>
        </w:tabs>
        <w:ind w:firstLine="709"/>
        <w:jc w:val="both"/>
        <w:rPr>
          <w:sz w:val="24"/>
          <w:szCs w:val="24"/>
        </w:rPr>
      </w:pPr>
      <w:r w:rsidRPr="00937E1C">
        <w:rPr>
          <w:sz w:val="24"/>
          <w:szCs w:val="24"/>
        </w:rPr>
        <w:t xml:space="preserve">Коэффициент напряженности на рынке труда (отношение </w:t>
      </w:r>
      <w:r w:rsidRPr="00937E1C">
        <w:rPr>
          <w:color w:val="000000"/>
          <w:sz w:val="24"/>
          <w:szCs w:val="24"/>
        </w:rPr>
        <w:t>численности населения, не занятого трудовой деятельностью</w:t>
      </w:r>
      <w:r>
        <w:rPr>
          <w:color w:val="000000"/>
          <w:sz w:val="24"/>
          <w:szCs w:val="24"/>
        </w:rPr>
        <w:t>,</w:t>
      </w:r>
      <w:r w:rsidRPr="00937E1C">
        <w:rPr>
          <w:sz w:val="24"/>
          <w:szCs w:val="24"/>
        </w:rPr>
        <w:t xml:space="preserve"> к </w:t>
      </w:r>
      <w:r w:rsidRPr="00937E1C">
        <w:rPr>
          <w:color w:val="000000"/>
          <w:sz w:val="24"/>
          <w:szCs w:val="24"/>
        </w:rPr>
        <w:t>числу вакантных должностей)</w:t>
      </w:r>
      <w:r w:rsidRPr="00937E1C">
        <w:rPr>
          <w:sz w:val="24"/>
          <w:szCs w:val="24"/>
        </w:rPr>
        <w:t xml:space="preserve"> по состоянию на                1 </w:t>
      </w:r>
      <w:r>
        <w:rPr>
          <w:sz w:val="24"/>
          <w:szCs w:val="24"/>
        </w:rPr>
        <w:t>январ</w:t>
      </w:r>
      <w:r w:rsidRPr="00937E1C">
        <w:rPr>
          <w:sz w:val="24"/>
          <w:szCs w:val="24"/>
        </w:rPr>
        <w:t>я 201</w:t>
      </w:r>
      <w:r>
        <w:rPr>
          <w:sz w:val="24"/>
          <w:szCs w:val="24"/>
        </w:rPr>
        <w:t>8</w:t>
      </w:r>
      <w:r w:rsidRPr="00937E1C">
        <w:rPr>
          <w:sz w:val="24"/>
          <w:szCs w:val="24"/>
        </w:rPr>
        <w:t xml:space="preserve"> года составил </w:t>
      </w:r>
      <w:r>
        <w:rPr>
          <w:sz w:val="24"/>
          <w:szCs w:val="24"/>
        </w:rPr>
        <w:t>3,4</w:t>
      </w:r>
      <w:r w:rsidRPr="00937E1C">
        <w:rPr>
          <w:sz w:val="24"/>
          <w:szCs w:val="24"/>
        </w:rPr>
        <w:t xml:space="preserve"> человека на 1 вакантное место (на 1 </w:t>
      </w:r>
      <w:r>
        <w:rPr>
          <w:sz w:val="24"/>
          <w:szCs w:val="24"/>
        </w:rPr>
        <w:t>января</w:t>
      </w:r>
      <w:r w:rsidRPr="00937E1C">
        <w:rPr>
          <w:sz w:val="24"/>
          <w:szCs w:val="24"/>
        </w:rPr>
        <w:t xml:space="preserve"> 201</w:t>
      </w:r>
      <w:r>
        <w:rPr>
          <w:sz w:val="24"/>
          <w:szCs w:val="24"/>
        </w:rPr>
        <w:t>7</w:t>
      </w:r>
      <w:r w:rsidRPr="00937E1C">
        <w:rPr>
          <w:sz w:val="24"/>
          <w:szCs w:val="24"/>
        </w:rPr>
        <w:t xml:space="preserve"> года – </w:t>
      </w:r>
      <w:r>
        <w:rPr>
          <w:sz w:val="24"/>
          <w:szCs w:val="24"/>
        </w:rPr>
        <w:t>2,2</w:t>
      </w:r>
      <w:r w:rsidRPr="00937E1C">
        <w:rPr>
          <w:sz w:val="24"/>
          <w:szCs w:val="24"/>
        </w:rPr>
        <w:t xml:space="preserve"> человек на 1 вакантное место).</w:t>
      </w:r>
    </w:p>
    <w:p w:rsidR="00A24882" w:rsidRPr="00A24882" w:rsidRDefault="00A24882" w:rsidP="00A24882">
      <w:pPr>
        <w:pStyle w:val="af2"/>
        <w:tabs>
          <w:tab w:val="clear" w:pos="4153"/>
          <w:tab w:val="clear" w:pos="8306"/>
        </w:tabs>
        <w:ind w:firstLine="567"/>
        <w:jc w:val="right"/>
        <w:rPr>
          <w:b/>
          <w:i/>
          <w:sz w:val="24"/>
          <w:szCs w:val="24"/>
        </w:rPr>
      </w:pPr>
      <w:r w:rsidRPr="00A24882">
        <w:rPr>
          <w:b/>
          <w:i/>
          <w:sz w:val="24"/>
          <w:szCs w:val="24"/>
        </w:rPr>
        <w:lastRenderedPageBreak/>
        <w:t>Рисунок 43</w:t>
      </w:r>
    </w:p>
    <w:p w:rsidR="00A24882" w:rsidRPr="00937E1C" w:rsidRDefault="00A24882" w:rsidP="00A24882">
      <w:pPr>
        <w:pStyle w:val="a4"/>
        <w:ind w:left="-567" w:right="-284" w:firstLine="0"/>
      </w:pPr>
      <w:r w:rsidRPr="00937E1C">
        <w:rPr>
          <w:noProof/>
        </w:rPr>
        <w:drawing>
          <wp:inline distT="0" distB="0" distL="0" distR="0">
            <wp:extent cx="6496050" cy="2466975"/>
            <wp:effectExtent l="0" t="0" r="0" b="0"/>
            <wp:docPr id="1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24882" w:rsidRPr="00937E1C" w:rsidRDefault="00A24882" w:rsidP="00A24882">
      <w:pPr>
        <w:tabs>
          <w:tab w:val="left" w:pos="709"/>
        </w:tabs>
        <w:spacing w:after="0" w:line="240" w:lineRule="auto"/>
        <w:ind w:firstLine="709"/>
        <w:jc w:val="both"/>
        <w:rPr>
          <w:rFonts w:ascii="Times New Roman" w:hAnsi="Times New Roman"/>
          <w:sz w:val="24"/>
          <w:szCs w:val="24"/>
        </w:rPr>
      </w:pPr>
      <w:proofErr w:type="gramStart"/>
      <w:r w:rsidRPr="00937E1C">
        <w:rPr>
          <w:rFonts w:ascii="Times New Roman" w:hAnsi="Times New Roman"/>
          <w:sz w:val="24"/>
          <w:szCs w:val="24"/>
        </w:rPr>
        <w:t xml:space="preserve">Деятельность </w:t>
      </w:r>
      <w:r>
        <w:rPr>
          <w:rFonts w:ascii="Times New Roman" w:hAnsi="Times New Roman"/>
          <w:sz w:val="24"/>
          <w:szCs w:val="24"/>
        </w:rPr>
        <w:t xml:space="preserve">государства </w:t>
      </w:r>
      <w:r w:rsidRPr="00937E1C">
        <w:rPr>
          <w:rFonts w:ascii="Times New Roman" w:hAnsi="Times New Roman"/>
          <w:sz w:val="24"/>
          <w:szCs w:val="24"/>
        </w:rPr>
        <w:t>в области занятости населения в отчетном периоде была направлена на обеспечение гарантированной материальной поддержки безработных граждан, проведение программ активной политики занятости, направленных на повышение конкурентоспособности безработных граждан на рынке труда и их скорейшему трудоустройству, путем таких разнообразных мер, как помощь в трудоустройстве, организация общественных работ, профессиональное обучение и консультирование и др.</w:t>
      </w:r>
      <w:proofErr w:type="gramEnd"/>
    </w:p>
    <w:p w:rsidR="00A24882" w:rsidRPr="00937E1C" w:rsidRDefault="00A24882" w:rsidP="00A24882">
      <w:pPr>
        <w:pStyle w:val="a4"/>
        <w:tabs>
          <w:tab w:val="left" w:pos="709"/>
        </w:tabs>
      </w:pPr>
      <w:r w:rsidRPr="00937E1C">
        <w:t xml:space="preserve">За 2017 год при содействии Центров социального страхования и социальной защиты трудоустроено </w:t>
      </w:r>
      <w:r>
        <w:t>2 162</w:t>
      </w:r>
      <w:r w:rsidRPr="00937E1C">
        <w:t xml:space="preserve"> безработных граждан (за 2016 год – </w:t>
      </w:r>
      <w:r>
        <w:t xml:space="preserve">1 401 </w:t>
      </w:r>
      <w:r w:rsidRPr="00937E1C">
        <w:t xml:space="preserve">человек), из которых число трудоустроенных граждан, относящихся к категории пенсионеров – </w:t>
      </w:r>
      <w:r>
        <w:t>46</w:t>
      </w:r>
      <w:r w:rsidRPr="00937E1C">
        <w:t xml:space="preserve"> человек, из них численность граждан, относящихся к категории инвалидов</w:t>
      </w:r>
      <w:r>
        <w:t>,</w:t>
      </w:r>
      <w:r w:rsidRPr="00937E1C">
        <w:t xml:space="preserve"> – </w:t>
      </w:r>
      <w:r>
        <w:t>44</w:t>
      </w:r>
      <w:r w:rsidRPr="00937E1C">
        <w:t xml:space="preserve"> человек.</w:t>
      </w:r>
    </w:p>
    <w:p w:rsidR="00A24882" w:rsidRPr="009460D3" w:rsidRDefault="00A24882" w:rsidP="00A24882">
      <w:pPr>
        <w:tabs>
          <w:tab w:val="left" w:pos="709"/>
        </w:tabs>
        <w:spacing w:after="0" w:line="240" w:lineRule="auto"/>
        <w:ind w:firstLine="709"/>
        <w:jc w:val="both"/>
        <w:rPr>
          <w:rFonts w:ascii="Times New Roman" w:hAnsi="Times New Roman"/>
          <w:sz w:val="24"/>
          <w:szCs w:val="24"/>
        </w:rPr>
      </w:pPr>
      <w:r w:rsidRPr="00937E1C">
        <w:rPr>
          <w:rFonts w:ascii="Times New Roman" w:hAnsi="Times New Roman"/>
          <w:sz w:val="24"/>
          <w:szCs w:val="24"/>
        </w:rPr>
        <w:t xml:space="preserve">В рассматриваемом периоде в рамках активной политики занятости реализованы </w:t>
      </w:r>
      <w:r w:rsidRPr="009460D3">
        <w:rPr>
          <w:rFonts w:ascii="Times New Roman" w:hAnsi="Times New Roman"/>
          <w:sz w:val="24"/>
          <w:szCs w:val="24"/>
        </w:rPr>
        <w:t>следующие мероприятия:</w:t>
      </w:r>
    </w:p>
    <w:p w:rsidR="00A24882" w:rsidRPr="009460D3" w:rsidRDefault="00A24882" w:rsidP="00A24882">
      <w:pPr>
        <w:tabs>
          <w:tab w:val="left" w:pos="709"/>
        </w:tabs>
        <w:spacing w:after="0" w:line="240" w:lineRule="auto"/>
        <w:ind w:firstLine="709"/>
        <w:jc w:val="both"/>
        <w:rPr>
          <w:rFonts w:ascii="Times New Roman" w:hAnsi="Times New Roman"/>
          <w:sz w:val="24"/>
          <w:szCs w:val="24"/>
        </w:rPr>
      </w:pPr>
      <w:r w:rsidRPr="009460D3">
        <w:rPr>
          <w:rFonts w:ascii="Times New Roman" w:hAnsi="Times New Roman"/>
          <w:sz w:val="24"/>
          <w:szCs w:val="24"/>
        </w:rPr>
        <w:t>а) в соответствии с договорами, заключенными с организациями республики, в общественных работах приняли участие 873 безработных гражданина</w:t>
      </w:r>
      <w:r w:rsidRPr="001936C0">
        <w:rPr>
          <w:rFonts w:ascii="Times New Roman" w:hAnsi="Times New Roman"/>
          <w:sz w:val="24"/>
          <w:szCs w:val="24"/>
        </w:rPr>
        <w:t>. Участниками</w:t>
      </w:r>
      <w:r w:rsidRPr="009460D3">
        <w:rPr>
          <w:rFonts w:ascii="Times New Roman" w:hAnsi="Times New Roman"/>
          <w:sz w:val="24"/>
          <w:szCs w:val="24"/>
        </w:rPr>
        <w:t xml:space="preserve"> отработано на общественных работах 7 458 человеко-дней, средняя продолжительность участия составила 8,5 дня. Общественные работы проводились в Военных комиссариатах (оформление личных дел, выписка повесток и их рассылка, уточнение списков призывников), МУП «</w:t>
      </w:r>
      <w:proofErr w:type="spellStart"/>
      <w:r w:rsidRPr="009460D3">
        <w:rPr>
          <w:rFonts w:ascii="Times New Roman" w:hAnsi="Times New Roman"/>
          <w:sz w:val="24"/>
          <w:szCs w:val="24"/>
        </w:rPr>
        <w:t>Спецавтохозяйсво</w:t>
      </w:r>
      <w:proofErr w:type="spellEnd"/>
      <w:r w:rsidRPr="009460D3">
        <w:rPr>
          <w:rFonts w:ascii="Times New Roman" w:hAnsi="Times New Roman"/>
          <w:sz w:val="24"/>
          <w:szCs w:val="24"/>
        </w:rPr>
        <w:t xml:space="preserve">» (уборка мусора), Каменский цент развития ребенка, МОУ </w:t>
      </w:r>
      <w:proofErr w:type="gramStart"/>
      <w:r w:rsidRPr="009460D3">
        <w:rPr>
          <w:rFonts w:ascii="Times New Roman" w:hAnsi="Times New Roman"/>
          <w:sz w:val="24"/>
          <w:szCs w:val="24"/>
        </w:rPr>
        <w:t>ДО</w:t>
      </w:r>
      <w:proofErr w:type="gramEnd"/>
      <w:r w:rsidRPr="009460D3">
        <w:rPr>
          <w:rFonts w:ascii="Times New Roman" w:hAnsi="Times New Roman"/>
          <w:sz w:val="24"/>
          <w:szCs w:val="24"/>
        </w:rPr>
        <w:t xml:space="preserve"> «</w:t>
      </w:r>
      <w:proofErr w:type="gramStart"/>
      <w:r w:rsidRPr="009460D3">
        <w:rPr>
          <w:rFonts w:ascii="Times New Roman" w:hAnsi="Times New Roman"/>
          <w:sz w:val="24"/>
          <w:szCs w:val="24"/>
        </w:rPr>
        <w:t>Каменская</w:t>
      </w:r>
      <w:proofErr w:type="gramEnd"/>
      <w:r w:rsidRPr="009460D3">
        <w:rPr>
          <w:rFonts w:ascii="Times New Roman" w:hAnsi="Times New Roman"/>
          <w:sz w:val="24"/>
          <w:szCs w:val="24"/>
        </w:rPr>
        <w:t xml:space="preserve"> СДЮШОР», Администрация сел районов (благоустройство территорий), МУ «РУНО», МУП «ЖЭУК» городов и районов, МУ «Управление культуры </w:t>
      </w:r>
      <w:r>
        <w:rPr>
          <w:rFonts w:ascii="Times New Roman" w:hAnsi="Times New Roman"/>
          <w:sz w:val="24"/>
          <w:szCs w:val="24"/>
        </w:rPr>
        <w:t xml:space="preserve">              </w:t>
      </w:r>
      <w:r w:rsidRPr="009460D3">
        <w:rPr>
          <w:rFonts w:ascii="Times New Roman" w:hAnsi="Times New Roman"/>
          <w:sz w:val="24"/>
          <w:szCs w:val="24"/>
        </w:rPr>
        <w:t>г. Рыбница»;</w:t>
      </w:r>
    </w:p>
    <w:p w:rsidR="00A24882" w:rsidRPr="009460D3" w:rsidRDefault="00A24882" w:rsidP="00A24882">
      <w:pPr>
        <w:tabs>
          <w:tab w:val="left" w:pos="709"/>
        </w:tabs>
        <w:spacing w:after="0" w:line="240" w:lineRule="auto"/>
        <w:ind w:firstLine="709"/>
        <w:jc w:val="both"/>
        <w:rPr>
          <w:rFonts w:ascii="Times New Roman" w:hAnsi="Times New Roman"/>
          <w:sz w:val="24"/>
          <w:szCs w:val="24"/>
        </w:rPr>
      </w:pPr>
      <w:r w:rsidRPr="009460D3">
        <w:rPr>
          <w:rFonts w:ascii="Times New Roman" w:hAnsi="Times New Roman"/>
          <w:sz w:val="24"/>
          <w:szCs w:val="24"/>
        </w:rPr>
        <w:t xml:space="preserve">б) на курсовую профессиональную подготовку, переподготовку, повышение квалификации направлено 52 человека. Обучение проводилось по востребованным на рынке труда профессиям таким как: </w:t>
      </w:r>
      <w:proofErr w:type="spellStart"/>
      <w:r w:rsidRPr="009460D3">
        <w:rPr>
          <w:rFonts w:ascii="Times New Roman" w:hAnsi="Times New Roman"/>
          <w:sz w:val="24"/>
          <w:szCs w:val="24"/>
        </w:rPr>
        <w:t>газоэлектросварщик</w:t>
      </w:r>
      <w:proofErr w:type="spellEnd"/>
      <w:r w:rsidRPr="009460D3">
        <w:rPr>
          <w:rFonts w:ascii="Times New Roman" w:hAnsi="Times New Roman"/>
          <w:sz w:val="24"/>
          <w:szCs w:val="24"/>
        </w:rPr>
        <w:t xml:space="preserve">, продавец-кассир, </w:t>
      </w:r>
      <w:proofErr w:type="spellStart"/>
      <w:r w:rsidRPr="009460D3">
        <w:rPr>
          <w:rFonts w:ascii="Times New Roman" w:hAnsi="Times New Roman"/>
          <w:sz w:val="24"/>
          <w:szCs w:val="24"/>
        </w:rPr>
        <w:t>автослесарь</w:t>
      </w:r>
      <w:proofErr w:type="spellEnd"/>
      <w:r w:rsidRPr="009460D3">
        <w:rPr>
          <w:rFonts w:ascii="Times New Roman" w:hAnsi="Times New Roman"/>
          <w:sz w:val="24"/>
          <w:szCs w:val="24"/>
        </w:rPr>
        <w:t xml:space="preserve">, повар – кондитер, парикмахер, тракторист, электромонтер, </w:t>
      </w:r>
      <w:proofErr w:type="spellStart"/>
      <w:r w:rsidRPr="009460D3">
        <w:rPr>
          <w:rFonts w:ascii="Times New Roman" w:hAnsi="Times New Roman"/>
          <w:sz w:val="24"/>
          <w:szCs w:val="24"/>
        </w:rPr>
        <w:t>машинист-эксковатора</w:t>
      </w:r>
      <w:proofErr w:type="spellEnd"/>
      <w:r w:rsidRPr="009460D3">
        <w:rPr>
          <w:rFonts w:ascii="Times New Roman" w:hAnsi="Times New Roman"/>
          <w:sz w:val="24"/>
          <w:szCs w:val="24"/>
        </w:rPr>
        <w:t>, водитель погрузчика, 1С бухгалтерия, повар-кондитер;</w:t>
      </w:r>
    </w:p>
    <w:p w:rsidR="00A24882" w:rsidRPr="009460D3" w:rsidRDefault="00A24882" w:rsidP="00A24882">
      <w:pPr>
        <w:tabs>
          <w:tab w:val="left" w:pos="709"/>
        </w:tabs>
        <w:spacing w:after="0" w:line="240" w:lineRule="auto"/>
        <w:ind w:firstLine="709"/>
        <w:jc w:val="both"/>
        <w:rPr>
          <w:rFonts w:ascii="Times New Roman" w:hAnsi="Times New Roman"/>
          <w:sz w:val="24"/>
          <w:szCs w:val="24"/>
        </w:rPr>
      </w:pPr>
      <w:proofErr w:type="gramStart"/>
      <w:r w:rsidRPr="009460D3">
        <w:rPr>
          <w:rFonts w:ascii="Times New Roman" w:hAnsi="Times New Roman"/>
          <w:sz w:val="24"/>
          <w:szCs w:val="24"/>
        </w:rPr>
        <w:t>в) по итогам I полугодия 2017 года проведено 5 «Ярмарок учебных мест», которые посетили более 2 300 человек и 2 мини-ярмарка вакансий «Экскурсия в профессию» в           г. Бендеры, в рамках которой ученикам 7-10-х классов была представлена возможность посетить ЗАО «</w:t>
      </w:r>
      <w:proofErr w:type="spellStart"/>
      <w:r w:rsidRPr="009460D3">
        <w:rPr>
          <w:rFonts w:ascii="Times New Roman" w:hAnsi="Times New Roman"/>
          <w:sz w:val="24"/>
          <w:szCs w:val="24"/>
        </w:rPr>
        <w:t>Флоаре</w:t>
      </w:r>
      <w:proofErr w:type="spellEnd"/>
      <w:r w:rsidRPr="009460D3">
        <w:rPr>
          <w:rFonts w:ascii="Times New Roman" w:hAnsi="Times New Roman"/>
          <w:sz w:val="24"/>
          <w:szCs w:val="24"/>
        </w:rPr>
        <w:t xml:space="preserve">», ГУИПП «Бендерская типография «Полиграфист», </w:t>
      </w:r>
      <w:r>
        <w:rPr>
          <w:rFonts w:ascii="Times New Roman" w:hAnsi="Times New Roman"/>
          <w:sz w:val="24"/>
          <w:szCs w:val="24"/>
        </w:rPr>
        <w:t xml:space="preserve">                              </w:t>
      </w:r>
      <w:r w:rsidRPr="009460D3">
        <w:rPr>
          <w:rFonts w:ascii="Times New Roman" w:hAnsi="Times New Roman"/>
          <w:sz w:val="24"/>
          <w:szCs w:val="24"/>
        </w:rPr>
        <w:t>ЗАО «</w:t>
      </w:r>
      <w:proofErr w:type="spellStart"/>
      <w:r w:rsidRPr="009460D3">
        <w:rPr>
          <w:rFonts w:ascii="Times New Roman" w:hAnsi="Times New Roman"/>
          <w:sz w:val="24"/>
          <w:szCs w:val="24"/>
        </w:rPr>
        <w:t>Молдавкабель</w:t>
      </w:r>
      <w:proofErr w:type="spellEnd"/>
      <w:r w:rsidRPr="009460D3">
        <w:rPr>
          <w:rFonts w:ascii="Times New Roman" w:hAnsi="Times New Roman"/>
          <w:sz w:val="24"/>
          <w:szCs w:val="24"/>
        </w:rPr>
        <w:t>», ООО «</w:t>
      </w:r>
      <w:proofErr w:type="spellStart"/>
      <w:r w:rsidRPr="009460D3">
        <w:rPr>
          <w:rFonts w:ascii="Times New Roman" w:hAnsi="Times New Roman"/>
          <w:sz w:val="24"/>
          <w:szCs w:val="24"/>
        </w:rPr>
        <w:t>Теллус</w:t>
      </w:r>
      <w:proofErr w:type="spellEnd"/>
      <w:r w:rsidRPr="009460D3">
        <w:rPr>
          <w:rFonts w:ascii="Times New Roman" w:hAnsi="Times New Roman"/>
          <w:sz w:val="24"/>
          <w:szCs w:val="24"/>
        </w:rPr>
        <w:t>», ЗАО «Швейная фирма «</w:t>
      </w:r>
      <w:proofErr w:type="spellStart"/>
      <w:r w:rsidRPr="009460D3">
        <w:rPr>
          <w:rFonts w:ascii="Times New Roman" w:hAnsi="Times New Roman"/>
          <w:sz w:val="24"/>
          <w:szCs w:val="24"/>
        </w:rPr>
        <w:t>Вестра</w:t>
      </w:r>
      <w:proofErr w:type="spellEnd"/>
      <w:r w:rsidRPr="009460D3">
        <w:rPr>
          <w:rFonts w:ascii="Times New Roman" w:hAnsi="Times New Roman"/>
          <w:sz w:val="24"/>
          <w:szCs w:val="24"/>
        </w:rPr>
        <w:t>», в целях ознакомления с современной техникой, технологией производства</w:t>
      </w:r>
      <w:proofErr w:type="gramEnd"/>
      <w:r w:rsidRPr="009460D3">
        <w:rPr>
          <w:rFonts w:ascii="Times New Roman" w:hAnsi="Times New Roman"/>
          <w:sz w:val="24"/>
          <w:szCs w:val="24"/>
        </w:rPr>
        <w:t xml:space="preserve"> и организации труда. Выпускникам школ республики и молодым людям, ранее окончившим учебные заведения, а также участникам ярмарки была представлена возможность ознакомиться с условиями приема и обучения в учебных организациях профессионального образования республики. Центрами социального страхования и социальной защиты городов и районов республики было оказано содействие в профессиональном самоопределении около 1,6 тысяч человек (проведены мероприятия по профессиональной ориентации);</w:t>
      </w:r>
    </w:p>
    <w:p w:rsidR="00A24882" w:rsidRPr="009460D3" w:rsidRDefault="00A24882" w:rsidP="00A24882">
      <w:pPr>
        <w:tabs>
          <w:tab w:val="left" w:pos="709"/>
          <w:tab w:val="left" w:pos="1134"/>
        </w:tabs>
        <w:spacing w:after="0" w:line="240" w:lineRule="auto"/>
        <w:ind w:firstLine="709"/>
        <w:jc w:val="both"/>
        <w:rPr>
          <w:rFonts w:ascii="Times New Roman" w:hAnsi="Times New Roman"/>
          <w:sz w:val="24"/>
          <w:szCs w:val="24"/>
        </w:rPr>
      </w:pPr>
      <w:r w:rsidRPr="009460D3">
        <w:rPr>
          <w:rFonts w:ascii="Times New Roman" w:hAnsi="Times New Roman"/>
          <w:sz w:val="24"/>
          <w:szCs w:val="24"/>
        </w:rPr>
        <w:lastRenderedPageBreak/>
        <w:t xml:space="preserve">г) оформлено на досрочную пенсию 38 граждан </w:t>
      </w:r>
      <w:proofErr w:type="spellStart"/>
      <w:r w:rsidRPr="009460D3">
        <w:rPr>
          <w:rFonts w:ascii="Times New Roman" w:hAnsi="Times New Roman"/>
          <w:sz w:val="24"/>
          <w:szCs w:val="24"/>
        </w:rPr>
        <w:t>предпенсионного</w:t>
      </w:r>
      <w:proofErr w:type="spellEnd"/>
      <w:r w:rsidRPr="009460D3">
        <w:rPr>
          <w:rFonts w:ascii="Times New Roman" w:hAnsi="Times New Roman"/>
          <w:sz w:val="24"/>
          <w:szCs w:val="24"/>
        </w:rPr>
        <w:t xml:space="preserve"> возраста, уволенных с последнего места работы в связи с ликвидацией организации, сокращением численности или штата работников организации.</w:t>
      </w:r>
    </w:p>
    <w:p w:rsidR="00A24882" w:rsidRPr="00147D1D" w:rsidRDefault="00A24882" w:rsidP="00A24882">
      <w:pPr>
        <w:pStyle w:val="a4"/>
        <w:tabs>
          <w:tab w:val="left" w:pos="709"/>
        </w:tabs>
      </w:pPr>
      <w:r w:rsidRPr="009460D3">
        <w:t xml:space="preserve">На реализацию программ активной политики занятости в 2017 году израсходовано 602,5 тыс. рублей, на материальную поддержку безработных граждан </w:t>
      </w:r>
      <w:r>
        <w:t>–</w:t>
      </w:r>
      <w:r w:rsidRPr="009460D3">
        <w:t xml:space="preserve"> около</w:t>
      </w:r>
      <w:r>
        <w:t xml:space="preserve">                      </w:t>
      </w:r>
      <w:r w:rsidRPr="009460D3">
        <w:t xml:space="preserve"> 23,9 млн </w:t>
      </w:r>
      <w:r w:rsidRPr="00147D1D">
        <w:t>рублей.</w:t>
      </w:r>
    </w:p>
    <w:p w:rsidR="00A24882" w:rsidRPr="00C11337" w:rsidRDefault="00A24882" w:rsidP="00A24882">
      <w:pPr>
        <w:pStyle w:val="a4"/>
        <w:tabs>
          <w:tab w:val="left" w:pos="709"/>
        </w:tabs>
      </w:pPr>
      <w:r w:rsidRPr="00147D1D">
        <w:t>Средний размер пособия по безработице в отчетном периоде составил                     416,10 рублей против 428,20 рублей в 2016 году. Среднесписочная численность безработных, ежемесячно получавших пособие по безработице, сложилась на уровне 4 731 человек, что на 1 </w:t>
      </w:r>
      <w:r w:rsidRPr="00C11337">
        <w:t>720 человек больше прошлогоднего уровня.</w:t>
      </w:r>
    </w:p>
    <w:p w:rsidR="00A24882" w:rsidRPr="00CF600C" w:rsidRDefault="00A24882" w:rsidP="00A24882">
      <w:pPr>
        <w:pStyle w:val="a4"/>
        <w:tabs>
          <w:tab w:val="left" w:pos="709"/>
        </w:tabs>
        <w:rPr>
          <w:color w:val="000000"/>
          <w:shd w:val="clear" w:color="auto" w:fill="FFFFFF"/>
        </w:rPr>
      </w:pPr>
      <w:proofErr w:type="gramStart"/>
      <w:r w:rsidRPr="00C11337">
        <w:rPr>
          <w:shd w:val="clear" w:color="auto" w:fill="FFFFFF"/>
        </w:rPr>
        <w:t xml:space="preserve">Трудовая миграция населения, </w:t>
      </w:r>
      <w:r w:rsidRPr="00C11337">
        <w:rPr>
          <w:rStyle w:val="apple-converted-space"/>
          <w:color w:val="000000"/>
          <w:shd w:val="clear" w:color="auto" w:fill="FFFFFF"/>
        </w:rPr>
        <w:t>ведущая к</w:t>
      </w:r>
      <w:r w:rsidRPr="00C11337">
        <w:rPr>
          <w:color w:val="000000"/>
          <w:shd w:val="clear" w:color="auto" w:fill="FFFFFF"/>
        </w:rPr>
        <w:t xml:space="preserve"> «старению» трудовых ресурсов, изменение распределения рабочей силы по секторам экономики, сглаживание границ между официальной и теневой занятостью, а также несогласованность взаимодействия системы образования и спроса экономики на рабочую силу определенных профессий и квалификаций, ведет к изменению состава и качественных характеристик отечественного рынка труда, неэффективному использованию рабочей силы, так как часть населения работает не по специальности</w:t>
      </w:r>
      <w:proofErr w:type="gramEnd"/>
      <w:r w:rsidRPr="00C11337">
        <w:rPr>
          <w:color w:val="000000"/>
          <w:shd w:val="clear" w:color="auto" w:fill="FFFFFF"/>
        </w:rPr>
        <w:t xml:space="preserve"> и, как следствие, теряет часть своего дохода, что оказывает влияние на функционировани</w:t>
      </w:r>
      <w:r w:rsidR="008D5EC6">
        <w:rPr>
          <w:color w:val="000000"/>
          <w:shd w:val="clear" w:color="auto" w:fill="FFFFFF"/>
        </w:rPr>
        <w:t>е</w:t>
      </w:r>
      <w:r w:rsidRPr="00C11337">
        <w:rPr>
          <w:color w:val="000000"/>
          <w:shd w:val="clear" w:color="auto" w:fill="FFFFFF"/>
        </w:rPr>
        <w:t xml:space="preserve"> всей экономики.</w:t>
      </w:r>
    </w:p>
    <w:p w:rsidR="00146BB8" w:rsidRPr="00801378" w:rsidRDefault="00146BB8" w:rsidP="00146BB8">
      <w:pPr>
        <w:spacing w:after="0" w:line="240" w:lineRule="auto"/>
        <w:ind w:firstLine="720"/>
        <w:jc w:val="both"/>
        <w:rPr>
          <w:rFonts w:ascii="Times New Roman" w:hAnsi="Times New Roman"/>
          <w:b/>
          <w:sz w:val="20"/>
          <w:szCs w:val="20"/>
        </w:rPr>
      </w:pPr>
    </w:p>
    <w:p w:rsidR="003F227B" w:rsidRDefault="003F227B" w:rsidP="00146BB8">
      <w:pPr>
        <w:spacing w:after="0" w:line="240" w:lineRule="auto"/>
        <w:ind w:firstLine="720"/>
        <w:jc w:val="both"/>
        <w:rPr>
          <w:rFonts w:ascii="Times New Roman" w:hAnsi="Times New Roman"/>
          <w:b/>
          <w:sz w:val="24"/>
          <w:szCs w:val="24"/>
        </w:rPr>
      </w:pPr>
      <w:r>
        <w:rPr>
          <w:rFonts w:ascii="Times New Roman" w:hAnsi="Times New Roman"/>
          <w:b/>
          <w:sz w:val="24"/>
          <w:szCs w:val="24"/>
        </w:rPr>
        <w:t>Финансы</w:t>
      </w:r>
    </w:p>
    <w:p w:rsidR="00146BB8" w:rsidRPr="00801378" w:rsidRDefault="00146BB8" w:rsidP="00146BB8">
      <w:pPr>
        <w:spacing w:after="0" w:line="240" w:lineRule="auto"/>
        <w:ind w:firstLine="720"/>
        <w:jc w:val="both"/>
        <w:rPr>
          <w:rFonts w:ascii="Times New Roman" w:hAnsi="Times New Roman"/>
          <w:b/>
          <w:sz w:val="20"/>
          <w:szCs w:val="20"/>
        </w:rPr>
      </w:pPr>
    </w:p>
    <w:p w:rsidR="00146BB8" w:rsidRPr="006E2BBC" w:rsidRDefault="00146BB8" w:rsidP="00146BB8">
      <w:pPr>
        <w:widowControl w:val="0"/>
        <w:spacing w:after="0" w:line="240" w:lineRule="auto"/>
        <w:ind w:firstLine="709"/>
        <w:contextualSpacing/>
        <w:jc w:val="both"/>
        <w:rPr>
          <w:rFonts w:ascii="Times New Roman" w:hAnsi="Times New Roman"/>
          <w:b/>
          <w:sz w:val="24"/>
          <w:szCs w:val="24"/>
        </w:rPr>
      </w:pPr>
      <w:r w:rsidRPr="006E2BBC">
        <w:rPr>
          <w:rFonts w:ascii="Times New Roman" w:hAnsi="Times New Roman"/>
          <w:b/>
          <w:sz w:val="24"/>
          <w:szCs w:val="24"/>
        </w:rPr>
        <w:t>Исполнение Консолидированного бюджета</w:t>
      </w:r>
    </w:p>
    <w:p w:rsidR="00146BB8" w:rsidRPr="00801378" w:rsidRDefault="00146BB8" w:rsidP="00146BB8">
      <w:pPr>
        <w:widowControl w:val="0"/>
        <w:tabs>
          <w:tab w:val="left" w:pos="630"/>
        </w:tabs>
        <w:autoSpaceDE w:val="0"/>
        <w:autoSpaceDN w:val="0"/>
        <w:adjustRightInd w:val="0"/>
        <w:spacing w:after="0" w:line="240" w:lineRule="auto"/>
        <w:ind w:firstLine="720"/>
        <w:jc w:val="both"/>
        <w:rPr>
          <w:rFonts w:ascii="Times New Roman" w:hAnsi="Times New Roman"/>
          <w:sz w:val="20"/>
          <w:szCs w:val="20"/>
        </w:rPr>
      </w:pPr>
    </w:p>
    <w:p w:rsidR="00801378" w:rsidRPr="00E3015D" w:rsidRDefault="00801378" w:rsidP="00801378">
      <w:pPr>
        <w:pStyle w:val="af0"/>
        <w:shd w:val="clear" w:color="auto" w:fill="FFFFFF"/>
        <w:spacing w:before="0" w:beforeAutospacing="0" w:after="0" w:afterAutospacing="0"/>
        <w:ind w:firstLine="709"/>
        <w:jc w:val="both"/>
        <w:rPr>
          <w:rFonts w:eastAsia="Calibri"/>
          <w:shd w:val="clear" w:color="auto" w:fill="FFFFFF"/>
        </w:rPr>
      </w:pPr>
      <w:r w:rsidRPr="00E3015D">
        <w:t xml:space="preserve">Бюджетная политика в 2017 году </w:t>
      </w:r>
      <w:r w:rsidRPr="00E3015D">
        <w:rPr>
          <w:rFonts w:eastAsia="Calibri"/>
          <w:shd w:val="clear" w:color="auto" w:fill="FFFFFF"/>
        </w:rPr>
        <w:t>строилась исходя из реальных возможностей бюджетов всех уровней по выполнению государственных обязательств в условиях сложившейся общеэкономической ситуации в республике, влияющей на формирование доходной части.</w:t>
      </w:r>
    </w:p>
    <w:p w:rsidR="00801378" w:rsidRPr="00E3015D" w:rsidRDefault="00801378" w:rsidP="00801378">
      <w:pPr>
        <w:spacing w:after="0" w:line="240" w:lineRule="auto"/>
        <w:ind w:firstLine="709"/>
        <w:jc w:val="both"/>
        <w:rPr>
          <w:rFonts w:ascii="Times New Roman" w:eastAsia="Calibri" w:hAnsi="Times New Roman"/>
          <w:sz w:val="24"/>
          <w:szCs w:val="24"/>
        </w:rPr>
      </w:pPr>
      <w:r w:rsidRPr="00E3015D">
        <w:rPr>
          <w:rFonts w:ascii="Times New Roman" w:eastAsia="Calibri" w:hAnsi="Times New Roman"/>
          <w:sz w:val="24"/>
          <w:szCs w:val="24"/>
        </w:rPr>
        <w:t xml:space="preserve">По итогам отчетного года в доходную часть консолидированного бюджета поступило средств на сумму 3 136 597 022 руб. (с учетом перечисления чистого дохода центрального банка и гуманитарной помощи Российской Федерации), что на 34,2% (798 861 299 руб.) превышает уровень базового года. </w:t>
      </w:r>
    </w:p>
    <w:p w:rsidR="00801378" w:rsidRPr="00E3015D" w:rsidRDefault="00801378" w:rsidP="00801378">
      <w:pPr>
        <w:keepNext/>
        <w:spacing w:after="0" w:line="240" w:lineRule="auto"/>
        <w:contextualSpacing/>
        <w:jc w:val="right"/>
        <w:rPr>
          <w:rFonts w:ascii="Times New Roman" w:eastAsia="Calibri" w:hAnsi="Times New Roman"/>
          <w:b/>
          <w:bCs/>
          <w:sz w:val="24"/>
          <w:szCs w:val="24"/>
        </w:rPr>
      </w:pPr>
      <w:r w:rsidRPr="00E3015D">
        <w:rPr>
          <w:rFonts w:ascii="Times New Roman" w:eastAsia="Calibri" w:hAnsi="Times New Roman"/>
          <w:sz w:val="24"/>
          <w:szCs w:val="24"/>
        </w:rPr>
        <w:t>Таблица №</w:t>
      </w:r>
      <w:r w:rsidR="00350199">
        <w:rPr>
          <w:rFonts w:ascii="Times New Roman" w:eastAsia="Calibri" w:hAnsi="Times New Roman"/>
          <w:sz w:val="24"/>
          <w:szCs w:val="24"/>
        </w:rPr>
        <w:t>7</w:t>
      </w:r>
    </w:p>
    <w:p w:rsidR="00801378" w:rsidRPr="00E3015D" w:rsidRDefault="005927A6" w:rsidP="00801378">
      <w:pPr>
        <w:keepNext/>
        <w:spacing w:after="0" w:line="240" w:lineRule="auto"/>
        <w:contextualSpacing/>
        <w:jc w:val="center"/>
        <w:rPr>
          <w:rFonts w:ascii="Times New Roman" w:eastAsia="Calibri" w:hAnsi="Times New Roman"/>
          <w:b/>
          <w:bCs/>
        </w:rPr>
      </w:pPr>
      <w:r>
        <w:rPr>
          <w:rFonts w:ascii="Times New Roman" w:eastAsia="Calibri" w:hAnsi="Times New Roman"/>
          <w:b/>
          <w:bCs/>
        </w:rPr>
        <w:t>И</w:t>
      </w:r>
      <w:r w:rsidR="00801378" w:rsidRPr="00E3015D">
        <w:rPr>
          <w:rFonts w:ascii="Times New Roman" w:eastAsia="Calibri" w:hAnsi="Times New Roman"/>
          <w:b/>
          <w:bCs/>
        </w:rPr>
        <w:t>сполнени</w:t>
      </w:r>
      <w:r>
        <w:rPr>
          <w:rFonts w:ascii="Times New Roman" w:eastAsia="Calibri" w:hAnsi="Times New Roman"/>
          <w:b/>
          <w:bCs/>
        </w:rPr>
        <w:t>е</w:t>
      </w:r>
      <w:r w:rsidR="00801378" w:rsidRPr="00E3015D">
        <w:rPr>
          <w:rFonts w:ascii="Times New Roman" w:eastAsia="Calibri" w:hAnsi="Times New Roman"/>
          <w:b/>
          <w:bCs/>
        </w:rPr>
        <w:t xml:space="preserve"> доходной части </w:t>
      </w:r>
    </w:p>
    <w:p w:rsidR="00801378" w:rsidRPr="00E3015D" w:rsidRDefault="00801378" w:rsidP="00801378">
      <w:pPr>
        <w:keepNext/>
        <w:spacing w:after="0" w:line="240" w:lineRule="auto"/>
        <w:contextualSpacing/>
        <w:jc w:val="center"/>
        <w:rPr>
          <w:rFonts w:ascii="Times New Roman" w:eastAsia="Calibri" w:hAnsi="Times New Roman"/>
          <w:b/>
          <w:bCs/>
        </w:rPr>
      </w:pPr>
      <w:r w:rsidRPr="00E3015D">
        <w:rPr>
          <w:rFonts w:ascii="Times New Roman" w:eastAsia="Calibri" w:hAnsi="Times New Roman"/>
          <w:b/>
          <w:bCs/>
        </w:rPr>
        <w:t>Консолидированного бюджета за 2017 год</w:t>
      </w:r>
    </w:p>
    <w:tbl>
      <w:tblPr>
        <w:tblpPr w:leftFromText="180" w:rightFromText="180" w:vertAnchor="text" w:horzAnchor="page" w:tblpX="1887" w:tblpY="63"/>
        <w:tblW w:w="9519" w:type="dxa"/>
        <w:tblLook w:val="0000"/>
      </w:tblPr>
      <w:tblGrid>
        <w:gridCol w:w="2951"/>
        <w:gridCol w:w="1642"/>
        <w:gridCol w:w="1642"/>
        <w:gridCol w:w="1642"/>
        <w:gridCol w:w="1642"/>
      </w:tblGrid>
      <w:tr w:rsidR="00801378" w:rsidRPr="00E3015D" w:rsidTr="008D5EC6">
        <w:trPr>
          <w:cantSplit/>
          <w:trHeight w:val="60"/>
        </w:trPr>
        <w:tc>
          <w:tcPr>
            <w:tcW w:w="2951" w:type="dxa"/>
            <w:tcBorders>
              <w:top w:val="single" w:sz="4" w:space="0" w:color="auto"/>
              <w:left w:val="single" w:sz="8" w:space="0" w:color="auto"/>
              <w:bottom w:val="nil"/>
              <w:right w:val="nil"/>
            </w:tcBorders>
            <w:shd w:val="clear" w:color="auto" w:fill="D9D9D9" w:themeFill="background1" w:themeFillShade="D9"/>
            <w:noWrap/>
          </w:tcPr>
          <w:p w:rsidR="00801378" w:rsidRPr="00E3015D" w:rsidRDefault="00801378" w:rsidP="00A73BD0">
            <w:pPr>
              <w:spacing w:after="0" w:line="240" w:lineRule="auto"/>
              <w:ind w:left="-1134"/>
              <w:rPr>
                <w:rFonts w:ascii="Times New Roman" w:eastAsia="Calibri" w:hAnsi="Times New Roman"/>
                <w:b/>
                <w:bCs/>
              </w:rPr>
            </w:pPr>
            <w:r w:rsidRPr="00E3015D">
              <w:rPr>
                <w:rFonts w:ascii="Times New Roman" w:eastAsia="Calibri" w:hAnsi="Times New Roman"/>
                <w:b/>
                <w:bCs/>
              </w:rPr>
              <w:t> </w:t>
            </w:r>
          </w:p>
        </w:tc>
        <w:tc>
          <w:tcPr>
            <w:tcW w:w="1642"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tcPr>
          <w:p w:rsidR="00801378" w:rsidRPr="00E3015D" w:rsidRDefault="00801378" w:rsidP="00A73BD0">
            <w:pPr>
              <w:spacing w:after="0" w:line="240" w:lineRule="auto"/>
              <w:jc w:val="center"/>
              <w:rPr>
                <w:rFonts w:ascii="Times New Roman" w:hAnsi="Times New Roman"/>
                <w:b/>
                <w:bCs/>
              </w:rPr>
            </w:pPr>
            <w:r w:rsidRPr="00E3015D">
              <w:rPr>
                <w:rFonts w:ascii="Times New Roman" w:hAnsi="Times New Roman"/>
                <w:b/>
                <w:bCs/>
              </w:rPr>
              <w:t>План</w:t>
            </w:r>
          </w:p>
        </w:tc>
        <w:tc>
          <w:tcPr>
            <w:tcW w:w="1642"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tcPr>
          <w:p w:rsidR="00801378" w:rsidRPr="00E3015D" w:rsidRDefault="00801378" w:rsidP="00A73BD0">
            <w:pPr>
              <w:spacing w:after="0" w:line="240" w:lineRule="auto"/>
              <w:jc w:val="center"/>
              <w:rPr>
                <w:rFonts w:ascii="Times New Roman" w:hAnsi="Times New Roman"/>
                <w:b/>
                <w:bCs/>
              </w:rPr>
            </w:pPr>
            <w:r w:rsidRPr="00E3015D">
              <w:rPr>
                <w:rFonts w:ascii="Times New Roman" w:hAnsi="Times New Roman"/>
                <w:b/>
                <w:bCs/>
              </w:rPr>
              <w:t>Факт</w:t>
            </w:r>
          </w:p>
        </w:tc>
        <w:tc>
          <w:tcPr>
            <w:tcW w:w="1642" w:type="dxa"/>
            <w:vMerge w:val="restart"/>
            <w:tcBorders>
              <w:top w:val="single" w:sz="8" w:space="0" w:color="auto"/>
              <w:left w:val="nil"/>
              <w:right w:val="single" w:sz="8" w:space="0" w:color="auto"/>
            </w:tcBorders>
            <w:shd w:val="clear" w:color="auto" w:fill="D9D9D9" w:themeFill="background1" w:themeFillShade="D9"/>
            <w:vAlign w:val="center"/>
          </w:tcPr>
          <w:p w:rsidR="00801378" w:rsidRPr="00E3015D" w:rsidRDefault="00801378" w:rsidP="00A73BD0">
            <w:pPr>
              <w:spacing w:after="0" w:line="240" w:lineRule="auto"/>
              <w:jc w:val="center"/>
              <w:rPr>
                <w:rFonts w:ascii="Times New Roman" w:hAnsi="Times New Roman"/>
                <w:b/>
                <w:bCs/>
              </w:rPr>
            </w:pPr>
            <w:r w:rsidRPr="00E3015D">
              <w:rPr>
                <w:rFonts w:ascii="Times New Roman" w:hAnsi="Times New Roman"/>
                <w:b/>
                <w:bCs/>
              </w:rPr>
              <w:t>%</w:t>
            </w:r>
          </w:p>
          <w:p w:rsidR="00801378" w:rsidRPr="00E3015D" w:rsidRDefault="00801378" w:rsidP="00A73BD0">
            <w:pPr>
              <w:spacing w:after="0" w:line="240" w:lineRule="auto"/>
              <w:ind w:left="-59"/>
              <w:jc w:val="center"/>
              <w:rPr>
                <w:rFonts w:ascii="Times New Roman" w:eastAsia="Calibri" w:hAnsi="Times New Roman"/>
                <w:b/>
                <w:bCs/>
              </w:rPr>
            </w:pPr>
            <w:r w:rsidRPr="00E3015D">
              <w:rPr>
                <w:rFonts w:ascii="Times New Roman" w:hAnsi="Times New Roman"/>
                <w:b/>
                <w:bCs/>
              </w:rPr>
              <w:t>исполнения</w:t>
            </w:r>
          </w:p>
        </w:tc>
        <w:tc>
          <w:tcPr>
            <w:tcW w:w="1642"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01378" w:rsidRPr="00E3015D" w:rsidRDefault="00801378" w:rsidP="00A73BD0">
            <w:pPr>
              <w:spacing w:after="0" w:line="240" w:lineRule="auto"/>
              <w:ind w:left="-59"/>
              <w:jc w:val="center"/>
              <w:rPr>
                <w:rFonts w:ascii="Times New Roman" w:eastAsia="Calibri" w:hAnsi="Times New Roman"/>
                <w:b/>
                <w:bCs/>
              </w:rPr>
            </w:pPr>
            <w:r w:rsidRPr="00E3015D">
              <w:rPr>
                <w:rFonts w:ascii="Times New Roman" w:eastAsia="Calibri" w:hAnsi="Times New Roman"/>
                <w:b/>
                <w:bCs/>
              </w:rPr>
              <w:t>Темп роста 2017 года к 2016 году, %</w:t>
            </w:r>
          </w:p>
        </w:tc>
      </w:tr>
      <w:tr w:rsidR="00801378" w:rsidRPr="00E3015D" w:rsidTr="008D5EC6">
        <w:trPr>
          <w:cantSplit/>
          <w:trHeight w:val="549"/>
        </w:trPr>
        <w:tc>
          <w:tcPr>
            <w:tcW w:w="2951" w:type="dxa"/>
            <w:tcBorders>
              <w:top w:val="nil"/>
              <w:left w:val="single" w:sz="8" w:space="0" w:color="auto"/>
              <w:bottom w:val="single" w:sz="8" w:space="0" w:color="auto"/>
              <w:right w:val="nil"/>
            </w:tcBorders>
            <w:shd w:val="clear" w:color="auto" w:fill="D9D9D9" w:themeFill="background1" w:themeFillShade="D9"/>
            <w:noWrap/>
          </w:tcPr>
          <w:p w:rsidR="00801378" w:rsidRPr="00E3015D" w:rsidRDefault="00801378" w:rsidP="00A73BD0">
            <w:pPr>
              <w:spacing w:after="0" w:line="240" w:lineRule="auto"/>
              <w:rPr>
                <w:rFonts w:ascii="Times New Roman" w:eastAsia="Calibri" w:hAnsi="Times New Roman"/>
                <w:b/>
                <w:bCs/>
              </w:rPr>
            </w:pPr>
            <w:r w:rsidRPr="00E3015D">
              <w:rPr>
                <w:rFonts w:ascii="Times New Roman" w:eastAsia="Calibri" w:hAnsi="Times New Roman"/>
                <w:b/>
                <w:bCs/>
              </w:rPr>
              <w:t> </w:t>
            </w:r>
          </w:p>
        </w:tc>
        <w:tc>
          <w:tcPr>
            <w:tcW w:w="1642" w:type="dxa"/>
            <w:vMerge/>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1378" w:rsidRPr="00E3015D" w:rsidRDefault="00801378" w:rsidP="00A73BD0">
            <w:pPr>
              <w:spacing w:after="0" w:line="240" w:lineRule="auto"/>
              <w:jc w:val="center"/>
              <w:rPr>
                <w:rFonts w:ascii="Times New Roman" w:eastAsia="Calibri" w:hAnsi="Times New Roman"/>
                <w:b/>
                <w:bCs/>
              </w:rPr>
            </w:pPr>
          </w:p>
        </w:tc>
        <w:tc>
          <w:tcPr>
            <w:tcW w:w="1642" w:type="dxa"/>
            <w:vMerge/>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1378" w:rsidRPr="00E3015D" w:rsidRDefault="00801378" w:rsidP="00A73BD0">
            <w:pPr>
              <w:spacing w:after="0" w:line="240" w:lineRule="auto"/>
              <w:jc w:val="center"/>
              <w:rPr>
                <w:rFonts w:ascii="Times New Roman" w:eastAsia="Calibri" w:hAnsi="Times New Roman"/>
                <w:b/>
                <w:bCs/>
              </w:rPr>
            </w:pPr>
          </w:p>
        </w:tc>
        <w:tc>
          <w:tcPr>
            <w:tcW w:w="1642" w:type="dxa"/>
            <w:vMerge/>
            <w:tcBorders>
              <w:left w:val="nil"/>
              <w:bottom w:val="single" w:sz="8" w:space="0" w:color="auto"/>
              <w:right w:val="single" w:sz="8" w:space="0" w:color="auto"/>
            </w:tcBorders>
            <w:shd w:val="clear" w:color="auto" w:fill="D9D9D9" w:themeFill="background1" w:themeFillShade="D9"/>
            <w:vAlign w:val="center"/>
          </w:tcPr>
          <w:p w:rsidR="00801378" w:rsidRPr="00E3015D" w:rsidRDefault="00801378" w:rsidP="00A73BD0">
            <w:pPr>
              <w:spacing w:after="0" w:line="240" w:lineRule="auto"/>
              <w:jc w:val="center"/>
              <w:rPr>
                <w:rFonts w:ascii="Times New Roman" w:eastAsia="Calibri" w:hAnsi="Times New Roman"/>
                <w:b/>
                <w:bCs/>
              </w:rPr>
            </w:pPr>
          </w:p>
        </w:tc>
        <w:tc>
          <w:tcPr>
            <w:tcW w:w="1642"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01378" w:rsidRPr="00E3015D" w:rsidRDefault="00801378" w:rsidP="00A73BD0">
            <w:pPr>
              <w:spacing w:after="0" w:line="240" w:lineRule="auto"/>
              <w:jc w:val="center"/>
              <w:rPr>
                <w:rFonts w:ascii="Times New Roman" w:eastAsia="Calibri" w:hAnsi="Times New Roman"/>
                <w:b/>
                <w:bCs/>
              </w:rPr>
            </w:pPr>
          </w:p>
        </w:tc>
      </w:tr>
      <w:tr w:rsidR="00801378" w:rsidRPr="00E3015D" w:rsidTr="008D5EC6">
        <w:trPr>
          <w:trHeight w:val="562"/>
        </w:trPr>
        <w:tc>
          <w:tcPr>
            <w:tcW w:w="2951" w:type="dxa"/>
            <w:tcBorders>
              <w:top w:val="nil"/>
              <w:left w:val="single" w:sz="8" w:space="0" w:color="auto"/>
              <w:bottom w:val="nil"/>
              <w:right w:val="nil"/>
            </w:tcBorders>
            <w:noWrap/>
            <w:vAlign w:val="center"/>
          </w:tcPr>
          <w:p w:rsidR="00801378" w:rsidRPr="00E3015D" w:rsidRDefault="00801378" w:rsidP="00A73BD0">
            <w:pPr>
              <w:spacing w:after="0" w:line="240" w:lineRule="auto"/>
              <w:ind w:left="-56"/>
              <w:rPr>
                <w:rFonts w:ascii="Times New Roman" w:eastAsia="Calibri" w:hAnsi="Times New Roman"/>
                <w:b/>
                <w:bCs/>
              </w:rPr>
            </w:pPr>
            <w:r w:rsidRPr="00E3015D">
              <w:rPr>
                <w:rFonts w:ascii="Times New Roman" w:eastAsia="Calibri" w:hAnsi="Times New Roman"/>
                <w:b/>
                <w:bCs/>
              </w:rPr>
              <w:t>Консолидированный бюджет, в т.ч.:</w:t>
            </w:r>
          </w:p>
        </w:tc>
        <w:tc>
          <w:tcPr>
            <w:tcW w:w="1642" w:type="dxa"/>
            <w:tcBorders>
              <w:top w:val="nil"/>
              <w:left w:val="single" w:sz="8" w:space="0" w:color="auto"/>
              <w:bottom w:val="single" w:sz="4" w:space="0" w:color="000000"/>
              <w:right w:val="single" w:sz="8" w:space="0" w:color="auto"/>
            </w:tcBorders>
            <w:noWrap/>
            <w:vAlign w:val="center"/>
          </w:tcPr>
          <w:p w:rsidR="00801378" w:rsidRPr="00E3015D" w:rsidRDefault="00801378" w:rsidP="00A73BD0">
            <w:pPr>
              <w:spacing w:after="0" w:line="240" w:lineRule="auto"/>
              <w:ind w:left="-123" w:right="-61"/>
              <w:jc w:val="center"/>
              <w:rPr>
                <w:rFonts w:ascii="Times New Roman" w:eastAsia="Calibri" w:hAnsi="Times New Roman"/>
                <w:b/>
                <w:bCs/>
              </w:rPr>
            </w:pPr>
            <w:r w:rsidRPr="00E3015D">
              <w:rPr>
                <w:rFonts w:ascii="Times New Roman" w:eastAsia="Calibri" w:hAnsi="Times New Roman"/>
                <w:b/>
                <w:bCs/>
              </w:rPr>
              <w:t xml:space="preserve">2 899 757 810 </w:t>
            </w:r>
          </w:p>
        </w:tc>
        <w:tc>
          <w:tcPr>
            <w:tcW w:w="1642" w:type="dxa"/>
            <w:tcBorders>
              <w:top w:val="nil"/>
              <w:left w:val="single" w:sz="8" w:space="0" w:color="auto"/>
              <w:bottom w:val="nil"/>
              <w:right w:val="single" w:sz="8" w:space="0" w:color="auto"/>
            </w:tcBorders>
            <w:noWrap/>
            <w:vAlign w:val="center"/>
          </w:tcPr>
          <w:p w:rsidR="00801378" w:rsidRPr="00E3015D" w:rsidRDefault="00801378" w:rsidP="00A73BD0">
            <w:pPr>
              <w:spacing w:after="0" w:line="240" w:lineRule="auto"/>
              <w:ind w:left="-155" w:right="-190"/>
              <w:jc w:val="center"/>
              <w:rPr>
                <w:rFonts w:ascii="Times New Roman" w:eastAsia="Calibri" w:hAnsi="Times New Roman"/>
                <w:b/>
                <w:bCs/>
              </w:rPr>
            </w:pPr>
            <w:r w:rsidRPr="00E3015D">
              <w:rPr>
                <w:rFonts w:ascii="Times New Roman" w:eastAsia="Calibri" w:hAnsi="Times New Roman"/>
                <w:b/>
                <w:bCs/>
              </w:rPr>
              <w:t xml:space="preserve">3 136 597 022   </w:t>
            </w:r>
          </w:p>
        </w:tc>
        <w:tc>
          <w:tcPr>
            <w:tcW w:w="1642" w:type="dxa"/>
            <w:tcBorders>
              <w:top w:val="single" w:sz="8" w:space="0" w:color="auto"/>
              <w:left w:val="single" w:sz="8" w:space="0" w:color="auto"/>
              <w:bottom w:val="single" w:sz="8" w:space="0" w:color="auto"/>
              <w:right w:val="single" w:sz="8" w:space="0" w:color="auto"/>
            </w:tcBorders>
            <w:vAlign w:val="center"/>
          </w:tcPr>
          <w:p w:rsidR="00801378" w:rsidRPr="00E3015D" w:rsidRDefault="00801378" w:rsidP="00A73BD0">
            <w:pPr>
              <w:spacing w:after="0" w:line="240" w:lineRule="auto"/>
              <w:jc w:val="center"/>
              <w:rPr>
                <w:rFonts w:ascii="Times New Roman" w:eastAsia="Calibri" w:hAnsi="Times New Roman"/>
                <w:b/>
                <w:bCs/>
              </w:rPr>
            </w:pPr>
            <w:r w:rsidRPr="00E3015D">
              <w:rPr>
                <w:rFonts w:ascii="Times New Roman" w:eastAsia="Calibri" w:hAnsi="Times New Roman"/>
                <w:b/>
                <w:bCs/>
              </w:rPr>
              <w:t>108,2</w:t>
            </w:r>
          </w:p>
        </w:tc>
        <w:tc>
          <w:tcPr>
            <w:tcW w:w="1642" w:type="dxa"/>
            <w:tcBorders>
              <w:top w:val="single" w:sz="8" w:space="0" w:color="auto"/>
              <w:left w:val="single" w:sz="8" w:space="0" w:color="auto"/>
              <w:bottom w:val="single" w:sz="8" w:space="0" w:color="auto"/>
              <w:right w:val="single" w:sz="8" w:space="0" w:color="auto"/>
            </w:tcBorders>
            <w:vAlign w:val="center"/>
          </w:tcPr>
          <w:p w:rsidR="00801378" w:rsidRPr="00E3015D" w:rsidRDefault="00801378" w:rsidP="00A73BD0">
            <w:pPr>
              <w:spacing w:after="0" w:line="240" w:lineRule="auto"/>
              <w:jc w:val="center"/>
              <w:rPr>
                <w:rFonts w:ascii="Times New Roman" w:eastAsia="Calibri" w:hAnsi="Times New Roman"/>
                <w:b/>
                <w:bCs/>
              </w:rPr>
            </w:pPr>
            <w:r w:rsidRPr="00E3015D">
              <w:rPr>
                <w:rFonts w:ascii="Times New Roman" w:eastAsia="Calibri" w:hAnsi="Times New Roman"/>
                <w:b/>
                <w:bCs/>
              </w:rPr>
              <w:t>134,2</w:t>
            </w:r>
          </w:p>
        </w:tc>
      </w:tr>
      <w:tr w:rsidR="00801378" w:rsidRPr="00E3015D" w:rsidTr="008D5EC6">
        <w:trPr>
          <w:trHeight w:val="424"/>
        </w:trPr>
        <w:tc>
          <w:tcPr>
            <w:tcW w:w="2951" w:type="dxa"/>
            <w:tcBorders>
              <w:top w:val="single" w:sz="4" w:space="0" w:color="auto"/>
              <w:left w:val="single" w:sz="8" w:space="0" w:color="auto"/>
              <w:bottom w:val="single" w:sz="4" w:space="0" w:color="auto"/>
              <w:right w:val="nil"/>
            </w:tcBorders>
            <w:noWrap/>
            <w:vAlign w:val="center"/>
          </w:tcPr>
          <w:p w:rsidR="00801378" w:rsidRPr="00E3015D" w:rsidRDefault="00801378" w:rsidP="00A73BD0">
            <w:pPr>
              <w:spacing w:after="0" w:line="240" w:lineRule="auto"/>
              <w:ind w:left="-56"/>
              <w:rPr>
                <w:rFonts w:ascii="Times New Roman" w:eastAsia="Calibri" w:hAnsi="Times New Roman"/>
                <w:bCs/>
              </w:rPr>
            </w:pPr>
            <w:r w:rsidRPr="00E3015D">
              <w:rPr>
                <w:rFonts w:ascii="Times New Roman" w:eastAsia="Calibri" w:hAnsi="Times New Roman"/>
                <w:bCs/>
              </w:rPr>
              <w:t>Республиканский бюджет</w:t>
            </w:r>
          </w:p>
        </w:tc>
        <w:tc>
          <w:tcPr>
            <w:tcW w:w="1642" w:type="dxa"/>
            <w:tcBorders>
              <w:top w:val="nil"/>
              <w:left w:val="single" w:sz="8" w:space="0" w:color="auto"/>
              <w:bottom w:val="single" w:sz="4" w:space="0" w:color="auto"/>
              <w:right w:val="single" w:sz="8" w:space="0" w:color="auto"/>
            </w:tcBorders>
            <w:noWrap/>
            <w:vAlign w:val="center"/>
          </w:tcPr>
          <w:p w:rsidR="00801378" w:rsidRPr="00E3015D" w:rsidRDefault="00801378" w:rsidP="00A73BD0">
            <w:pPr>
              <w:spacing w:after="0" w:line="240" w:lineRule="auto"/>
              <w:jc w:val="center"/>
              <w:rPr>
                <w:rFonts w:ascii="Times New Roman" w:eastAsia="Calibri" w:hAnsi="Times New Roman"/>
                <w:bCs/>
              </w:rPr>
            </w:pPr>
            <w:r w:rsidRPr="00E3015D">
              <w:rPr>
                <w:rFonts w:ascii="Times New Roman" w:eastAsia="Calibri" w:hAnsi="Times New Roman"/>
                <w:bCs/>
              </w:rPr>
              <w:t xml:space="preserve">2 091 026 147 </w:t>
            </w:r>
          </w:p>
        </w:tc>
        <w:tc>
          <w:tcPr>
            <w:tcW w:w="1642" w:type="dxa"/>
            <w:tcBorders>
              <w:top w:val="single" w:sz="4" w:space="0" w:color="auto"/>
              <w:left w:val="nil"/>
              <w:bottom w:val="single" w:sz="4" w:space="0" w:color="auto"/>
              <w:right w:val="single" w:sz="8" w:space="0" w:color="auto"/>
            </w:tcBorders>
            <w:noWrap/>
            <w:vAlign w:val="center"/>
          </w:tcPr>
          <w:p w:rsidR="00801378" w:rsidRPr="00E3015D" w:rsidRDefault="00801378" w:rsidP="00A73BD0">
            <w:pPr>
              <w:spacing w:after="0" w:line="240" w:lineRule="auto"/>
              <w:jc w:val="center"/>
              <w:rPr>
                <w:rFonts w:ascii="Times New Roman" w:eastAsia="Calibri" w:hAnsi="Times New Roman"/>
                <w:bCs/>
              </w:rPr>
            </w:pPr>
            <w:r w:rsidRPr="00E3015D">
              <w:rPr>
                <w:rFonts w:ascii="Times New Roman" w:eastAsia="Calibri" w:hAnsi="Times New Roman"/>
                <w:bCs/>
              </w:rPr>
              <w:t xml:space="preserve">2 284 772 139  </w:t>
            </w:r>
          </w:p>
        </w:tc>
        <w:tc>
          <w:tcPr>
            <w:tcW w:w="1642" w:type="dxa"/>
            <w:tcBorders>
              <w:top w:val="single" w:sz="8" w:space="0" w:color="auto"/>
              <w:left w:val="nil"/>
              <w:bottom w:val="single" w:sz="8" w:space="0" w:color="auto"/>
              <w:right w:val="single" w:sz="8" w:space="0" w:color="auto"/>
            </w:tcBorders>
            <w:vAlign w:val="center"/>
          </w:tcPr>
          <w:p w:rsidR="00801378" w:rsidRPr="00E3015D" w:rsidRDefault="00801378" w:rsidP="00A73BD0">
            <w:pPr>
              <w:spacing w:after="0" w:line="240" w:lineRule="auto"/>
              <w:jc w:val="center"/>
              <w:rPr>
                <w:rFonts w:ascii="Times New Roman" w:eastAsia="Calibri" w:hAnsi="Times New Roman"/>
                <w:bCs/>
              </w:rPr>
            </w:pPr>
            <w:r w:rsidRPr="00E3015D">
              <w:rPr>
                <w:rFonts w:ascii="Times New Roman" w:eastAsia="Calibri" w:hAnsi="Times New Roman"/>
                <w:bCs/>
              </w:rPr>
              <w:t>109,3</w:t>
            </w:r>
          </w:p>
        </w:tc>
        <w:tc>
          <w:tcPr>
            <w:tcW w:w="1642" w:type="dxa"/>
            <w:tcBorders>
              <w:top w:val="single" w:sz="8" w:space="0" w:color="auto"/>
              <w:left w:val="single" w:sz="8" w:space="0" w:color="auto"/>
              <w:bottom w:val="single" w:sz="8" w:space="0" w:color="auto"/>
              <w:right w:val="single" w:sz="8" w:space="0" w:color="auto"/>
            </w:tcBorders>
            <w:vAlign w:val="center"/>
          </w:tcPr>
          <w:p w:rsidR="00801378" w:rsidRPr="00E3015D" w:rsidRDefault="00801378" w:rsidP="00A73BD0">
            <w:pPr>
              <w:spacing w:after="0" w:line="240" w:lineRule="auto"/>
              <w:jc w:val="center"/>
              <w:rPr>
                <w:rFonts w:ascii="Times New Roman" w:eastAsia="Calibri" w:hAnsi="Times New Roman"/>
                <w:bCs/>
              </w:rPr>
            </w:pPr>
            <w:r w:rsidRPr="00E3015D">
              <w:rPr>
                <w:rFonts w:ascii="Times New Roman" w:eastAsia="Calibri" w:hAnsi="Times New Roman"/>
                <w:bCs/>
              </w:rPr>
              <w:t>151,1</w:t>
            </w:r>
          </w:p>
        </w:tc>
      </w:tr>
      <w:tr w:rsidR="00801378" w:rsidRPr="00E3015D" w:rsidTr="008D5EC6">
        <w:trPr>
          <w:trHeight w:val="417"/>
        </w:trPr>
        <w:tc>
          <w:tcPr>
            <w:tcW w:w="2951" w:type="dxa"/>
            <w:tcBorders>
              <w:top w:val="nil"/>
              <w:left w:val="single" w:sz="8" w:space="0" w:color="auto"/>
              <w:bottom w:val="single" w:sz="4" w:space="0" w:color="auto"/>
              <w:right w:val="nil"/>
            </w:tcBorders>
            <w:shd w:val="clear" w:color="auto" w:fill="auto"/>
            <w:noWrap/>
            <w:vAlign w:val="center"/>
          </w:tcPr>
          <w:p w:rsidR="00801378" w:rsidRPr="00E3015D" w:rsidRDefault="00801378" w:rsidP="00A73BD0">
            <w:pPr>
              <w:spacing w:after="0" w:line="240" w:lineRule="auto"/>
              <w:ind w:left="-56"/>
              <w:rPr>
                <w:rFonts w:ascii="Times New Roman" w:eastAsia="Calibri" w:hAnsi="Times New Roman"/>
                <w:bCs/>
              </w:rPr>
            </w:pPr>
            <w:r w:rsidRPr="00E3015D">
              <w:rPr>
                <w:rFonts w:ascii="Times New Roman" w:eastAsia="Calibri" w:hAnsi="Times New Roman"/>
                <w:bCs/>
              </w:rPr>
              <w:t>Местные бюджеты</w:t>
            </w:r>
          </w:p>
        </w:tc>
        <w:tc>
          <w:tcPr>
            <w:tcW w:w="1642" w:type="dxa"/>
            <w:tcBorders>
              <w:top w:val="nil"/>
              <w:left w:val="single" w:sz="8" w:space="0" w:color="auto"/>
              <w:bottom w:val="single" w:sz="4" w:space="0" w:color="auto"/>
              <w:right w:val="single" w:sz="8" w:space="0" w:color="auto"/>
            </w:tcBorders>
            <w:shd w:val="clear" w:color="auto" w:fill="auto"/>
            <w:noWrap/>
            <w:vAlign w:val="center"/>
          </w:tcPr>
          <w:p w:rsidR="00801378" w:rsidRPr="00E3015D" w:rsidRDefault="00801378" w:rsidP="00A73BD0">
            <w:pPr>
              <w:spacing w:after="0" w:line="240" w:lineRule="auto"/>
              <w:jc w:val="center"/>
              <w:rPr>
                <w:rFonts w:ascii="Times New Roman" w:eastAsia="Calibri" w:hAnsi="Times New Roman"/>
                <w:bCs/>
              </w:rPr>
            </w:pPr>
            <w:r w:rsidRPr="00E3015D">
              <w:rPr>
                <w:rFonts w:ascii="Times New Roman" w:eastAsia="Calibri" w:hAnsi="Times New Roman"/>
                <w:bCs/>
              </w:rPr>
              <w:t xml:space="preserve">808 731 663 </w:t>
            </w:r>
          </w:p>
        </w:tc>
        <w:tc>
          <w:tcPr>
            <w:tcW w:w="1642" w:type="dxa"/>
            <w:tcBorders>
              <w:top w:val="nil"/>
              <w:left w:val="nil"/>
              <w:bottom w:val="single" w:sz="4" w:space="0" w:color="auto"/>
              <w:right w:val="single" w:sz="8" w:space="0" w:color="auto"/>
            </w:tcBorders>
            <w:shd w:val="clear" w:color="auto" w:fill="auto"/>
            <w:noWrap/>
            <w:vAlign w:val="center"/>
          </w:tcPr>
          <w:p w:rsidR="00801378" w:rsidRPr="00E3015D" w:rsidRDefault="00801378" w:rsidP="00A73BD0">
            <w:pPr>
              <w:spacing w:after="0" w:line="240" w:lineRule="auto"/>
              <w:jc w:val="center"/>
              <w:rPr>
                <w:rFonts w:ascii="Times New Roman" w:eastAsia="Calibri" w:hAnsi="Times New Roman"/>
                <w:bCs/>
              </w:rPr>
            </w:pPr>
            <w:r w:rsidRPr="00E3015D">
              <w:rPr>
                <w:rFonts w:ascii="Times New Roman" w:eastAsia="Calibri" w:hAnsi="Times New Roman"/>
                <w:bCs/>
              </w:rPr>
              <w:t xml:space="preserve">851 824 883 </w:t>
            </w:r>
          </w:p>
        </w:tc>
        <w:tc>
          <w:tcPr>
            <w:tcW w:w="1642" w:type="dxa"/>
            <w:tcBorders>
              <w:top w:val="single" w:sz="8" w:space="0" w:color="auto"/>
              <w:left w:val="nil"/>
              <w:bottom w:val="single" w:sz="8" w:space="0" w:color="auto"/>
              <w:right w:val="single" w:sz="8" w:space="0" w:color="auto"/>
            </w:tcBorders>
            <w:vAlign w:val="center"/>
          </w:tcPr>
          <w:p w:rsidR="00801378" w:rsidRPr="00E3015D" w:rsidRDefault="00801378" w:rsidP="00A73BD0">
            <w:pPr>
              <w:spacing w:after="0" w:line="240" w:lineRule="auto"/>
              <w:jc w:val="center"/>
              <w:rPr>
                <w:rFonts w:ascii="Times New Roman" w:eastAsia="Calibri" w:hAnsi="Times New Roman"/>
                <w:bCs/>
              </w:rPr>
            </w:pPr>
            <w:r w:rsidRPr="00E3015D">
              <w:rPr>
                <w:rFonts w:ascii="Times New Roman" w:eastAsia="Calibri" w:hAnsi="Times New Roman"/>
                <w:bCs/>
              </w:rPr>
              <w:t>105,3</w:t>
            </w:r>
          </w:p>
        </w:tc>
        <w:tc>
          <w:tcPr>
            <w:tcW w:w="1642" w:type="dxa"/>
            <w:tcBorders>
              <w:top w:val="single" w:sz="8" w:space="0" w:color="auto"/>
              <w:left w:val="single" w:sz="8" w:space="0" w:color="auto"/>
              <w:bottom w:val="single" w:sz="8" w:space="0" w:color="auto"/>
              <w:right w:val="single" w:sz="8" w:space="0" w:color="auto"/>
            </w:tcBorders>
            <w:shd w:val="clear" w:color="auto" w:fill="auto"/>
            <w:vAlign w:val="center"/>
          </w:tcPr>
          <w:p w:rsidR="00801378" w:rsidRPr="00E3015D" w:rsidRDefault="00801378" w:rsidP="00A73BD0">
            <w:pPr>
              <w:spacing w:after="0" w:line="240" w:lineRule="auto"/>
              <w:jc w:val="center"/>
              <w:rPr>
                <w:rFonts w:ascii="Times New Roman" w:eastAsia="Calibri" w:hAnsi="Times New Roman"/>
                <w:bCs/>
              </w:rPr>
            </w:pPr>
            <w:r w:rsidRPr="00E3015D">
              <w:rPr>
                <w:rFonts w:ascii="Times New Roman" w:eastAsia="Calibri" w:hAnsi="Times New Roman"/>
                <w:bCs/>
              </w:rPr>
              <w:t>103,2</w:t>
            </w:r>
          </w:p>
        </w:tc>
      </w:tr>
    </w:tbl>
    <w:p w:rsidR="00350199" w:rsidRPr="00350199" w:rsidRDefault="00350199" w:rsidP="00350199">
      <w:pPr>
        <w:spacing w:after="0" w:line="240" w:lineRule="auto"/>
        <w:ind w:firstLine="709"/>
        <w:jc w:val="both"/>
        <w:rPr>
          <w:rFonts w:ascii="Times New Roman" w:hAnsi="Times New Roman"/>
          <w:sz w:val="8"/>
          <w:szCs w:val="8"/>
        </w:rPr>
      </w:pPr>
    </w:p>
    <w:p w:rsidR="00350199" w:rsidRDefault="00350199" w:rsidP="00350199">
      <w:pPr>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7392" behindDoc="0" locked="0" layoutInCell="1" allowOverlap="1">
            <wp:simplePos x="0" y="0"/>
            <wp:positionH relativeFrom="margin">
              <wp:posOffset>53340</wp:posOffset>
            </wp:positionH>
            <wp:positionV relativeFrom="margin">
              <wp:posOffset>7431405</wp:posOffset>
            </wp:positionV>
            <wp:extent cx="2543175" cy="2228850"/>
            <wp:effectExtent l="19050" t="0" r="0" b="0"/>
            <wp:wrapSquare wrapText="bothSides"/>
            <wp:docPr id="1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801378" w:rsidRPr="00E3015D">
        <w:rPr>
          <w:rFonts w:ascii="Times New Roman" w:hAnsi="Times New Roman"/>
          <w:sz w:val="24"/>
          <w:szCs w:val="24"/>
        </w:rPr>
        <w:t>В 201</w:t>
      </w:r>
      <w:r w:rsidR="00801378" w:rsidRPr="00E3015D">
        <w:rPr>
          <w:rFonts w:ascii="Times New Roman" w:eastAsia="Calibri" w:hAnsi="Times New Roman"/>
          <w:sz w:val="24"/>
          <w:szCs w:val="24"/>
        </w:rPr>
        <w:t>7</w:t>
      </w:r>
      <w:r w:rsidR="00801378" w:rsidRPr="00E3015D">
        <w:rPr>
          <w:rFonts w:ascii="Times New Roman" w:hAnsi="Times New Roman"/>
          <w:sz w:val="24"/>
          <w:szCs w:val="24"/>
        </w:rPr>
        <w:t xml:space="preserve"> году </w:t>
      </w:r>
      <w:r w:rsidR="00801378" w:rsidRPr="00E3015D">
        <w:rPr>
          <w:rFonts w:ascii="Times New Roman" w:eastAsia="Calibri" w:hAnsi="Times New Roman"/>
          <w:sz w:val="24"/>
          <w:szCs w:val="24"/>
        </w:rPr>
        <w:t xml:space="preserve">в формировании </w:t>
      </w:r>
      <w:r w:rsidR="00801378" w:rsidRPr="00E3015D">
        <w:rPr>
          <w:rFonts w:ascii="Times New Roman" w:hAnsi="Times New Roman"/>
          <w:sz w:val="24"/>
          <w:szCs w:val="24"/>
        </w:rPr>
        <w:t>консолидированного бюджета отмечены следующие структурные изменения.</w:t>
      </w:r>
      <w:r w:rsidR="00801378" w:rsidRPr="00E3015D">
        <w:rPr>
          <w:rFonts w:ascii="Times New Roman" w:eastAsia="Calibri" w:hAnsi="Times New Roman"/>
          <w:sz w:val="24"/>
          <w:szCs w:val="24"/>
        </w:rPr>
        <w:t xml:space="preserve"> Так, доходы республиканского бюджета составили                            </w:t>
      </w:r>
      <w:r w:rsidR="00801378" w:rsidRPr="00E3015D">
        <w:rPr>
          <w:rFonts w:ascii="Times New Roman" w:eastAsia="Calibri" w:hAnsi="Times New Roman"/>
          <w:bCs/>
          <w:sz w:val="24"/>
          <w:szCs w:val="24"/>
        </w:rPr>
        <w:t xml:space="preserve">2 2 284 772 139 </w:t>
      </w:r>
      <w:r w:rsidR="00801378" w:rsidRPr="00E3015D">
        <w:rPr>
          <w:rFonts w:ascii="Times New Roman" w:eastAsia="Calibri" w:hAnsi="Times New Roman"/>
          <w:sz w:val="24"/>
          <w:szCs w:val="24"/>
        </w:rPr>
        <w:t xml:space="preserve">руб., или 72,8% совокупного показателя, что на 8,1 п.п. выше сопоставимого уровня 2016 года, </w:t>
      </w:r>
      <w:r w:rsidR="00801378" w:rsidRPr="00E3015D">
        <w:rPr>
          <w:rFonts w:ascii="Times New Roman" w:hAnsi="Times New Roman"/>
          <w:sz w:val="24"/>
          <w:szCs w:val="24"/>
        </w:rPr>
        <w:t xml:space="preserve">при соответствующем </w:t>
      </w:r>
      <w:r w:rsidR="00801378" w:rsidRPr="00E3015D">
        <w:rPr>
          <w:rFonts w:ascii="Times New Roman" w:eastAsia="Calibri" w:hAnsi="Times New Roman"/>
          <w:sz w:val="24"/>
          <w:szCs w:val="24"/>
        </w:rPr>
        <w:t xml:space="preserve">сокращении долевого участия </w:t>
      </w:r>
      <w:r w:rsidR="00801378" w:rsidRPr="00E3015D">
        <w:rPr>
          <w:rFonts w:ascii="Times New Roman" w:hAnsi="Times New Roman"/>
          <w:sz w:val="24"/>
          <w:szCs w:val="24"/>
        </w:rPr>
        <w:t xml:space="preserve">поступлений местных бюджетов до </w:t>
      </w:r>
      <w:r w:rsidR="00801378" w:rsidRPr="00E3015D">
        <w:rPr>
          <w:rFonts w:ascii="Times New Roman" w:eastAsia="Calibri" w:hAnsi="Times New Roman"/>
          <w:sz w:val="24"/>
          <w:szCs w:val="24"/>
        </w:rPr>
        <w:t>27,2</w:t>
      </w:r>
      <w:r w:rsidR="00801378" w:rsidRPr="00E3015D">
        <w:rPr>
          <w:rFonts w:ascii="Times New Roman" w:hAnsi="Times New Roman"/>
          <w:sz w:val="24"/>
          <w:szCs w:val="24"/>
        </w:rPr>
        <w:t xml:space="preserve">%, или </w:t>
      </w:r>
      <w:r w:rsidR="00801378" w:rsidRPr="00E3015D">
        <w:rPr>
          <w:rFonts w:ascii="Times New Roman" w:eastAsia="Calibri" w:hAnsi="Times New Roman"/>
          <w:bCs/>
          <w:sz w:val="24"/>
          <w:szCs w:val="24"/>
        </w:rPr>
        <w:t>851 824 883 руб</w:t>
      </w:r>
      <w:r w:rsidR="00801378" w:rsidRPr="00E3015D">
        <w:rPr>
          <w:rFonts w:ascii="Times New Roman" w:hAnsi="Times New Roman"/>
          <w:sz w:val="24"/>
          <w:szCs w:val="24"/>
        </w:rPr>
        <w:t>.</w:t>
      </w:r>
    </w:p>
    <w:p w:rsidR="00801378" w:rsidRDefault="00801378" w:rsidP="00350199">
      <w:pPr>
        <w:spacing w:after="0" w:line="240" w:lineRule="auto"/>
        <w:ind w:firstLine="709"/>
        <w:jc w:val="both"/>
        <w:rPr>
          <w:rFonts w:ascii="Times New Roman" w:eastAsia="Calibri" w:hAnsi="Times New Roman"/>
          <w:sz w:val="24"/>
          <w:szCs w:val="24"/>
        </w:rPr>
      </w:pPr>
      <w:r w:rsidRPr="00E3015D">
        <w:rPr>
          <w:rFonts w:ascii="Times New Roman" w:eastAsia="Calibri" w:hAnsi="Times New Roman"/>
          <w:sz w:val="24"/>
          <w:szCs w:val="24"/>
        </w:rPr>
        <w:t>Соотношение суммарного объема доходной части консолидированного бюджета к ВВП выросло на 5,1 п.п. и составило 25,5%.</w:t>
      </w:r>
    </w:p>
    <w:p w:rsidR="00350199" w:rsidRDefault="00350199" w:rsidP="00350199">
      <w:pPr>
        <w:spacing w:after="0" w:line="240" w:lineRule="auto"/>
        <w:ind w:firstLine="709"/>
        <w:jc w:val="right"/>
        <w:rPr>
          <w:rFonts w:ascii="Times New Roman" w:eastAsia="Calibri" w:hAnsi="Times New Roman"/>
          <w:b/>
          <w:i/>
          <w:sz w:val="24"/>
          <w:szCs w:val="24"/>
        </w:rPr>
      </w:pPr>
      <w:r>
        <w:rPr>
          <w:rFonts w:ascii="Times New Roman" w:eastAsia="Calibri" w:hAnsi="Times New Roman"/>
          <w:b/>
          <w:i/>
          <w:noProof/>
          <w:sz w:val="24"/>
          <w:szCs w:val="24"/>
        </w:rPr>
        <w:lastRenderedPageBreak/>
        <w:drawing>
          <wp:anchor distT="0" distB="0" distL="114300" distR="114300" simplePos="0" relativeHeight="251708416" behindDoc="0" locked="0" layoutInCell="1" allowOverlap="1">
            <wp:simplePos x="0" y="0"/>
            <wp:positionH relativeFrom="margin">
              <wp:posOffset>-203835</wp:posOffset>
            </wp:positionH>
            <wp:positionV relativeFrom="margin">
              <wp:posOffset>211455</wp:posOffset>
            </wp:positionV>
            <wp:extent cx="6334125" cy="2362200"/>
            <wp:effectExtent l="0" t="0" r="0" b="0"/>
            <wp:wrapSquare wrapText="bothSides"/>
            <wp:docPr id="130"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350199">
        <w:rPr>
          <w:rFonts w:ascii="Times New Roman" w:eastAsia="Calibri" w:hAnsi="Times New Roman"/>
          <w:b/>
          <w:i/>
          <w:sz w:val="24"/>
          <w:szCs w:val="24"/>
        </w:rPr>
        <w:t>Рисунок 44</w:t>
      </w:r>
    </w:p>
    <w:p w:rsidR="00801378" w:rsidRPr="00E3015D" w:rsidRDefault="00801378" w:rsidP="00801378">
      <w:pPr>
        <w:spacing w:after="0" w:line="240" w:lineRule="auto"/>
        <w:ind w:firstLine="709"/>
        <w:jc w:val="both"/>
        <w:rPr>
          <w:rFonts w:ascii="Times New Roman" w:eastAsia="Calibri" w:hAnsi="Times New Roman"/>
          <w:b/>
          <w:bCs/>
          <w:sz w:val="24"/>
          <w:szCs w:val="24"/>
        </w:rPr>
      </w:pPr>
      <w:proofErr w:type="gramStart"/>
      <w:r w:rsidRPr="00E3015D">
        <w:rPr>
          <w:rFonts w:ascii="Times New Roman" w:eastAsia="Calibri" w:hAnsi="Times New Roman"/>
          <w:sz w:val="24"/>
          <w:szCs w:val="24"/>
        </w:rPr>
        <w:t xml:space="preserve">В структуре поступлений в доходную часть консолидированного бюджета </w:t>
      </w:r>
      <w:r w:rsidR="00350199">
        <w:rPr>
          <w:rFonts w:ascii="Times New Roman" w:eastAsia="Calibri" w:hAnsi="Times New Roman"/>
          <w:sz w:val="24"/>
          <w:szCs w:val="24"/>
        </w:rPr>
        <w:t xml:space="preserve">(рис. 44) </w:t>
      </w:r>
      <w:r w:rsidRPr="00E3015D">
        <w:rPr>
          <w:rFonts w:ascii="Times New Roman" w:eastAsia="Calibri" w:hAnsi="Times New Roman"/>
          <w:sz w:val="24"/>
          <w:szCs w:val="24"/>
        </w:rPr>
        <w:t xml:space="preserve">наибольшая доля (74,9%) принадлежит </w:t>
      </w:r>
      <w:r w:rsidRPr="00E3015D">
        <w:rPr>
          <w:rFonts w:ascii="Times New Roman" w:eastAsia="Calibri" w:hAnsi="Times New Roman"/>
          <w:b/>
          <w:sz w:val="24"/>
          <w:szCs w:val="24"/>
        </w:rPr>
        <w:t>налоговым платежам</w:t>
      </w:r>
      <w:r w:rsidRPr="00E3015D">
        <w:rPr>
          <w:rFonts w:ascii="Times New Roman" w:eastAsia="Calibri" w:hAnsi="Times New Roman"/>
          <w:sz w:val="24"/>
          <w:szCs w:val="24"/>
        </w:rPr>
        <w:t>, величина которых увеличилась на 41,8% до 2 348 541 190 руб. При этом в налоговых доходах отражена сумма поступлений средств по государственным казначейским обязательствам в размере 450 000 000 руб., перечисленная в доход республиканского бюджета.</w:t>
      </w:r>
      <w:proofErr w:type="gramEnd"/>
      <w:r w:rsidRPr="00E3015D">
        <w:rPr>
          <w:rFonts w:ascii="Times New Roman" w:hAnsi="Times New Roman"/>
          <w:sz w:val="24"/>
          <w:szCs w:val="24"/>
        </w:rPr>
        <w:t xml:space="preserve"> Б</w:t>
      </w:r>
      <w:r w:rsidRPr="00E3015D">
        <w:rPr>
          <w:rFonts w:ascii="Times New Roman" w:eastAsia="Calibri" w:hAnsi="Times New Roman"/>
          <w:sz w:val="24"/>
          <w:szCs w:val="24"/>
        </w:rPr>
        <w:t>ез учета данных поступлений фактическое поступление платежей составило – 1 898 541 190 руб. или 90,5% от плана, что на 14,6% больше фактических поступлений за 2016 год.</w:t>
      </w:r>
    </w:p>
    <w:p w:rsidR="00801378" w:rsidRPr="00E3015D" w:rsidRDefault="00801378" w:rsidP="00801378">
      <w:pPr>
        <w:spacing w:after="0" w:line="240" w:lineRule="auto"/>
        <w:ind w:firstLine="709"/>
        <w:jc w:val="both"/>
        <w:rPr>
          <w:rFonts w:ascii="Times New Roman" w:eastAsia="Calibri" w:hAnsi="Times New Roman"/>
          <w:sz w:val="24"/>
          <w:szCs w:val="24"/>
        </w:rPr>
      </w:pPr>
      <w:r w:rsidRPr="00E3015D">
        <w:rPr>
          <w:rFonts w:ascii="Times New Roman" w:eastAsia="Calibri" w:hAnsi="Times New Roman"/>
          <w:b/>
          <w:sz w:val="24"/>
          <w:szCs w:val="24"/>
        </w:rPr>
        <w:t>Неналоговые поступления</w:t>
      </w:r>
      <w:r w:rsidRPr="00E3015D">
        <w:rPr>
          <w:rFonts w:ascii="Times New Roman" w:eastAsia="Calibri" w:hAnsi="Times New Roman"/>
          <w:sz w:val="24"/>
          <w:szCs w:val="24"/>
        </w:rPr>
        <w:t xml:space="preserve"> выросли в 4,4 раза и сформировали порядка 9,4% доходной части консолидированного бюджета. Данный рост обусловлен включением части прибыли в размере 175 000 000 руб., перечисленной Приднестровским республиканским банком авансом до утверждения годовой отчетности. </w:t>
      </w:r>
      <w:r w:rsidRPr="00E3015D">
        <w:rPr>
          <w:rFonts w:ascii="Times New Roman" w:hAnsi="Times New Roman"/>
          <w:sz w:val="24"/>
          <w:szCs w:val="24"/>
        </w:rPr>
        <w:t>Доля доходов целевых бюджетных фондов увеличилась на 1,1 процентных пункта до 8,2%.</w:t>
      </w:r>
      <w:r w:rsidRPr="00E3015D">
        <w:rPr>
          <w:rFonts w:ascii="Times New Roman" w:eastAsia="Calibri" w:hAnsi="Times New Roman"/>
          <w:sz w:val="24"/>
          <w:szCs w:val="24"/>
        </w:rPr>
        <w:t xml:space="preserve"> Удельный вес доходов от предпринимательской и иной приносящей доход деятельности сократился на 2,8 п.п., сформировав 6,6% совокупного показателя. При этом доля безвозмездных перечислений выросла на 0,8 п.п. до 0,9% общих доходов консолидированного бюджета, что в абсолютном выражении соответствует 29 267 812 руб. </w:t>
      </w:r>
    </w:p>
    <w:p w:rsidR="00801378" w:rsidRDefault="00801378" w:rsidP="00801378">
      <w:pPr>
        <w:spacing w:after="0" w:line="240" w:lineRule="auto"/>
        <w:ind w:firstLine="709"/>
        <w:jc w:val="both"/>
        <w:rPr>
          <w:rFonts w:ascii="Times New Roman" w:eastAsia="Calibri" w:hAnsi="Times New Roman"/>
          <w:sz w:val="24"/>
          <w:szCs w:val="24"/>
        </w:rPr>
      </w:pPr>
      <w:r w:rsidRPr="00E3015D">
        <w:rPr>
          <w:rFonts w:ascii="Times New Roman" w:eastAsia="Calibri" w:hAnsi="Times New Roman"/>
          <w:b/>
          <w:sz w:val="24"/>
          <w:szCs w:val="24"/>
        </w:rPr>
        <w:t>Налоговая нагрузка</w:t>
      </w:r>
      <w:r w:rsidRPr="00E3015D">
        <w:rPr>
          <w:rFonts w:ascii="Times New Roman" w:eastAsia="Calibri" w:hAnsi="Times New Roman"/>
          <w:sz w:val="24"/>
          <w:szCs w:val="24"/>
        </w:rPr>
        <w:t xml:space="preserve"> консолидированного бюджета (без учета средств по государственным казначейским обязательствам) в целом на экономику республики составила </w:t>
      </w:r>
      <w:r w:rsidRPr="00E3015D">
        <w:rPr>
          <w:rFonts w:ascii="Times New Roman" w:eastAsia="Calibri" w:hAnsi="Times New Roman"/>
          <w:b/>
          <w:sz w:val="24"/>
          <w:szCs w:val="24"/>
        </w:rPr>
        <w:t xml:space="preserve">14,2%, </w:t>
      </w:r>
      <w:r w:rsidRPr="00E3015D">
        <w:rPr>
          <w:rFonts w:ascii="Times New Roman" w:eastAsia="Calibri" w:hAnsi="Times New Roman"/>
          <w:sz w:val="24"/>
          <w:szCs w:val="24"/>
        </w:rPr>
        <w:t>сократившись на 1,7 п.п. по сравнению с уровнем 2016 года (15,9%).</w:t>
      </w:r>
    </w:p>
    <w:p w:rsidR="00011FFD" w:rsidRPr="00E3015D" w:rsidRDefault="00011FFD" w:rsidP="00801378">
      <w:pPr>
        <w:spacing w:after="0" w:line="240" w:lineRule="auto"/>
        <w:ind w:firstLine="709"/>
        <w:jc w:val="both"/>
        <w:rPr>
          <w:rFonts w:ascii="Times New Roman" w:eastAsia="Calibri" w:hAnsi="Times New Roman"/>
          <w:b/>
          <w:sz w:val="14"/>
          <w:szCs w:val="14"/>
        </w:rPr>
      </w:pPr>
    </w:p>
    <w:p w:rsidR="00801378" w:rsidRPr="00E3015D" w:rsidRDefault="00801378" w:rsidP="00801378">
      <w:pPr>
        <w:spacing w:after="0" w:line="240" w:lineRule="auto"/>
        <w:ind w:firstLine="720"/>
        <w:jc w:val="center"/>
        <w:rPr>
          <w:rFonts w:ascii="Times New Roman" w:eastAsia="Calibri" w:hAnsi="Times New Roman"/>
          <w:b/>
          <w:sz w:val="24"/>
          <w:szCs w:val="24"/>
        </w:rPr>
      </w:pPr>
      <w:r w:rsidRPr="00E3015D">
        <w:rPr>
          <w:rFonts w:ascii="Times New Roman" w:eastAsia="Calibri" w:hAnsi="Times New Roman"/>
          <w:b/>
          <w:sz w:val="24"/>
          <w:szCs w:val="24"/>
        </w:rPr>
        <w:t xml:space="preserve">Динамика налоговых поступлений в доходную часть </w:t>
      </w:r>
    </w:p>
    <w:p w:rsidR="00801378" w:rsidRPr="00E3015D" w:rsidRDefault="00801378" w:rsidP="00801378">
      <w:pPr>
        <w:spacing w:after="0" w:line="240" w:lineRule="auto"/>
        <w:ind w:left="142"/>
        <w:jc w:val="center"/>
        <w:rPr>
          <w:rFonts w:ascii="Times New Roman" w:eastAsia="Calibri" w:hAnsi="Times New Roman"/>
          <w:b/>
          <w:sz w:val="24"/>
          <w:szCs w:val="24"/>
        </w:rPr>
      </w:pPr>
      <w:r w:rsidRPr="00E3015D">
        <w:rPr>
          <w:rFonts w:ascii="Times New Roman" w:eastAsia="Calibri" w:hAnsi="Times New Roman"/>
          <w:b/>
          <w:noProof/>
          <w:sz w:val="24"/>
          <w:szCs w:val="24"/>
        </w:rPr>
        <w:drawing>
          <wp:anchor distT="0" distB="0" distL="114300" distR="114300" simplePos="0" relativeHeight="251709440" behindDoc="1" locked="0" layoutInCell="1" allowOverlap="1">
            <wp:simplePos x="0" y="0"/>
            <wp:positionH relativeFrom="column">
              <wp:posOffset>-270510</wp:posOffset>
            </wp:positionH>
            <wp:positionV relativeFrom="paragraph">
              <wp:posOffset>240665</wp:posOffset>
            </wp:positionV>
            <wp:extent cx="6265545" cy="3171825"/>
            <wp:effectExtent l="0" t="0" r="1905" b="0"/>
            <wp:wrapTight wrapText="bothSides">
              <wp:wrapPolygon edited="0">
                <wp:start x="66" y="130"/>
                <wp:lineTo x="66" y="1686"/>
                <wp:lineTo x="525" y="2205"/>
                <wp:lineTo x="131" y="2335"/>
                <wp:lineTo x="66" y="4281"/>
                <wp:lineTo x="919" y="4281"/>
                <wp:lineTo x="131" y="4800"/>
                <wp:lineTo x="131" y="15697"/>
                <wp:lineTo x="394" y="16735"/>
                <wp:lineTo x="263" y="17124"/>
                <wp:lineTo x="722" y="18422"/>
                <wp:lineTo x="3875" y="18811"/>
                <wp:lineTo x="4072" y="19459"/>
                <wp:lineTo x="5451" y="19459"/>
                <wp:lineTo x="12347" y="19459"/>
                <wp:lineTo x="13594" y="19459"/>
                <wp:lineTo x="16156" y="19070"/>
                <wp:lineTo x="16090" y="18811"/>
                <wp:lineTo x="20621" y="18162"/>
                <wp:lineTo x="20556" y="17124"/>
                <wp:lineTo x="19111" y="16735"/>
                <wp:lineTo x="21607" y="16086"/>
                <wp:lineTo x="21607" y="13103"/>
                <wp:lineTo x="19636" y="12584"/>
                <wp:lineTo x="13529" y="12584"/>
                <wp:lineTo x="20030" y="12195"/>
                <wp:lineTo x="20030" y="11546"/>
                <wp:lineTo x="13529" y="10508"/>
                <wp:lineTo x="21344" y="9341"/>
                <wp:lineTo x="21541" y="8822"/>
                <wp:lineTo x="20030" y="8432"/>
                <wp:lineTo x="20096" y="7524"/>
                <wp:lineTo x="19899" y="6876"/>
                <wp:lineTo x="19308" y="5968"/>
                <wp:lineTo x="16024" y="4281"/>
                <wp:lineTo x="21607" y="3632"/>
                <wp:lineTo x="21607" y="2984"/>
                <wp:lineTo x="18060" y="2205"/>
                <wp:lineTo x="21541" y="1946"/>
                <wp:lineTo x="21607" y="130"/>
                <wp:lineTo x="21081" y="130"/>
                <wp:lineTo x="66" y="130"/>
              </wp:wrapPolygon>
            </wp:wrapTight>
            <wp:docPr id="1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Pr="00E3015D">
        <w:rPr>
          <w:rFonts w:ascii="Times New Roman" w:eastAsia="Calibri" w:hAnsi="Times New Roman"/>
          <w:b/>
          <w:sz w:val="24"/>
          <w:szCs w:val="24"/>
        </w:rPr>
        <w:t>Консолидированного бюджета (млн руб.)</w:t>
      </w:r>
    </w:p>
    <w:p w:rsidR="00801378" w:rsidRPr="00E3015D" w:rsidRDefault="00801378" w:rsidP="00801378">
      <w:pPr>
        <w:spacing w:after="0" w:line="240" w:lineRule="auto"/>
        <w:ind w:firstLine="709"/>
        <w:jc w:val="both"/>
        <w:rPr>
          <w:rFonts w:ascii="Times New Roman" w:eastAsia="Calibri" w:hAnsi="Times New Roman"/>
          <w:b/>
          <w:sz w:val="24"/>
          <w:szCs w:val="24"/>
        </w:rPr>
      </w:pPr>
    </w:p>
    <w:p w:rsidR="00801378" w:rsidRPr="00E3015D" w:rsidRDefault="00801378" w:rsidP="00801378">
      <w:pPr>
        <w:spacing w:after="0" w:line="240" w:lineRule="auto"/>
        <w:ind w:hanging="284"/>
        <w:rPr>
          <w:rFonts w:ascii="Times New Roman" w:eastAsia="Calibri" w:hAnsi="Times New Roman"/>
          <w:sz w:val="20"/>
          <w:szCs w:val="20"/>
        </w:rPr>
      </w:pPr>
    </w:p>
    <w:p w:rsidR="00801378" w:rsidRPr="00E3015D" w:rsidRDefault="00801378" w:rsidP="00801378">
      <w:pPr>
        <w:spacing w:after="0" w:line="240" w:lineRule="auto"/>
        <w:rPr>
          <w:rFonts w:ascii="Times New Roman" w:eastAsia="Calibri" w:hAnsi="Times New Roman"/>
          <w:sz w:val="20"/>
          <w:szCs w:val="20"/>
        </w:rPr>
      </w:pPr>
    </w:p>
    <w:p w:rsidR="00801378" w:rsidRPr="00E3015D" w:rsidRDefault="00801378" w:rsidP="00801378">
      <w:pPr>
        <w:spacing w:after="0" w:line="240" w:lineRule="auto"/>
        <w:rPr>
          <w:rFonts w:ascii="Times New Roman" w:eastAsia="Calibri" w:hAnsi="Times New Roman"/>
          <w:sz w:val="20"/>
          <w:szCs w:val="20"/>
        </w:rPr>
      </w:pPr>
    </w:p>
    <w:p w:rsidR="00801378" w:rsidRPr="00E3015D" w:rsidRDefault="00801378" w:rsidP="00801378">
      <w:pPr>
        <w:spacing w:after="0" w:line="240" w:lineRule="auto"/>
        <w:rPr>
          <w:rFonts w:ascii="Times New Roman" w:eastAsia="Calibri" w:hAnsi="Times New Roman"/>
          <w:sz w:val="20"/>
          <w:szCs w:val="20"/>
        </w:rPr>
      </w:pPr>
    </w:p>
    <w:p w:rsidR="00801378" w:rsidRPr="00E3015D" w:rsidRDefault="00801378" w:rsidP="00801378">
      <w:pPr>
        <w:spacing w:after="0" w:line="240" w:lineRule="auto"/>
        <w:rPr>
          <w:rFonts w:ascii="Times New Roman" w:eastAsia="Calibri" w:hAnsi="Times New Roman"/>
          <w:sz w:val="20"/>
          <w:szCs w:val="20"/>
        </w:rPr>
      </w:pPr>
    </w:p>
    <w:p w:rsidR="00801378" w:rsidRPr="00E3015D" w:rsidRDefault="00801378" w:rsidP="00801378">
      <w:pPr>
        <w:spacing w:after="0" w:line="240" w:lineRule="auto"/>
        <w:rPr>
          <w:rFonts w:ascii="Times New Roman" w:eastAsia="Calibri" w:hAnsi="Times New Roman"/>
          <w:sz w:val="20"/>
          <w:szCs w:val="20"/>
        </w:rPr>
      </w:pPr>
    </w:p>
    <w:p w:rsidR="00801378" w:rsidRPr="00E3015D" w:rsidRDefault="00801378" w:rsidP="00801378">
      <w:pPr>
        <w:spacing w:after="0" w:line="240" w:lineRule="auto"/>
        <w:rPr>
          <w:rFonts w:ascii="Times New Roman" w:eastAsia="Calibri" w:hAnsi="Times New Roman"/>
          <w:sz w:val="20"/>
          <w:szCs w:val="20"/>
        </w:rPr>
      </w:pPr>
    </w:p>
    <w:p w:rsidR="00801378" w:rsidRPr="00E3015D" w:rsidRDefault="00801378" w:rsidP="00801378">
      <w:pPr>
        <w:spacing w:after="0" w:line="240" w:lineRule="auto"/>
        <w:rPr>
          <w:rFonts w:ascii="Times New Roman" w:eastAsia="Calibri" w:hAnsi="Times New Roman"/>
          <w:sz w:val="20"/>
          <w:szCs w:val="20"/>
        </w:rPr>
      </w:pPr>
    </w:p>
    <w:p w:rsidR="00801378" w:rsidRPr="00E3015D" w:rsidRDefault="00801378" w:rsidP="00801378">
      <w:pPr>
        <w:spacing w:after="0" w:line="240" w:lineRule="auto"/>
        <w:rPr>
          <w:rFonts w:ascii="Times New Roman" w:eastAsia="Calibri" w:hAnsi="Times New Roman"/>
          <w:sz w:val="10"/>
          <w:szCs w:val="10"/>
        </w:rPr>
      </w:pPr>
    </w:p>
    <w:p w:rsidR="00011FFD" w:rsidRDefault="00011FFD" w:rsidP="00801378">
      <w:pPr>
        <w:spacing w:after="0" w:line="240" w:lineRule="auto"/>
        <w:rPr>
          <w:rFonts w:ascii="Times New Roman" w:eastAsia="Calibri" w:hAnsi="Times New Roman"/>
          <w:sz w:val="20"/>
          <w:szCs w:val="20"/>
        </w:rPr>
      </w:pPr>
    </w:p>
    <w:p w:rsidR="00801378" w:rsidRPr="00E3015D" w:rsidRDefault="00801378" w:rsidP="00801378">
      <w:pPr>
        <w:spacing w:after="0" w:line="240" w:lineRule="auto"/>
        <w:rPr>
          <w:rFonts w:ascii="Times New Roman" w:eastAsia="Calibri" w:hAnsi="Times New Roman"/>
          <w:sz w:val="20"/>
          <w:szCs w:val="20"/>
        </w:rPr>
      </w:pPr>
      <w:r w:rsidRPr="00E3015D">
        <w:rPr>
          <w:rFonts w:ascii="Times New Roman" w:eastAsia="Calibri" w:hAnsi="Times New Roman"/>
          <w:sz w:val="20"/>
          <w:szCs w:val="20"/>
        </w:rPr>
        <w:t>* - темп роста/спада к предыдущему году</w:t>
      </w:r>
    </w:p>
    <w:p w:rsidR="00801378" w:rsidRPr="00E3015D" w:rsidRDefault="00801378" w:rsidP="00801378">
      <w:pPr>
        <w:spacing w:after="0" w:line="240" w:lineRule="auto"/>
        <w:ind w:firstLine="709"/>
        <w:jc w:val="both"/>
        <w:rPr>
          <w:rFonts w:ascii="Times New Roman" w:eastAsia="Calibri" w:hAnsi="Times New Roman"/>
          <w:sz w:val="14"/>
          <w:szCs w:val="14"/>
        </w:rPr>
      </w:pPr>
    </w:p>
    <w:p w:rsidR="00801378" w:rsidRPr="00E3015D" w:rsidRDefault="00801378" w:rsidP="00801378">
      <w:pPr>
        <w:spacing w:after="0" w:line="240" w:lineRule="auto"/>
        <w:ind w:firstLine="709"/>
        <w:jc w:val="both"/>
        <w:rPr>
          <w:rFonts w:ascii="Times New Roman" w:eastAsia="Calibri" w:hAnsi="Times New Roman"/>
          <w:sz w:val="24"/>
          <w:szCs w:val="24"/>
        </w:rPr>
      </w:pPr>
      <w:proofErr w:type="gramStart"/>
      <w:r w:rsidRPr="00E3015D">
        <w:rPr>
          <w:rFonts w:ascii="Times New Roman" w:eastAsia="Calibri" w:hAnsi="Times New Roman"/>
          <w:sz w:val="24"/>
          <w:szCs w:val="24"/>
        </w:rPr>
        <w:lastRenderedPageBreak/>
        <w:t>Наибольшую долю (31,2%) в налоговых доходах по прежнему занимают</w:t>
      </w:r>
      <w:r w:rsidRPr="00E3015D">
        <w:rPr>
          <w:rFonts w:ascii="Times New Roman" w:eastAsia="Calibri" w:hAnsi="Times New Roman"/>
          <w:b/>
          <w:sz w:val="24"/>
          <w:szCs w:val="24"/>
        </w:rPr>
        <w:t xml:space="preserve"> платежи по налогу на доходы организаций</w:t>
      </w:r>
      <w:r w:rsidRPr="00E3015D">
        <w:rPr>
          <w:rFonts w:ascii="Times New Roman" w:eastAsia="Calibri" w:hAnsi="Times New Roman"/>
          <w:sz w:val="24"/>
          <w:szCs w:val="24"/>
        </w:rPr>
        <w:t>, которые возросли на 8,4%, вследствие увеличения производства продукции на 50 промышленных предприятиях республики, что составляет 59,5% от их общего числа.</w:t>
      </w:r>
      <w:proofErr w:type="gramEnd"/>
    </w:p>
    <w:p w:rsidR="00801378" w:rsidRPr="00E3015D" w:rsidRDefault="00801378" w:rsidP="00801378">
      <w:pPr>
        <w:spacing w:after="0" w:line="240" w:lineRule="auto"/>
        <w:ind w:firstLine="709"/>
        <w:jc w:val="both"/>
        <w:rPr>
          <w:rFonts w:ascii="Times New Roman" w:hAnsi="Times New Roman"/>
          <w:sz w:val="24"/>
          <w:szCs w:val="24"/>
        </w:rPr>
      </w:pPr>
      <w:r w:rsidRPr="00E3015D">
        <w:rPr>
          <w:rFonts w:ascii="Times New Roman" w:eastAsia="Calibri" w:hAnsi="Times New Roman"/>
          <w:sz w:val="24"/>
          <w:szCs w:val="24"/>
        </w:rPr>
        <w:t xml:space="preserve">Поступления </w:t>
      </w:r>
      <w:r w:rsidRPr="00E3015D">
        <w:rPr>
          <w:rFonts w:ascii="Times New Roman" w:eastAsia="Calibri" w:hAnsi="Times New Roman"/>
          <w:b/>
          <w:sz w:val="24"/>
          <w:szCs w:val="24"/>
        </w:rPr>
        <w:t>по подоходному налогу с физических лиц</w:t>
      </w:r>
      <w:r w:rsidRPr="00E3015D">
        <w:rPr>
          <w:rFonts w:ascii="Times New Roman" w:eastAsia="Calibri" w:hAnsi="Times New Roman"/>
          <w:sz w:val="24"/>
          <w:szCs w:val="24"/>
        </w:rPr>
        <w:t xml:space="preserve"> сократились на 0,9%, что сопровождалось снижением удельного веса данной статьи в налоговых платежах на              6,4 п.п. до 14,7%. </w:t>
      </w:r>
      <w:r w:rsidRPr="00E3015D">
        <w:rPr>
          <w:rFonts w:ascii="Times New Roman" w:hAnsi="Times New Roman"/>
          <w:sz w:val="24"/>
          <w:szCs w:val="24"/>
        </w:rPr>
        <w:t>На сокращение данных поступлений повлияло сокращение штатной численности, уменьшение фонда оплаты труда и материального стимулирования работников некоторых организаций.</w:t>
      </w:r>
    </w:p>
    <w:p w:rsidR="00801378" w:rsidRPr="00E3015D" w:rsidRDefault="00801378" w:rsidP="00801378">
      <w:pPr>
        <w:spacing w:after="0" w:line="240" w:lineRule="auto"/>
        <w:ind w:firstLine="709"/>
        <w:jc w:val="both"/>
        <w:rPr>
          <w:rFonts w:ascii="Times New Roman" w:hAnsi="Times New Roman"/>
          <w:sz w:val="24"/>
          <w:szCs w:val="24"/>
        </w:rPr>
      </w:pPr>
      <w:proofErr w:type="gramStart"/>
      <w:r w:rsidRPr="00E3015D">
        <w:rPr>
          <w:rFonts w:ascii="Times New Roman" w:hAnsi="Times New Roman"/>
          <w:sz w:val="24"/>
          <w:szCs w:val="24"/>
        </w:rPr>
        <w:t xml:space="preserve">Платежи </w:t>
      </w:r>
      <w:r w:rsidRPr="00E3015D">
        <w:rPr>
          <w:rFonts w:ascii="Times New Roman" w:eastAsia="Calibri" w:hAnsi="Times New Roman"/>
          <w:b/>
          <w:sz w:val="24"/>
          <w:szCs w:val="24"/>
        </w:rPr>
        <w:t>по налогам на внешнюю торговлю и внешнеэкономические операции</w:t>
      </w:r>
      <w:r w:rsidRPr="00E3015D">
        <w:rPr>
          <w:rFonts w:ascii="Times New Roman" w:eastAsia="Calibri" w:hAnsi="Times New Roman"/>
          <w:sz w:val="24"/>
          <w:szCs w:val="24"/>
        </w:rPr>
        <w:t xml:space="preserve"> </w:t>
      </w:r>
      <w:r w:rsidRPr="00E3015D">
        <w:rPr>
          <w:rFonts w:ascii="Times New Roman" w:hAnsi="Times New Roman"/>
          <w:sz w:val="24"/>
          <w:szCs w:val="24"/>
        </w:rPr>
        <w:t>на фоне восстановительного тренда по ключевым параметрам внешней торговли в контексте со стабилизацией ситуации на внутреннем валютном рынке, налаживанием ритмичной работы базовых отраслей индустрии, активизацией международной торговли</w:t>
      </w:r>
      <w:r w:rsidRPr="00E3015D">
        <w:rPr>
          <w:rFonts w:ascii="Times New Roman" w:eastAsia="Calibri" w:hAnsi="Times New Roman"/>
          <w:sz w:val="24"/>
          <w:szCs w:val="24"/>
        </w:rPr>
        <w:t xml:space="preserve"> выросли на 17,1%, сократив при этом их удельный вес на 3,1 п.п. до 14,5%. </w:t>
      </w:r>
      <w:proofErr w:type="gramEnd"/>
    </w:p>
    <w:p w:rsidR="00801378" w:rsidRPr="00E3015D" w:rsidRDefault="00801378" w:rsidP="00801378">
      <w:pPr>
        <w:spacing w:after="0" w:line="240" w:lineRule="auto"/>
        <w:ind w:firstLine="709"/>
        <w:jc w:val="both"/>
        <w:rPr>
          <w:rFonts w:ascii="Times New Roman" w:eastAsia="Calibri" w:hAnsi="Times New Roman"/>
          <w:b/>
          <w:bCs/>
          <w:sz w:val="24"/>
          <w:szCs w:val="24"/>
        </w:rPr>
      </w:pPr>
      <w:r w:rsidRPr="00E3015D">
        <w:rPr>
          <w:rFonts w:ascii="Times New Roman" w:eastAsia="Calibri" w:hAnsi="Times New Roman"/>
          <w:sz w:val="24"/>
          <w:szCs w:val="24"/>
        </w:rPr>
        <w:t>Поступления по</w:t>
      </w:r>
      <w:r w:rsidRPr="00E3015D">
        <w:rPr>
          <w:rFonts w:ascii="Times New Roman" w:eastAsia="Calibri" w:hAnsi="Times New Roman"/>
          <w:b/>
          <w:sz w:val="24"/>
          <w:szCs w:val="24"/>
        </w:rPr>
        <w:t xml:space="preserve"> налогам на товары и услуги, лицензионные и регистрационные сборы</w:t>
      </w:r>
      <w:r w:rsidRPr="00E3015D">
        <w:rPr>
          <w:rFonts w:ascii="Times New Roman" w:eastAsia="Calibri" w:hAnsi="Times New Roman"/>
          <w:sz w:val="24"/>
          <w:szCs w:val="24"/>
        </w:rPr>
        <w:t xml:space="preserve"> за 2017 год выросли в 6,5 раза до 643,2 млн руб., что соответствует 27,4% налоговых поступлений. При этом в данной статье отражена сумма поступлений средств по государственным казначейским обязательствам в размере 450 000 000 руб., перечисленная в доход республиканского бюджета. </w:t>
      </w:r>
      <w:r w:rsidRPr="00E3015D">
        <w:rPr>
          <w:rFonts w:ascii="Times New Roman" w:hAnsi="Times New Roman"/>
          <w:sz w:val="24"/>
          <w:szCs w:val="24"/>
        </w:rPr>
        <w:t>Б</w:t>
      </w:r>
      <w:r w:rsidRPr="00E3015D">
        <w:rPr>
          <w:rFonts w:ascii="Times New Roman" w:eastAsia="Calibri" w:hAnsi="Times New Roman"/>
          <w:sz w:val="24"/>
          <w:szCs w:val="24"/>
        </w:rPr>
        <w:t xml:space="preserve">ез учета данных поступлений фактическое поступление платежей составило – 193,2 млн руб., что в 1,9 раза больше фактических поступлений за </w:t>
      </w:r>
      <w:r w:rsidR="00030391">
        <w:rPr>
          <w:rFonts w:ascii="Times New Roman" w:eastAsia="Calibri" w:hAnsi="Times New Roman"/>
          <w:sz w:val="24"/>
          <w:szCs w:val="24"/>
        </w:rPr>
        <w:t xml:space="preserve"> </w:t>
      </w:r>
      <w:r w:rsidRPr="00E3015D">
        <w:rPr>
          <w:rFonts w:ascii="Times New Roman" w:eastAsia="Calibri" w:hAnsi="Times New Roman"/>
          <w:sz w:val="24"/>
          <w:szCs w:val="24"/>
        </w:rPr>
        <w:t>2016 год. В основном это связано с увеличением объемов производства и реализации отдельных видов подакцизной продукции, а также наращиванием объемов реализации газа.</w:t>
      </w:r>
    </w:p>
    <w:p w:rsidR="00801378" w:rsidRPr="00E3015D" w:rsidRDefault="00801378" w:rsidP="00801378">
      <w:pPr>
        <w:autoSpaceDE w:val="0"/>
        <w:autoSpaceDN w:val="0"/>
        <w:adjustRightInd w:val="0"/>
        <w:spacing w:after="0" w:line="240" w:lineRule="auto"/>
        <w:ind w:firstLine="709"/>
        <w:jc w:val="both"/>
        <w:rPr>
          <w:rFonts w:ascii="Times New Roman" w:eastAsia="Calibri" w:hAnsi="Times New Roman"/>
          <w:sz w:val="24"/>
          <w:szCs w:val="24"/>
        </w:rPr>
      </w:pPr>
      <w:r w:rsidRPr="00E3015D">
        <w:rPr>
          <w:rFonts w:ascii="Times New Roman" w:eastAsia="Calibri" w:hAnsi="Times New Roman"/>
          <w:sz w:val="24"/>
          <w:szCs w:val="24"/>
        </w:rPr>
        <w:t xml:space="preserve">Суммы </w:t>
      </w:r>
      <w:r w:rsidRPr="00E3015D">
        <w:rPr>
          <w:rFonts w:ascii="Times New Roman" w:eastAsia="Calibri" w:hAnsi="Times New Roman"/>
          <w:b/>
          <w:sz w:val="24"/>
          <w:szCs w:val="24"/>
        </w:rPr>
        <w:t>платежей за пользование природными ресурсами</w:t>
      </w:r>
      <w:r w:rsidRPr="00E3015D">
        <w:rPr>
          <w:rFonts w:ascii="Times New Roman" w:eastAsia="Calibri" w:hAnsi="Times New Roman"/>
          <w:sz w:val="24"/>
          <w:szCs w:val="24"/>
        </w:rPr>
        <w:t xml:space="preserve"> в рассматриваемом периоде возросли на 21,3% за счет увеличения интенсивности производства и объема добытых природных материалов. При этом удельный вес данной статьи в налоговых платежах сократился на 1,0 п.п. до 5,9%. </w:t>
      </w:r>
    </w:p>
    <w:p w:rsidR="00801378" w:rsidRDefault="00801378" w:rsidP="00801378">
      <w:pPr>
        <w:spacing w:after="0" w:line="240" w:lineRule="auto"/>
        <w:ind w:firstLine="709"/>
        <w:jc w:val="both"/>
        <w:rPr>
          <w:rFonts w:ascii="Times New Roman" w:eastAsia="Calibri" w:hAnsi="Times New Roman"/>
          <w:sz w:val="24"/>
          <w:szCs w:val="24"/>
        </w:rPr>
      </w:pPr>
      <w:proofErr w:type="gramStart"/>
      <w:r w:rsidRPr="00E3015D">
        <w:rPr>
          <w:rFonts w:ascii="Times New Roman" w:eastAsia="Calibri" w:hAnsi="Times New Roman"/>
          <w:sz w:val="24"/>
          <w:szCs w:val="24"/>
        </w:rPr>
        <w:t xml:space="preserve">В структуре </w:t>
      </w:r>
      <w:r w:rsidRPr="00E3015D">
        <w:rPr>
          <w:rFonts w:ascii="Times New Roman" w:eastAsia="Calibri" w:hAnsi="Times New Roman"/>
          <w:b/>
          <w:sz w:val="24"/>
          <w:szCs w:val="24"/>
        </w:rPr>
        <w:t>неналоговых поступлений</w:t>
      </w:r>
      <w:r w:rsidRPr="00E3015D">
        <w:rPr>
          <w:rFonts w:ascii="Times New Roman" w:eastAsia="Calibri" w:hAnsi="Times New Roman"/>
          <w:sz w:val="24"/>
          <w:szCs w:val="24"/>
        </w:rPr>
        <w:t xml:space="preserve"> </w:t>
      </w:r>
      <w:r w:rsidR="00030391">
        <w:rPr>
          <w:rFonts w:ascii="Times New Roman" w:eastAsia="Calibri" w:hAnsi="Times New Roman"/>
          <w:sz w:val="24"/>
          <w:szCs w:val="24"/>
        </w:rPr>
        <w:t xml:space="preserve">(рис. 45) </w:t>
      </w:r>
      <w:r w:rsidRPr="00E3015D">
        <w:rPr>
          <w:rFonts w:ascii="Times New Roman" w:eastAsia="Calibri" w:hAnsi="Times New Roman"/>
          <w:sz w:val="24"/>
          <w:szCs w:val="24"/>
        </w:rPr>
        <w:t>основная часть приходится на средства, отраженные по статье</w:t>
      </w:r>
      <w:r w:rsidRPr="00E3015D">
        <w:rPr>
          <w:rFonts w:ascii="Times New Roman" w:eastAsia="Calibri" w:hAnsi="Times New Roman"/>
          <w:b/>
          <w:sz w:val="24"/>
          <w:szCs w:val="24"/>
        </w:rPr>
        <w:t xml:space="preserve"> «Доходы от имущества, находящегося в государственной и муниципальной собственности»</w:t>
      </w:r>
      <w:r w:rsidRPr="00E3015D">
        <w:rPr>
          <w:rFonts w:ascii="Times New Roman" w:eastAsia="Calibri" w:hAnsi="Times New Roman"/>
          <w:sz w:val="24"/>
          <w:szCs w:val="24"/>
        </w:rPr>
        <w:t xml:space="preserve"> (80,7%, +25,4 п.п.), которые увеличились к уровню базового года в 6,5 р. до 236 984 640 руб. В то же время фактические суммы поступлений доходов </w:t>
      </w:r>
      <w:r w:rsidRPr="00E3015D">
        <w:rPr>
          <w:rFonts w:ascii="Times New Roman" w:eastAsia="Calibri" w:hAnsi="Times New Roman"/>
          <w:b/>
          <w:sz w:val="24"/>
          <w:szCs w:val="24"/>
        </w:rPr>
        <w:t xml:space="preserve">от продажи имущества, находящегося в государственной и муниципальной собственности, </w:t>
      </w:r>
      <w:r w:rsidRPr="00E3015D">
        <w:rPr>
          <w:rFonts w:ascii="Times New Roman" w:eastAsia="Calibri" w:hAnsi="Times New Roman"/>
          <w:sz w:val="24"/>
          <w:szCs w:val="24"/>
        </w:rPr>
        <w:t>выросли в</w:t>
      </w:r>
      <w:proofErr w:type="gramEnd"/>
      <w:r w:rsidRPr="00E3015D">
        <w:rPr>
          <w:rFonts w:ascii="Times New Roman" w:eastAsia="Calibri" w:hAnsi="Times New Roman"/>
          <w:sz w:val="24"/>
          <w:szCs w:val="24"/>
        </w:rPr>
        <w:t xml:space="preserve"> </w:t>
      </w:r>
      <w:proofErr w:type="gramStart"/>
      <w:r w:rsidRPr="00E3015D">
        <w:rPr>
          <w:rFonts w:ascii="Times New Roman" w:eastAsia="Calibri" w:hAnsi="Times New Roman"/>
          <w:sz w:val="24"/>
          <w:szCs w:val="24"/>
        </w:rPr>
        <w:t xml:space="preserve">1,9 раза и составили 9 185 894 руб., однако при этом их удельный вес сократился на 4,2 п.п. до 3,1%. При этом отмечен спад поступлений </w:t>
      </w:r>
      <w:r w:rsidRPr="00E3015D">
        <w:rPr>
          <w:rFonts w:ascii="Times New Roman" w:eastAsia="Calibri" w:hAnsi="Times New Roman"/>
          <w:b/>
          <w:sz w:val="24"/>
          <w:szCs w:val="24"/>
        </w:rPr>
        <w:t>от административных платежей и сборов</w:t>
      </w:r>
      <w:r w:rsidRPr="00E3015D">
        <w:rPr>
          <w:rFonts w:ascii="Times New Roman" w:eastAsia="Calibri" w:hAnsi="Times New Roman"/>
          <w:sz w:val="24"/>
          <w:szCs w:val="24"/>
        </w:rPr>
        <w:t xml:space="preserve"> на 4,7%, в результате на фоне существенного роста других поступлений их удельный вес в неналоговых платежах снизился на 8,9 п.п. до 2,5%. Поступления </w:t>
      </w:r>
      <w:r w:rsidRPr="00E3015D">
        <w:rPr>
          <w:rFonts w:ascii="Times New Roman" w:eastAsia="Calibri" w:hAnsi="Times New Roman"/>
          <w:b/>
          <w:sz w:val="24"/>
          <w:szCs w:val="24"/>
        </w:rPr>
        <w:t>от штрафных санкций и возмещения</w:t>
      </w:r>
      <w:proofErr w:type="gramEnd"/>
      <w:r w:rsidRPr="00E3015D">
        <w:rPr>
          <w:rFonts w:ascii="Times New Roman" w:eastAsia="Calibri" w:hAnsi="Times New Roman"/>
          <w:b/>
          <w:sz w:val="24"/>
          <w:szCs w:val="24"/>
        </w:rPr>
        <w:t xml:space="preserve"> ущерба</w:t>
      </w:r>
      <w:r w:rsidRPr="00E3015D">
        <w:rPr>
          <w:rFonts w:ascii="Times New Roman" w:eastAsia="Calibri" w:hAnsi="Times New Roman"/>
          <w:sz w:val="24"/>
          <w:szCs w:val="24"/>
        </w:rPr>
        <w:t xml:space="preserve"> выросли в 2,5 раза, однако долевое представление статьи в неналоговых платежах сузилось до 13,7% (или на 12,2 п.п.).</w:t>
      </w:r>
    </w:p>
    <w:p w:rsidR="00030391" w:rsidRPr="00030391" w:rsidRDefault="00030391" w:rsidP="00801378">
      <w:pPr>
        <w:spacing w:after="0" w:line="240" w:lineRule="auto"/>
        <w:ind w:firstLine="709"/>
        <w:jc w:val="both"/>
        <w:rPr>
          <w:rFonts w:ascii="Times New Roman" w:eastAsia="Calibri" w:hAnsi="Times New Roman"/>
          <w:sz w:val="8"/>
          <w:szCs w:val="8"/>
        </w:rPr>
      </w:pPr>
    </w:p>
    <w:p w:rsidR="00030391" w:rsidRDefault="00030391" w:rsidP="00030391">
      <w:pPr>
        <w:spacing w:after="0" w:line="240" w:lineRule="auto"/>
        <w:ind w:firstLine="709"/>
        <w:jc w:val="right"/>
        <w:rPr>
          <w:rFonts w:ascii="Times New Roman" w:eastAsia="Calibri" w:hAnsi="Times New Roman"/>
          <w:b/>
          <w:i/>
          <w:sz w:val="24"/>
          <w:szCs w:val="24"/>
        </w:rPr>
      </w:pPr>
      <w:r w:rsidRPr="00030391">
        <w:rPr>
          <w:rFonts w:ascii="Times New Roman" w:eastAsia="Calibri" w:hAnsi="Times New Roman"/>
          <w:b/>
          <w:i/>
          <w:sz w:val="24"/>
          <w:szCs w:val="24"/>
        </w:rPr>
        <w:t>Рисунок 45</w:t>
      </w:r>
    </w:p>
    <w:p w:rsidR="00030391" w:rsidRPr="00030391" w:rsidRDefault="00030391" w:rsidP="00030391">
      <w:pPr>
        <w:spacing w:after="0" w:line="240" w:lineRule="auto"/>
        <w:ind w:firstLine="709"/>
        <w:jc w:val="right"/>
        <w:rPr>
          <w:rFonts w:ascii="Times New Roman" w:eastAsia="Calibri" w:hAnsi="Times New Roman"/>
          <w:b/>
          <w:i/>
          <w:sz w:val="8"/>
          <w:szCs w:val="8"/>
        </w:rPr>
      </w:pPr>
    </w:p>
    <w:p w:rsidR="00801378" w:rsidRPr="00E3015D" w:rsidRDefault="00801378" w:rsidP="00801378">
      <w:pPr>
        <w:spacing w:after="0" w:line="240" w:lineRule="auto"/>
        <w:ind w:firstLine="720"/>
        <w:jc w:val="center"/>
        <w:rPr>
          <w:rFonts w:ascii="Times New Roman" w:eastAsia="Calibri" w:hAnsi="Times New Roman"/>
          <w:b/>
          <w:sz w:val="24"/>
          <w:szCs w:val="24"/>
        </w:rPr>
      </w:pPr>
      <w:r w:rsidRPr="00E3015D">
        <w:rPr>
          <w:rFonts w:ascii="Times New Roman" w:eastAsia="Calibri" w:hAnsi="Times New Roman"/>
          <w:b/>
          <w:sz w:val="24"/>
          <w:szCs w:val="24"/>
        </w:rPr>
        <w:t xml:space="preserve">Структура неналоговых поступлений в доходную часть </w:t>
      </w:r>
    </w:p>
    <w:p w:rsidR="00801378" w:rsidRPr="00E3015D" w:rsidRDefault="00801378" w:rsidP="00801378">
      <w:pPr>
        <w:spacing w:after="0" w:line="240" w:lineRule="auto"/>
        <w:ind w:left="142"/>
        <w:jc w:val="center"/>
        <w:rPr>
          <w:rFonts w:ascii="Times New Roman" w:eastAsia="Calibri" w:hAnsi="Times New Roman"/>
          <w:b/>
          <w:sz w:val="24"/>
          <w:szCs w:val="24"/>
        </w:rPr>
      </w:pPr>
      <w:r w:rsidRPr="00E3015D">
        <w:rPr>
          <w:rFonts w:ascii="Times New Roman" w:eastAsia="Calibri" w:hAnsi="Times New Roman"/>
          <w:b/>
          <w:sz w:val="24"/>
          <w:szCs w:val="24"/>
        </w:rPr>
        <w:t>Консолидированного бюджета</w:t>
      </w:r>
      <w:proofErr w:type="gramStart"/>
      <w:r w:rsidRPr="00E3015D">
        <w:rPr>
          <w:rFonts w:ascii="Times New Roman" w:eastAsia="Calibri" w:hAnsi="Times New Roman"/>
          <w:b/>
          <w:sz w:val="24"/>
          <w:szCs w:val="24"/>
        </w:rPr>
        <w:t xml:space="preserve"> (%)</w:t>
      </w:r>
      <w:proofErr w:type="gramEnd"/>
    </w:p>
    <w:p w:rsidR="00801378" w:rsidRPr="00E3015D" w:rsidRDefault="00801378" w:rsidP="00801378">
      <w:pPr>
        <w:spacing w:after="0" w:line="240" w:lineRule="auto"/>
        <w:jc w:val="both"/>
        <w:rPr>
          <w:rFonts w:ascii="Times New Roman" w:eastAsia="Calibri" w:hAnsi="Times New Roman"/>
          <w:sz w:val="24"/>
          <w:szCs w:val="24"/>
        </w:rPr>
      </w:pPr>
      <w:r w:rsidRPr="00E3015D">
        <w:rPr>
          <w:rFonts w:ascii="Times New Roman" w:eastAsia="Calibri" w:hAnsi="Times New Roman"/>
          <w:noProof/>
          <w:sz w:val="24"/>
          <w:szCs w:val="24"/>
        </w:rPr>
        <w:drawing>
          <wp:inline distT="0" distB="0" distL="0" distR="0">
            <wp:extent cx="2695575" cy="2466975"/>
            <wp:effectExtent l="19050" t="0" r="0" b="0"/>
            <wp:docPr id="13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E3015D">
        <w:rPr>
          <w:rFonts w:ascii="Times New Roman" w:eastAsia="Calibri" w:hAnsi="Times New Roman"/>
          <w:noProof/>
          <w:sz w:val="24"/>
          <w:szCs w:val="24"/>
        </w:rPr>
        <w:drawing>
          <wp:inline distT="0" distB="0" distL="0" distR="0">
            <wp:extent cx="3200400" cy="2466975"/>
            <wp:effectExtent l="19050" t="0" r="0" b="0"/>
            <wp:docPr id="13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01378" w:rsidRPr="00E3015D" w:rsidRDefault="00801378" w:rsidP="00801378">
      <w:pPr>
        <w:spacing w:after="0" w:line="240" w:lineRule="auto"/>
        <w:ind w:firstLine="709"/>
        <w:jc w:val="both"/>
        <w:rPr>
          <w:rFonts w:ascii="Times New Roman" w:eastAsia="Calibri" w:hAnsi="Times New Roman"/>
          <w:spacing w:val="-4"/>
          <w:sz w:val="24"/>
          <w:szCs w:val="24"/>
        </w:rPr>
      </w:pPr>
      <w:r w:rsidRPr="00E3015D">
        <w:rPr>
          <w:rFonts w:ascii="Times New Roman" w:eastAsia="Calibri" w:hAnsi="Times New Roman"/>
          <w:sz w:val="24"/>
          <w:szCs w:val="24"/>
        </w:rPr>
        <w:lastRenderedPageBreak/>
        <w:t xml:space="preserve">По итогам отчетного года доходы </w:t>
      </w:r>
      <w:r w:rsidRPr="00E3015D">
        <w:rPr>
          <w:rFonts w:ascii="Times New Roman" w:eastAsia="Calibri" w:hAnsi="Times New Roman"/>
          <w:b/>
          <w:sz w:val="24"/>
          <w:szCs w:val="24"/>
        </w:rPr>
        <w:t>целевых бюджетных фондов</w:t>
      </w:r>
      <w:r w:rsidRPr="00E3015D">
        <w:rPr>
          <w:rFonts w:ascii="Times New Roman" w:eastAsia="Calibri" w:hAnsi="Times New Roman"/>
          <w:sz w:val="24"/>
          <w:szCs w:val="24"/>
        </w:rPr>
        <w:t xml:space="preserve"> увеличились на 18,5%. При этом рост отмечен по платежам в </w:t>
      </w:r>
      <w:r w:rsidRPr="00E3015D">
        <w:rPr>
          <w:rFonts w:ascii="Times New Roman" w:eastAsia="Calibri" w:hAnsi="Times New Roman"/>
          <w:b/>
          <w:sz w:val="24"/>
          <w:szCs w:val="24"/>
        </w:rPr>
        <w:t>дорожные фонды</w:t>
      </w:r>
      <w:r w:rsidRPr="00E3015D">
        <w:rPr>
          <w:rFonts w:ascii="Times New Roman" w:eastAsia="Calibri" w:hAnsi="Times New Roman"/>
          <w:sz w:val="24"/>
          <w:szCs w:val="24"/>
        </w:rPr>
        <w:t xml:space="preserve"> на 24,5%. В целевые бюджетные </w:t>
      </w:r>
      <w:r w:rsidRPr="00E3015D">
        <w:rPr>
          <w:rFonts w:ascii="Times New Roman" w:eastAsia="Calibri" w:hAnsi="Times New Roman"/>
          <w:b/>
          <w:sz w:val="24"/>
          <w:szCs w:val="24"/>
        </w:rPr>
        <w:t>экологические фонды</w:t>
      </w:r>
      <w:r w:rsidRPr="00E3015D">
        <w:rPr>
          <w:rFonts w:ascii="Times New Roman" w:eastAsia="Calibri" w:hAnsi="Times New Roman"/>
          <w:sz w:val="24"/>
          <w:szCs w:val="24"/>
        </w:rPr>
        <w:t xml:space="preserve"> поступило средств на 8,6% меньше, чем в 2016 году. </w:t>
      </w:r>
      <w:r w:rsidRPr="00E3015D">
        <w:rPr>
          <w:rFonts w:ascii="Times New Roman" w:eastAsia="Calibri" w:hAnsi="Times New Roman"/>
          <w:b/>
          <w:spacing w:val="-4"/>
          <w:sz w:val="24"/>
          <w:szCs w:val="24"/>
        </w:rPr>
        <w:t>Доходы от предпринимательской и иной приносящей доход деятельности</w:t>
      </w:r>
      <w:r w:rsidRPr="00E3015D">
        <w:rPr>
          <w:rFonts w:ascii="Times New Roman" w:eastAsia="Calibri" w:hAnsi="Times New Roman"/>
          <w:spacing w:val="-4"/>
          <w:sz w:val="24"/>
          <w:szCs w:val="24"/>
        </w:rPr>
        <w:t xml:space="preserve"> за 2017 год также сократились на 5,3% и составили 207 169 735 руб. </w:t>
      </w:r>
      <w:r w:rsidRPr="00E3015D">
        <w:rPr>
          <w:rFonts w:ascii="Times New Roman" w:eastAsia="Calibri" w:hAnsi="Times New Roman"/>
          <w:sz w:val="24"/>
          <w:szCs w:val="24"/>
        </w:rPr>
        <w:t>Поступления сре</w:t>
      </w:r>
      <w:proofErr w:type="gramStart"/>
      <w:r w:rsidRPr="00E3015D">
        <w:rPr>
          <w:rFonts w:ascii="Times New Roman" w:eastAsia="Calibri" w:hAnsi="Times New Roman"/>
          <w:sz w:val="24"/>
          <w:szCs w:val="24"/>
        </w:rPr>
        <w:t>дств в ц</w:t>
      </w:r>
      <w:proofErr w:type="gramEnd"/>
      <w:r w:rsidRPr="00E3015D">
        <w:rPr>
          <w:rFonts w:ascii="Times New Roman" w:eastAsia="Calibri" w:hAnsi="Times New Roman"/>
          <w:sz w:val="24"/>
          <w:szCs w:val="24"/>
        </w:rPr>
        <w:t xml:space="preserve">елевой </w:t>
      </w:r>
      <w:r w:rsidRPr="00E3015D">
        <w:rPr>
          <w:rFonts w:ascii="Times New Roman" w:eastAsia="Calibri" w:hAnsi="Times New Roman"/>
          <w:b/>
          <w:sz w:val="24"/>
          <w:szCs w:val="24"/>
        </w:rPr>
        <w:t>фонд Государственного таможенного комитета</w:t>
      </w:r>
      <w:r w:rsidRPr="00E3015D">
        <w:rPr>
          <w:rFonts w:ascii="Times New Roman" w:eastAsia="Calibri" w:hAnsi="Times New Roman"/>
          <w:sz w:val="24"/>
          <w:szCs w:val="24"/>
        </w:rPr>
        <w:t xml:space="preserve"> за отчетный год выросли на 32,6% до </w:t>
      </w:r>
      <w:r w:rsidR="00030391">
        <w:rPr>
          <w:rFonts w:ascii="Times New Roman" w:eastAsia="Calibri" w:hAnsi="Times New Roman"/>
          <w:sz w:val="24"/>
          <w:szCs w:val="24"/>
        </w:rPr>
        <w:t xml:space="preserve">               </w:t>
      </w:r>
      <w:r w:rsidRPr="00E3015D">
        <w:rPr>
          <w:rFonts w:ascii="Times New Roman" w:eastAsia="Calibri" w:hAnsi="Times New Roman"/>
          <w:sz w:val="24"/>
          <w:szCs w:val="24"/>
        </w:rPr>
        <w:t>53 174 232 руб.</w:t>
      </w:r>
    </w:p>
    <w:p w:rsidR="00801378" w:rsidRPr="00E3015D" w:rsidRDefault="00801378" w:rsidP="00801378">
      <w:pPr>
        <w:spacing w:after="0" w:line="240" w:lineRule="auto"/>
        <w:ind w:firstLine="709"/>
        <w:jc w:val="both"/>
        <w:rPr>
          <w:rFonts w:ascii="Times New Roman" w:eastAsia="Calibri" w:hAnsi="Times New Roman"/>
          <w:spacing w:val="-4"/>
          <w:sz w:val="24"/>
          <w:szCs w:val="24"/>
        </w:rPr>
      </w:pPr>
    </w:p>
    <w:p w:rsidR="00801378" w:rsidRDefault="00801378" w:rsidP="00801378">
      <w:pPr>
        <w:spacing w:after="0" w:line="240" w:lineRule="auto"/>
        <w:ind w:firstLine="709"/>
        <w:jc w:val="both"/>
        <w:rPr>
          <w:rFonts w:ascii="Times New Roman" w:eastAsia="Calibri" w:hAnsi="Times New Roman"/>
          <w:spacing w:val="-4"/>
          <w:sz w:val="24"/>
          <w:szCs w:val="24"/>
        </w:rPr>
      </w:pPr>
      <w:r w:rsidRPr="00E3015D">
        <w:rPr>
          <w:rFonts w:ascii="Times New Roman" w:eastAsia="Calibri" w:hAnsi="Times New Roman"/>
          <w:spacing w:val="-4"/>
          <w:sz w:val="24"/>
          <w:szCs w:val="24"/>
        </w:rPr>
        <w:t>Расходы консолидированного бюджета за 2017 год увеличились на 8,5% до</w:t>
      </w:r>
      <w:r w:rsidR="00030391">
        <w:rPr>
          <w:rFonts w:ascii="Times New Roman" w:eastAsia="Calibri" w:hAnsi="Times New Roman"/>
          <w:spacing w:val="-4"/>
          <w:sz w:val="24"/>
          <w:szCs w:val="24"/>
        </w:rPr>
        <w:t xml:space="preserve">             </w:t>
      </w:r>
      <w:r w:rsidRPr="00E3015D">
        <w:rPr>
          <w:rFonts w:ascii="Times New Roman" w:eastAsia="Calibri" w:hAnsi="Times New Roman"/>
          <w:spacing w:val="-4"/>
          <w:sz w:val="24"/>
          <w:szCs w:val="24"/>
        </w:rPr>
        <w:t xml:space="preserve"> 4 331 094 978 руб., в том числе по республиканскому бюджету - на 12,8%, при этом по местным бюджетам отмечен спад на 1,5%. Общий рост отмечен в основном за счет увеличения капитальных расходов на участие правительства в осуществлении отдельных программ.</w:t>
      </w:r>
    </w:p>
    <w:p w:rsidR="00030391" w:rsidRPr="00030391" w:rsidRDefault="00030391" w:rsidP="00801378">
      <w:pPr>
        <w:spacing w:after="0" w:line="240" w:lineRule="auto"/>
        <w:ind w:firstLine="709"/>
        <w:jc w:val="both"/>
        <w:rPr>
          <w:rFonts w:ascii="Times New Roman" w:eastAsia="Calibri" w:hAnsi="Times New Roman"/>
          <w:spacing w:val="-4"/>
          <w:sz w:val="20"/>
          <w:szCs w:val="20"/>
        </w:rPr>
      </w:pPr>
    </w:p>
    <w:p w:rsidR="00801378" w:rsidRDefault="00801378" w:rsidP="002052E6">
      <w:pPr>
        <w:spacing w:after="0" w:line="240" w:lineRule="auto"/>
        <w:jc w:val="right"/>
        <w:rPr>
          <w:rFonts w:ascii="Times New Roman" w:eastAsia="Calibri" w:hAnsi="Times New Roman"/>
          <w:sz w:val="24"/>
          <w:szCs w:val="24"/>
        </w:rPr>
      </w:pPr>
      <w:r w:rsidRPr="00E3015D">
        <w:rPr>
          <w:rFonts w:ascii="Times New Roman" w:eastAsia="Calibri" w:hAnsi="Times New Roman"/>
          <w:sz w:val="24"/>
          <w:szCs w:val="24"/>
        </w:rPr>
        <w:t>Таблица №</w:t>
      </w:r>
      <w:r w:rsidR="00030391">
        <w:rPr>
          <w:rFonts w:ascii="Times New Roman" w:eastAsia="Calibri" w:hAnsi="Times New Roman"/>
          <w:sz w:val="24"/>
          <w:szCs w:val="24"/>
        </w:rPr>
        <w:t>8</w:t>
      </w:r>
    </w:p>
    <w:p w:rsidR="00030391" w:rsidRPr="00030391" w:rsidRDefault="00030391" w:rsidP="00801378">
      <w:pPr>
        <w:spacing w:after="0" w:line="240" w:lineRule="auto"/>
        <w:rPr>
          <w:rFonts w:ascii="Times New Roman" w:eastAsia="Calibri" w:hAnsi="Times New Roman"/>
          <w:sz w:val="10"/>
          <w:szCs w:val="10"/>
        </w:rPr>
      </w:pPr>
    </w:p>
    <w:p w:rsidR="00801378" w:rsidRPr="00E3015D" w:rsidRDefault="00801378" w:rsidP="00801378">
      <w:pPr>
        <w:spacing w:after="0" w:line="240" w:lineRule="auto"/>
        <w:contextualSpacing/>
        <w:jc w:val="center"/>
        <w:rPr>
          <w:rFonts w:ascii="Times New Roman" w:eastAsia="Calibri" w:hAnsi="Times New Roman"/>
          <w:b/>
        </w:rPr>
      </w:pPr>
      <w:r w:rsidRPr="00E3015D">
        <w:rPr>
          <w:rFonts w:ascii="Times New Roman" w:eastAsia="Calibri" w:hAnsi="Times New Roman"/>
          <w:b/>
        </w:rPr>
        <w:t>Структура исполнения расходной части</w:t>
      </w:r>
    </w:p>
    <w:p w:rsidR="00801378" w:rsidRPr="00E3015D" w:rsidRDefault="00801378" w:rsidP="00801378">
      <w:pPr>
        <w:spacing w:after="0" w:line="240" w:lineRule="auto"/>
        <w:contextualSpacing/>
        <w:jc w:val="center"/>
        <w:rPr>
          <w:rFonts w:ascii="Times New Roman" w:eastAsia="Calibri" w:hAnsi="Times New Roman"/>
          <w:b/>
        </w:rPr>
      </w:pPr>
      <w:r w:rsidRPr="00E3015D">
        <w:rPr>
          <w:rFonts w:ascii="Times New Roman" w:eastAsia="Calibri" w:hAnsi="Times New Roman"/>
          <w:b/>
        </w:rPr>
        <w:t>консолидированного бюджета за 2017 год (руб.)</w:t>
      </w:r>
    </w:p>
    <w:tbl>
      <w:tblPr>
        <w:tblW w:w="9673" w:type="dxa"/>
        <w:tblInd w:w="108" w:type="dxa"/>
        <w:tblLayout w:type="fixed"/>
        <w:tblLook w:val="0000"/>
      </w:tblPr>
      <w:tblGrid>
        <w:gridCol w:w="3396"/>
        <w:gridCol w:w="1866"/>
        <w:gridCol w:w="1866"/>
        <w:gridCol w:w="1019"/>
        <w:gridCol w:w="1526"/>
      </w:tblGrid>
      <w:tr w:rsidR="00801378" w:rsidRPr="00E3015D" w:rsidTr="002052E6">
        <w:trPr>
          <w:trHeight w:val="425"/>
        </w:trPr>
        <w:tc>
          <w:tcPr>
            <w:tcW w:w="3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01378" w:rsidRPr="00E3015D" w:rsidRDefault="00801378" w:rsidP="00A73BD0">
            <w:pPr>
              <w:spacing w:after="0" w:line="240" w:lineRule="auto"/>
              <w:ind w:left="709"/>
              <w:contextualSpacing/>
              <w:rPr>
                <w:rFonts w:ascii="Times New Roman" w:eastAsia="Calibri" w:hAnsi="Times New Roman"/>
                <w:b/>
              </w:rPr>
            </w:pPr>
          </w:p>
        </w:tc>
        <w:tc>
          <w:tcPr>
            <w:tcW w:w="18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01378" w:rsidRPr="00E3015D" w:rsidRDefault="00801378" w:rsidP="00A73BD0">
            <w:pPr>
              <w:spacing w:after="0" w:line="240" w:lineRule="auto"/>
              <w:contextualSpacing/>
              <w:jc w:val="center"/>
              <w:rPr>
                <w:rFonts w:ascii="Times New Roman" w:eastAsia="Calibri" w:hAnsi="Times New Roman"/>
                <w:b/>
              </w:rPr>
            </w:pPr>
            <w:r w:rsidRPr="00E3015D">
              <w:rPr>
                <w:rFonts w:ascii="Times New Roman" w:eastAsia="Calibri" w:hAnsi="Times New Roman"/>
                <w:b/>
              </w:rPr>
              <w:t>План</w:t>
            </w:r>
          </w:p>
        </w:tc>
        <w:tc>
          <w:tcPr>
            <w:tcW w:w="18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01378" w:rsidRPr="00E3015D" w:rsidRDefault="00801378" w:rsidP="00A73BD0">
            <w:pPr>
              <w:spacing w:after="0" w:line="240" w:lineRule="auto"/>
              <w:contextualSpacing/>
              <w:jc w:val="center"/>
              <w:rPr>
                <w:rFonts w:ascii="Times New Roman" w:eastAsia="Calibri" w:hAnsi="Times New Roman"/>
                <w:b/>
              </w:rPr>
            </w:pPr>
            <w:r w:rsidRPr="00E3015D">
              <w:rPr>
                <w:rFonts w:ascii="Times New Roman" w:eastAsia="Calibri" w:hAnsi="Times New Roman"/>
                <w:b/>
              </w:rPr>
              <w:t>Факт</w:t>
            </w:r>
          </w:p>
        </w:tc>
        <w:tc>
          <w:tcPr>
            <w:tcW w:w="10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01378" w:rsidRPr="00E3015D" w:rsidRDefault="00801378" w:rsidP="00A73BD0">
            <w:pPr>
              <w:spacing w:after="0" w:line="240" w:lineRule="auto"/>
              <w:contextualSpacing/>
              <w:jc w:val="center"/>
              <w:rPr>
                <w:rFonts w:ascii="Times New Roman" w:eastAsia="Calibri" w:hAnsi="Times New Roman"/>
                <w:b/>
              </w:rPr>
            </w:pPr>
            <w:r w:rsidRPr="00E3015D">
              <w:rPr>
                <w:rFonts w:ascii="Times New Roman" w:eastAsia="Calibri" w:hAnsi="Times New Roman"/>
                <w:b/>
              </w:rPr>
              <w:t>% исполнения</w:t>
            </w:r>
          </w:p>
        </w:tc>
        <w:tc>
          <w:tcPr>
            <w:tcW w:w="1526" w:type="dxa"/>
            <w:tcBorders>
              <w:top w:val="single" w:sz="4" w:space="0" w:color="auto"/>
              <w:left w:val="nil"/>
              <w:bottom w:val="single" w:sz="4" w:space="0" w:color="auto"/>
              <w:right w:val="single" w:sz="4" w:space="0" w:color="auto"/>
            </w:tcBorders>
            <w:shd w:val="clear" w:color="auto" w:fill="D9D9D9" w:themeFill="background1" w:themeFillShade="D9"/>
          </w:tcPr>
          <w:p w:rsidR="00801378" w:rsidRPr="00E3015D" w:rsidRDefault="00801378" w:rsidP="00A73BD0">
            <w:pPr>
              <w:spacing w:after="0" w:line="240" w:lineRule="auto"/>
              <w:ind w:right="-73"/>
              <w:contextualSpacing/>
              <w:jc w:val="center"/>
              <w:rPr>
                <w:rFonts w:ascii="Times New Roman" w:eastAsia="Calibri" w:hAnsi="Times New Roman"/>
                <w:b/>
              </w:rPr>
            </w:pPr>
            <w:r w:rsidRPr="00E3015D">
              <w:rPr>
                <w:rFonts w:ascii="Times New Roman" w:eastAsia="Calibri" w:hAnsi="Times New Roman"/>
                <w:b/>
              </w:rPr>
              <w:t>Темп роста 2017г. к 2016г., %</w:t>
            </w:r>
          </w:p>
        </w:tc>
      </w:tr>
      <w:tr w:rsidR="00801378" w:rsidRPr="00E3015D" w:rsidTr="002052E6">
        <w:trPr>
          <w:trHeight w:val="96"/>
        </w:trPr>
        <w:tc>
          <w:tcPr>
            <w:tcW w:w="3396" w:type="dxa"/>
            <w:tcBorders>
              <w:top w:val="nil"/>
              <w:left w:val="single" w:sz="4" w:space="0" w:color="auto"/>
              <w:bottom w:val="single" w:sz="4" w:space="0" w:color="auto"/>
              <w:right w:val="single" w:sz="4" w:space="0" w:color="auto"/>
            </w:tcBorders>
            <w:noWrap/>
          </w:tcPr>
          <w:p w:rsidR="00801378" w:rsidRPr="00E3015D" w:rsidRDefault="00801378" w:rsidP="00A73BD0">
            <w:pPr>
              <w:spacing w:after="0" w:line="240" w:lineRule="auto"/>
              <w:contextualSpacing/>
              <w:rPr>
                <w:rFonts w:ascii="Times New Roman" w:eastAsia="Calibri" w:hAnsi="Times New Roman"/>
                <w:b/>
                <w:bCs/>
              </w:rPr>
            </w:pPr>
            <w:r w:rsidRPr="00E3015D">
              <w:rPr>
                <w:rFonts w:ascii="Times New Roman" w:eastAsia="Calibri" w:hAnsi="Times New Roman"/>
                <w:b/>
                <w:bCs/>
              </w:rPr>
              <w:t>Консолидированный бюджет</w:t>
            </w:r>
          </w:p>
        </w:tc>
        <w:tc>
          <w:tcPr>
            <w:tcW w:w="1866" w:type="dxa"/>
            <w:tcBorders>
              <w:top w:val="nil"/>
              <w:left w:val="nil"/>
              <w:bottom w:val="single" w:sz="4" w:space="0" w:color="auto"/>
              <w:right w:val="single" w:sz="4" w:space="0" w:color="auto"/>
            </w:tcBorders>
            <w:noWrap/>
            <w:vAlign w:val="center"/>
          </w:tcPr>
          <w:p w:rsidR="00801378" w:rsidRPr="00E3015D" w:rsidRDefault="00801378" w:rsidP="00A73BD0">
            <w:pPr>
              <w:spacing w:after="0" w:line="240" w:lineRule="auto"/>
              <w:contextualSpacing/>
              <w:jc w:val="center"/>
              <w:rPr>
                <w:rFonts w:ascii="Times New Roman" w:eastAsia="Calibri" w:hAnsi="Times New Roman"/>
                <w:b/>
                <w:bCs/>
              </w:rPr>
            </w:pPr>
            <w:r w:rsidRPr="00E3015D">
              <w:rPr>
                <w:rFonts w:ascii="Times New Roman" w:eastAsia="Calibri" w:hAnsi="Times New Roman"/>
                <w:b/>
                <w:bCs/>
              </w:rPr>
              <w:t xml:space="preserve">5 211 085 230 </w:t>
            </w:r>
          </w:p>
        </w:tc>
        <w:tc>
          <w:tcPr>
            <w:tcW w:w="1866" w:type="dxa"/>
            <w:tcBorders>
              <w:top w:val="nil"/>
              <w:left w:val="nil"/>
              <w:bottom w:val="single" w:sz="4" w:space="0" w:color="auto"/>
              <w:right w:val="single" w:sz="4" w:space="0" w:color="auto"/>
            </w:tcBorders>
            <w:noWrap/>
            <w:vAlign w:val="center"/>
          </w:tcPr>
          <w:p w:rsidR="00801378" w:rsidRPr="00E3015D" w:rsidRDefault="00801378" w:rsidP="00A73BD0">
            <w:pPr>
              <w:spacing w:after="0" w:line="240" w:lineRule="auto"/>
              <w:contextualSpacing/>
              <w:jc w:val="center"/>
              <w:rPr>
                <w:rFonts w:ascii="Times New Roman" w:eastAsia="Calibri" w:hAnsi="Times New Roman"/>
                <w:b/>
                <w:bCs/>
              </w:rPr>
            </w:pPr>
            <w:r w:rsidRPr="00E3015D">
              <w:rPr>
                <w:rFonts w:ascii="Times New Roman" w:eastAsia="Calibri" w:hAnsi="Times New Roman"/>
                <w:b/>
                <w:bCs/>
              </w:rPr>
              <w:t xml:space="preserve">4 331 094 978 </w:t>
            </w:r>
          </w:p>
        </w:tc>
        <w:tc>
          <w:tcPr>
            <w:tcW w:w="1019" w:type="dxa"/>
            <w:tcBorders>
              <w:top w:val="nil"/>
              <w:left w:val="nil"/>
              <w:bottom w:val="single" w:sz="4" w:space="0" w:color="auto"/>
              <w:right w:val="single" w:sz="4" w:space="0" w:color="auto"/>
            </w:tcBorders>
            <w:noWrap/>
            <w:vAlign w:val="center"/>
          </w:tcPr>
          <w:p w:rsidR="00801378" w:rsidRPr="00E3015D" w:rsidRDefault="00801378" w:rsidP="00A73BD0">
            <w:pPr>
              <w:spacing w:after="0" w:line="240" w:lineRule="auto"/>
              <w:contextualSpacing/>
              <w:jc w:val="center"/>
              <w:rPr>
                <w:rFonts w:ascii="Times New Roman" w:eastAsia="Calibri" w:hAnsi="Times New Roman"/>
                <w:b/>
                <w:bCs/>
              </w:rPr>
            </w:pPr>
            <w:r w:rsidRPr="00E3015D">
              <w:rPr>
                <w:rFonts w:ascii="Times New Roman" w:eastAsia="Calibri" w:hAnsi="Times New Roman"/>
                <w:b/>
                <w:bCs/>
              </w:rPr>
              <w:t>83,1</w:t>
            </w:r>
          </w:p>
        </w:tc>
        <w:tc>
          <w:tcPr>
            <w:tcW w:w="1526" w:type="dxa"/>
            <w:tcBorders>
              <w:top w:val="nil"/>
              <w:left w:val="nil"/>
              <w:bottom w:val="single" w:sz="4" w:space="0" w:color="auto"/>
              <w:right w:val="single" w:sz="4" w:space="0" w:color="auto"/>
            </w:tcBorders>
            <w:vAlign w:val="center"/>
          </w:tcPr>
          <w:p w:rsidR="00801378" w:rsidRPr="00E3015D" w:rsidRDefault="00801378" w:rsidP="00A73BD0">
            <w:pPr>
              <w:spacing w:after="0" w:line="240" w:lineRule="auto"/>
              <w:contextualSpacing/>
              <w:jc w:val="center"/>
              <w:rPr>
                <w:rFonts w:ascii="Times New Roman" w:eastAsia="Calibri" w:hAnsi="Times New Roman"/>
                <w:b/>
                <w:bCs/>
              </w:rPr>
            </w:pPr>
            <w:r w:rsidRPr="00E3015D">
              <w:rPr>
                <w:rFonts w:ascii="Times New Roman" w:eastAsia="Calibri" w:hAnsi="Times New Roman"/>
                <w:b/>
                <w:bCs/>
              </w:rPr>
              <w:t>108,5</w:t>
            </w:r>
          </w:p>
        </w:tc>
      </w:tr>
      <w:tr w:rsidR="00801378" w:rsidRPr="00E3015D" w:rsidTr="002052E6">
        <w:trPr>
          <w:trHeight w:val="374"/>
        </w:trPr>
        <w:tc>
          <w:tcPr>
            <w:tcW w:w="3396" w:type="dxa"/>
            <w:tcBorders>
              <w:top w:val="nil"/>
              <w:left w:val="single" w:sz="4" w:space="0" w:color="auto"/>
              <w:bottom w:val="single" w:sz="4" w:space="0" w:color="auto"/>
              <w:right w:val="single" w:sz="4" w:space="0" w:color="auto"/>
            </w:tcBorders>
            <w:noWrap/>
          </w:tcPr>
          <w:p w:rsidR="00801378" w:rsidRPr="00E3015D" w:rsidRDefault="00801378" w:rsidP="00A73BD0">
            <w:pPr>
              <w:spacing w:after="0" w:line="240" w:lineRule="auto"/>
              <w:contextualSpacing/>
              <w:rPr>
                <w:rFonts w:ascii="Times New Roman" w:eastAsia="Calibri" w:hAnsi="Times New Roman"/>
                <w:bCs/>
              </w:rPr>
            </w:pPr>
            <w:r w:rsidRPr="00E3015D">
              <w:rPr>
                <w:rFonts w:ascii="Times New Roman" w:eastAsia="Calibri" w:hAnsi="Times New Roman"/>
                <w:bCs/>
              </w:rPr>
              <w:t>Республиканский бюджет</w:t>
            </w:r>
          </w:p>
        </w:tc>
        <w:tc>
          <w:tcPr>
            <w:tcW w:w="1866" w:type="dxa"/>
            <w:tcBorders>
              <w:top w:val="nil"/>
              <w:left w:val="nil"/>
              <w:bottom w:val="single" w:sz="4" w:space="0" w:color="auto"/>
              <w:right w:val="single" w:sz="4" w:space="0" w:color="auto"/>
            </w:tcBorders>
            <w:noWrap/>
            <w:vAlign w:val="center"/>
          </w:tcPr>
          <w:p w:rsidR="00801378" w:rsidRPr="00E3015D" w:rsidRDefault="00801378" w:rsidP="00A73BD0">
            <w:pPr>
              <w:spacing w:after="0" w:line="240" w:lineRule="auto"/>
              <w:contextualSpacing/>
              <w:jc w:val="center"/>
              <w:rPr>
                <w:rFonts w:ascii="Times New Roman" w:eastAsia="Calibri" w:hAnsi="Times New Roman"/>
                <w:bCs/>
              </w:rPr>
            </w:pPr>
            <w:r w:rsidRPr="00E3015D">
              <w:rPr>
                <w:rFonts w:ascii="Times New Roman" w:eastAsia="Calibri" w:hAnsi="Times New Roman"/>
                <w:bCs/>
              </w:rPr>
              <w:t xml:space="preserve">3 912 285 455 </w:t>
            </w:r>
          </w:p>
        </w:tc>
        <w:tc>
          <w:tcPr>
            <w:tcW w:w="1866" w:type="dxa"/>
            <w:tcBorders>
              <w:top w:val="nil"/>
              <w:left w:val="nil"/>
              <w:bottom w:val="single" w:sz="4" w:space="0" w:color="auto"/>
              <w:right w:val="single" w:sz="4" w:space="0" w:color="auto"/>
            </w:tcBorders>
            <w:noWrap/>
            <w:vAlign w:val="center"/>
          </w:tcPr>
          <w:p w:rsidR="00801378" w:rsidRPr="00E3015D" w:rsidRDefault="00801378" w:rsidP="00A73BD0">
            <w:pPr>
              <w:spacing w:after="0" w:line="240" w:lineRule="auto"/>
              <w:contextualSpacing/>
              <w:jc w:val="center"/>
              <w:rPr>
                <w:rFonts w:ascii="Times New Roman" w:eastAsia="Calibri" w:hAnsi="Times New Roman"/>
                <w:bCs/>
              </w:rPr>
            </w:pPr>
            <w:r w:rsidRPr="00E3015D">
              <w:rPr>
                <w:rFonts w:ascii="Times New Roman" w:eastAsia="Calibri" w:hAnsi="Times New Roman"/>
                <w:bCs/>
              </w:rPr>
              <w:t xml:space="preserve">3 134 475 370 </w:t>
            </w:r>
          </w:p>
        </w:tc>
        <w:tc>
          <w:tcPr>
            <w:tcW w:w="1019" w:type="dxa"/>
            <w:tcBorders>
              <w:top w:val="nil"/>
              <w:left w:val="nil"/>
              <w:bottom w:val="single" w:sz="4" w:space="0" w:color="auto"/>
              <w:right w:val="single" w:sz="4" w:space="0" w:color="auto"/>
            </w:tcBorders>
            <w:noWrap/>
            <w:vAlign w:val="center"/>
          </w:tcPr>
          <w:p w:rsidR="00801378" w:rsidRPr="00E3015D" w:rsidRDefault="00801378" w:rsidP="00A73BD0">
            <w:pPr>
              <w:spacing w:after="0" w:line="240" w:lineRule="auto"/>
              <w:contextualSpacing/>
              <w:jc w:val="center"/>
              <w:rPr>
                <w:rFonts w:ascii="Times New Roman" w:eastAsia="Calibri" w:hAnsi="Times New Roman"/>
                <w:bCs/>
              </w:rPr>
            </w:pPr>
            <w:r w:rsidRPr="00E3015D">
              <w:rPr>
                <w:rFonts w:ascii="Times New Roman" w:eastAsia="Calibri" w:hAnsi="Times New Roman"/>
                <w:bCs/>
              </w:rPr>
              <w:t>80,1</w:t>
            </w:r>
          </w:p>
        </w:tc>
        <w:tc>
          <w:tcPr>
            <w:tcW w:w="1526" w:type="dxa"/>
            <w:tcBorders>
              <w:top w:val="nil"/>
              <w:left w:val="nil"/>
              <w:bottom w:val="single" w:sz="4" w:space="0" w:color="auto"/>
              <w:right w:val="single" w:sz="4" w:space="0" w:color="auto"/>
            </w:tcBorders>
          </w:tcPr>
          <w:p w:rsidR="00801378" w:rsidRPr="00E3015D" w:rsidRDefault="00801378" w:rsidP="00A73BD0">
            <w:pPr>
              <w:spacing w:after="0" w:line="240" w:lineRule="auto"/>
              <w:contextualSpacing/>
              <w:jc w:val="center"/>
              <w:rPr>
                <w:rFonts w:ascii="Times New Roman" w:eastAsia="Calibri" w:hAnsi="Times New Roman"/>
                <w:bCs/>
              </w:rPr>
            </w:pPr>
            <w:r w:rsidRPr="00E3015D">
              <w:rPr>
                <w:rFonts w:ascii="Times New Roman" w:eastAsia="Calibri" w:hAnsi="Times New Roman"/>
                <w:bCs/>
              </w:rPr>
              <w:t>112,8</w:t>
            </w:r>
          </w:p>
        </w:tc>
      </w:tr>
      <w:tr w:rsidR="00801378" w:rsidRPr="00E3015D" w:rsidTr="002052E6">
        <w:trPr>
          <w:trHeight w:val="346"/>
        </w:trPr>
        <w:tc>
          <w:tcPr>
            <w:tcW w:w="3396" w:type="dxa"/>
            <w:tcBorders>
              <w:top w:val="nil"/>
              <w:left w:val="single" w:sz="4" w:space="0" w:color="auto"/>
              <w:bottom w:val="single" w:sz="4" w:space="0" w:color="auto"/>
              <w:right w:val="single" w:sz="4" w:space="0" w:color="auto"/>
            </w:tcBorders>
            <w:noWrap/>
          </w:tcPr>
          <w:p w:rsidR="00801378" w:rsidRPr="00E3015D" w:rsidRDefault="00801378" w:rsidP="00A73BD0">
            <w:pPr>
              <w:spacing w:after="0" w:line="240" w:lineRule="auto"/>
              <w:contextualSpacing/>
              <w:rPr>
                <w:rFonts w:ascii="Times New Roman" w:eastAsia="Calibri" w:hAnsi="Times New Roman"/>
                <w:bCs/>
              </w:rPr>
            </w:pPr>
            <w:r w:rsidRPr="00E3015D">
              <w:rPr>
                <w:rFonts w:ascii="Times New Roman" w:eastAsia="Calibri" w:hAnsi="Times New Roman"/>
                <w:bCs/>
              </w:rPr>
              <w:t>Местные бюджеты, в т.ч.</w:t>
            </w:r>
          </w:p>
        </w:tc>
        <w:tc>
          <w:tcPr>
            <w:tcW w:w="1866" w:type="dxa"/>
            <w:tcBorders>
              <w:top w:val="nil"/>
              <w:left w:val="nil"/>
              <w:bottom w:val="single" w:sz="4" w:space="0" w:color="auto"/>
              <w:right w:val="single" w:sz="4" w:space="0" w:color="auto"/>
            </w:tcBorders>
            <w:noWrap/>
            <w:vAlign w:val="center"/>
          </w:tcPr>
          <w:p w:rsidR="00801378" w:rsidRPr="00E3015D" w:rsidRDefault="00801378" w:rsidP="00A73BD0">
            <w:pPr>
              <w:spacing w:after="0" w:line="240" w:lineRule="auto"/>
              <w:contextualSpacing/>
              <w:jc w:val="center"/>
              <w:rPr>
                <w:rFonts w:ascii="Times New Roman" w:eastAsia="Calibri" w:hAnsi="Times New Roman"/>
                <w:bCs/>
              </w:rPr>
            </w:pPr>
            <w:r w:rsidRPr="00E3015D">
              <w:rPr>
                <w:rFonts w:ascii="Times New Roman" w:eastAsia="Calibri" w:hAnsi="Times New Roman"/>
                <w:bCs/>
              </w:rPr>
              <w:t xml:space="preserve">1 298 799 775 </w:t>
            </w:r>
          </w:p>
        </w:tc>
        <w:tc>
          <w:tcPr>
            <w:tcW w:w="1866" w:type="dxa"/>
            <w:tcBorders>
              <w:top w:val="nil"/>
              <w:left w:val="nil"/>
              <w:bottom w:val="single" w:sz="4" w:space="0" w:color="auto"/>
              <w:right w:val="single" w:sz="4" w:space="0" w:color="auto"/>
            </w:tcBorders>
            <w:noWrap/>
            <w:vAlign w:val="center"/>
          </w:tcPr>
          <w:p w:rsidR="00801378" w:rsidRPr="00E3015D" w:rsidRDefault="00801378" w:rsidP="00A73BD0">
            <w:pPr>
              <w:spacing w:after="0" w:line="240" w:lineRule="auto"/>
              <w:contextualSpacing/>
              <w:jc w:val="center"/>
              <w:rPr>
                <w:rFonts w:ascii="Times New Roman" w:eastAsia="Calibri" w:hAnsi="Times New Roman"/>
                <w:bCs/>
              </w:rPr>
            </w:pPr>
            <w:r w:rsidRPr="00E3015D">
              <w:rPr>
                <w:rFonts w:ascii="Times New Roman" w:eastAsia="Calibri" w:hAnsi="Times New Roman"/>
                <w:bCs/>
              </w:rPr>
              <w:t xml:space="preserve">1 196 619 608 </w:t>
            </w:r>
          </w:p>
        </w:tc>
        <w:tc>
          <w:tcPr>
            <w:tcW w:w="1019" w:type="dxa"/>
            <w:tcBorders>
              <w:top w:val="nil"/>
              <w:left w:val="nil"/>
              <w:bottom w:val="single" w:sz="4" w:space="0" w:color="auto"/>
              <w:right w:val="single" w:sz="4" w:space="0" w:color="auto"/>
            </w:tcBorders>
            <w:noWrap/>
            <w:vAlign w:val="center"/>
          </w:tcPr>
          <w:p w:rsidR="00801378" w:rsidRPr="00E3015D" w:rsidRDefault="00801378" w:rsidP="00A73BD0">
            <w:pPr>
              <w:spacing w:after="0" w:line="240" w:lineRule="auto"/>
              <w:contextualSpacing/>
              <w:jc w:val="center"/>
              <w:rPr>
                <w:rFonts w:ascii="Times New Roman" w:eastAsia="Calibri" w:hAnsi="Times New Roman"/>
                <w:bCs/>
              </w:rPr>
            </w:pPr>
            <w:r w:rsidRPr="00E3015D">
              <w:rPr>
                <w:rFonts w:ascii="Times New Roman" w:eastAsia="Calibri" w:hAnsi="Times New Roman"/>
                <w:bCs/>
              </w:rPr>
              <w:t>92,1</w:t>
            </w:r>
          </w:p>
        </w:tc>
        <w:tc>
          <w:tcPr>
            <w:tcW w:w="1526" w:type="dxa"/>
            <w:tcBorders>
              <w:top w:val="nil"/>
              <w:left w:val="nil"/>
              <w:bottom w:val="single" w:sz="4" w:space="0" w:color="auto"/>
              <w:right w:val="single" w:sz="4" w:space="0" w:color="auto"/>
            </w:tcBorders>
          </w:tcPr>
          <w:p w:rsidR="00801378" w:rsidRPr="00E3015D" w:rsidRDefault="00801378" w:rsidP="00A73BD0">
            <w:pPr>
              <w:spacing w:after="0" w:line="240" w:lineRule="auto"/>
              <w:contextualSpacing/>
              <w:jc w:val="center"/>
              <w:rPr>
                <w:rFonts w:ascii="Times New Roman" w:eastAsia="Calibri" w:hAnsi="Times New Roman"/>
                <w:bCs/>
              </w:rPr>
            </w:pPr>
            <w:r w:rsidRPr="00E3015D">
              <w:rPr>
                <w:rFonts w:ascii="Times New Roman" w:eastAsia="Calibri" w:hAnsi="Times New Roman"/>
                <w:bCs/>
              </w:rPr>
              <w:t>98,5</w:t>
            </w:r>
          </w:p>
        </w:tc>
      </w:tr>
    </w:tbl>
    <w:p w:rsidR="00801378" w:rsidRPr="00030391" w:rsidRDefault="00801378" w:rsidP="00801378">
      <w:pPr>
        <w:spacing w:line="240" w:lineRule="auto"/>
        <w:ind w:firstLine="709"/>
        <w:contextualSpacing/>
        <w:jc w:val="both"/>
        <w:rPr>
          <w:rFonts w:ascii="Times New Roman" w:eastAsia="Calibri" w:hAnsi="Times New Roman"/>
          <w:sz w:val="10"/>
          <w:szCs w:val="10"/>
        </w:rPr>
      </w:pPr>
    </w:p>
    <w:p w:rsidR="00030391" w:rsidRDefault="00030391" w:rsidP="00030391">
      <w:pPr>
        <w:spacing w:line="240" w:lineRule="auto"/>
        <w:ind w:firstLine="993"/>
        <w:contextualSpacing/>
        <w:jc w:val="both"/>
        <w:rPr>
          <w:rFonts w:ascii="Times New Roman" w:eastAsia="Calibri" w:hAnsi="Times New Roman"/>
          <w:sz w:val="24"/>
          <w:szCs w:val="24"/>
        </w:rPr>
      </w:pPr>
      <w:r w:rsidRPr="00E3015D">
        <w:rPr>
          <w:rFonts w:ascii="Times New Roman" w:eastAsia="Calibri" w:hAnsi="Times New Roman"/>
          <w:noProof/>
          <w:sz w:val="24"/>
          <w:szCs w:val="24"/>
        </w:rPr>
        <w:drawing>
          <wp:inline distT="0" distB="0" distL="0" distR="0">
            <wp:extent cx="4400550" cy="1971675"/>
            <wp:effectExtent l="0" t="0" r="0" b="0"/>
            <wp:docPr id="1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30391" w:rsidRPr="00030391" w:rsidRDefault="00030391" w:rsidP="00801378">
      <w:pPr>
        <w:spacing w:line="240" w:lineRule="auto"/>
        <w:ind w:firstLine="709"/>
        <w:contextualSpacing/>
        <w:jc w:val="both"/>
        <w:rPr>
          <w:rFonts w:ascii="Times New Roman" w:eastAsia="Calibri" w:hAnsi="Times New Roman"/>
          <w:sz w:val="20"/>
          <w:szCs w:val="20"/>
        </w:rPr>
      </w:pPr>
    </w:p>
    <w:p w:rsidR="00801378" w:rsidRPr="00E3015D" w:rsidRDefault="00801378" w:rsidP="00801378">
      <w:pPr>
        <w:spacing w:line="240" w:lineRule="auto"/>
        <w:ind w:firstLine="709"/>
        <w:contextualSpacing/>
        <w:jc w:val="both"/>
        <w:rPr>
          <w:rFonts w:ascii="Times New Roman" w:eastAsia="Calibri" w:hAnsi="Times New Roman"/>
          <w:sz w:val="24"/>
          <w:szCs w:val="24"/>
        </w:rPr>
      </w:pPr>
      <w:r w:rsidRPr="00E3015D">
        <w:rPr>
          <w:rFonts w:ascii="Times New Roman" w:eastAsia="Calibri" w:hAnsi="Times New Roman"/>
          <w:sz w:val="24"/>
          <w:szCs w:val="24"/>
        </w:rPr>
        <w:t xml:space="preserve">Фактическое финансирование в 2017 году по основным разделам функциональной классификации расходов осуществлялось достаточно равномерно. Приоритетными направлениями продолжают оставаться здравоохранение (14,6%), социальная политика (11,9%) и образование (7,4%), в 2016 году по этим направлениям было выделено соответственно 18,5%, 13,7% и 9,7% средств соответственно. </w:t>
      </w:r>
      <w:proofErr w:type="gramStart"/>
      <w:r w:rsidRPr="00E3015D">
        <w:rPr>
          <w:rFonts w:ascii="Times New Roman" w:eastAsia="Calibri" w:hAnsi="Times New Roman"/>
          <w:sz w:val="24"/>
          <w:szCs w:val="24"/>
        </w:rPr>
        <w:t>При этом доля фактических расходов государства по финансированию социальных отраслей сократилась на 8,5 п.п. до 35,3% совокупного показателя</w:t>
      </w:r>
      <w:r w:rsidR="009848DD">
        <w:rPr>
          <w:rFonts w:ascii="Times New Roman" w:eastAsia="Calibri" w:hAnsi="Times New Roman"/>
          <w:sz w:val="24"/>
          <w:szCs w:val="24"/>
        </w:rPr>
        <w:t xml:space="preserve"> (рис. 46)</w:t>
      </w:r>
      <w:r w:rsidRPr="00E3015D">
        <w:rPr>
          <w:rFonts w:ascii="Times New Roman" w:eastAsia="Calibri" w:hAnsi="Times New Roman"/>
          <w:sz w:val="24"/>
          <w:szCs w:val="24"/>
        </w:rPr>
        <w:t>, доля прочих расходов (в том числе расходов, профинансированных из средств учреждений, оказывающих платные услуги, а также расходов, направленных на реализацию государственных целевых (и нецелевых) программ) выросла с 12,3% до 28,9%.</w:t>
      </w:r>
      <w:proofErr w:type="gramEnd"/>
    </w:p>
    <w:p w:rsidR="00801378" w:rsidRDefault="00801378" w:rsidP="00801378">
      <w:pPr>
        <w:spacing w:after="0" w:line="240" w:lineRule="auto"/>
        <w:ind w:firstLine="709"/>
        <w:contextualSpacing/>
        <w:jc w:val="both"/>
        <w:rPr>
          <w:rFonts w:ascii="Times New Roman" w:eastAsia="Calibri" w:hAnsi="Times New Roman"/>
          <w:sz w:val="24"/>
          <w:szCs w:val="24"/>
        </w:rPr>
      </w:pPr>
      <w:r w:rsidRPr="00E3015D">
        <w:rPr>
          <w:rFonts w:ascii="Times New Roman" w:eastAsia="Calibri" w:hAnsi="Times New Roman"/>
          <w:sz w:val="24"/>
          <w:szCs w:val="24"/>
        </w:rPr>
        <w:t>В то же время доля расходов на финансовую помощь бюджетам других уровней сократилась с 10,4% до 7,2%.</w:t>
      </w:r>
    </w:p>
    <w:p w:rsidR="002B3FE7" w:rsidRDefault="002B3FE7" w:rsidP="00801378">
      <w:pPr>
        <w:spacing w:after="0" w:line="240" w:lineRule="auto"/>
        <w:ind w:firstLine="709"/>
        <w:contextualSpacing/>
        <w:jc w:val="both"/>
        <w:rPr>
          <w:rFonts w:ascii="Times New Roman" w:eastAsia="Calibri" w:hAnsi="Times New Roman"/>
          <w:sz w:val="24"/>
          <w:szCs w:val="24"/>
        </w:rPr>
      </w:pPr>
    </w:p>
    <w:p w:rsidR="002B3FE7" w:rsidRDefault="002B3FE7" w:rsidP="00801378">
      <w:pPr>
        <w:spacing w:after="0" w:line="240" w:lineRule="auto"/>
        <w:ind w:firstLine="709"/>
        <w:contextualSpacing/>
        <w:jc w:val="both"/>
        <w:rPr>
          <w:rFonts w:ascii="Times New Roman" w:eastAsia="Calibri" w:hAnsi="Times New Roman"/>
          <w:sz w:val="24"/>
          <w:szCs w:val="24"/>
        </w:rPr>
      </w:pPr>
    </w:p>
    <w:p w:rsidR="002B3FE7" w:rsidRDefault="002B3FE7" w:rsidP="00801378">
      <w:pPr>
        <w:spacing w:after="0" w:line="240" w:lineRule="auto"/>
        <w:ind w:firstLine="709"/>
        <w:contextualSpacing/>
        <w:jc w:val="both"/>
        <w:rPr>
          <w:rFonts w:ascii="Times New Roman" w:eastAsia="Calibri" w:hAnsi="Times New Roman"/>
          <w:sz w:val="24"/>
          <w:szCs w:val="24"/>
        </w:rPr>
      </w:pPr>
    </w:p>
    <w:p w:rsidR="002B3FE7" w:rsidRDefault="002B3FE7" w:rsidP="00801378">
      <w:pPr>
        <w:spacing w:after="0" w:line="240" w:lineRule="auto"/>
        <w:ind w:firstLine="709"/>
        <w:contextualSpacing/>
        <w:jc w:val="both"/>
        <w:rPr>
          <w:rFonts w:ascii="Times New Roman" w:eastAsia="Calibri" w:hAnsi="Times New Roman"/>
          <w:sz w:val="24"/>
          <w:szCs w:val="24"/>
        </w:rPr>
      </w:pPr>
    </w:p>
    <w:p w:rsidR="002B3FE7" w:rsidRDefault="002B3FE7" w:rsidP="00801378">
      <w:pPr>
        <w:spacing w:after="0" w:line="240" w:lineRule="auto"/>
        <w:ind w:firstLine="709"/>
        <w:contextualSpacing/>
        <w:jc w:val="both"/>
        <w:rPr>
          <w:rFonts w:ascii="Times New Roman" w:eastAsia="Calibri" w:hAnsi="Times New Roman"/>
          <w:sz w:val="24"/>
          <w:szCs w:val="24"/>
        </w:rPr>
      </w:pPr>
    </w:p>
    <w:p w:rsidR="002B3FE7" w:rsidRDefault="002B3FE7" w:rsidP="00801378">
      <w:pPr>
        <w:spacing w:after="0" w:line="240" w:lineRule="auto"/>
        <w:ind w:firstLine="709"/>
        <w:contextualSpacing/>
        <w:jc w:val="both"/>
        <w:rPr>
          <w:rFonts w:ascii="Times New Roman" w:eastAsia="Calibri" w:hAnsi="Times New Roman"/>
          <w:sz w:val="24"/>
          <w:szCs w:val="24"/>
        </w:rPr>
      </w:pPr>
    </w:p>
    <w:p w:rsidR="002B3FE7" w:rsidRDefault="002B3FE7" w:rsidP="00801378">
      <w:pPr>
        <w:spacing w:after="0" w:line="240" w:lineRule="auto"/>
        <w:ind w:firstLine="709"/>
        <w:contextualSpacing/>
        <w:jc w:val="both"/>
        <w:rPr>
          <w:rFonts w:ascii="Times New Roman" w:eastAsia="Calibri" w:hAnsi="Times New Roman"/>
          <w:sz w:val="24"/>
          <w:szCs w:val="24"/>
        </w:rPr>
      </w:pPr>
    </w:p>
    <w:p w:rsidR="002B3FE7" w:rsidRPr="009848DD" w:rsidRDefault="009848DD" w:rsidP="009848DD">
      <w:pPr>
        <w:spacing w:after="0" w:line="240" w:lineRule="auto"/>
        <w:ind w:firstLine="709"/>
        <w:contextualSpacing/>
        <w:jc w:val="right"/>
        <w:rPr>
          <w:rFonts w:ascii="Times New Roman" w:eastAsia="Calibri" w:hAnsi="Times New Roman"/>
          <w:b/>
          <w:i/>
          <w:sz w:val="24"/>
          <w:szCs w:val="24"/>
        </w:rPr>
      </w:pPr>
      <w:r w:rsidRPr="009848DD">
        <w:rPr>
          <w:rFonts w:ascii="Times New Roman" w:eastAsia="Calibri" w:hAnsi="Times New Roman"/>
          <w:b/>
          <w:i/>
          <w:sz w:val="24"/>
          <w:szCs w:val="24"/>
        </w:rPr>
        <w:lastRenderedPageBreak/>
        <w:t>Рисунок 46</w:t>
      </w:r>
    </w:p>
    <w:p w:rsidR="00801378" w:rsidRPr="00E3015D" w:rsidRDefault="00801378" w:rsidP="00801378">
      <w:pPr>
        <w:spacing w:after="0" w:line="240" w:lineRule="auto"/>
        <w:ind w:right="-284" w:hanging="284"/>
        <w:jc w:val="both"/>
        <w:rPr>
          <w:rFonts w:ascii="Times New Roman" w:eastAsia="Calibri" w:hAnsi="Times New Roman"/>
          <w:sz w:val="24"/>
          <w:szCs w:val="24"/>
        </w:rPr>
      </w:pPr>
      <w:r w:rsidRPr="00E3015D">
        <w:rPr>
          <w:rFonts w:ascii="Times New Roman" w:eastAsia="Calibri" w:hAnsi="Times New Roman"/>
          <w:noProof/>
          <w:sz w:val="24"/>
          <w:szCs w:val="24"/>
        </w:rPr>
        <w:drawing>
          <wp:inline distT="0" distB="0" distL="0" distR="0">
            <wp:extent cx="2600325" cy="2238375"/>
            <wp:effectExtent l="19050" t="0" r="0" b="0"/>
            <wp:docPr id="1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E3015D">
        <w:rPr>
          <w:rFonts w:ascii="Times New Roman" w:eastAsia="Calibri" w:hAnsi="Times New Roman"/>
          <w:noProof/>
          <w:sz w:val="24"/>
          <w:szCs w:val="24"/>
        </w:rPr>
        <w:drawing>
          <wp:inline distT="0" distB="0" distL="0" distR="0">
            <wp:extent cx="3344545" cy="2238375"/>
            <wp:effectExtent l="19050" t="0" r="8255" b="0"/>
            <wp:docPr id="13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01378" w:rsidRPr="00E3015D" w:rsidRDefault="00801378" w:rsidP="00801378">
      <w:pPr>
        <w:spacing w:after="0" w:line="240" w:lineRule="auto"/>
        <w:ind w:firstLine="709"/>
        <w:jc w:val="both"/>
        <w:rPr>
          <w:rFonts w:ascii="Times New Roman" w:eastAsia="Calibri" w:hAnsi="Times New Roman"/>
          <w:sz w:val="24"/>
          <w:szCs w:val="24"/>
        </w:rPr>
      </w:pPr>
      <w:r w:rsidRPr="00E3015D">
        <w:rPr>
          <w:rFonts w:ascii="Times New Roman" w:eastAsia="Calibri" w:hAnsi="Times New Roman"/>
          <w:sz w:val="24"/>
          <w:szCs w:val="24"/>
        </w:rPr>
        <w:t>Благодаря политик</w:t>
      </w:r>
      <w:r w:rsidR="00F9766D">
        <w:rPr>
          <w:rFonts w:ascii="Times New Roman" w:eastAsia="Calibri" w:hAnsi="Times New Roman"/>
          <w:sz w:val="24"/>
          <w:szCs w:val="24"/>
        </w:rPr>
        <w:t>е</w:t>
      </w:r>
      <w:r w:rsidRPr="00E3015D">
        <w:rPr>
          <w:rFonts w:ascii="Times New Roman" w:eastAsia="Calibri" w:hAnsi="Times New Roman"/>
          <w:sz w:val="24"/>
          <w:szCs w:val="24"/>
        </w:rPr>
        <w:t xml:space="preserve"> экономии бюджетных средств, выделяемых на содержание государственного аппарата, произошло уменьшение долевого представления данной статьи с 7,2% до 5,7%.</w:t>
      </w:r>
    </w:p>
    <w:p w:rsidR="00801378" w:rsidRPr="00E3015D" w:rsidRDefault="00801378" w:rsidP="00801378">
      <w:pPr>
        <w:spacing w:after="0" w:line="240" w:lineRule="auto"/>
        <w:ind w:firstLine="709"/>
        <w:jc w:val="both"/>
        <w:rPr>
          <w:rFonts w:ascii="Times New Roman" w:eastAsia="Calibri" w:hAnsi="Times New Roman"/>
          <w:sz w:val="24"/>
          <w:szCs w:val="24"/>
        </w:rPr>
      </w:pPr>
      <w:r w:rsidRPr="00E3015D">
        <w:rPr>
          <w:rFonts w:ascii="Times New Roman" w:eastAsia="Calibri" w:hAnsi="Times New Roman"/>
          <w:sz w:val="24"/>
          <w:szCs w:val="24"/>
        </w:rPr>
        <w:t>Затраты на содержание силовых структур и органов обеспечения правопорядка остаются весомой частью в бюджетных расходах, однако их удельный вес продолжает сокращаться с 15,5% до 12,6%.</w:t>
      </w:r>
    </w:p>
    <w:p w:rsidR="00801378" w:rsidRPr="00E3015D" w:rsidRDefault="00801378" w:rsidP="00801378">
      <w:pPr>
        <w:suppressAutoHyphens/>
        <w:spacing w:after="0" w:line="240" w:lineRule="auto"/>
        <w:ind w:firstLine="709"/>
        <w:jc w:val="both"/>
        <w:rPr>
          <w:rFonts w:ascii="Times New Roman" w:eastAsia="Calibri" w:hAnsi="Times New Roman"/>
          <w:sz w:val="24"/>
          <w:szCs w:val="24"/>
        </w:rPr>
      </w:pPr>
      <w:r w:rsidRPr="00E3015D">
        <w:rPr>
          <w:rFonts w:ascii="Times New Roman" w:eastAsia="Calibri" w:hAnsi="Times New Roman"/>
          <w:sz w:val="24"/>
          <w:szCs w:val="24"/>
        </w:rPr>
        <w:t xml:space="preserve">Направленность расходов консолидированного бюджета 2017 года сохраняла социальный характер, что подтверждается долей расходов фактически профинансированных социально-защищенных статей в суммарном показателе, которая составила 71,3% (-5,2% в абсолютном выражении к базовому показателю 2016 года). </w:t>
      </w:r>
    </w:p>
    <w:p w:rsidR="00801378" w:rsidRPr="00E3015D" w:rsidRDefault="00801378" w:rsidP="00801378">
      <w:pPr>
        <w:suppressAutoHyphens/>
        <w:spacing w:after="0" w:line="240" w:lineRule="auto"/>
        <w:ind w:firstLine="709"/>
        <w:jc w:val="both"/>
        <w:rPr>
          <w:rFonts w:ascii="Times New Roman" w:eastAsia="Calibri" w:hAnsi="Times New Roman"/>
          <w:sz w:val="24"/>
          <w:szCs w:val="24"/>
        </w:rPr>
      </w:pPr>
      <w:r w:rsidRPr="00E3015D">
        <w:rPr>
          <w:rFonts w:ascii="Times New Roman" w:eastAsia="Calibri" w:hAnsi="Times New Roman"/>
          <w:sz w:val="24"/>
          <w:szCs w:val="24"/>
        </w:rPr>
        <w:t xml:space="preserve">Расходы по социально защищенным статьям республиканского бюджета были исполнены на 92,1% и профинансированы в объеме </w:t>
      </w:r>
      <w:r w:rsidRPr="00E3015D">
        <w:rPr>
          <w:rFonts w:ascii="Times New Roman" w:eastAsia="Calibri" w:hAnsi="Times New Roman"/>
          <w:bCs/>
          <w:sz w:val="24"/>
          <w:szCs w:val="24"/>
        </w:rPr>
        <w:t xml:space="preserve">2 188 224 833 </w:t>
      </w:r>
      <w:r w:rsidRPr="00E3015D">
        <w:rPr>
          <w:rFonts w:ascii="Times New Roman" w:eastAsia="Calibri" w:hAnsi="Times New Roman"/>
          <w:sz w:val="24"/>
          <w:szCs w:val="24"/>
        </w:rPr>
        <w:t>руб.</w:t>
      </w:r>
      <w:r w:rsidRPr="00E3015D">
        <w:rPr>
          <w:rFonts w:ascii="Times New Roman" w:eastAsia="Calibri" w:hAnsi="Times New Roman"/>
          <w:spacing w:val="-2"/>
          <w:sz w:val="24"/>
          <w:szCs w:val="24"/>
        </w:rPr>
        <w:t xml:space="preserve"> Наибольший удельный вес в них занимали затраты на выплату заработной платы с учетом взносов на социальное страхование – 59,3%, а также: социальные пенсии – 7,9%; пенсии и пожизненное содержание – 4,6%.</w:t>
      </w:r>
    </w:p>
    <w:p w:rsidR="00801378" w:rsidRPr="00E3015D" w:rsidRDefault="00801378" w:rsidP="00801378">
      <w:pPr>
        <w:shd w:val="clear" w:color="auto" w:fill="FFFFFF"/>
        <w:tabs>
          <w:tab w:val="left" w:pos="7368"/>
        </w:tabs>
        <w:spacing w:line="240" w:lineRule="auto"/>
        <w:ind w:firstLine="709"/>
        <w:contextualSpacing/>
        <w:jc w:val="both"/>
        <w:rPr>
          <w:rFonts w:ascii="Times New Roman" w:eastAsia="Calibri" w:hAnsi="Times New Roman"/>
          <w:spacing w:val="-2"/>
          <w:sz w:val="24"/>
          <w:szCs w:val="24"/>
        </w:rPr>
      </w:pPr>
      <w:r w:rsidRPr="00E3015D">
        <w:rPr>
          <w:rFonts w:ascii="Times New Roman" w:eastAsia="Calibri" w:hAnsi="Times New Roman"/>
          <w:sz w:val="24"/>
          <w:szCs w:val="24"/>
        </w:rPr>
        <w:t xml:space="preserve">Расходы по социально защищенным статьям местных бюджетов были исполнены на 97,9% и составили </w:t>
      </w:r>
      <w:r w:rsidRPr="00E3015D">
        <w:rPr>
          <w:rFonts w:ascii="Times New Roman" w:eastAsia="Calibri" w:hAnsi="Times New Roman"/>
          <w:bCs/>
          <w:sz w:val="24"/>
          <w:szCs w:val="24"/>
        </w:rPr>
        <w:t xml:space="preserve">901 796 898 </w:t>
      </w:r>
      <w:r w:rsidRPr="00E3015D">
        <w:rPr>
          <w:rFonts w:ascii="Times New Roman" w:eastAsia="Calibri" w:hAnsi="Times New Roman"/>
          <w:sz w:val="24"/>
          <w:szCs w:val="24"/>
        </w:rPr>
        <w:t xml:space="preserve">руб., из которых 94,6% было направлено </w:t>
      </w:r>
      <w:r w:rsidRPr="00E3015D">
        <w:rPr>
          <w:rFonts w:ascii="Times New Roman" w:eastAsia="Calibri" w:hAnsi="Times New Roman"/>
          <w:spacing w:val="-2"/>
          <w:sz w:val="24"/>
          <w:szCs w:val="24"/>
        </w:rPr>
        <w:t>на выплату заработной платы с учетом взносов на социальное страхование.</w:t>
      </w:r>
    </w:p>
    <w:p w:rsidR="00801378" w:rsidRPr="00E3015D" w:rsidRDefault="00801378" w:rsidP="00801378">
      <w:pPr>
        <w:spacing w:after="0" w:line="240" w:lineRule="auto"/>
        <w:ind w:firstLine="709"/>
        <w:contextualSpacing/>
        <w:jc w:val="both"/>
        <w:rPr>
          <w:rFonts w:ascii="Times New Roman" w:hAnsi="Times New Roman"/>
          <w:sz w:val="24"/>
          <w:szCs w:val="24"/>
        </w:rPr>
      </w:pPr>
      <w:r w:rsidRPr="00E3015D">
        <w:rPr>
          <w:rFonts w:ascii="Times New Roman" w:hAnsi="Times New Roman"/>
          <w:sz w:val="24"/>
          <w:szCs w:val="24"/>
        </w:rPr>
        <w:t>По итогам 2017 года благодаря проведению оптимальной бюджетно-налоговой политики в результате увеличения деловой активности и роста налоговых поступлений, а также оптимизации расходов в части социальной сферы отмечено сокращение сальдо расходов и доходов консолидированного бюджета на 27,8% до 1 194 497 956 руб., что соответствует 9,7% ВВП.</w:t>
      </w:r>
    </w:p>
    <w:p w:rsidR="00801378" w:rsidRPr="00E3015D" w:rsidRDefault="00801378" w:rsidP="00801378">
      <w:pPr>
        <w:spacing w:after="0" w:line="240" w:lineRule="auto"/>
        <w:ind w:firstLine="709"/>
        <w:jc w:val="right"/>
        <w:rPr>
          <w:rFonts w:ascii="Times New Roman" w:hAnsi="Times New Roman"/>
          <w:sz w:val="24"/>
          <w:szCs w:val="24"/>
        </w:rPr>
      </w:pPr>
      <w:r w:rsidRPr="00E3015D">
        <w:rPr>
          <w:rFonts w:ascii="Times New Roman" w:hAnsi="Times New Roman"/>
          <w:sz w:val="24"/>
          <w:szCs w:val="24"/>
        </w:rPr>
        <w:t>Таблица №</w:t>
      </w:r>
      <w:r w:rsidR="009848DD">
        <w:rPr>
          <w:rFonts w:ascii="Times New Roman" w:hAnsi="Times New Roman"/>
          <w:sz w:val="24"/>
          <w:szCs w:val="24"/>
        </w:rPr>
        <w:t>9</w:t>
      </w:r>
    </w:p>
    <w:p w:rsidR="00801378" w:rsidRPr="00E3015D" w:rsidRDefault="00801378" w:rsidP="00801378">
      <w:pPr>
        <w:spacing w:after="0" w:line="240" w:lineRule="auto"/>
        <w:contextualSpacing/>
        <w:jc w:val="center"/>
        <w:rPr>
          <w:rFonts w:ascii="Times New Roman" w:hAnsi="Times New Roman"/>
          <w:b/>
          <w:sz w:val="24"/>
          <w:szCs w:val="24"/>
        </w:rPr>
      </w:pPr>
      <w:r w:rsidRPr="00E3015D">
        <w:rPr>
          <w:rFonts w:ascii="Times New Roman" w:hAnsi="Times New Roman"/>
          <w:b/>
          <w:sz w:val="24"/>
          <w:szCs w:val="24"/>
        </w:rPr>
        <w:t>Сальдо доходов и расходов Консолидированного бюджета</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8"/>
        <w:gridCol w:w="1357"/>
        <w:gridCol w:w="826"/>
        <w:gridCol w:w="734"/>
        <w:gridCol w:w="1357"/>
        <w:gridCol w:w="887"/>
        <w:gridCol w:w="716"/>
        <w:gridCol w:w="1137"/>
      </w:tblGrid>
      <w:tr w:rsidR="00801378" w:rsidRPr="00E3015D" w:rsidTr="002052E6">
        <w:trPr>
          <w:trHeight w:val="381"/>
          <w:jc w:val="center"/>
        </w:trPr>
        <w:tc>
          <w:tcPr>
            <w:tcW w:w="2711" w:type="dxa"/>
            <w:vMerge w:val="restart"/>
            <w:shd w:val="clear" w:color="auto" w:fill="D9D9D9" w:themeFill="background1" w:themeFillShade="D9"/>
            <w:vAlign w:val="center"/>
          </w:tcPr>
          <w:p w:rsidR="00801378" w:rsidRPr="00E3015D" w:rsidRDefault="00801378" w:rsidP="00A73BD0">
            <w:pPr>
              <w:spacing w:after="0" w:line="240" w:lineRule="auto"/>
              <w:contextualSpacing/>
              <w:jc w:val="center"/>
              <w:rPr>
                <w:rFonts w:ascii="Times New Roman" w:eastAsia="Calibri" w:hAnsi="Times New Roman"/>
                <w:b/>
              </w:rPr>
            </w:pPr>
          </w:p>
        </w:tc>
        <w:tc>
          <w:tcPr>
            <w:tcW w:w="2784" w:type="dxa"/>
            <w:gridSpan w:val="3"/>
            <w:shd w:val="clear" w:color="auto" w:fill="D9D9D9" w:themeFill="background1" w:themeFillShade="D9"/>
            <w:vAlign w:val="center"/>
          </w:tcPr>
          <w:p w:rsidR="00801378" w:rsidRPr="00E3015D" w:rsidRDefault="00801378" w:rsidP="00A73BD0">
            <w:pPr>
              <w:spacing w:after="0" w:line="240" w:lineRule="auto"/>
              <w:contextualSpacing/>
              <w:jc w:val="center"/>
              <w:rPr>
                <w:rFonts w:ascii="Times New Roman" w:eastAsia="Calibri" w:hAnsi="Times New Roman"/>
                <w:b/>
              </w:rPr>
            </w:pPr>
            <w:r w:rsidRPr="00E3015D">
              <w:rPr>
                <w:rFonts w:ascii="Times New Roman" w:eastAsia="Calibri" w:hAnsi="Times New Roman"/>
                <w:b/>
              </w:rPr>
              <w:t>2016 год</w:t>
            </w:r>
          </w:p>
        </w:tc>
        <w:tc>
          <w:tcPr>
            <w:tcW w:w="2876" w:type="dxa"/>
            <w:gridSpan w:val="3"/>
            <w:shd w:val="clear" w:color="auto" w:fill="D9D9D9" w:themeFill="background1" w:themeFillShade="D9"/>
            <w:vAlign w:val="center"/>
          </w:tcPr>
          <w:p w:rsidR="00801378" w:rsidRPr="00E3015D" w:rsidRDefault="00801378" w:rsidP="00A73BD0">
            <w:pPr>
              <w:spacing w:after="0" w:line="240" w:lineRule="auto"/>
              <w:contextualSpacing/>
              <w:jc w:val="center"/>
              <w:rPr>
                <w:rFonts w:ascii="Times New Roman" w:eastAsia="Calibri" w:hAnsi="Times New Roman"/>
                <w:b/>
              </w:rPr>
            </w:pPr>
            <w:r w:rsidRPr="00E3015D">
              <w:rPr>
                <w:rFonts w:ascii="Times New Roman" w:eastAsia="Calibri" w:hAnsi="Times New Roman"/>
                <w:b/>
              </w:rPr>
              <w:t>2017 год</w:t>
            </w:r>
          </w:p>
        </w:tc>
        <w:tc>
          <w:tcPr>
            <w:tcW w:w="1241" w:type="dxa"/>
            <w:vMerge w:val="restart"/>
            <w:shd w:val="clear" w:color="auto" w:fill="D9D9D9" w:themeFill="background1" w:themeFillShade="D9"/>
            <w:vAlign w:val="center"/>
          </w:tcPr>
          <w:p w:rsidR="00801378" w:rsidRPr="00E3015D" w:rsidRDefault="00801378" w:rsidP="00A73BD0">
            <w:pPr>
              <w:spacing w:after="0" w:line="240" w:lineRule="auto"/>
              <w:ind w:left="-70" w:right="-165"/>
              <w:contextualSpacing/>
              <w:jc w:val="center"/>
              <w:rPr>
                <w:rFonts w:ascii="Times New Roman" w:eastAsia="Calibri" w:hAnsi="Times New Roman"/>
                <w:b/>
              </w:rPr>
            </w:pPr>
            <w:r w:rsidRPr="00E3015D">
              <w:rPr>
                <w:rFonts w:ascii="Times New Roman" w:eastAsia="Calibri" w:hAnsi="Times New Roman"/>
                <w:b/>
              </w:rPr>
              <w:t xml:space="preserve">Темп роста. 2017г. </w:t>
            </w:r>
            <w:proofErr w:type="gramStart"/>
            <w:r w:rsidRPr="00E3015D">
              <w:rPr>
                <w:rFonts w:ascii="Times New Roman" w:eastAsia="Calibri" w:hAnsi="Times New Roman"/>
                <w:b/>
              </w:rPr>
              <w:t>к</w:t>
            </w:r>
            <w:proofErr w:type="gramEnd"/>
            <w:r w:rsidRPr="00E3015D">
              <w:rPr>
                <w:rFonts w:ascii="Times New Roman" w:eastAsia="Calibri" w:hAnsi="Times New Roman"/>
                <w:b/>
              </w:rPr>
              <w:t xml:space="preserve"> </w:t>
            </w:r>
          </w:p>
          <w:p w:rsidR="00801378" w:rsidRPr="00E3015D" w:rsidRDefault="00801378" w:rsidP="00A73BD0">
            <w:pPr>
              <w:spacing w:after="0" w:line="240" w:lineRule="auto"/>
              <w:ind w:left="-70" w:right="-165"/>
              <w:contextualSpacing/>
              <w:jc w:val="center"/>
              <w:rPr>
                <w:rFonts w:ascii="Times New Roman" w:eastAsia="Calibri" w:hAnsi="Times New Roman"/>
                <w:b/>
              </w:rPr>
            </w:pPr>
            <w:r w:rsidRPr="00E3015D">
              <w:rPr>
                <w:rFonts w:ascii="Times New Roman" w:eastAsia="Calibri" w:hAnsi="Times New Roman"/>
                <w:b/>
              </w:rPr>
              <w:t xml:space="preserve"> 2016г., % </w:t>
            </w:r>
          </w:p>
        </w:tc>
      </w:tr>
      <w:tr w:rsidR="00801378" w:rsidRPr="00E3015D" w:rsidTr="002052E6">
        <w:trPr>
          <w:trHeight w:val="712"/>
          <w:jc w:val="center"/>
        </w:trPr>
        <w:tc>
          <w:tcPr>
            <w:tcW w:w="2711" w:type="dxa"/>
            <w:vMerge/>
            <w:vAlign w:val="center"/>
          </w:tcPr>
          <w:p w:rsidR="00801378" w:rsidRPr="00E3015D" w:rsidRDefault="00801378" w:rsidP="00A73BD0">
            <w:pPr>
              <w:spacing w:after="0" w:line="240" w:lineRule="auto"/>
              <w:jc w:val="center"/>
              <w:rPr>
                <w:rFonts w:ascii="Times New Roman" w:eastAsia="Calibri" w:hAnsi="Times New Roman"/>
                <w:b/>
              </w:rPr>
            </w:pPr>
          </w:p>
        </w:tc>
        <w:tc>
          <w:tcPr>
            <w:tcW w:w="1204" w:type="dxa"/>
            <w:shd w:val="clear" w:color="auto" w:fill="D9D9D9" w:themeFill="background1" w:themeFillShade="D9"/>
            <w:vAlign w:val="center"/>
          </w:tcPr>
          <w:p w:rsidR="00801378" w:rsidRPr="00E3015D" w:rsidRDefault="00801378" w:rsidP="00A73BD0">
            <w:pPr>
              <w:spacing w:after="0" w:line="240" w:lineRule="auto"/>
              <w:jc w:val="center"/>
              <w:rPr>
                <w:rFonts w:ascii="Times New Roman" w:eastAsia="Calibri" w:hAnsi="Times New Roman"/>
                <w:b/>
              </w:rPr>
            </w:pPr>
            <w:r w:rsidRPr="00E3015D">
              <w:rPr>
                <w:rFonts w:ascii="Times New Roman" w:eastAsia="Calibri" w:hAnsi="Times New Roman"/>
                <w:b/>
              </w:rPr>
              <w:t>факт</w:t>
            </w:r>
          </w:p>
        </w:tc>
        <w:tc>
          <w:tcPr>
            <w:tcW w:w="835" w:type="dxa"/>
            <w:shd w:val="clear" w:color="auto" w:fill="D9D9D9" w:themeFill="background1" w:themeFillShade="D9"/>
            <w:vAlign w:val="center"/>
          </w:tcPr>
          <w:p w:rsidR="00801378" w:rsidRPr="00E3015D" w:rsidRDefault="00801378" w:rsidP="00A73BD0">
            <w:pPr>
              <w:spacing w:after="0" w:line="240" w:lineRule="auto"/>
              <w:jc w:val="center"/>
              <w:rPr>
                <w:rFonts w:ascii="Times New Roman" w:eastAsia="Calibri" w:hAnsi="Times New Roman"/>
                <w:b/>
              </w:rPr>
            </w:pPr>
            <w:r w:rsidRPr="00E3015D">
              <w:rPr>
                <w:rFonts w:ascii="Times New Roman" w:eastAsia="Calibri" w:hAnsi="Times New Roman"/>
                <w:b/>
              </w:rPr>
              <w:t xml:space="preserve">% к </w:t>
            </w:r>
            <w:proofErr w:type="spellStart"/>
            <w:r w:rsidRPr="00E3015D">
              <w:rPr>
                <w:rFonts w:ascii="Times New Roman" w:eastAsia="Calibri" w:hAnsi="Times New Roman"/>
                <w:b/>
              </w:rPr>
              <w:t>расх</w:t>
            </w:r>
            <w:proofErr w:type="spellEnd"/>
            <w:r w:rsidRPr="00E3015D">
              <w:rPr>
                <w:rFonts w:ascii="Times New Roman" w:eastAsia="Calibri" w:hAnsi="Times New Roman"/>
                <w:b/>
              </w:rPr>
              <w:t>. части</w:t>
            </w:r>
          </w:p>
        </w:tc>
        <w:tc>
          <w:tcPr>
            <w:tcW w:w="745" w:type="dxa"/>
            <w:shd w:val="clear" w:color="auto" w:fill="D9D9D9" w:themeFill="background1" w:themeFillShade="D9"/>
            <w:vAlign w:val="center"/>
          </w:tcPr>
          <w:p w:rsidR="00801378" w:rsidRPr="00E3015D" w:rsidRDefault="00801378" w:rsidP="00A73BD0">
            <w:pPr>
              <w:spacing w:after="0" w:line="240" w:lineRule="auto"/>
              <w:jc w:val="center"/>
              <w:rPr>
                <w:rFonts w:ascii="Times New Roman" w:eastAsia="Calibri" w:hAnsi="Times New Roman"/>
                <w:b/>
              </w:rPr>
            </w:pPr>
            <w:r w:rsidRPr="00E3015D">
              <w:rPr>
                <w:rFonts w:ascii="Times New Roman" w:eastAsia="Calibri" w:hAnsi="Times New Roman"/>
                <w:b/>
              </w:rPr>
              <w:t>% к ВВП</w:t>
            </w:r>
          </w:p>
        </w:tc>
        <w:tc>
          <w:tcPr>
            <w:tcW w:w="1244" w:type="dxa"/>
            <w:shd w:val="clear" w:color="auto" w:fill="D9D9D9" w:themeFill="background1" w:themeFillShade="D9"/>
            <w:vAlign w:val="center"/>
          </w:tcPr>
          <w:p w:rsidR="00801378" w:rsidRPr="00E3015D" w:rsidRDefault="00801378" w:rsidP="00A73BD0">
            <w:pPr>
              <w:spacing w:after="0" w:line="240" w:lineRule="auto"/>
              <w:jc w:val="center"/>
              <w:rPr>
                <w:rFonts w:ascii="Times New Roman" w:eastAsia="Calibri" w:hAnsi="Times New Roman"/>
                <w:b/>
              </w:rPr>
            </w:pPr>
            <w:r w:rsidRPr="00E3015D">
              <w:rPr>
                <w:rFonts w:ascii="Times New Roman" w:eastAsia="Calibri" w:hAnsi="Times New Roman"/>
                <w:b/>
              </w:rPr>
              <w:t>факт</w:t>
            </w:r>
          </w:p>
        </w:tc>
        <w:tc>
          <w:tcPr>
            <w:tcW w:w="909" w:type="dxa"/>
            <w:shd w:val="clear" w:color="auto" w:fill="D9D9D9" w:themeFill="background1" w:themeFillShade="D9"/>
            <w:vAlign w:val="center"/>
          </w:tcPr>
          <w:p w:rsidR="00801378" w:rsidRPr="00E3015D" w:rsidRDefault="00801378" w:rsidP="00A73BD0">
            <w:pPr>
              <w:spacing w:after="0" w:line="240" w:lineRule="auto"/>
              <w:jc w:val="center"/>
              <w:rPr>
                <w:rFonts w:ascii="Times New Roman" w:eastAsia="Calibri" w:hAnsi="Times New Roman"/>
                <w:b/>
              </w:rPr>
            </w:pPr>
            <w:r w:rsidRPr="00E3015D">
              <w:rPr>
                <w:rFonts w:ascii="Times New Roman" w:eastAsia="Calibri" w:hAnsi="Times New Roman"/>
                <w:b/>
              </w:rPr>
              <w:t xml:space="preserve">% к </w:t>
            </w:r>
            <w:proofErr w:type="spellStart"/>
            <w:r w:rsidRPr="00E3015D">
              <w:rPr>
                <w:rFonts w:ascii="Times New Roman" w:eastAsia="Calibri" w:hAnsi="Times New Roman"/>
                <w:b/>
              </w:rPr>
              <w:t>расх</w:t>
            </w:r>
            <w:proofErr w:type="spellEnd"/>
            <w:r w:rsidRPr="00E3015D">
              <w:rPr>
                <w:rFonts w:ascii="Times New Roman" w:eastAsia="Calibri" w:hAnsi="Times New Roman"/>
                <w:b/>
              </w:rPr>
              <w:t>. части</w:t>
            </w:r>
          </w:p>
        </w:tc>
        <w:tc>
          <w:tcPr>
            <w:tcW w:w="723" w:type="dxa"/>
            <w:shd w:val="clear" w:color="auto" w:fill="D9D9D9" w:themeFill="background1" w:themeFillShade="D9"/>
            <w:vAlign w:val="center"/>
          </w:tcPr>
          <w:p w:rsidR="00801378" w:rsidRPr="00E3015D" w:rsidRDefault="00801378" w:rsidP="00A73BD0">
            <w:pPr>
              <w:spacing w:after="0" w:line="240" w:lineRule="auto"/>
              <w:jc w:val="center"/>
              <w:rPr>
                <w:rFonts w:ascii="Times New Roman" w:eastAsia="Calibri" w:hAnsi="Times New Roman"/>
                <w:b/>
              </w:rPr>
            </w:pPr>
            <w:r w:rsidRPr="00E3015D">
              <w:rPr>
                <w:rFonts w:ascii="Times New Roman" w:eastAsia="Calibri" w:hAnsi="Times New Roman"/>
                <w:b/>
              </w:rPr>
              <w:t>% к ВВП</w:t>
            </w:r>
          </w:p>
        </w:tc>
        <w:tc>
          <w:tcPr>
            <w:tcW w:w="1241" w:type="dxa"/>
            <w:vMerge/>
            <w:vAlign w:val="center"/>
          </w:tcPr>
          <w:p w:rsidR="00801378" w:rsidRPr="00E3015D" w:rsidRDefault="00801378" w:rsidP="00A73BD0">
            <w:pPr>
              <w:spacing w:after="0" w:line="240" w:lineRule="auto"/>
              <w:jc w:val="center"/>
              <w:rPr>
                <w:rFonts w:ascii="Times New Roman" w:eastAsia="Calibri" w:hAnsi="Times New Roman"/>
                <w:b/>
              </w:rPr>
            </w:pPr>
          </w:p>
        </w:tc>
      </w:tr>
      <w:tr w:rsidR="00801378" w:rsidRPr="00E3015D" w:rsidTr="00A73BD0">
        <w:trPr>
          <w:trHeight w:val="639"/>
          <w:jc w:val="center"/>
        </w:trPr>
        <w:tc>
          <w:tcPr>
            <w:tcW w:w="2711" w:type="dxa"/>
          </w:tcPr>
          <w:p w:rsidR="00801378" w:rsidRPr="00E3015D" w:rsidRDefault="00801378" w:rsidP="00A73BD0">
            <w:pPr>
              <w:spacing w:after="0" w:line="240" w:lineRule="auto"/>
              <w:ind w:left="-101" w:right="-161"/>
              <w:rPr>
                <w:rFonts w:ascii="Times New Roman" w:eastAsia="Calibri" w:hAnsi="Times New Roman"/>
                <w:b/>
              </w:rPr>
            </w:pPr>
            <w:r w:rsidRPr="00E3015D">
              <w:rPr>
                <w:rFonts w:ascii="Times New Roman" w:eastAsia="Calibri" w:hAnsi="Times New Roman"/>
                <w:b/>
              </w:rPr>
              <w:t>Сальдо консолидированного бюджета, в том числе:</w:t>
            </w:r>
          </w:p>
        </w:tc>
        <w:tc>
          <w:tcPr>
            <w:tcW w:w="1204" w:type="dxa"/>
            <w:vAlign w:val="center"/>
          </w:tcPr>
          <w:p w:rsidR="00801378" w:rsidRPr="00E3015D" w:rsidRDefault="00801378" w:rsidP="00A73BD0">
            <w:pPr>
              <w:spacing w:after="0" w:line="240" w:lineRule="auto"/>
              <w:ind w:left="-124" w:right="-104" w:firstLine="37"/>
              <w:jc w:val="center"/>
              <w:rPr>
                <w:rFonts w:ascii="Times New Roman" w:hAnsi="Times New Roman"/>
                <w:b/>
              </w:rPr>
            </w:pPr>
            <w:r w:rsidRPr="00E3015D">
              <w:rPr>
                <w:rFonts w:ascii="Times New Roman" w:hAnsi="Times New Roman"/>
                <w:b/>
              </w:rPr>
              <w:t>1 655 262 311</w:t>
            </w:r>
          </w:p>
        </w:tc>
        <w:tc>
          <w:tcPr>
            <w:tcW w:w="835" w:type="dxa"/>
            <w:vAlign w:val="center"/>
          </w:tcPr>
          <w:p w:rsidR="00801378" w:rsidRPr="00E3015D" w:rsidRDefault="00801378" w:rsidP="00A73BD0">
            <w:pPr>
              <w:spacing w:after="0" w:line="240" w:lineRule="auto"/>
              <w:jc w:val="right"/>
              <w:rPr>
                <w:rFonts w:ascii="Times New Roman" w:hAnsi="Times New Roman"/>
                <w:b/>
              </w:rPr>
            </w:pPr>
            <w:r w:rsidRPr="00E3015D">
              <w:rPr>
                <w:rFonts w:ascii="Times New Roman" w:hAnsi="Times New Roman"/>
                <w:b/>
              </w:rPr>
              <w:t>41,5</w:t>
            </w:r>
          </w:p>
        </w:tc>
        <w:tc>
          <w:tcPr>
            <w:tcW w:w="745" w:type="dxa"/>
            <w:vAlign w:val="center"/>
          </w:tcPr>
          <w:p w:rsidR="00801378" w:rsidRPr="00E3015D" w:rsidRDefault="00801378" w:rsidP="00A73BD0">
            <w:pPr>
              <w:spacing w:after="0" w:line="240" w:lineRule="auto"/>
              <w:jc w:val="right"/>
              <w:rPr>
                <w:rFonts w:ascii="Times New Roman" w:hAnsi="Times New Roman"/>
                <w:b/>
              </w:rPr>
            </w:pPr>
            <w:r w:rsidRPr="00E3015D">
              <w:rPr>
                <w:rFonts w:ascii="Times New Roman" w:hAnsi="Times New Roman"/>
                <w:b/>
              </w:rPr>
              <w:t>14,4</w:t>
            </w:r>
          </w:p>
        </w:tc>
        <w:tc>
          <w:tcPr>
            <w:tcW w:w="1244" w:type="dxa"/>
            <w:vAlign w:val="center"/>
          </w:tcPr>
          <w:p w:rsidR="00801378" w:rsidRPr="00E3015D" w:rsidRDefault="00801378" w:rsidP="00A73BD0">
            <w:pPr>
              <w:spacing w:after="0" w:line="240" w:lineRule="auto"/>
              <w:ind w:left="-124"/>
              <w:jc w:val="right"/>
              <w:rPr>
                <w:rFonts w:ascii="Times New Roman" w:eastAsia="Calibri" w:hAnsi="Times New Roman"/>
                <w:b/>
              </w:rPr>
            </w:pPr>
            <w:r w:rsidRPr="00E3015D">
              <w:rPr>
                <w:rFonts w:ascii="Times New Roman" w:eastAsia="Calibri" w:hAnsi="Times New Roman"/>
                <w:b/>
              </w:rPr>
              <w:t xml:space="preserve">1 194 497 956 </w:t>
            </w:r>
          </w:p>
        </w:tc>
        <w:tc>
          <w:tcPr>
            <w:tcW w:w="909" w:type="dxa"/>
            <w:vAlign w:val="center"/>
          </w:tcPr>
          <w:p w:rsidR="00801378" w:rsidRPr="00E3015D" w:rsidRDefault="00801378" w:rsidP="00A73BD0">
            <w:pPr>
              <w:spacing w:after="0" w:line="240" w:lineRule="auto"/>
              <w:jc w:val="right"/>
              <w:rPr>
                <w:rFonts w:ascii="Times New Roman" w:eastAsia="Calibri" w:hAnsi="Times New Roman"/>
                <w:b/>
              </w:rPr>
            </w:pPr>
            <w:r w:rsidRPr="00E3015D">
              <w:rPr>
                <w:rFonts w:ascii="Times New Roman" w:eastAsia="Calibri" w:hAnsi="Times New Roman"/>
                <w:b/>
              </w:rPr>
              <w:t>27,6</w:t>
            </w:r>
          </w:p>
        </w:tc>
        <w:tc>
          <w:tcPr>
            <w:tcW w:w="723" w:type="dxa"/>
            <w:vAlign w:val="center"/>
          </w:tcPr>
          <w:p w:rsidR="00801378" w:rsidRPr="00E3015D" w:rsidRDefault="00801378" w:rsidP="00A73BD0">
            <w:pPr>
              <w:spacing w:after="0" w:line="240" w:lineRule="auto"/>
              <w:jc w:val="right"/>
              <w:rPr>
                <w:rFonts w:ascii="Times New Roman" w:eastAsia="Calibri" w:hAnsi="Times New Roman"/>
                <w:b/>
              </w:rPr>
            </w:pPr>
            <w:r w:rsidRPr="00E3015D">
              <w:rPr>
                <w:rFonts w:ascii="Times New Roman" w:eastAsia="Calibri" w:hAnsi="Times New Roman"/>
                <w:b/>
              </w:rPr>
              <w:t>9,7</w:t>
            </w:r>
          </w:p>
        </w:tc>
        <w:tc>
          <w:tcPr>
            <w:tcW w:w="1241" w:type="dxa"/>
            <w:vAlign w:val="center"/>
          </w:tcPr>
          <w:p w:rsidR="00801378" w:rsidRPr="00E3015D" w:rsidRDefault="00801378" w:rsidP="00A73BD0">
            <w:pPr>
              <w:spacing w:after="0" w:line="240" w:lineRule="auto"/>
              <w:jc w:val="right"/>
              <w:rPr>
                <w:rFonts w:ascii="Times New Roman" w:eastAsia="Calibri" w:hAnsi="Times New Roman"/>
                <w:b/>
              </w:rPr>
            </w:pPr>
            <w:r w:rsidRPr="00E3015D">
              <w:rPr>
                <w:rFonts w:ascii="Times New Roman" w:eastAsia="Calibri" w:hAnsi="Times New Roman"/>
                <w:b/>
              </w:rPr>
              <w:t>72,2</w:t>
            </w:r>
          </w:p>
        </w:tc>
      </w:tr>
      <w:tr w:rsidR="00801378" w:rsidRPr="00E3015D" w:rsidTr="00A73BD0">
        <w:trPr>
          <w:trHeight w:val="437"/>
          <w:jc w:val="center"/>
        </w:trPr>
        <w:tc>
          <w:tcPr>
            <w:tcW w:w="2711" w:type="dxa"/>
          </w:tcPr>
          <w:p w:rsidR="00801378" w:rsidRPr="00E3015D" w:rsidRDefault="00801378" w:rsidP="00A73BD0">
            <w:pPr>
              <w:spacing w:after="0" w:line="240" w:lineRule="auto"/>
              <w:ind w:left="-91" w:right="-132"/>
              <w:rPr>
                <w:rFonts w:ascii="Times New Roman" w:eastAsia="Calibri" w:hAnsi="Times New Roman"/>
              </w:rPr>
            </w:pPr>
            <w:r w:rsidRPr="00E3015D">
              <w:rPr>
                <w:rFonts w:ascii="Times New Roman" w:eastAsia="Calibri" w:hAnsi="Times New Roman"/>
              </w:rPr>
              <w:t>Сальдо республиканского бюджета</w:t>
            </w:r>
          </w:p>
        </w:tc>
        <w:tc>
          <w:tcPr>
            <w:tcW w:w="1204" w:type="dxa"/>
            <w:vAlign w:val="center"/>
          </w:tcPr>
          <w:p w:rsidR="00801378" w:rsidRPr="00E3015D" w:rsidRDefault="00801378" w:rsidP="00A73BD0">
            <w:pPr>
              <w:spacing w:after="0" w:line="240" w:lineRule="auto"/>
              <w:ind w:left="-124"/>
              <w:jc w:val="right"/>
              <w:rPr>
                <w:rFonts w:ascii="Times New Roman" w:hAnsi="Times New Roman"/>
                <w:bCs/>
              </w:rPr>
            </w:pPr>
            <w:r w:rsidRPr="00E3015D">
              <w:rPr>
                <w:rFonts w:ascii="Times New Roman" w:hAnsi="Times New Roman"/>
                <w:bCs/>
              </w:rPr>
              <w:t xml:space="preserve">1 265 614 998 </w:t>
            </w:r>
          </w:p>
        </w:tc>
        <w:tc>
          <w:tcPr>
            <w:tcW w:w="835" w:type="dxa"/>
            <w:vAlign w:val="center"/>
          </w:tcPr>
          <w:p w:rsidR="00801378" w:rsidRPr="00E3015D" w:rsidRDefault="00801378" w:rsidP="00A73BD0">
            <w:pPr>
              <w:spacing w:after="0" w:line="240" w:lineRule="auto"/>
              <w:jc w:val="right"/>
              <w:rPr>
                <w:rFonts w:ascii="Times New Roman" w:hAnsi="Times New Roman"/>
                <w:bCs/>
              </w:rPr>
            </w:pPr>
            <w:r w:rsidRPr="00E3015D">
              <w:rPr>
                <w:rFonts w:ascii="Times New Roman" w:hAnsi="Times New Roman"/>
                <w:bCs/>
              </w:rPr>
              <w:t>45,6</w:t>
            </w:r>
          </w:p>
        </w:tc>
        <w:tc>
          <w:tcPr>
            <w:tcW w:w="745" w:type="dxa"/>
            <w:vAlign w:val="center"/>
          </w:tcPr>
          <w:p w:rsidR="00801378" w:rsidRPr="00E3015D" w:rsidRDefault="00801378" w:rsidP="00A73BD0">
            <w:pPr>
              <w:spacing w:after="0" w:line="240" w:lineRule="auto"/>
              <w:jc w:val="right"/>
              <w:rPr>
                <w:rFonts w:ascii="Times New Roman" w:hAnsi="Times New Roman"/>
                <w:bCs/>
              </w:rPr>
            </w:pPr>
            <w:r w:rsidRPr="00E3015D">
              <w:rPr>
                <w:rFonts w:ascii="Times New Roman" w:hAnsi="Times New Roman"/>
                <w:bCs/>
              </w:rPr>
              <w:t>11,0</w:t>
            </w:r>
          </w:p>
        </w:tc>
        <w:tc>
          <w:tcPr>
            <w:tcW w:w="1244" w:type="dxa"/>
            <w:vAlign w:val="center"/>
          </w:tcPr>
          <w:p w:rsidR="00801378" w:rsidRPr="00E3015D" w:rsidRDefault="00801378" w:rsidP="00A73BD0">
            <w:pPr>
              <w:spacing w:after="0" w:line="240" w:lineRule="auto"/>
              <w:ind w:left="-124"/>
              <w:jc w:val="right"/>
              <w:rPr>
                <w:rFonts w:ascii="Times New Roman" w:eastAsia="Calibri" w:hAnsi="Times New Roman"/>
                <w:bCs/>
              </w:rPr>
            </w:pPr>
            <w:r w:rsidRPr="00E3015D">
              <w:rPr>
                <w:rFonts w:ascii="Times New Roman" w:eastAsia="Calibri" w:hAnsi="Times New Roman"/>
                <w:bCs/>
              </w:rPr>
              <w:t xml:space="preserve">849 703 231 </w:t>
            </w:r>
          </w:p>
        </w:tc>
        <w:tc>
          <w:tcPr>
            <w:tcW w:w="909" w:type="dxa"/>
            <w:vAlign w:val="center"/>
          </w:tcPr>
          <w:p w:rsidR="00801378" w:rsidRPr="00E3015D" w:rsidRDefault="00801378" w:rsidP="00A73BD0">
            <w:pPr>
              <w:spacing w:after="0" w:line="240" w:lineRule="auto"/>
              <w:jc w:val="right"/>
              <w:rPr>
                <w:rFonts w:ascii="Times New Roman" w:eastAsia="Calibri" w:hAnsi="Times New Roman"/>
                <w:bCs/>
              </w:rPr>
            </w:pPr>
            <w:r w:rsidRPr="00E3015D">
              <w:rPr>
                <w:rFonts w:ascii="Times New Roman" w:eastAsia="Calibri" w:hAnsi="Times New Roman"/>
                <w:bCs/>
              </w:rPr>
              <w:t>27,1</w:t>
            </w:r>
          </w:p>
        </w:tc>
        <w:tc>
          <w:tcPr>
            <w:tcW w:w="723" w:type="dxa"/>
            <w:vAlign w:val="center"/>
          </w:tcPr>
          <w:p w:rsidR="00801378" w:rsidRPr="00E3015D" w:rsidRDefault="00801378" w:rsidP="00A73BD0">
            <w:pPr>
              <w:spacing w:after="0" w:line="240" w:lineRule="auto"/>
              <w:jc w:val="right"/>
              <w:rPr>
                <w:rFonts w:ascii="Times New Roman" w:eastAsia="Calibri" w:hAnsi="Times New Roman"/>
                <w:bCs/>
              </w:rPr>
            </w:pPr>
            <w:r w:rsidRPr="00E3015D">
              <w:rPr>
                <w:rFonts w:ascii="Times New Roman" w:eastAsia="Calibri" w:hAnsi="Times New Roman"/>
                <w:bCs/>
              </w:rPr>
              <w:t>6,9</w:t>
            </w:r>
          </w:p>
        </w:tc>
        <w:tc>
          <w:tcPr>
            <w:tcW w:w="1241" w:type="dxa"/>
            <w:vAlign w:val="center"/>
          </w:tcPr>
          <w:p w:rsidR="00801378" w:rsidRPr="00E3015D" w:rsidRDefault="00801378" w:rsidP="00A73BD0">
            <w:pPr>
              <w:spacing w:after="0" w:line="240" w:lineRule="auto"/>
              <w:jc w:val="right"/>
              <w:rPr>
                <w:rFonts w:ascii="Times New Roman" w:eastAsia="Calibri" w:hAnsi="Times New Roman"/>
              </w:rPr>
            </w:pPr>
            <w:r w:rsidRPr="00E3015D">
              <w:rPr>
                <w:rFonts w:ascii="Times New Roman" w:eastAsia="Calibri" w:hAnsi="Times New Roman"/>
              </w:rPr>
              <w:t>67,1</w:t>
            </w:r>
          </w:p>
        </w:tc>
      </w:tr>
      <w:tr w:rsidR="00801378" w:rsidRPr="00E3015D" w:rsidTr="00A73BD0">
        <w:trPr>
          <w:trHeight w:val="150"/>
          <w:jc w:val="center"/>
        </w:trPr>
        <w:tc>
          <w:tcPr>
            <w:tcW w:w="2711" w:type="dxa"/>
          </w:tcPr>
          <w:p w:rsidR="00801378" w:rsidRPr="00E3015D" w:rsidRDefault="00801378" w:rsidP="00A73BD0">
            <w:pPr>
              <w:spacing w:after="0" w:line="240" w:lineRule="auto"/>
              <w:ind w:left="-91" w:right="-132"/>
              <w:rPr>
                <w:rFonts w:ascii="Times New Roman" w:eastAsia="Calibri" w:hAnsi="Times New Roman"/>
              </w:rPr>
            </w:pPr>
            <w:r w:rsidRPr="00E3015D">
              <w:rPr>
                <w:rFonts w:ascii="Times New Roman" w:eastAsia="Calibri" w:hAnsi="Times New Roman"/>
              </w:rPr>
              <w:t>Сальдо местного бюджета</w:t>
            </w:r>
          </w:p>
        </w:tc>
        <w:tc>
          <w:tcPr>
            <w:tcW w:w="1204" w:type="dxa"/>
            <w:vAlign w:val="center"/>
          </w:tcPr>
          <w:p w:rsidR="00801378" w:rsidRPr="00E3015D" w:rsidRDefault="00801378" w:rsidP="00A73BD0">
            <w:pPr>
              <w:spacing w:after="0" w:line="240" w:lineRule="auto"/>
              <w:ind w:left="-124"/>
              <w:jc w:val="right"/>
              <w:rPr>
                <w:rFonts w:ascii="Times New Roman" w:hAnsi="Times New Roman"/>
              </w:rPr>
            </w:pPr>
            <w:r w:rsidRPr="00E3015D">
              <w:rPr>
                <w:rFonts w:ascii="Times New Roman" w:hAnsi="Times New Roman"/>
              </w:rPr>
              <w:t xml:space="preserve">389 647 313 </w:t>
            </w:r>
          </w:p>
        </w:tc>
        <w:tc>
          <w:tcPr>
            <w:tcW w:w="835" w:type="dxa"/>
            <w:vAlign w:val="center"/>
          </w:tcPr>
          <w:p w:rsidR="00801378" w:rsidRPr="00E3015D" w:rsidRDefault="00801378" w:rsidP="00A73BD0">
            <w:pPr>
              <w:spacing w:after="0" w:line="240" w:lineRule="auto"/>
              <w:jc w:val="right"/>
              <w:rPr>
                <w:rFonts w:ascii="Times New Roman" w:hAnsi="Times New Roman"/>
              </w:rPr>
            </w:pPr>
            <w:r w:rsidRPr="00E3015D">
              <w:rPr>
                <w:rFonts w:ascii="Times New Roman" w:hAnsi="Times New Roman"/>
              </w:rPr>
              <w:t>32,1</w:t>
            </w:r>
          </w:p>
        </w:tc>
        <w:tc>
          <w:tcPr>
            <w:tcW w:w="745" w:type="dxa"/>
            <w:vAlign w:val="center"/>
          </w:tcPr>
          <w:p w:rsidR="00801378" w:rsidRPr="00E3015D" w:rsidRDefault="00801378" w:rsidP="00A73BD0">
            <w:pPr>
              <w:spacing w:after="0" w:line="240" w:lineRule="auto"/>
              <w:jc w:val="right"/>
              <w:rPr>
                <w:rFonts w:ascii="Times New Roman" w:hAnsi="Times New Roman"/>
              </w:rPr>
            </w:pPr>
            <w:r w:rsidRPr="00E3015D">
              <w:rPr>
                <w:rFonts w:ascii="Times New Roman" w:hAnsi="Times New Roman"/>
              </w:rPr>
              <w:t>3,4</w:t>
            </w:r>
          </w:p>
        </w:tc>
        <w:tc>
          <w:tcPr>
            <w:tcW w:w="1244" w:type="dxa"/>
            <w:vAlign w:val="center"/>
          </w:tcPr>
          <w:p w:rsidR="00801378" w:rsidRPr="00E3015D" w:rsidRDefault="00801378" w:rsidP="00A73BD0">
            <w:pPr>
              <w:spacing w:after="0" w:line="240" w:lineRule="auto"/>
              <w:ind w:left="-124"/>
              <w:jc w:val="right"/>
              <w:rPr>
                <w:rFonts w:ascii="Times New Roman" w:eastAsia="Calibri" w:hAnsi="Times New Roman"/>
              </w:rPr>
            </w:pPr>
            <w:r w:rsidRPr="00E3015D">
              <w:rPr>
                <w:rFonts w:ascii="Times New Roman" w:eastAsia="Calibri" w:hAnsi="Times New Roman"/>
              </w:rPr>
              <w:t xml:space="preserve">344 794 725 </w:t>
            </w:r>
          </w:p>
        </w:tc>
        <w:tc>
          <w:tcPr>
            <w:tcW w:w="909" w:type="dxa"/>
            <w:vAlign w:val="center"/>
          </w:tcPr>
          <w:p w:rsidR="00801378" w:rsidRPr="00E3015D" w:rsidRDefault="00801378" w:rsidP="00A73BD0">
            <w:pPr>
              <w:spacing w:after="0" w:line="240" w:lineRule="auto"/>
              <w:jc w:val="right"/>
              <w:rPr>
                <w:rFonts w:ascii="Times New Roman" w:eastAsia="Calibri" w:hAnsi="Times New Roman"/>
              </w:rPr>
            </w:pPr>
            <w:r w:rsidRPr="00E3015D">
              <w:rPr>
                <w:rFonts w:ascii="Times New Roman" w:eastAsia="Calibri" w:hAnsi="Times New Roman"/>
              </w:rPr>
              <w:t>28,8</w:t>
            </w:r>
          </w:p>
        </w:tc>
        <w:tc>
          <w:tcPr>
            <w:tcW w:w="723" w:type="dxa"/>
            <w:vAlign w:val="center"/>
          </w:tcPr>
          <w:p w:rsidR="00801378" w:rsidRPr="00E3015D" w:rsidRDefault="00801378" w:rsidP="00A73BD0">
            <w:pPr>
              <w:spacing w:after="0" w:line="240" w:lineRule="auto"/>
              <w:jc w:val="right"/>
              <w:rPr>
                <w:rFonts w:ascii="Times New Roman" w:eastAsia="Calibri" w:hAnsi="Times New Roman"/>
              </w:rPr>
            </w:pPr>
            <w:r w:rsidRPr="00E3015D">
              <w:rPr>
                <w:rFonts w:ascii="Times New Roman" w:eastAsia="Calibri" w:hAnsi="Times New Roman"/>
              </w:rPr>
              <w:t>2,8</w:t>
            </w:r>
          </w:p>
        </w:tc>
        <w:tc>
          <w:tcPr>
            <w:tcW w:w="1241" w:type="dxa"/>
            <w:vAlign w:val="center"/>
          </w:tcPr>
          <w:p w:rsidR="00801378" w:rsidRPr="00E3015D" w:rsidRDefault="00801378" w:rsidP="00A73BD0">
            <w:pPr>
              <w:spacing w:after="0" w:line="240" w:lineRule="auto"/>
              <w:jc w:val="right"/>
              <w:rPr>
                <w:rFonts w:ascii="Times New Roman" w:eastAsia="Calibri" w:hAnsi="Times New Roman"/>
              </w:rPr>
            </w:pPr>
            <w:r w:rsidRPr="00E3015D">
              <w:rPr>
                <w:rFonts w:ascii="Times New Roman" w:eastAsia="Calibri" w:hAnsi="Times New Roman"/>
              </w:rPr>
              <w:t>88,5</w:t>
            </w:r>
          </w:p>
        </w:tc>
      </w:tr>
    </w:tbl>
    <w:p w:rsidR="00801378" w:rsidRPr="00FF52E3" w:rsidRDefault="00801378" w:rsidP="00801378">
      <w:pPr>
        <w:spacing w:after="0" w:line="240" w:lineRule="auto"/>
        <w:ind w:firstLine="720"/>
        <w:jc w:val="both"/>
        <w:rPr>
          <w:rFonts w:ascii="Times New Roman" w:hAnsi="Times New Roman"/>
          <w:sz w:val="24"/>
          <w:szCs w:val="24"/>
        </w:rPr>
      </w:pPr>
      <w:r w:rsidRPr="00E3015D">
        <w:rPr>
          <w:rFonts w:ascii="Times New Roman" w:hAnsi="Times New Roman"/>
          <w:sz w:val="24"/>
          <w:szCs w:val="24"/>
        </w:rPr>
        <w:t xml:space="preserve">Несмотря на снижение величины сальдо консолидированного бюджета в          </w:t>
      </w:r>
      <w:r w:rsidR="009848DD">
        <w:rPr>
          <w:rFonts w:ascii="Times New Roman" w:hAnsi="Times New Roman"/>
          <w:sz w:val="24"/>
          <w:szCs w:val="24"/>
        </w:rPr>
        <w:t xml:space="preserve">              </w:t>
      </w:r>
      <w:r w:rsidRPr="00E3015D">
        <w:rPr>
          <w:rFonts w:ascii="Times New Roman" w:hAnsi="Times New Roman"/>
          <w:sz w:val="24"/>
          <w:szCs w:val="24"/>
        </w:rPr>
        <w:t xml:space="preserve">  2017 году, устойчивая напряженность исполнения бюджетных параметров сохраняется, что приводит к ограничению возможностей маневра в распределении поступающих ресурсов, в виду необходимости поддержания на должном уровне социальной сферы. Кроме того, из-за постоянного недостатка бюджетных средств государство не в состоянии выделять средства на поддержку инвестиционной активности и стимулирование экономического роста.</w:t>
      </w:r>
      <w:r w:rsidRPr="001F7FEE">
        <w:rPr>
          <w:rFonts w:ascii="Times New Roman" w:hAnsi="Times New Roman"/>
          <w:sz w:val="24"/>
          <w:szCs w:val="24"/>
        </w:rPr>
        <w:t xml:space="preserve"> </w:t>
      </w:r>
    </w:p>
    <w:p w:rsidR="00832D29" w:rsidRPr="0080737A" w:rsidRDefault="00832D29" w:rsidP="00832D29">
      <w:pPr>
        <w:spacing w:after="0" w:line="240" w:lineRule="auto"/>
        <w:ind w:firstLine="720"/>
        <w:contextualSpacing/>
        <w:jc w:val="both"/>
        <w:rPr>
          <w:rFonts w:ascii="Times New Roman" w:hAnsi="Times New Roman"/>
          <w:b/>
          <w:sz w:val="24"/>
          <w:szCs w:val="24"/>
        </w:rPr>
      </w:pPr>
      <w:r w:rsidRPr="0080737A">
        <w:rPr>
          <w:rFonts w:ascii="Times New Roman" w:hAnsi="Times New Roman"/>
          <w:b/>
          <w:sz w:val="24"/>
          <w:szCs w:val="24"/>
        </w:rPr>
        <w:lastRenderedPageBreak/>
        <w:t>Денежно-кредитная политика</w:t>
      </w:r>
    </w:p>
    <w:p w:rsidR="00832D29" w:rsidRPr="0094333A" w:rsidRDefault="00832D29" w:rsidP="00832D29">
      <w:pPr>
        <w:spacing w:after="0" w:line="240" w:lineRule="auto"/>
        <w:ind w:firstLine="720"/>
        <w:contextualSpacing/>
        <w:jc w:val="both"/>
        <w:rPr>
          <w:rFonts w:ascii="Times New Roman" w:hAnsi="Times New Roman"/>
          <w:b/>
          <w:sz w:val="10"/>
          <w:szCs w:val="10"/>
        </w:rPr>
      </w:pPr>
    </w:p>
    <w:p w:rsidR="0094333A" w:rsidRPr="00423363" w:rsidRDefault="0094333A" w:rsidP="0094333A">
      <w:pPr>
        <w:widowControl w:val="0"/>
        <w:spacing w:after="0" w:line="240" w:lineRule="auto"/>
        <w:ind w:firstLine="709"/>
        <w:contextualSpacing/>
        <w:jc w:val="both"/>
        <w:rPr>
          <w:rFonts w:ascii="Times New Roman" w:hAnsi="Times New Roman"/>
          <w:b/>
          <w:i/>
          <w:color w:val="000000"/>
          <w:sz w:val="24"/>
          <w:szCs w:val="24"/>
        </w:rPr>
      </w:pPr>
      <w:r w:rsidRPr="00423363">
        <w:rPr>
          <w:rFonts w:ascii="Times New Roman" w:hAnsi="Times New Roman"/>
          <w:b/>
          <w:i/>
          <w:color w:val="000000"/>
          <w:sz w:val="24"/>
          <w:szCs w:val="24"/>
        </w:rPr>
        <w:t>Монетарная сфера</w:t>
      </w:r>
    </w:p>
    <w:p w:rsidR="0094333A" w:rsidRPr="00423363" w:rsidRDefault="0094333A" w:rsidP="0094333A">
      <w:pPr>
        <w:spacing w:after="0" w:line="240" w:lineRule="auto"/>
        <w:ind w:firstLine="720"/>
        <w:jc w:val="both"/>
        <w:rPr>
          <w:rFonts w:ascii="Times New Roman" w:hAnsi="Times New Roman"/>
          <w:sz w:val="24"/>
          <w:szCs w:val="24"/>
        </w:rPr>
      </w:pPr>
      <w:r w:rsidRPr="00423363">
        <w:rPr>
          <w:rFonts w:ascii="Times New Roman" w:hAnsi="Times New Roman"/>
          <w:sz w:val="24"/>
          <w:szCs w:val="24"/>
        </w:rPr>
        <w:t xml:space="preserve">Результатом </w:t>
      </w:r>
      <w:proofErr w:type="spellStart"/>
      <w:r w:rsidRPr="00423363">
        <w:rPr>
          <w:rFonts w:ascii="Times New Roman" w:hAnsi="Times New Roman"/>
          <w:sz w:val="24"/>
          <w:szCs w:val="24"/>
        </w:rPr>
        <w:t>рестрективной</w:t>
      </w:r>
      <w:proofErr w:type="spellEnd"/>
      <w:r w:rsidRPr="00423363">
        <w:rPr>
          <w:rFonts w:ascii="Times New Roman" w:hAnsi="Times New Roman"/>
          <w:sz w:val="24"/>
          <w:szCs w:val="24"/>
        </w:rPr>
        <w:t xml:space="preserve"> денежно – кредитной политики стало устранение накопленного в предыдущие годы избыточного денежного предложения. Так, его объем сократился на 7,3% до 2 334,1 млн руб. Определяющим фактором спада выступило существенное сжатие объема наличных денег в обращении (-10,2% до 982,4 млн руб.), в результате чего в наличном сегменте было зафиксировано практически 42,1% (-1,3 п.п.) рублёвой денежной массы.</w:t>
      </w:r>
    </w:p>
    <w:p w:rsidR="0094333A" w:rsidRPr="00423363" w:rsidRDefault="0094333A" w:rsidP="0094333A">
      <w:pPr>
        <w:spacing w:after="0" w:line="240" w:lineRule="auto"/>
        <w:ind w:firstLine="720"/>
        <w:jc w:val="both"/>
        <w:rPr>
          <w:rFonts w:ascii="Times New Roman" w:hAnsi="Times New Roman"/>
          <w:sz w:val="24"/>
          <w:szCs w:val="24"/>
        </w:rPr>
      </w:pPr>
      <w:r w:rsidRPr="00423363">
        <w:rPr>
          <w:rFonts w:ascii="Times New Roman" w:hAnsi="Times New Roman"/>
          <w:sz w:val="24"/>
          <w:szCs w:val="24"/>
        </w:rPr>
        <w:t xml:space="preserve">Сжатием характеризовался и объем безналичных средств. </w:t>
      </w:r>
      <w:proofErr w:type="gramStart"/>
      <w:r w:rsidRPr="00423363">
        <w:rPr>
          <w:rFonts w:ascii="Times New Roman" w:hAnsi="Times New Roman"/>
          <w:sz w:val="24"/>
          <w:szCs w:val="24"/>
        </w:rPr>
        <w:t xml:space="preserve">По состоянию на                      1 января 2018 года в безналичном сегменте было сосредоточено 1 351,8 млн руб., что на 5,1% ниже показателя на 1 января 2017 года, что вызвано оттоком средств с текущих счетов юридических лиц на 7,2%, до 1 039,6 млн руб., что связано с предъявлением накопленных рублевых денежных средств к конвертации в иностранную валюту. </w:t>
      </w:r>
      <w:proofErr w:type="gramEnd"/>
    </w:p>
    <w:p w:rsidR="0094333A" w:rsidRDefault="0094333A" w:rsidP="0094333A">
      <w:pPr>
        <w:spacing w:after="0" w:line="240" w:lineRule="auto"/>
        <w:contextualSpacing/>
        <w:jc w:val="right"/>
        <w:rPr>
          <w:rFonts w:ascii="Times New Roman" w:hAnsi="Times New Roman"/>
          <w:sz w:val="24"/>
          <w:szCs w:val="24"/>
        </w:rPr>
      </w:pPr>
      <w:r w:rsidRPr="00423363">
        <w:rPr>
          <w:rFonts w:ascii="Times New Roman" w:hAnsi="Times New Roman"/>
          <w:sz w:val="24"/>
          <w:szCs w:val="24"/>
        </w:rPr>
        <w:t>Таблица №</w:t>
      </w:r>
      <w:r w:rsidR="00623CD1">
        <w:rPr>
          <w:rFonts w:ascii="Times New Roman" w:hAnsi="Times New Roman"/>
          <w:sz w:val="24"/>
          <w:szCs w:val="24"/>
        </w:rPr>
        <w:t>10</w:t>
      </w:r>
    </w:p>
    <w:p w:rsidR="0094333A" w:rsidRDefault="0094333A" w:rsidP="0094333A">
      <w:pPr>
        <w:spacing w:after="0" w:line="240" w:lineRule="auto"/>
        <w:jc w:val="center"/>
        <w:rPr>
          <w:rFonts w:ascii="Times New Roman" w:hAnsi="Times New Roman"/>
          <w:b/>
          <w:color w:val="000000"/>
          <w:sz w:val="24"/>
          <w:szCs w:val="24"/>
        </w:rPr>
      </w:pPr>
      <w:r w:rsidRPr="00423363">
        <w:rPr>
          <w:rFonts w:ascii="Times New Roman" w:hAnsi="Times New Roman"/>
          <w:b/>
          <w:color w:val="000000"/>
          <w:sz w:val="24"/>
          <w:szCs w:val="24"/>
        </w:rPr>
        <w:t>Структура и динамика денежного предложения</w:t>
      </w:r>
      <w:r w:rsidRPr="008C1FB5">
        <w:rPr>
          <w:rFonts w:ascii="Times New Roman" w:hAnsi="Times New Roman"/>
          <w:b/>
          <w:color w:val="000000"/>
          <w:sz w:val="24"/>
          <w:szCs w:val="24"/>
        </w:rPr>
        <w:t xml:space="preserve"> </w:t>
      </w:r>
    </w:p>
    <w:p w:rsidR="0094333A" w:rsidRPr="0094333A" w:rsidRDefault="0094333A" w:rsidP="0094333A">
      <w:pPr>
        <w:spacing w:after="0" w:line="240" w:lineRule="auto"/>
        <w:jc w:val="center"/>
        <w:rPr>
          <w:rFonts w:ascii="Times New Roman" w:hAnsi="Times New Roman"/>
          <w:b/>
          <w:color w:val="000000"/>
          <w:sz w:val="6"/>
          <w:szCs w:val="6"/>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7"/>
        <w:gridCol w:w="1125"/>
        <w:gridCol w:w="1126"/>
        <w:gridCol w:w="1126"/>
        <w:gridCol w:w="1126"/>
        <w:gridCol w:w="991"/>
      </w:tblGrid>
      <w:tr w:rsidR="0094333A" w:rsidRPr="008C1FB5" w:rsidTr="00A73BD0">
        <w:trPr>
          <w:cantSplit/>
          <w:trHeight w:val="75"/>
        </w:trPr>
        <w:tc>
          <w:tcPr>
            <w:tcW w:w="4137" w:type="dxa"/>
            <w:vMerge w:val="restart"/>
            <w:shd w:val="clear" w:color="auto" w:fill="C0C0C0"/>
          </w:tcPr>
          <w:p w:rsidR="0094333A" w:rsidRPr="008C1FB5" w:rsidRDefault="0094333A" w:rsidP="00A73BD0">
            <w:pPr>
              <w:spacing w:after="0" w:line="240" w:lineRule="auto"/>
              <w:ind w:right="-1"/>
              <w:jc w:val="both"/>
              <w:rPr>
                <w:rFonts w:ascii="Times New Roman" w:hAnsi="Times New Roman"/>
                <w:color w:val="000000"/>
                <w:sz w:val="20"/>
                <w:szCs w:val="20"/>
              </w:rPr>
            </w:pPr>
          </w:p>
        </w:tc>
        <w:tc>
          <w:tcPr>
            <w:tcW w:w="2251" w:type="dxa"/>
            <w:gridSpan w:val="2"/>
            <w:shd w:val="clear" w:color="auto" w:fill="C0C0C0"/>
            <w:vAlign w:val="center"/>
          </w:tcPr>
          <w:p w:rsidR="0094333A" w:rsidRPr="008C1FB5" w:rsidRDefault="0094333A" w:rsidP="00A73BD0">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на 01.01.201</w:t>
            </w:r>
            <w:r>
              <w:rPr>
                <w:rFonts w:ascii="Times New Roman" w:hAnsi="Times New Roman"/>
                <w:color w:val="000000"/>
                <w:sz w:val="20"/>
                <w:szCs w:val="20"/>
              </w:rPr>
              <w:t>7</w:t>
            </w:r>
            <w:r w:rsidRPr="008C1FB5">
              <w:rPr>
                <w:rFonts w:ascii="Times New Roman" w:hAnsi="Times New Roman"/>
                <w:color w:val="000000"/>
                <w:sz w:val="20"/>
                <w:szCs w:val="20"/>
              </w:rPr>
              <w:t xml:space="preserve"> г.</w:t>
            </w:r>
          </w:p>
        </w:tc>
        <w:tc>
          <w:tcPr>
            <w:tcW w:w="2252" w:type="dxa"/>
            <w:gridSpan w:val="2"/>
            <w:shd w:val="clear" w:color="auto" w:fill="C0C0C0"/>
            <w:vAlign w:val="center"/>
          </w:tcPr>
          <w:p w:rsidR="0094333A" w:rsidRPr="008C1FB5" w:rsidRDefault="0094333A" w:rsidP="00A73BD0">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на 01.0</w:t>
            </w:r>
            <w:r>
              <w:rPr>
                <w:rFonts w:ascii="Times New Roman" w:hAnsi="Times New Roman"/>
                <w:color w:val="000000"/>
                <w:sz w:val="20"/>
                <w:szCs w:val="20"/>
              </w:rPr>
              <w:t>1</w:t>
            </w:r>
            <w:r w:rsidRPr="008C1FB5">
              <w:rPr>
                <w:rFonts w:ascii="Times New Roman" w:hAnsi="Times New Roman"/>
                <w:color w:val="000000"/>
                <w:sz w:val="20"/>
                <w:szCs w:val="20"/>
              </w:rPr>
              <w:t>.201</w:t>
            </w:r>
            <w:r>
              <w:rPr>
                <w:rFonts w:ascii="Times New Roman" w:hAnsi="Times New Roman"/>
                <w:color w:val="000000"/>
                <w:sz w:val="20"/>
                <w:szCs w:val="20"/>
              </w:rPr>
              <w:t>8</w:t>
            </w:r>
            <w:r w:rsidRPr="008C1FB5">
              <w:rPr>
                <w:rFonts w:ascii="Times New Roman" w:hAnsi="Times New Roman"/>
                <w:color w:val="000000"/>
                <w:sz w:val="20"/>
                <w:szCs w:val="20"/>
              </w:rPr>
              <w:t xml:space="preserve"> г.</w:t>
            </w:r>
          </w:p>
        </w:tc>
        <w:tc>
          <w:tcPr>
            <w:tcW w:w="991" w:type="dxa"/>
            <w:vMerge w:val="restart"/>
            <w:shd w:val="clear" w:color="auto" w:fill="C0C0C0"/>
          </w:tcPr>
          <w:p w:rsidR="0094333A" w:rsidRPr="008C1FB5" w:rsidRDefault="0094333A" w:rsidP="00A73BD0">
            <w:pPr>
              <w:spacing w:after="0" w:line="240" w:lineRule="auto"/>
              <w:ind w:left="-108" w:right="-108"/>
              <w:jc w:val="center"/>
              <w:rPr>
                <w:rFonts w:ascii="Times New Roman" w:hAnsi="Times New Roman"/>
                <w:color w:val="000000"/>
                <w:sz w:val="20"/>
                <w:szCs w:val="20"/>
              </w:rPr>
            </w:pPr>
            <w:r w:rsidRPr="008C1FB5">
              <w:rPr>
                <w:rFonts w:ascii="Times New Roman" w:hAnsi="Times New Roman"/>
                <w:color w:val="000000"/>
                <w:sz w:val="20"/>
                <w:szCs w:val="20"/>
              </w:rPr>
              <w:t>темп</w:t>
            </w:r>
          </w:p>
          <w:p w:rsidR="0094333A" w:rsidRPr="008C1FB5" w:rsidRDefault="0094333A" w:rsidP="00A73BD0">
            <w:pPr>
              <w:spacing w:after="0" w:line="240" w:lineRule="auto"/>
              <w:ind w:left="-108" w:right="-108"/>
              <w:jc w:val="center"/>
              <w:rPr>
                <w:rFonts w:ascii="Times New Roman" w:hAnsi="Times New Roman"/>
                <w:color w:val="000000"/>
                <w:sz w:val="20"/>
                <w:szCs w:val="20"/>
              </w:rPr>
            </w:pPr>
            <w:r w:rsidRPr="008C1FB5">
              <w:rPr>
                <w:rFonts w:ascii="Times New Roman" w:hAnsi="Times New Roman"/>
                <w:color w:val="000000"/>
                <w:sz w:val="20"/>
                <w:szCs w:val="20"/>
              </w:rPr>
              <w:t>роста, %</w:t>
            </w:r>
          </w:p>
        </w:tc>
      </w:tr>
      <w:tr w:rsidR="0094333A" w:rsidRPr="008C1FB5" w:rsidTr="00A73BD0">
        <w:trPr>
          <w:cantSplit/>
          <w:trHeight w:val="70"/>
        </w:trPr>
        <w:tc>
          <w:tcPr>
            <w:tcW w:w="4137" w:type="dxa"/>
            <w:vMerge/>
          </w:tcPr>
          <w:p w:rsidR="0094333A" w:rsidRPr="008C1FB5" w:rsidRDefault="0094333A" w:rsidP="00A73BD0">
            <w:pPr>
              <w:spacing w:after="0" w:line="240" w:lineRule="auto"/>
              <w:ind w:right="-1"/>
              <w:jc w:val="both"/>
              <w:rPr>
                <w:rFonts w:ascii="Times New Roman" w:hAnsi="Times New Roman"/>
                <w:color w:val="000000"/>
                <w:sz w:val="20"/>
                <w:szCs w:val="20"/>
              </w:rPr>
            </w:pPr>
          </w:p>
        </w:tc>
        <w:tc>
          <w:tcPr>
            <w:tcW w:w="1125" w:type="dxa"/>
            <w:shd w:val="clear" w:color="auto" w:fill="C0C0C0"/>
          </w:tcPr>
          <w:p w:rsidR="0094333A" w:rsidRPr="008C1FB5" w:rsidRDefault="0094333A" w:rsidP="00A373B1">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млн руб.</w:t>
            </w:r>
          </w:p>
        </w:tc>
        <w:tc>
          <w:tcPr>
            <w:tcW w:w="1126" w:type="dxa"/>
            <w:shd w:val="clear" w:color="auto" w:fill="C0C0C0"/>
          </w:tcPr>
          <w:p w:rsidR="0094333A" w:rsidRPr="008C1FB5" w:rsidRDefault="0094333A" w:rsidP="00A73BD0">
            <w:pPr>
              <w:keepNext/>
              <w:spacing w:after="0" w:line="240" w:lineRule="auto"/>
              <w:ind w:left="-117" w:right="-108"/>
              <w:jc w:val="center"/>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уд</w:t>
            </w:r>
            <w:proofErr w:type="gramStart"/>
            <w:r w:rsidRPr="008C1FB5">
              <w:rPr>
                <w:rFonts w:ascii="Times New Roman" w:hAnsi="Times New Roman" w:cs="Arial"/>
                <w:bCs/>
                <w:color w:val="000000"/>
                <w:sz w:val="20"/>
                <w:szCs w:val="20"/>
              </w:rPr>
              <w:t>.</w:t>
            </w:r>
            <w:proofErr w:type="gramEnd"/>
            <w:r w:rsidRPr="008C1FB5">
              <w:rPr>
                <w:rFonts w:ascii="Times New Roman" w:hAnsi="Times New Roman" w:cs="Arial"/>
                <w:bCs/>
                <w:color w:val="000000"/>
                <w:sz w:val="20"/>
                <w:szCs w:val="20"/>
              </w:rPr>
              <w:t xml:space="preserve"> </w:t>
            </w:r>
            <w:proofErr w:type="gramStart"/>
            <w:r w:rsidRPr="008C1FB5">
              <w:rPr>
                <w:rFonts w:ascii="Times New Roman" w:hAnsi="Times New Roman" w:cs="Arial"/>
                <w:bCs/>
                <w:color w:val="000000"/>
                <w:sz w:val="20"/>
                <w:szCs w:val="20"/>
              </w:rPr>
              <w:t>в</w:t>
            </w:r>
            <w:proofErr w:type="gramEnd"/>
            <w:r w:rsidRPr="008C1FB5">
              <w:rPr>
                <w:rFonts w:ascii="Times New Roman" w:hAnsi="Times New Roman" w:cs="Arial"/>
                <w:bCs/>
                <w:color w:val="000000"/>
                <w:sz w:val="20"/>
                <w:szCs w:val="20"/>
              </w:rPr>
              <w:t>ес, %</w:t>
            </w:r>
          </w:p>
        </w:tc>
        <w:tc>
          <w:tcPr>
            <w:tcW w:w="1126" w:type="dxa"/>
            <w:tcBorders>
              <w:bottom w:val="double" w:sz="4" w:space="0" w:color="auto"/>
            </w:tcBorders>
            <w:shd w:val="clear" w:color="auto" w:fill="C0C0C0"/>
          </w:tcPr>
          <w:p w:rsidR="0094333A" w:rsidRPr="008C1FB5" w:rsidRDefault="0094333A" w:rsidP="00A373B1">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млн руб.</w:t>
            </w:r>
          </w:p>
        </w:tc>
        <w:tc>
          <w:tcPr>
            <w:tcW w:w="1126" w:type="dxa"/>
            <w:shd w:val="clear" w:color="auto" w:fill="C0C0C0"/>
          </w:tcPr>
          <w:p w:rsidR="0094333A" w:rsidRPr="008C1FB5" w:rsidRDefault="0094333A" w:rsidP="00A73BD0">
            <w:pPr>
              <w:keepNext/>
              <w:spacing w:after="0" w:line="240" w:lineRule="auto"/>
              <w:ind w:left="-117" w:right="-108"/>
              <w:jc w:val="center"/>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уд</w:t>
            </w:r>
            <w:proofErr w:type="gramStart"/>
            <w:r w:rsidRPr="008C1FB5">
              <w:rPr>
                <w:rFonts w:ascii="Times New Roman" w:hAnsi="Times New Roman" w:cs="Arial"/>
                <w:bCs/>
                <w:color w:val="000000"/>
                <w:sz w:val="20"/>
                <w:szCs w:val="20"/>
              </w:rPr>
              <w:t>.</w:t>
            </w:r>
            <w:proofErr w:type="gramEnd"/>
            <w:r w:rsidRPr="008C1FB5">
              <w:rPr>
                <w:rFonts w:ascii="Times New Roman" w:hAnsi="Times New Roman" w:cs="Arial"/>
                <w:bCs/>
                <w:color w:val="000000"/>
                <w:sz w:val="20"/>
                <w:szCs w:val="20"/>
              </w:rPr>
              <w:t xml:space="preserve"> </w:t>
            </w:r>
            <w:proofErr w:type="gramStart"/>
            <w:r w:rsidRPr="008C1FB5">
              <w:rPr>
                <w:rFonts w:ascii="Times New Roman" w:hAnsi="Times New Roman" w:cs="Arial"/>
                <w:bCs/>
                <w:color w:val="000000"/>
                <w:sz w:val="20"/>
                <w:szCs w:val="20"/>
              </w:rPr>
              <w:t>в</w:t>
            </w:r>
            <w:proofErr w:type="gramEnd"/>
            <w:r w:rsidRPr="008C1FB5">
              <w:rPr>
                <w:rFonts w:ascii="Times New Roman" w:hAnsi="Times New Roman" w:cs="Arial"/>
                <w:bCs/>
                <w:color w:val="000000"/>
                <w:sz w:val="20"/>
                <w:szCs w:val="20"/>
              </w:rPr>
              <w:t>ес, %</w:t>
            </w:r>
          </w:p>
        </w:tc>
        <w:tc>
          <w:tcPr>
            <w:tcW w:w="991" w:type="dxa"/>
            <w:vMerge/>
            <w:shd w:val="clear" w:color="auto" w:fill="C0C0C0"/>
          </w:tcPr>
          <w:p w:rsidR="0094333A" w:rsidRPr="008C1FB5" w:rsidRDefault="0094333A" w:rsidP="00A73BD0">
            <w:pPr>
              <w:keepNext/>
              <w:spacing w:after="0" w:line="240" w:lineRule="auto"/>
              <w:ind w:left="-91" w:right="-94"/>
              <w:outlineLvl w:val="2"/>
              <w:rPr>
                <w:rFonts w:ascii="Times New Roman" w:hAnsi="Times New Roman" w:cs="Arial"/>
                <w:bCs/>
                <w:color w:val="000000"/>
                <w:sz w:val="20"/>
                <w:szCs w:val="20"/>
              </w:rPr>
            </w:pPr>
          </w:p>
        </w:tc>
      </w:tr>
      <w:tr w:rsidR="0094333A" w:rsidRPr="008C1FB5" w:rsidTr="00A73BD0">
        <w:trPr>
          <w:cantSplit/>
          <w:trHeight w:val="50"/>
        </w:trPr>
        <w:tc>
          <w:tcPr>
            <w:tcW w:w="4137" w:type="dxa"/>
            <w:tcBorders>
              <w:top w:val="double" w:sz="4" w:space="0" w:color="auto"/>
              <w:bottom w:val="single" w:sz="4" w:space="0" w:color="auto"/>
            </w:tcBorders>
            <w:shd w:val="clear" w:color="auto" w:fill="E6E6E6"/>
          </w:tcPr>
          <w:p w:rsidR="0094333A" w:rsidRPr="008C1FB5" w:rsidRDefault="0094333A" w:rsidP="00A73BD0">
            <w:pPr>
              <w:keepNext/>
              <w:spacing w:after="0" w:line="240" w:lineRule="auto"/>
              <w:ind w:right="-1"/>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Полная денежная масса (М3)</w:t>
            </w:r>
          </w:p>
        </w:tc>
        <w:tc>
          <w:tcPr>
            <w:tcW w:w="1125" w:type="dxa"/>
            <w:tcBorders>
              <w:top w:val="double" w:sz="4" w:space="0" w:color="auto"/>
              <w:bottom w:val="single" w:sz="4" w:space="0" w:color="auto"/>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5 320,9</w:t>
            </w:r>
          </w:p>
        </w:tc>
        <w:tc>
          <w:tcPr>
            <w:tcW w:w="1126" w:type="dxa"/>
            <w:tcBorders>
              <w:top w:val="double" w:sz="4" w:space="0" w:color="auto"/>
              <w:bottom w:val="single" w:sz="4" w:space="0" w:color="auto"/>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100,0</w:t>
            </w:r>
          </w:p>
        </w:tc>
        <w:tc>
          <w:tcPr>
            <w:tcW w:w="1126" w:type="dxa"/>
            <w:tcBorders>
              <w:top w:val="double" w:sz="4" w:space="0" w:color="auto"/>
              <w:bottom w:val="single" w:sz="4" w:space="0" w:color="auto"/>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7 433,9</w:t>
            </w:r>
          </w:p>
        </w:tc>
        <w:tc>
          <w:tcPr>
            <w:tcW w:w="1126" w:type="dxa"/>
            <w:tcBorders>
              <w:top w:val="double" w:sz="4" w:space="0" w:color="auto"/>
              <w:bottom w:val="single" w:sz="4" w:space="0" w:color="auto"/>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100,0</w:t>
            </w:r>
          </w:p>
        </w:tc>
        <w:tc>
          <w:tcPr>
            <w:tcW w:w="991" w:type="dxa"/>
            <w:tcBorders>
              <w:top w:val="double" w:sz="4" w:space="0" w:color="auto"/>
              <w:bottom w:val="single" w:sz="4" w:space="0" w:color="auto"/>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139,7</w:t>
            </w:r>
          </w:p>
        </w:tc>
      </w:tr>
      <w:tr w:rsidR="0094333A" w:rsidRPr="008C1FB5" w:rsidTr="00A73BD0">
        <w:trPr>
          <w:cantSplit/>
          <w:trHeight w:val="50"/>
        </w:trPr>
        <w:tc>
          <w:tcPr>
            <w:tcW w:w="4137" w:type="dxa"/>
            <w:tcBorders>
              <w:top w:val="single" w:sz="4" w:space="0" w:color="auto"/>
              <w:bottom w:val="nil"/>
            </w:tcBorders>
            <w:shd w:val="clear" w:color="auto" w:fill="E6E6E6"/>
          </w:tcPr>
          <w:p w:rsidR="0094333A" w:rsidRPr="008C1FB5" w:rsidRDefault="0094333A" w:rsidP="00A73BD0">
            <w:pPr>
              <w:keepNext/>
              <w:spacing w:after="0" w:line="240" w:lineRule="auto"/>
              <w:ind w:left="32" w:right="-1" w:firstLine="112"/>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в том числе:</w:t>
            </w:r>
          </w:p>
        </w:tc>
        <w:tc>
          <w:tcPr>
            <w:tcW w:w="1125" w:type="dxa"/>
            <w:tcBorders>
              <w:top w:val="single" w:sz="4" w:space="0" w:color="auto"/>
              <w:bottom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c>
          <w:tcPr>
            <w:tcW w:w="1126" w:type="dxa"/>
            <w:tcBorders>
              <w:top w:val="single" w:sz="4" w:space="0" w:color="auto"/>
              <w:bottom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c>
          <w:tcPr>
            <w:tcW w:w="1126" w:type="dxa"/>
            <w:tcBorders>
              <w:top w:val="single" w:sz="4" w:space="0" w:color="auto"/>
              <w:bottom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c>
          <w:tcPr>
            <w:tcW w:w="1126" w:type="dxa"/>
            <w:tcBorders>
              <w:top w:val="single" w:sz="4" w:space="0" w:color="auto"/>
              <w:bottom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c>
          <w:tcPr>
            <w:tcW w:w="991" w:type="dxa"/>
            <w:tcBorders>
              <w:top w:val="single" w:sz="4" w:space="0" w:color="auto"/>
              <w:bottom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r>
      <w:tr w:rsidR="0094333A" w:rsidRPr="008C1FB5" w:rsidTr="00A73BD0">
        <w:trPr>
          <w:cantSplit/>
          <w:trHeight w:val="77"/>
        </w:trPr>
        <w:tc>
          <w:tcPr>
            <w:tcW w:w="4137" w:type="dxa"/>
            <w:tcBorders>
              <w:top w:val="nil"/>
            </w:tcBorders>
            <w:shd w:val="clear" w:color="auto" w:fill="E6E6E6"/>
          </w:tcPr>
          <w:p w:rsidR="0094333A" w:rsidRPr="008C1FB5" w:rsidRDefault="0094333A" w:rsidP="00A73BD0">
            <w:pPr>
              <w:keepNext/>
              <w:spacing w:after="0" w:line="240" w:lineRule="auto"/>
              <w:ind w:left="116" w:right="-108" w:firstLine="12"/>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Национальная денежная масса (М2х)</w:t>
            </w:r>
          </w:p>
        </w:tc>
        <w:tc>
          <w:tcPr>
            <w:tcW w:w="1125" w:type="dxa"/>
            <w:tcBorders>
              <w:top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2 518,8</w:t>
            </w:r>
          </w:p>
        </w:tc>
        <w:tc>
          <w:tcPr>
            <w:tcW w:w="1126" w:type="dxa"/>
            <w:tcBorders>
              <w:top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47,3</w:t>
            </w:r>
          </w:p>
        </w:tc>
        <w:tc>
          <w:tcPr>
            <w:tcW w:w="1126" w:type="dxa"/>
            <w:tcBorders>
              <w:top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2 334,1</w:t>
            </w:r>
          </w:p>
        </w:tc>
        <w:tc>
          <w:tcPr>
            <w:tcW w:w="1126" w:type="dxa"/>
            <w:tcBorders>
              <w:top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31,4</w:t>
            </w:r>
          </w:p>
        </w:tc>
        <w:tc>
          <w:tcPr>
            <w:tcW w:w="991" w:type="dxa"/>
            <w:tcBorders>
              <w:top w:val="nil"/>
            </w:tcBorders>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92,7</w:t>
            </w:r>
          </w:p>
        </w:tc>
      </w:tr>
      <w:tr w:rsidR="0094333A" w:rsidRPr="008C1FB5" w:rsidTr="00A73BD0">
        <w:trPr>
          <w:cantSplit/>
          <w:trHeight w:val="183"/>
        </w:trPr>
        <w:tc>
          <w:tcPr>
            <w:tcW w:w="4137" w:type="dxa"/>
            <w:tcBorders>
              <w:bottom w:val="single" w:sz="4" w:space="0" w:color="FFFFFF"/>
            </w:tcBorders>
          </w:tcPr>
          <w:p w:rsidR="0094333A" w:rsidRPr="008C1FB5" w:rsidRDefault="0094333A" w:rsidP="00A73BD0">
            <w:pPr>
              <w:keepNext/>
              <w:tabs>
                <w:tab w:val="left" w:pos="612"/>
              </w:tabs>
              <w:spacing w:after="0" w:line="240" w:lineRule="auto"/>
              <w:ind w:left="252" w:right="-108" w:firstLine="46"/>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в том числе</w:t>
            </w:r>
            <w:r w:rsidRPr="008C1FB5">
              <w:rPr>
                <w:rFonts w:ascii="Times New Roman" w:hAnsi="Times New Roman" w:cs="Arial"/>
                <w:bCs/>
                <w:color w:val="000000"/>
                <w:sz w:val="20"/>
                <w:szCs w:val="20"/>
                <w:lang w:val="en-US"/>
              </w:rPr>
              <w:t>:</w:t>
            </w:r>
          </w:p>
        </w:tc>
        <w:tc>
          <w:tcPr>
            <w:tcW w:w="1125" w:type="dxa"/>
            <w:tcBorders>
              <w:bottom w:val="single" w:sz="4" w:space="0" w:color="FFFFFF"/>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c>
          <w:tcPr>
            <w:tcW w:w="1126" w:type="dxa"/>
            <w:tcBorders>
              <w:bottom w:val="single" w:sz="4" w:space="0" w:color="FFFFFF"/>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c>
          <w:tcPr>
            <w:tcW w:w="1126" w:type="dxa"/>
            <w:tcBorders>
              <w:bottom w:val="single" w:sz="4" w:space="0" w:color="FFFFFF"/>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c>
          <w:tcPr>
            <w:tcW w:w="1126" w:type="dxa"/>
            <w:tcBorders>
              <w:bottom w:val="single" w:sz="4" w:space="0" w:color="FFFFFF"/>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c>
          <w:tcPr>
            <w:tcW w:w="991" w:type="dxa"/>
            <w:tcBorders>
              <w:bottom w:val="single" w:sz="4" w:space="0" w:color="FFFFFF"/>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p>
        </w:tc>
      </w:tr>
      <w:tr w:rsidR="0094333A" w:rsidRPr="008C1FB5" w:rsidTr="00A73BD0">
        <w:trPr>
          <w:cantSplit/>
          <w:trHeight w:val="193"/>
        </w:trPr>
        <w:tc>
          <w:tcPr>
            <w:tcW w:w="4137" w:type="dxa"/>
            <w:tcBorders>
              <w:top w:val="single" w:sz="4" w:space="0" w:color="FFFFFF"/>
              <w:bottom w:val="single" w:sz="4" w:space="0" w:color="auto"/>
            </w:tcBorders>
          </w:tcPr>
          <w:p w:rsidR="0094333A" w:rsidRPr="008C1FB5" w:rsidRDefault="0094333A" w:rsidP="00A73BD0">
            <w:pPr>
              <w:keepNext/>
              <w:tabs>
                <w:tab w:val="left" w:pos="176"/>
                <w:tab w:val="left" w:pos="612"/>
              </w:tabs>
              <w:spacing w:after="0" w:line="240" w:lineRule="auto"/>
              <w:ind w:left="252" w:right="-108" w:firstLine="46"/>
              <w:outlineLvl w:val="2"/>
              <w:rPr>
                <w:rFonts w:ascii="Times New Roman" w:hAnsi="Times New Roman" w:cs="Arial"/>
                <w:bCs/>
                <w:color w:val="000000"/>
                <w:sz w:val="20"/>
                <w:szCs w:val="20"/>
              </w:rPr>
            </w:pPr>
            <w:r w:rsidRPr="008C1FB5">
              <w:rPr>
                <w:rFonts w:ascii="Times New Roman" w:hAnsi="Times New Roman" w:cs="Arial"/>
                <w:bCs/>
                <w:color w:val="000000"/>
                <w:sz w:val="20"/>
                <w:szCs w:val="20"/>
              </w:rPr>
              <w:t>- наличные деньги в обращении</w:t>
            </w:r>
          </w:p>
        </w:tc>
        <w:tc>
          <w:tcPr>
            <w:tcW w:w="1125"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1 094,2</w:t>
            </w:r>
          </w:p>
        </w:tc>
        <w:tc>
          <w:tcPr>
            <w:tcW w:w="1126"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20,5</w:t>
            </w:r>
          </w:p>
        </w:tc>
        <w:tc>
          <w:tcPr>
            <w:tcW w:w="1126"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982,4</w:t>
            </w:r>
          </w:p>
        </w:tc>
        <w:tc>
          <w:tcPr>
            <w:tcW w:w="1126"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13,2</w:t>
            </w:r>
          </w:p>
        </w:tc>
        <w:tc>
          <w:tcPr>
            <w:tcW w:w="991"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89,8</w:t>
            </w:r>
          </w:p>
        </w:tc>
      </w:tr>
      <w:tr w:rsidR="0094333A" w:rsidRPr="008C1FB5" w:rsidTr="00A73BD0">
        <w:trPr>
          <w:cantSplit/>
          <w:trHeight w:val="193"/>
        </w:trPr>
        <w:tc>
          <w:tcPr>
            <w:tcW w:w="4137" w:type="dxa"/>
            <w:tcBorders>
              <w:top w:val="single" w:sz="4" w:space="0" w:color="FFFFFF"/>
              <w:bottom w:val="single" w:sz="4" w:space="0" w:color="auto"/>
            </w:tcBorders>
          </w:tcPr>
          <w:p w:rsidR="0094333A" w:rsidRPr="008C1FB5" w:rsidRDefault="0094333A" w:rsidP="00A73BD0">
            <w:pPr>
              <w:keepNext/>
              <w:tabs>
                <w:tab w:val="left" w:pos="176"/>
                <w:tab w:val="left" w:pos="612"/>
              </w:tabs>
              <w:spacing w:after="0" w:line="240" w:lineRule="auto"/>
              <w:ind w:left="252" w:right="-108" w:firstLine="46"/>
              <w:outlineLvl w:val="2"/>
              <w:rPr>
                <w:rFonts w:ascii="Times New Roman" w:hAnsi="Times New Roman" w:cs="Arial"/>
                <w:bCs/>
                <w:color w:val="000000"/>
                <w:sz w:val="20"/>
                <w:szCs w:val="20"/>
              </w:rPr>
            </w:pPr>
            <w:r w:rsidRPr="008C1FB5">
              <w:rPr>
                <w:rFonts w:ascii="Times New Roman" w:hAnsi="Times New Roman" w:cs="Arial"/>
                <w:bCs/>
                <w:color w:val="000000"/>
                <w:sz w:val="20"/>
                <w:szCs w:val="20"/>
                <w:lang w:val="en-US"/>
              </w:rPr>
              <w:t>-</w:t>
            </w:r>
            <w:r w:rsidRPr="008C1FB5">
              <w:rPr>
                <w:rFonts w:ascii="Times New Roman" w:hAnsi="Times New Roman" w:cs="Arial"/>
                <w:bCs/>
                <w:color w:val="000000"/>
                <w:sz w:val="20"/>
                <w:szCs w:val="20"/>
              </w:rPr>
              <w:t xml:space="preserve"> безналичные денежные средства</w:t>
            </w:r>
          </w:p>
        </w:tc>
        <w:tc>
          <w:tcPr>
            <w:tcW w:w="1125"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1 424,6</w:t>
            </w:r>
          </w:p>
        </w:tc>
        <w:tc>
          <w:tcPr>
            <w:tcW w:w="1126"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26,8</w:t>
            </w:r>
          </w:p>
        </w:tc>
        <w:tc>
          <w:tcPr>
            <w:tcW w:w="1126"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1 351,7</w:t>
            </w:r>
          </w:p>
        </w:tc>
        <w:tc>
          <w:tcPr>
            <w:tcW w:w="1126"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18,2</w:t>
            </w:r>
          </w:p>
        </w:tc>
        <w:tc>
          <w:tcPr>
            <w:tcW w:w="991" w:type="dxa"/>
            <w:tcBorders>
              <w:top w:val="single" w:sz="4" w:space="0" w:color="FFFFFF"/>
              <w:bottom w:val="single" w:sz="4" w:space="0" w:color="auto"/>
            </w:tcBorders>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94,9</w:t>
            </w:r>
          </w:p>
        </w:tc>
      </w:tr>
      <w:tr w:rsidR="0094333A" w:rsidRPr="008C1FB5" w:rsidTr="00A73BD0">
        <w:trPr>
          <w:trHeight w:val="170"/>
        </w:trPr>
        <w:tc>
          <w:tcPr>
            <w:tcW w:w="4137" w:type="dxa"/>
            <w:shd w:val="clear" w:color="auto" w:fill="E6E6E6"/>
          </w:tcPr>
          <w:p w:rsidR="0094333A" w:rsidRPr="008C1FB5" w:rsidRDefault="0094333A" w:rsidP="00A73BD0">
            <w:pPr>
              <w:tabs>
                <w:tab w:val="left" w:pos="0"/>
                <w:tab w:val="left" w:pos="612"/>
              </w:tabs>
              <w:spacing w:after="0" w:line="240" w:lineRule="auto"/>
              <w:ind w:left="144" w:right="-1"/>
              <w:rPr>
                <w:rFonts w:ascii="Times New Roman" w:hAnsi="Times New Roman"/>
                <w:color w:val="000000"/>
                <w:sz w:val="20"/>
                <w:szCs w:val="20"/>
              </w:rPr>
            </w:pPr>
            <w:r w:rsidRPr="008C1FB5">
              <w:rPr>
                <w:rFonts w:ascii="Times New Roman" w:hAnsi="Times New Roman"/>
                <w:color w:val="000000"/>
                <w:sz w:val="20"/>
                <w:szCs w:val="20"/>
              </w:rPr>
              <w:t>Денежная масса в иностранной валюте</w:t>
            </w:r>
          </w:p>
        </w:tc>
        <w:tc>
          <w:tcPr>
            <w:tcW w:w="1125" w:type="dxa"/>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2 802,1</w:t>
            </w:r>
          </w:p>
        </w:tc>
        <w:tc>
          <w:tcPr>
            <w:tcW w:w="1126" w:type="dxa"/>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52,7</w:t>
            </w:r>
          </w:p>
        </w:tc>
        <w:tc>
          <w:tcPr>
            <w:tcW w:w="1126" w:type="dxa"/>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5 099,8</w:t>
            </w:r>
          </w:p>
        </w:tc>
        <w:tc>
          <w:tcPr>
            <w:tcW w:w="1126" w:type="dxa"/>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68,6</w:t>
            </w:r>
          </w:p>
        </w:tc>
        <w:tc>
          <w:tcPr>
            <w:tcW w:w="991" w:type="dxa"/>
            <w:shd w:val="clear" w:color="auto" w:fill="E6E6E6"/>
            <w:vAlign w:val="bottom"/>
          </w:tcPr>
          <w:p w:rsidR="0094333A" w:rsidRPr="008C1FB5" w:rsidRDefault="0094333A" w:rsidP="00A73BD0">
            <w:pPr>
              <w:spacing w:after="0" w:line="240" w:lineRule="auto"/>
              <w:ind w:right="89"/>
              <w:jc w:val="right"/>
              <w:rPr>
                <w:rFonts w:ascii="Times New Roman" w:hAnsi="Times New Roman" w:cs="Arial CYR"/>
                <w:sz w:val="20"/>
                <w:szCs w:val="20"/>
              </w:rPr>
            </w:pPr>
            <w:r>
              <w:rPr>
                <w:rFonts w:ascii="Times New Roman" w:hAnsi="Times New Roman" w:cs="Arial CYR"/>
                <w:sz w:val="20"/>
                <w:szCs w:val="20"/>
              </w:rPr>
              <w:t>182,0</w:t>
            </w:r>
          </w:p>
        </w:tc>
      </w:tr>
    </w:tbl>
    <w:p w:rsidR="0094333A" w:rsidRPr="0094333A" w:rsidRDefault="0094333A" w:rsidP="0094333A">
      <w:pPr>
        <w:spacing w:after="0" w:line="240" w:lineRule="auto"/>
        <w:ind w:firstLine="709"/>
        <w:jc w:val="both"/>
        <w:rPr>
          <w:rFonts w:ascii="Times New Roman" w:hAnsi="Times New Roman"/>
          <w:sz w:val="10"/>
          <w:szCs w:val="10"/>
          <w:highlight w:val="yellow"/>
        </w:rPr>
      </w:pPr>
    </w:p>
    <w:p w:rsidR="0094333A" w:rsidRPr="00423363" w:rsidRDefault="0094333A" w:rsidP="0094333A">
      <w:pPr>
        <w:spacing w:after="0" w:line="240" w:lineRule="auto"/>
        <w:ind w:firstLine="709"/>
        <w:jc w:val="both"/>
        <w:rPr>
          <w:rFonts w:ascii="Times New Roman" w:hAnsi="Times New Roman"/>
          <w:sz w:val="24"/>
        </w:rPr>
      </w:pPr>
      <w:proofErr w:type="gramStart"/>
      <w:r w:rsidRPr="00423363">
        <w:rPr>
          <w:rFonts w:ascii="Times New Roman" w:hAnsi="Times New Roman"/>
          <w:sz w:val="24"/>
        </w:rPr>
        <w:t xml:space="preserve">В отличие от динамики рублевого предложения величина денежной массы в иностранной валюте за анализируемый период выросла на 82,0% (на 2 297,7 млн руб.) до                    5 099,8 млн руб. Наибольшим ростом характеризовался объем средств на депозитах до востребования (в 3,8 раза, до 1 475,1 млн руб.), и на срочных депозитах (в 1,6 раза, до </w:t>
      </w:r>
      <w:r>
        <w:rPr>
          <w:rFonts w:ascii="Times New Roman" w:hAnsi="Times New Roman"/>
          <w:sz w:val="24"/>
        </w:rPr>
        <w:t xml:space="preserve">                    </w:t>
      </w:r>
      <w:r w:rsidRPr="00423363">
        <w:rPr>
          <w:rFonts w:ascii="Times New Roman" w:hAnsi="Times New Roman"/>
          <w:sz w:val="24"/>
        </w:rPr>
        <w:t>3 351,3 млн руб.).</w:t>
      </w:r>
      <w:proofErr w:type="gramEnd"/>
      <w:r w:rsidRPr="00423363">
        <w:rPr>
          <w:rFonts w:ascii="Times New Roman" w:hAnsi="Times New Roman"/>
          <w:sz w:val="24"/>
        </w:rPr>
        <w:t xml:space="preserve"> В то же время понижательная динамика наблюдалась по объему валютной наличности в кассах банков (-24,6%, до 210,9 млн руб</w:t>
      </w:r>
      <w:r w:rsidR="008D5EC6">
        <w:rPr>
          <w:rFonts w:ascii="Times New Roman" w:hAnsi="Times New Roman"/>
          <w:sz w:val="24"/>
        </w:rPr>
        <w:t>.</w:t>
      </w:r>
      <w:r w:rsidRPr="00423363">
        <w:rPr>
          <w:rFonts w:ascii="Times New Roman" w:hAnsi="Times New Roman"/>
          <w:sz w:val="24"/>
        </w:rPr>
        <w:t xml:space="preserve">). </w:t>
      </w:r>
    </w:p>
    <w:p w:rsidR="0094333A" w:rsidRPr="00423363" w:rsidRDefault="0094333A" w:rsidP="0094333A">
      <w:pPr>
        <w:widowControl w:val="0"/>
        <w:spacing w:after="0" w:line="240" w:lineRule="auto"/>
        <w:jc w:val="right"/>
        <w:rPr>
          <w:rFonts w:ascii="Times New Roman" w:hAnsi="Times New Roman"/>
          <w:bCs/>
          <w:iCs/>
          <w:sz w:val="24"/>
          <w:szCs w:val="24"/>
        </w:rPr>
      </w:pPr>
      <w:r w:rsidRPr="00423363">
        <w:rPr>
          <w:rFonts w:ascii="Times New Roman" w:hAnsi="Times New Roman"/>
          <w:bCs/>
          <w:iCs/>
          <w:sz w:val="24"/>
          <w:szCs w:val="24"/>
        </w:rPr>
        <w:t>Таблица №</w:t>
      </w:r>
      <w:r>
        <w:rPr>
          <w:rFonts w:ascii="Times New Roman" w:hAnsi="Times New Roman"/>
          <w:bCs/>
          <w:iCs/>
          <w:sz w:val="24"/>
          <w:szCs w:val="24"/>
        </w:rPr>
        <w:t>1</w:t>
      </w:r>
      <w:r w:rsidR="00623CD1">
        <w:rPr>
          <w:rFonts w:ascii="Times New Roman" w:hAnsi="Times New Roman"/>
          <w:bCs/>
          <w:iCs/>
          <w:sz w:val="24"/>
          <w:szCs w:val="24"/>
        </w:rPr>
        <w:t>1</w:t>
      </w:r>
    </w:p>
    <w:p w:rsidR="0094333A" w:rsidRDefault="0094333A" w:rsidP="0094333A">
      <w:pPr>
        <w:spacing w:after="0" w:line="240" w:lineRule="auto"/>
        <w:jc w:val="center"/>
        <w:rPr>
          <w:rFonts w:ascii="Times New Roman" w:hAnsi="Times New Roman"/>
          <w:b/>
          <w:color w:val="000000"/>
          <w:sz w:val="24"/>
          <w:szCs w:val="24"/>
        </w:rPr>
      </w:pPr>
      <w:r w:rsidRPr="00423363">
        <w:rPr>
          <w:rFonts w:ascii="Times New Roman" w:hAnsi="Times New Roman"/>
          <w:b/>
          <w:color w:val="000000"/>
          <w:sz w:val="24"/>
          <w:szCs w:val="24"/>
        </w:rPr>
        <w:t>Структура и динамика денежной базы</w:t>
      </w:r>
    </w:p>
    <w:p w:rsidR="0094333A" w:rsidRPr="0094333A" w:rsidRDefault="0094333A" w:rsidP="0094333A">
      <w:pPr>
        <w:spacing w:after="0" w:line="240" w:lineRule="auto"/>
        <w:jc w:val="center"/>
        <w:rPr>
          <w:rFonts w:ascii="Times New Roman" w:hAnsi="Times New Roman"/>
          <w:b/>
          <w:color w:val="000000"/>
          <w:sz w:val="6"/>
          <w:szCs w:val="6"/>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240"/>
        <w:gridCol w:w="1240"/>
        <w:gridCol w:w="1240"/>
        <w:gridCol w:w="1241"/>
        <w:gridCol w:w="1126"/>
      </w:tblGrid>
      <w:tr w:rsidR="0094333A" w:rsidRPr="008C1FB5" w:rsidTr="00A73BD0">
        <w:trPr>
          <w:cantSplit/>
          <w:trHeight w:val="151"/>
        </w:trPr>
        <w:tc>
          <w:tcPr>
            <w:tcW w:w="3544" w:type="dxa"/>
            <w:vMerge w:val="restart"/>
            <w:shd w:val="clear" w:color="auto" w:fill="CCCCCC"/>
          </w:tcPr>
          <w:p w:rsidR="0094333A" w:rsidRPr="008C1FB5" w:rsidRDefault="0094333A" w:rsidP="00A73BD0">
            <w:pPr>
              <w:spacing w:after="0" w:line="240" w:lineRule="auto"/>
              <w:ind w:left="-108"/>
              <w:jc w:val="both"/>
              <w:rPr>
                <w:rFonts w:ascii="Times New Roman" w:hAnsi="Times New Roman"/>
                <w:color w:val="000000"/>
                <w:sz w:val="20"/>
                <w:szCs w:val="20"/>
              </w:rPr>
            </w:pPr>
          </w:p>
        </w:tc>
        <w:tc>
          <w:tcPr>
            <w:tcW w:w="2480" w:type="dxa"/>
            <w:gridSpan w:val="2"/>
            <w:shd w:val="clear" w:color="auto" w:fill="CCCCCC"/>
            <w:vAlign w:val="bottom"/>
          </w:tcPr>
          <w:p w:rsidR="0094333A" w:rsidRPr="008C1FB5" w:rsidRDefault="0094333A" w:rsidP="00A73BD0">
            <w:pPr>
              <w:spacing w:after="0" w:line="240" w:lineRule="auto"/>
              <w:ind w:left="-107" w:right="-111"/>
              <w:jc w:val="center"/>
              <w:rPr>
                <w:rFonts w:ascii="Times New Roman" w:hAnsi="Times New Roman"/>
                <w:sz w:val="20"/>
                <w:szCs w:val="20"/>
              </w:rPr>
            </w:pPr>
            <w:r w:rsidRPr="008C1FB5">
              <w:rPr>
                <w:rFonts w:ascii="Times New Roman" w:hAnsi="Times New Roman"/>
                <w:sz w:val="20"/>
                <w:szCs w:val="20"/>
              </w:rPr>
              <w:t>на 01.01.201</w:t>
            </w:r>
            <w:r>
              <w:rPr>
                <w:rFonts w:ascii="Times New Roman" w:hAnsi="Times New Roman"/>
                <w:sz w:val="20"/>
                <w:szCs w:val="20"/>
              </w:rPr>
              <w:t>7</w:t>
            </w:r>
            <w:r w:rsidRPr="008C1FB5">
              <w:rPr>
                <w:rFonts w:ascii="Times New Roman" w:hAnsi="Times New Roman"/>
                <w:sz w:val="20"/>
                <w:szCs w:val="20"/>
              </w:rPr>
              <w:t xml:space="preserve"> г.</w:t>
            </w:r>
          </w:p>
        </w:tc>
        <w:tc>
          <w:tcPr>
            <w:tcW w:w="2481" w:type="dxa"/>
            <w:gridSpan w:val="2"/>
            <w:shd w:val="clear" w:color="auto" w:fill="CCCCCC"/>
            <w:vAlign w:val="bottom"/>
          </w:tcPr>
          <w:p w:rsidR="0094333A" w:rsidRPr="008C1FB5" w:rsidRDefault="0094333A" w:rsidP="00A73BD0">
            <w:pPr>
              <w:spacing w:after="0" w:line="240" w:lineRule="auto"/>
              <w:ind w:left="-107" w:right="-111"/>
              <w:jc w:val="center"/>
              <w:rPr>
                <w:rFonts w:ascii="Times New Roman" w:hAnsi="Times New Roman"/>
                <w:sz w:val="20"/>
                <w:szCs w:val="20"/>
              </w:rPr>
            </w:pPr>
            <w:r w:rsidRPr="008C1FB5">
              <w:rPr>
                <w:rFonts w:ascii="Times New Roman" w:hAnsi="Times New Roman"/>
                <w:sz w:val="20"/>
                <w:szCs w:val="20"/>
              </w:rPr>
              <w:t>на 01.0</w:t>
            </w:r>
            <w:r>
              <w:rPr>
                <w:rFonts w:ascii="Times New Roman" w:hAnsi="Times New Roman"/>
                <w:sz w:val="20"/>
                <w:szCs w:val="20"/>
              </w:rPr>
              <w:t>1</w:t>
            </w:r>
            <w:r w:rsidRPr="008C1FB5">
              <w:rPr>
                <w:rFonts w:ascii="Times New Roman" w:hAnsi="Times New Roman"/>
                <w:sz w:val="20"/>
                <w:szCs w:val="20"/>
              </w:rPr>
              <w:t>.201</w:t>
            </w:r>
            <w:r>
              <w:rPr>
                <w:rFonts w:ascii="Times New Roman" w:hAnsi="Times New Roman"/>
                <w:sz w:val="20"/>
                <w:szCs w:val="20"/>
              </w:rPr>
              <w:t>8</w:t>
            </w:r>
            <w:r w:rsidRPr="008C1FB5">
              <w:rPr>
                <w:rFonts w:ascii="Times New Roman" w:hAnsi="Times New Roman"/>
                <w:sz w:val="20"/>
                <w:szCs w:val="20"/>
              </w:rPr>
              <w:t xml:space="preserve"> г.</w:t>
            </w:r>
          </w:p>
        </w:tc>
        <w:tc>
          <w:tcPr>
            <w:tcW w:w="1126" w:type="dxa"/>
            <w:vMerge w:val="restart"/>
            <w:shd w:val="clear" w:color="auto" w:fill="CCCCCC"/>
            <w:vAlign w:val="center"/>
          </w:tcPr>
          <w:p w:rsidR="0094333A" w:rsidRPr="008C1FB5" w:rsidRDefault="0094333A" w:rsidP="00A73BD0">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темп роста, %</w:t>
            </w:r>
          </w:p>
        </w:tc>
      </w:tr>
      <w:tr w:rsidR="0094333A" w:rsidRPr="008C1FB5" w:rsidTr="00A73BD0">
        <w:trPr>
          <w:cantSplit/>
          <w:trHeight w:val="117"/>
        </w:trPr>
        <w:tc>
          <w:tcPr>
            <w:tcW w:w="3544" w:type="dxa"/>
            <w:vMerge/>
            <w:tcBorders>
              <w:bottom w:val="double" w:sz="4" w:space="0" w:color="auto"/>
            </w:tcBorders>
          </w:tcPr>
          <w:p w:rsidR="0094333A" w:rsidRPr="008C1FB5" w:rsidRDefault="0094333A" w:rsidP="00A73BD0">
            <w:pPr>
              <w:spacing w:after="0" w:line="240" w:lineRule="auto"/>
              <w:ind w:left="-108"/>
              <w:jc w:val="both"/>
              <w:rPr>
                <w:rFonts w:ascii="Times New Roman" w:hAnsi="Times New Roman"/>
                <w:color w:val="000000"/>
                <w:sz w:val="20"/>
                <w:szCs w:val="20"/>
              </w:rPr>
            </w:pPr>
          </w:p>
        </w:tc>
        <w:tc>
          <w:tcPr>
            <w:tcW w:w="1240" w:type="dxa"/>
            <w:tcBorders>
              <w:bottom w:val="double" w:sz="4" w:space="0" w:color="auto"/>
            </w:tcBorders>
            <w:shd w:val="clear" w:color="auto" w:fill="CCCCCC"/>
            <w:vAlign w:val="center"/>
          </w:tcPr>
          <w:p w:rsidR="0094333A" w:rsidRPr="008C1FB5" w:rsidRDefault="0094333A" w:rsidP="00A373B1">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млн руб.</w:t>
            </w:r>
          </w:p>
        </w:tc>
        <w:tc>
          <w:tcPr>
            <w:tcW w:w="1240" w:type="dxa"/>
            <w:tcBorders>
              <w:bottom w:val="double" w:sz="4" w:space="0" w:color="auto"/>
            </w:tcBorders>
            <w:shd w:val="clear" w:color="auto" w:fill="CCCCCC"/>
            <w:vAlign w:val="center"/>
          </w:tcPr>
          <w:p w:rsidR="0094333A" w:rsidRPr="008C1FB5" w:rsidRDefault="0094333A" w:rsidP="00A73BD0">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уд</w:t>
            </w:r>
            <w:proofErr w:type="gramStart"/>
            <w:r w:rsidRPr="008C1FB5">
              <w:rPr>
                <w:rFonts w:ascii="Times New Roman" w:hAnsi="Times New Roman"/>
                <w:color w:val="000000"/>
                <w:sz w:val="20"/>
                <w:szCs w:val="20"/>
              </w:rPr>
              <w:t>.</w:t>
            </w:r>
            <w:proofErr w:type="gramEnd"/>
            <w:r w:rsidRPr="008C1FB5">
              <w:rPr>
                <w:rFonts w:ascii="Times New Roman" w:hAnsi="Times New Roman"/>
                <w:color w:val="000000"/>
                <w:sz w:val="20"/>
                <w:szCs w:val="20"/>
              </w:rPr>
              <w:t xml:space="preserve"> </w:t>
            </w:r>
            <w:proofErr w:type="gramStart"/>
            <w:r w:rsidRPr="008C1FB5">
              <w:rPr>
                <w:rFonts w:ascii="Times New Roman" w:hAnsi="Times New Roman"/>
                <w:color w:val="000000"/>
                <w:sz w:val="20"/>
                <w:szCs w:val="20"/>
              </w:rPr>
              <w:t>в</w:t>
            </w:r>
            <w:proofErr w:type="gramEnd"/>
            <w:r w:rsidRPr="008C1FB5">
              <w:rPr>
                <w:rFonts w:ascii="Times New Roman" w:hAnsi="Times New Roman"/>
                <w:color w:val="000000"/>
                <w:sz w:val="20"/>
                <w:szCs w:val="20"/>
              </w:rPr>
              <w:t>ес, %</w:t>
            </w:r>
          </w:p>
        </w:tc>
        <w:tc>
          <w:tcPr>
            <w:tcW w:w="1240" w:type="dxa"/>
            <w:tcBorders>
              <w:bottom w:val="double" w:sz="4" w:space="0" w:color="auto"/>
            </w:tcBorders>
            <w:shd w:val="clear" w:color="auto" w:fill="CCCCCC"/>
            <w:vAlign w:val="center"/>
          </w:tcPr>
          <w:p w:rsidR="0094333A" w:rsidRPr="008C1FB5" w:rsidRDefault="0094333A" w:rsidP="00A373B1">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млн руб.</w:t>
            </w:r>
          </w:p>
        </w:tc>
        <w:tc>
          <w:tcPr>
            <w:tcW w:w="1241" w:type="dxa"/>
            <w:tcBorders>
              <w:bottom w:val="double" w:sz="4" w:space="0" w:color="auto"/>
            </w:tcBorders>
            <w:shd w:val="clear" w:color="auto" w:fill="CCCCCC"/>
            <w:vAlign w:val="center"/>
          </w:tcPr>
          <w:p w:rsidR="0094333A" w:rsidRPr="008C1FB5" w:rsidRDefault="0094333A" w:rsidP="00A73BD0">
            <w:pPr>
              <w:spacing w:after="0" w:line="240" w:lineRule="auto"/>
              <w:jc w:val="center"/>
              <w:rPr>
                <w:rFonts w:ascii="Times New Roman" w:hAnsi="Times New Roman"/>
                <w:color w:val="000000"/>
                <w:sz w:val="20"/>
                <w:szCs w:val="20"/>
              </w:rPr>
            </w:pPr>
            <w:r w:rsidRPr="008C1FB5">
              <w:rPr>
                <w:rFonts w:ascii="Times New Roman" w:hAnsi="Times New Roman"/>
                <w:color w:val="000000"/>
                <w:sz w:val="20"/>
                <w:szCs w:val="20"/>
              </w:rPr>
              <w:t>уд</w:t>
            </w:r>
            <w:proofErr w:type="gramStart"/>
            <w:r w:rsidRPr="008C1FB5">
              <w:rPr>
                <w:rFonts w:ascii="Times New Roman" w:hAnsi="Times New Roman"/>
                <w:color w:val="000000"/>
                <w:sz w:val="20"/>
                <w:szCs w:val="20"/>
              </w:rPr>
              <w:t>.</w:t>
            </w:r>
            <w:proofErr w:type="gramEnd"/>
            <w:r w:rsidRPr="008C1FB5">
              <w:rPr>
                <w:rFonts w:ascii="Times New Roman" w:hAnsi="Times New Roman"/>
                <w:color w:val="000000"/>
                <w:sz w:val="20"/>
                <w:szCs w:val="20"/>
              </w:rPr>
              <w:t xml:space="preserve"> </w:t>
            </w:r>
            <w:proofErr w:type="gramStart"/>
            <w:r w:rsidRPr="008C1FB5">
              <w:rPr>
                <w:rFonts w:ascii="Times New Roman" w:hAnsi="Times New Roman"/>
                <w:color w:val="000000"/>
                <w:sz w:val="20"/>
                <w:szCs w:val="20"/>
              </w:rPr>
              <w:t>в</w:t>
            </w:r>
            <w:proofErr w:type="gramEnd"/>
            <w:r w:rsidRPr="008C1FB5">
              <w:rPr>
                <w:rFonts w:ascii="Times New Roman" w:hAnsi="Times New Roman"/>
                <w:color w:val="000000"/>
                <w:sz w:val="20"/>
                <w:szCs w:val="20"/>
              </w:rPr>
              <w:t>ес, %</w:t>
            </w:r>
          </w:p>
        </w:tc>
        <w:tc>
          <w:tcPr>
            <w:tcW w:w="1126" w:type="dxa"/>
            <w:vMerge/>
            <w:tcBorders>
              <w:bottom w:val="double" w:sz="4" w:space="0" w:color="auto"/>
            </w:tcBorders>
            <w:vAlign w:val="center"/>
          </w:tcPr>
          <w:p w:rsidR="0094333A" w:rsidRPr="008C1FB5" w:rsidRDefault="0094333A" w:rsidP="00A73BD0">
            <w:pPr>
              <w:spacing w:after="0" w:line="240" w:lineRule="auto"/>
              <w:jc w:val="both"/>
              <w:rPr>
                <w:rFonts w:ascii="Times New Roman" w:hAnsi="Times New Roman"/>
                <w:color w:val="000000"/>
                <w:sz w:val="20"/>
                <w:szCs w:val="20"/>
              </w:rPr>
            </w:pPr>
          </w:p>
        </w:tc>
      </w:tr>
      <w:tr w:rsidR="0094333A" w:rsidRPr="008C1FB5" w:rsidTr="00A73BD0">
        <w:trPr>
          <w:trHeight w:val="221"/>
        </w:trPr>
        <w:tc>
          <w:tcPr>
            <w:tcW w:w="3544" w:type="dxa"/>
            <w:tcBorders>
              <w:top w:val="double" w:sz="4" w:space="0" w:color="auto"/>
            </w:tcBorders>
            <w:shd w:val="clear" w:color="auto" w:fill="E0E0E0"/>
            <w:vAlign w:val="center"/>
          </w:tcPr>
          <w:p w:rsidR="0094333A" w:rsidRPr="008C1FB5" w:rsidRDefault="0094333A" w:rsidP="00A73BD0">
            <w:pPr>
              <w:spacing w:after="0" w:line="240" w:lineRule="auto"/>
              <w:rPr>
                <w:rFonts w:ascii="Times New Roman" w:hAnsi="Times New Roman"/>
                <w:color w:val="000000"/>
                <w:sz w:val="20"/>
                <w:szCs w:val="20"/>
              </w:rPr>
            </w:pPr>
            <w:r w:rsidRPr="008C1FB5">
              <w:rPr>
                <w:rFonts w:ascii="Times New Roman" w:hAnsi="Times New Roman"/>
                <w:color w:val="000000"/>
                <w:sz w:val="20"/>
                <w:szCs w:val="20"/>
              </w:rPr>
              <w:t>Денежная база</w:t>
            </w:r>
          </w:p>
        </w:tc>
        <w:tc>
          <w:tcPr>
            <w:tcW w:w="1240" w:type="dxa"/>
            <w:tcBorders>
              <w:top w:val="double" w:sz="4" w:space="0" w:color="auto"/>
            </w:tcBorders>
            <w:shd w:val="clear" w:color="auto" w:fill="E0E0E0"/>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2 119,7</w:t>
            </w:r>
          </w:p>
        </w:tc>
        <w:tc>
          <w:tcPr>
            <w:tcW w:w="1240" w:type="dxa"/>
            <w:tcBorders>
              <w:top w:val="double" w:sz="4" w:space="0" w:color="auto"/>
            </w:tcBorders>
            <w:shd w:val="clear" w:color="auto" w:fill="E0E0E0"/>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100,0</w:t>
            </w:r>
          </w:p>
        </w:tc>
        <w:tc>
          <w:tcPr>
            <w:tcW w:w="1240" w:type="dxa"/>
            <w:tcBorders>
              <w:top w:val="double" w:sz="4" w:space="0" w:color="auto"/>
            </w:tcBorders>
            <w:shd w:val="clear" w:color="auto" w:fill="E0E0E0"/>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1 750,7</w:t>
            </w:r>
          </w:p>
        </w:tc>
        <w:tc>
          <w:tcPr>
            <w:tcW w:w="1241" w:type="dxa"/>
            <w:tcBorders>
              <w:top w:val="double" w:sz="4" w:space="0" w:color="auto"/>
            </w:tcBorders>
            <w:shd w:val="clear" w:color="auto" w:fill="E0E0E0"/>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100,0</w:t>
            </w:r>
          </w:p>
        </w:tc>
        <w:tc>
          <w:tcPr>
            <w:tcW w:w="1126" w:type="dxa"/>
            <w:tcBorders>
              <w:top w:val="double" w:sz="4" w:space="0" w:color="auto"/>
            </w:tcBorders>
            <w:shd w:val="clear" w:color="auto" w:fill="E0E0E0"/>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82,6</w:t>
            </w:r>
          </w:p>
        </w:tc>
      </w:tr>
      <w:tr w:rsidR="0094333A" w:rsidRPr="008C1FB5" w:rsidTr="00A73BD0">
        <w:trPr>
          <w:trHeight w:val="140"/>
        </w:trPr>
        <w:tc>
          <w:tcPr>
            <w:tcW w:w="3544" w:type="dxa"/>
            <w:tcBorders>
              <w:bottom w:val="nil"/>
            </w:tcBorders>
            <w:vAlign w:val="center"/>
          </w:tcPr>
          <w:p w:rsidR="0094333A" w:rsidRPr="008C1FB5" w:rsidRDefault="0094333A" w:rsidP="00A73BD0">
            <w:pPr>
              <w:spacing w:after="0" w:line="240" w:lineRule="auto"/>
              <w:ind w:left="74" w:firstLine="102"/>
              <w:rPr>
                <w:rFonts w:ascii="Times New Roman" w:hAnsi="Times New Roman"/>
                <w:color w:val="000000"/>
                <w:sz w:val="20"/>
                <w:szCs w:val="20"/>
              </w:rPr>
            </w:pPr>
            <w:r w:rsidRPr="008C1FB5">
              <w:rPr>
                <w:rFonts w:ascii="Times New Roman" w:hAnsi="Times New Roman"/>
                <w:color w:val="000000"/>
                <w:sz w:val="20"/>
                <w:szCs w:val="20"/>
              </w:rPr>
              <w:t>в том числе:</w:t>
            </w:r>
          </w:p>
        </w:tc>
        <w:tc>
          <w:tcPr>
            <w:tcW w:w="1240" w:type="dxa"/>
            <w:tcBorders>
              <w:bottom w:val="nil"/>
            </w:tcBorders>
            <w:vAlign w:val="bottom"/>
          </w:tcPr>
          <w:p w:rsidR="0094333A" w:rsidRPr="008C1FB5" w:rsidRDefault="0094333A" w:rsidP="00A73BD0">
            <w:pPr>
              <w:spacing w:after="0" w:line="240" w:lineRule="auto"/>
              <w:ind w:right="176"/>
              <w:rPr>
                <w:rFonts w:ascii="Times New Roman" w:hAnsi="Times New Roman" w:cs="Arial CYR"/>
                <w:sz w:val="20"/>
                <w:szCs w:val="20"/>
              </w:rPr>
            </w:pPr>
          </w:p>
        </w:tc>
        <w:tc>
          <w:tcPr>
            <w:tcW w:w="1240" w:type="dxa"/>
            <w:tcBorders>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p>
        </w:tc>
        <w:tc>
          <w:tcPr>
            <w:tcW w:w="1240" w:type="dxa"/>
            <w:tcBorders>
              <w:bottom w:val="nil"/>
            </w:tcBorders>
            <w:vAlign w:val="bottom"/>
          </w:tcPr>
          <w:p w:rsidR="0094333A" w:rsidRPr="008C1FB5" w:rsidRDefault="0094333A" w:rsidP="00A73BD0">
            <w:pPr>
              <w:spacing w:after="0" w:line="240" w:lineRule="auto"/>
              <w:ind w:right="176"/>
              <w:rPr>
                <w:rFonts w:ascii="Times New Roman" w:hAnsi="Times New Roman" w:cs="Arial CYR"/>
                <w:sz w:val="20"/>
                <w:szCs w:val="20"/>
              </w:rPr>
            </w:pPr>
          </w:p>
        </w:tc>
        <w:tc>
          <w:tcPr>
            <w:tcW w:w="1241" w:type="dxa"/>
            <w:tcBorders>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p>
        </w:tc>
        <w:tc>
          <w:tcPr>
            <w:tcW w:w="1126" w:type="dxa"/>
            <w:tcBorders>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p>
        </w:tc>
      </w:tr>
      <w:tr w:rsidR="0094333A" w:rsidRPr="008C1FB5" w:rsidTr="00A73BD0">
        <w:tc>
          <w:tcPr>
            <w:tcW w:w="3544" w:type="dxa"/>
            <w:tcBorders>
              <w:top w:val="nil"/>
              <w:bottom w:val="nil"/>
            </w:tcBorders>
            <w:vAlign w:val="center"/>
          </w:tcPr>
          <w:p w:rsidR="0094333A" w:rsidRPr="008C1FB5" w:rsidRDefault="0094333A" w:rsidP="00A73BD0">
            <w:pPr>
              <w:spacing w:after="0" w:line="240" w:lineRule="auto"/>
              <w:ind w:left="176"/>
              <w:rPr>
                <w:rFonts w:ascii="Times New Roman" w:hAnsi="Times New Roman"/>
                <w:color w:val="000000"/>
                <w:sz w:val="20"/>
                <w:szCs w:val="20"/>
              </w:rPr>
            </w:pPr>
            <w:r w:rsidRPr="008C1FB5">
              <w:rPr>
                <w:rFonts w:ascii="Times New Roman" w:hAnsi="Times New Roman"/>
                <w:color w:val="000000"/>
                <w:sz w:val="20"/>
                <w:szCs w:val="20"/>
              </w:rPr>
              <w:t>- наличные деньги в обращении</w:t>
            </w:r>
          </w:p>
        </w:tc>
        <w:tc>
          <w:tcPr>
            <w:tcW w:w="1240"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1 094,2</w:t>
            </w:r>
          </w:p>
        </w:tc>
        <w:tc>
          <w:tcPr>
            <w:tcW w:w="1240"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51,6</w:t>
            </w:r>
          </w:p>
        </w:tc>
        <w:tc>
          <w:tcPr>
            <w:tcW w:w="1240"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982,4</w:t>
            </w:r>
          </w:p>
        </w:tc>
        <w:tc>
          <w:tcPr>
            <w:tcW w:w="1241"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56,1</w:t>
            </w:r>
          </w:p>
        </w:tc>
        <w:tc>
          <w:tcPr>
            <w:tcW w:w="1126"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89,8</w:t>
            </w:r>
          </w:p>
        </w:tc>
      </w:tr>
      <w:tr w:rsidR="0094333A" w:rsidRPr="008C1FB5" w:rsidTr="00A73BD0">
        <w:tc>
          <w:tcPr>
            <w:tcW w:w="3544" w:type="dxa"/>
            <w:tcBorders>
              <w:top w:val="nil"/>
              <w:bottom w:val="nil"/>
            </w:tcBorders>
            <w:vAlign w:val="center"/>
          </w:tcPr>
          <w:p w:rsidR="0094333A" w:rsidRPr="008C1FB5" w:rsidRDefault="0094333A" w:rsidP="00A73BD0">
            <w:pPr>
              <w:spacing w:after="0" w:line="240" w:lineRule="auto"/>
              <w:ind w:left="74" w:firstLine="102"/>
              <w:rPr>
                <w:rFonts w:ascii="Times New Roman" w:hAnsi="Times New Roman"/>
                <w:color w:val="000000"/>
                <w:sz w:val="20"/>
                <w:szCs w:val="20"/>
              </w:rPr>
            </w:pPr>
            <w:r w:rsidRPr="008C1FB5">
              <w:rPr>
                <w:rFonts w:ascii="Times New Roman" w:hAnsi="Times New Roman"/>
                <w:color w:val="000000"/>
                <w:sz w:val="20"/>
                <w:szCs w:val="20"/>
              </w:rPr>
              <w:t>- средства в кассах банков</w:t>
            </w:r>
          </w:p>
        </w:tc>
        <w:tc>
          <w:tcPr>
            <w:tcW w:w="1240"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203,1</w:t>
            </w:r>
          </w:p>
        </w:tc>
        <w:tc>
          <w:tcPr>
            <w:tcW w:w="1240"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9,6</w:t>
            </w:r>
          </w:p>
        </w:tc>
        <w:tc>
          <w:tcPr>
            <w:tcW w:w="1240"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157,8</w:t>
            </w:r>
          </w:p>
        </w:tc>
        <w:tc>
          <w:tcPr>
            <w:tcW w:w="1241"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9,0</w:t>
            </w:r>
          </w:p>
        </w:tc>
        <w:tc>
          <w:tcPr>
            <w:tcW w:w="1126"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77,7</w:t>
            </w:r>
          </w:p>
        </w:tc>
      </w:tr>
      <w:tr w:rsidR="0094333A" w:rsidRPr="008C1FB5" w:rsidTr="00A73BD0">
        <w:tc>
          <w:tcPr>
            <w:tcW w:w="3544" w:type="dxa"/>
            <w:tcBorders>
              <w:top w:val="nil"/>
              <w:bottom w:val="nil"/>
            </w:tcBorders>
            <w:vAlign w:val="center"/>
          </w:tcPr>
          <w:p w:rsidR="0094333A" w:rsidRPr="008C1FB5" w:rsidRDefault="0094333A" w:rsidP="00A73BD0">
            <w:pPr>
              <w:spacing w:after="0" w:line="240" w:lineRule="auto"/>
              <w:ind w:left="312" w:hanging="136"/>
              <w:rPr>
                <w:rFonts w:ascii="Times New Roman" w:hAnsi="Times New Roman"/>
                <w:color w:val="000000"/>
                <w:sz w:val="20"/>
                <w:szCs w:val="20"/>
              </w:rPr>
            </w:pPr>
            <w:r w:rsidRPr="008C1FB5">
              <w:rPr>
                <w:rFonts w:ascii="Times New Roman" w:hAnsi="Times New Roman"/>
                <w:color w:val="000000"/>
                <w:sz w:val="20"/>
                <w:szCs w:val="20"/>
              </w:rPr>
              <w:t>- корреспондентские счета коммерческих банков</w:t>
            </w:r>
          </w:p>
        </w:tc>
        <w:tc>
          <w:tcPr>
            <w:tcW w:w="1240"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822,4</w:t>
            </w:r>
          </w:p>
        </w:tc>
        <w:tc>
          <w:tcPr>
            <w:tcW w:w="1240"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38,8</w:t>
            </w:r>
          </w:p>
        </w:tc>
        <w:tc>
          <w:tcPr>
            <w:tcW w:w="1240"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610,5</w:t>
            </w:r>
          </w:p>
        </w:tc>
        <w:tc>
          <w:tcPr>
            <w:tcW w:w="1241"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34,9</w:t>
            </w:r>
          </w:p>
        </w:tc>
        <w:tc>
          <w:tcPr>
            <w:tcW w:w="1126" w:type="dxa"/>
            <w:tcBorders>
              <w:top w:val="nil"/>
              <w:bottom w:val="nil"/>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74,3</w:t>
            </w:r>
          </w:p>
        </w:tc>
      </w:tr>
      <w:tr w:rsidR="0094333A" w:rsidRPr="008C1FB5" w:rsidTr="00A73BD0">
        <w:tc>
          <w:tcPr>
            <w:tcW w:w="3544" w:type="dxa"/>
            <w:tcBorders>
              <w:top w:val="nil"/>
              <w:bottom w:val="single" w:sz="4" w:space="0" w:color="auto"/>
            </w:tcBorders>
            <w:vAlign w:val="center"/>
          </w:tcPr>
          <w:p w:rsidR="0094333A" w:rsidRPr="008C1FB5" w:rsidRDefault="0094333A" w:rsidP="0094333A">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средства резервирования по валютным операциям, внесенные в ПРБ</w:t>
            </w:r>
          </w:p>
        </w:tc>
        <w:tc>
          <w:tcPr>
            <w:tcW w:w="1240" w:type="dxa"/>
            <w:tcBorders>
              <w:top w:val="nil"/>
              <w:bottom w:val="single" w:sz="4" w:space="0" w:color="auto"/>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0,0</w:t>
            </w:r>
          </w:p>
        </w:tc>
        <w:tc>
          <w:tcPr>
            <w:tcW w:w="1240" w:type="dxa"/>
            <w:tcBorders>
              <w:top w:val="nil"/>
              <w:bottom w:val="single" w:sz="4" w:space="0" w:color="auto"/>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0,0</w:t>
            </w:r>
          </w:p>
        </w:tc>
        <w:tc>
          <w:tcPr>
            <w:tcW w:w="1240" w:type="dxa"/>
            <w:tcBorders>
              <w:top w:val="nil"/>
              <w:bottom w:val="single" w:sz="4" w:space="0" w:color="auto"/>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0,0</w:t>
            </w:r>
          </w:p>
        </w:tc>
        <w:tc>
          <w:tcPr>
            <w:tcW w:w="1241" w:type="dxa"/>
            <w:tcBorders>
              <w:top w:val="nil"/>
              <w:bottom w:val="single" w:sz="4" w:space="0" w:color="auto"/>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0,0</w:t>
            </w:r>
          </w:p>
        </w:tc>
        <w:tc>
          <w:tcPr>
            <w:tcW w:w="1126" w:type="dxa"/>
            <w:tcBorders>
              <w:top w:val="nil"/>
              <w:bottom w:val="single" w:sz="4" w:space="0" w:color="auto"/>
            </w:tcBorders>
            <w:vAlign w:val="bottom"/>
          </w:tcPr>
          <w:p w:rsidR="0094333A" w:rsidRPr="008C1FB5" w:rsidRDefault="0094333A" w:rsidP="00A73BD0">
            <w:pPr>
              <w:spacing w:after="0" w:line="240" w:lineRule="auto"/>
              <w:ind w:right="176"/>
              <w:jc w:val="right"/>
              <w:rPr>
                <w:rFonts w:ascii="Times New Roman" w:hAnsi="Times New Roman" w:cs="Arial CYR"/>
                <w:color w:val="000000"/>
                <w:sz w:val="20"/>
                <w:szCs w:val="20"/>
              </w:rPr>
            </w:pPr>
            <w:r>
              <w:rPr>
                <w:rFonts w:ascii="Times New Roman" w:hAnsi="Times New Roman" w:cs="Arial CYR"/>
                <w:color w:val="000000"/>
                <w:sz w:val="20"/>
                <w:szCs w:val="20"/>
              </w:rPr>
              <w:t>-</w:t>
            </w:r>
          </w:p>
        </w:tc>
      </w:tr>
    </w:tbl>
    <w:p w:rsidR="0094333A" w:rsidRPr="0094333A" w:rsidRDefault="0094333A" w:rsidP="0094333A">
      <w:pPr>
        <w:spacing w:after="0" w:line="240" w:lineRule="auto"/>
        <w:ind w:firstLine="709"/>
        <w:jc w:val="both"/>
        <w:rPr>
          <w:rFonts w:ascii="Times New Roman" w:hAnsi="Times New Roman"/>
          <w:color w:val="000000"/>
          <w:sz w:val="10"/>
          <w:szCs w:val="10"/>
        </w:rPr>
      </w:pPr>
    </w:p>
    <w:p w:rsidR="0094333A" w:rsidRPr="00423363" w:rsidRDefault="0094333A" w:rsidP="0094333A">
      <w:pPr>
        <w:spacing w:after="0" w:line="240" w:lineRule="auto"/>
        <w:ind w:firstLine="709"/>
        <w:jc w:val="both"/>
        <w:rPr>
          <w:rFonts w:ascii="Times New Roman" w:hAnsi="Times New Roman"/>
          <w:color w:val="000000"/>
          <w:sz w:val="24"/>
          <w:szCs w:val="24"/>
        </w:rPr>
      </w:pPr>
      <w:r w:rsidRPr="00423363">
        <w:rPr>
          <w:rFonts w:ascii="Times New Roman" w:hAnsi="Times New Roman"/>
          <w:color w:val="000000"/>
          <w:sz w:val="24"/>
          <w:szCs w:val="24"/>
        </w:rPr>
        <w:t xml:space="preserve">Вследствие разработки механизма удовлетворения накопленного спроса коммерческих банков и экономических агентов на иностранную валюту в 2017 году удалось минимизировать сформированный за 2015-2016 годы денежный навес. В результате рублевая денежная база сократилась на 17,4%, или на 369,0 млн руб., составив в абсолютном выражении 1 750,7 млн руб. В основном это было обусловлено изменением размера средств, размещенных на корреспондентских счетах коммерческих банков и зарезервированных в центральном банке для приобретения иностранной валюты. Их объем по итогам 2017 года уменьшился на 25,8% или на 211,9 млн руб. до 610,5 млн руб. </w:t>
      </w:r>
    </w:p>
    <w:p w:rsidR="0094333A" w:rsidRPr="00423363" w:rsidRDefault="0094333A" w:rsidP="0094333A">
      <w:pPr>
        <w:spacing w:after="0" w:line="240" w:lineRule="auto"/>
        <w:ind w:firstLine="709"/>
        <w:jc w:val="both"/>
        <w:rPr>
          <w:rFonts w:ascii="Times New Roman" w:hAnsi="Times New Roman"/>
          <w:color w:val="000000"/>
          <w:sz w:val="24"/>
          <w:szCs w:val="24"/>
        </w:rPr>
      </w:pPr>
      <w:proofErr w:type="spellStart"/>
      <w:r w:rsidRPr="00423363">
        <w:rPr>
          <w:rFonts w:ascii="Times New Roman" w:hAnsi="Times New Roman"/>
          <w:color w:val="000000"/>
          <w:sz w:val="24"/>
          <w:szCs w:val="24"/>
        </w:rPr>
        <w:t>Рестриктивная</w:t>
      </w:r>
      <w:proofErr w:type="spellEnd"/>
      <w:r w:rsidRPr="00423363">
        <w:rPr>
          <w:rFonts w:ascii="Times New Roman" w:hAnsi="Times New Roman"/>
          <w:color w:val="000000"/>
          <w:sz w:val="24"/>
          <w:szCs w:val="24"/>
        </w:rPr>
        <w:t xml:space="preserve"> политика выразилась и в снижении обязательств центрального банка по выпущенным наличным денежным средствам на 12,1% до 1 140,2 млн руб., из которых 157,8 млн руб. (-22,3%) находилось в кассах банков. Следует отметить, что данная динамика фиксировалась с июня вплоть до ноября (в декабре традиционно наблюдался рост показателя </w:t>
      </w:r>
      <w:r w:rsidRPr="00423363">
        <w:rPr>
          <w:rFonts w:ascii="Times New Roman" w:hAnsi="Times New Roman"/>
          <w:color w:val="000000"/>
          <w:sz w:val="24"/>
          <w:szCs w:val="24"/>
        </w:rPr>
        <w:lastRenderedPageBreak/>
        <w:t>– на 8,0%). Удельный вес наличной составляющей в структуре денежной базы за год вырос на 3,9 п.п. до 65,1%.</w:t>
      </w:r>
    </w:p>
    <w:p w:rsidR="0094333A" w:rsidRPr="0094333A" w:rsidRDefault="0094333A" w:rsidP="0094333A">
      <w:pPr>
        <w:widowControl w:val="0"/>
        <w:spacing w:after="0" w:line="240" w:lineRule="auto"/>
        <w:ind w:firstLine="709"/>
        <w:jc w:val="both"/>
        <w:rPr>
          <w:rFonts w:ascii="Times New Roman" w:hAnsi="Times New Roman"/>
          <w:b/>
          <w:i/>
          <w:color w:val="000000"/>
          <w:sz w:val="20"/>
          <w:szCs w:val="20"/>
        </w:rPr>
      </w:pPr>
    </w:p>
    <w:p w:rsidR="0094333A" w:rsidRPr="00423363" w:rsidRDefault="0094333A" w:rsidP="0094333A">
      <w:pPr>
        <w:widowControl w:val="0"/>
        <w:spacing w:after="0" w:line="240" w:lineRule="auto"/>
        <w:ind w:firstLine="709"/>
        <w:jc w:val="both"/>
        <w:rPr>
          <w:rFonts w:ascii="Times New Roman" w:hAnsi="Times New Roman"/>
          <w:b/>
          <w:i/>
          <w:color w:val="000000"/>
          <w:sz w:val="24"/>
          <w:szCs w:val="24"/>
        </w:rPr>
      </w:pPr>
      <w:r w:rsidRPr="00423363">
        <w:rPr>
          <w:rFonts w:ascii="Times New Roman" w:hAnsi="Times New Roman"/>
          <w:b/>
          <w:i/>
          <w:color w:val="000000"/>
          <w:sz w:val="24"/>
          <w:szCs w:val="24"/>
        </w:rPr>
        <w:t>Валютная сфера</w:t>
      </w:r>
    </w:p>
    <w:p w:rsidR="0094333A" w:rsidRPr="0094333A" w:rsidRDefault="0094333A" w:rsidP="0094333A">
      <w:pPr>
        <w:pStyle w:val="ad"/>
        <w:spacing w:after="0"/>
        <w:ind w:firstLine="709"/>
        <w:jc w:val="both"/>
        <w:rPr>
          <w:rFonts w:ascii="Times New Roman" w:hAnsi="Times New Roman"/>
          <w:sz w:val="24"/>
        </w:rPr>
      </w:pPr>
      <w:r w:rsidRPr="0094333A">
        <w:rPr>
          <w:rFonts w:ascii="Times New Roman" w:hAnsi="Times New Roman"/>
          <w:color w:val="000000"/>
          <w:sz w:val="24"/>
          <w:szCs w:val="24"/>
        </w:rPr>
        <w:t xml:space="preserve">Ситуация на внутреннем валютном рынке в течение первого полугодия 2017 года характеризовалась достаточно негативными тенденциями, которые значительно усилились после срыва подписания контракта по поставке электроэнергии в Республику Молдова. В результате курсовые котировки валют увеличили разрыв с официально установленными значениями. Разрыв между официальным курсом и курсом, сформированным на наличном и безналичном рынке, достигал 4,2-5 рублей (11,3 против 15,5-16,3 рублей за доллар США). В сложившихся условиях безальтернативным решением стала девальвация приднестровского рубля, осуществленная центральным банком, которая </w:t>
      </w:r>
      <w:r w:rsidRPr="0094333A">
        <w:rPr>
          <w:rFonts w:ascii="Times New Roman" w:hAnsi="Times New Roman"/>
          <w:sz w:val="24"/>
          <w:szCs w:val="24"/>
        </w:rPr>
        <w:t xml:space="preserve">позволила максимально ликвидировать накопленное с 2014 года укрепление реального эффективного курса рубля, приблизив значение индекса к 1,02. Тем самым ценовая конкурентоспособность отечественной продукции за рубежом постепенно восстанавливала утраченные позиции. </w:t>
      </w:r>
    </w:p>
    <w:p w:rsidR="0094333A" w:rsidRPr="0094333A" w:rsidRDefault="0094333A" w:rsidP="0094333A">
      <w:pPr>
        <w:pStyle w:val="ad"/>
        <w:spacing w:after="0"/>
        <w:ind w:firstLine="709"/>
        <w:jc w:val="both"/>
        <w:rPr>
          <w:rFonts w:ascii="Times New Roman" w:hAnsi="Times New Roman"/>
          <w:sz w:val="24"/>
        </w:rPr>
      </w:pPr>
      <w:r w:rsidRPr="0094333A">
        <w:rPr>
          <w:rFonts w:ascii="Times New Roman" w:hAnsi="Times New Roman"/>
          <w:sz w:val="24"/>
        </w:rPr>
        <w:t>В сфере валютного регулирования в 2017 году мероприятия были направлены на нормализацию функционирования валютного рынка республики. С целью стабилизации безналичного сегмента центральным банком предпринят ряд мер в части изменения порядка проведения валютных интервенций, введения валютных ограничений, ужесточения требований к открытым валютным позициям коммерческих банков, установления норм обязательной продажи части валютной выручки и др.</w:t>
      </w:r>
    </w:p>
    <w:p w:rsidR="0094333A" w:rsidRPr="0094333A" w:rsidRDefault="0094333A" w:rsidP="0094333A">
      <w:pPr>
        <w:pStyle w:val="ad"/>
        <w:spacing w:after="0"/>
        <w:ind w:firstLine="709"/>
        <w:jc w:val="both"/>
        <w:rPr>
          <w:rFonts w:ascii="Times New Roman" w:hAnsi="Times New Roman"/>
          <w:sz w:val="24"/>
        </w:rPr>
      </w:pPr>
      <w:r w:rsidRPr="0094333A">
        <w:rPr>
          <w:rFonts w:ascii="Times New Roman" w:hAnsi="Times New Roman"/>
          <w:sz w:val="24"/>
        </w:rPr>
        <w:t xml:space="preserve">Кроме того, с целью стабилизации наличного сегмента валютного рынка, </w:t>
      </w:r>
      <w:proofErr w:type="gramStart"/>
      <w:r w:rsidRPr="0094333A">
        <w:rPr>
          <w:rFonts w:ascii="Times New Roman" w:hAnsi="Times New Roman"/>
          <w:sz w:val="24"/>
        </w:rPr>
        <w:t xml:space="preserve">начиная с </w:t>
      </w:r>
      <w:r>
        <w:rPr>
          <w:rFonts w:ascii="Times New Roman" w:hAnsi="Times New Roman"/>
          <w:sz w:val="24"/>
        </w:rPr>
        <w:t xml:space="preserve">    </w:t>
      </w:r>
      <w:r w:rsidRPr="0094333A">
        <w:rPr>
          <w:rFonts w:ascii="Times New Roman" w:hAnsi="Times New Roman"/>
          <w:sz w:val="24"/>
        </w:rPr>
        <w:t>17 июня 2017 года проводились</w:t>
      </w:r>
      <w:proofErr w:type="gramEnd"/>
      <w:r w:rsidRPr="0094333A">
        <w:rPr>
          <w:rFonts w:ascii="Times New Roman" w:hAnsi="Times New Roman"/>
          <w:sz w:val="24"/>
        </w:rPr>
        <w:t xml:space="preserve"> масштабные наличные валютные интервенции через сеть обменных пунктов коммерческих банков, которые позволили стабилизировать ситуацию, вернуть операции в рамки правового поля. Помимо жесткой нормы – предел отклонения между курсом покупки и продажи валюты (по твердым валютам) не должен быть более 5%, коммерческим банкам было дополнительно рекомендовано не превышать 10%-ое отклонение курса продажи наличного доллара США от его официального значения. </w:t>
      </w:r>
    </w:p>
    <w:p w:rsidR="0094333A" w:rsidRPr="0094333A" w:rsidRDefault="0094333A" w:rsidP="0094333A">
      <w:pPr>
        <w:pStyle w:val="ad"/>
        <w:spacing w:after="0"/>
        <w:ind w:firstLine="709"/>
        <w:jc w:val="both"/>
        <w:rPr>
          <w:rFonts w:ascii="Times New Roman" w:hAnsi="Times New Roman"/>
          <w:sz w:val="24"/>
        </w:rPr>
      </w:pPr>
      <w:proofErr w:type="gramStart"/>
      <w:r w:rsidRPr="0094333A">
        <w:rPr>
          <w:rFonts w:ascii="Times New Roman" w:hAnsi="Times New Roman"/>
          <w:sz w:val="24"/>
        </w:rPr>
        <w:t xml:space="preserve">Первоначально условием валютных интервенций центрального банка было установление комиссии по продаже доллара США в размере 2,5%. Впоследствии по мере выравнивания спроса и предложения на валюту центральный банк сократил свое присутствие на рынке с одновременным снижением комиссии (7 августа 2017 года принято решение о прекращении наличных валютных интервенций, с 9 августа комиссия при продаже доллара США не взимается). </w:t>
      </w:r>
      <w:proofErr w:type="gramEnd"/>
    </w:p>
    <w:p w:rsidR="0094333A" w:rsidRPr="0094333A" w:rsidRDefault="0094333A" w:rsidP="0094333A">
      <w:pPr>
        <w:pStyle w:val="ad"/>
        <w:spacing w:after="0"/>
        <w:ind w:firstLine="709"/>
        <w:jc w:val="both"/>
        <w:rPr>
          <w:rFonts w:ascii="Times New Roman" w:hAnsi="Times New Roman"/>
          <w:sz w:val="24"/>
        </w:rPr>
      </w:pPr>
      <w:r w:rsidRPr="0094333A">
        <w:rPr>
          <w:rFonts w:ascii="Times New Roman" w:hAnsi="Times New Roman"/>
          <w:sz w:val="24"/>
        </w:rPr>
        <w:t>В середине июня 2017 года официальный курс доллара США установлен на нижней границе утвержденного валютного коридора – 15,00 руб. ПМР. Придерживаясь политики «</w:t>
      </w:r>
      <w:proofErr w:type="spellStart"/>
      <w:r w:rsidRPr="0094333A">
        <w:rPr>
          <w:rFonts w:ascii="Times New Roman" w:hAnsi="Times New Roman"/>
          <w:sz w:val="24"/>
        </w:rPr>
        <w:t>подстраивания</w:t>
      </w:r>
      <w:proofErr w:type="spellEnd"/>
      <w:r w:rsidRPr="0094333A">
        <w:rPr>
          <w:rFonts w:ascii="Times New Roman" w:hAnsi="Times New Roman"/>
          <w:sz w:val="24"/>
        </w:rPr>
        <w:t xml:space="preserve">», учитывая состояние торгового баланса, в начале ноября продолжилось плановое движение курса доллара в рамках коридора до 15,50 руб. ПМР и сохранялся на этой отметке до конца декабря. Таким образом, девальвация с начала года составила 37,2%. В целом за 2017 год средневзвешенный официальный курс доллара США сложился на отметке 13,3797 руб. ПМР, что на 18,8% выше значения предыдущего года. </w:t>
      </w:r>
    </w:p>
    <w:p w:rsidR="0094333A" w:rsidRPr="0094333A" w:rsidRDefault="0094333A" w:rsidP="0094333A">
      <w:pPr>
        <w:pStyle w:val="ad"/>
        <w:spacing w:after="0"/>
        <w:ind w:firstLine="709"/>
        <w:contextualSpacing/>
        <w:jc w:val="both"/>
        <w:rPr>
          <w:rFonts w:ascii="Times New Roman" w:hAnsi="Times New Roman"/>
          <w:sz w:val="24"/>
        </w:rPr>
      </w:pPr>
      <w:r w:rsidRPr="0094333A">
        <w:rPr>
          <w:rFonts w:ascii="Times New Roman" w:hAnsi="Times New Roman"/>
          <w:sz w:val="24"/>
        </w:rPr>
        <w:t xml:space="preserve">Результатом обозначенных шагов стало постепенное выравнивание спроса и предложения на валютном рынке, обеспечение доступа к иностранной валюте всех хозяйствующих субъектов под импортные контракты, ликвидация теневых обменных операций и минимизация «продуктового» туризма. Коррективы, внесенные в курсовую политику, позволили значительно улучшить конкурентоспособность приднестровских товаров на внешних рынках, о чем свидетельствует динамика реального эффективного курса приднестровского рубля. </w:t>
      </w:r>
      <w:proofErr w:type="gramStart"/>
      <w:r w:rsidRPr="0094333A">
        <w:rPr>
          <w:rFonts w:ascii="Times New Roman" w:hAnsi="Times New Roman"/>
          <w:sz w:val="24"/>
        </w:rPr>
        <w:t xml:space="preserve">Так, его индекс за 2017 год составил 71,4%, а накопленное с </w:t>
      </w:r>
      <w:r>
        <w:rPr>
          <w:rFonts w:ascii="Times New Roman" w:hAnsi="Times New Roman"/>
          <w:sz w:val="24"/>
        </w:rPr>
        <w:t xml:space="preserve">                </w:t>
      </w:r>
      <w:r w:rsidRPr="0094333A">
        <w:rPr>
          <w:rFonts w:ascii="Times New Roman" w:hAnsi="Times New Roman"/>
          <w:sz w:val="24"/>
        </w:rPr>
        <w:t xml:space="preserve">2014 года значение снизилось с 143,2% до 102,2%. В разрезе корзины валют снижение реального курса приднестровского рубля по отношению к молдавскому лею за отчетный год составило 34,7%, к евро – 28,3%, к гривне – 24,7%, к российскому рублю – 24,9% и к доллару США – 20,2%. </w:t>
      </w:r>
      <w:proofErr w:type="gramEnd"/>
    </w:p>
    <w:p w:rsidR="0094333A" w:rsidRPr="0094333A" w:rsidRDefault="0094333A" w:rsidP="0094333A">
      <w:pPr>
        <w:pStyle w:val="ad"/>
        <w:spacing w:after="0"/>
        <w:ind w:firstLine="709"/>
        <w:contextualSpacing/>
        <w:jc w:val="both"/>
        <w:rPr>
          <w:rFonts w:ascii="Times New Roman" w:hAnsi="Times New Roman"/>
          <w:sz w:val="24"/>
        </w:rPr>
      </w:pPr>
      <w:r w:rsidRPr="0094333A">
        <w:rPr>
          <w:rFonts w:ascii="Times New Roman" w:hAnsi="Times New Roman"/>
          <w:sz w:val="24"/>
        </w:rPr>
        <w:t xml:space="preserve">Динамика покупательной способности иностранных валют на внутреннем рынке республики, являющаяся индикатором внутренней ситуации в сфере </w:t>
      </w:r>
      <w:proofErr w:type="spellStart"/>
      <w:r w:rsidRPr="0094333A">
        <w:rPr>
          <w:rFonts w:ascii="Times New Roman" w:hAnsi="Times New Roman"/>
          <w:sz w:val="24"/>
        </w:rPr>
        <w:t>цен</w:t>
      </w:r>
      <w:proofErr w:type="gramStart"/>
      <w:r w:rsidRPr="0094333A">
        <w:rPr>
          <w:rFonts w:ascii="Times New Roman" w:hAnsi="Times New Roman"/>
          <w:sz w:val="24"/>
        </w:rPr>
        <w:t>о</w:t>
      </w:r>
      <w:proofErr w:type="spellEnd"/>
      <w:r w:rsidRPr="0094333A">
        <w:rPr>
          <w:rFonts w:ascii="Times New Roman" w:hAnsi="Times New Roman"/>
          <w:sz w:val="24"/>
        </w:rPr>
        <w:t>-</w:t>
      </w:r>
      <w:proofErr w:type="gramEnd"/>
      <w:r w:rsidRPr="0094333A">
        <w:rPr>
          <w:rFonts w:ascii="Times New Roman" w:hAnsi="Times New Roman"/>
          <w:sz w:val="24"/>
        </w:rPr>
        <w:t xml:space="preserve"> и </w:t>
      </w:r>
      <w:proofErr w:type="spellStart"/>
      <w:r w:rsidRPr="0094333A">
        <w:rPr>
          <w:rFonts w:ascii="Times New Roman" w:hAnsi="Times New Roman"/>
          <w:sz w:val="24"/>
        </w:rPr>
        <w:t>курсообразования</w:t>
      </w:r>
      <w:proofErr w:type="spellEnd"/>
      <w:r w:rsidRPr="0094333A">
        <w:rPr>
          <w:rFonts w:ascii="Times New Roman" w:hAnsi="Times New Roman"/>
          <w:sz w:val="24"/>
        </w:rPr>
        <w:t xml:space="preserve">, характеризовалась увеличением их товарного наполнения. В частности, </w:t>
      </w:r>
      <w:r w:rsidRPr="0094333A">
        <w:rPr>
          <w:rFonts w:ascii="Times New Roman" w:hAnsi="Times New Roman"/>
          <w:sz w:val="24"/>
        </w:rPr>
        <w:lastRenderedPageBreak/>
        <w:t xml:space="preserve">по итогам 2018 года набор материальных благ, доступный после конвертации гривны, расширился на 16,8%, доллара США – на 22,7%, российского рубля – на 29,9%, евро – на 37,5% и молдавского лея – на 43,0%. </w:t>
      </w:r>
    </w:p>
    <w:p w:rsidR="0094333A" w:rsidRPr="0094333A" w:rsidRDefault="0094333A" w:rsidP="0094333A">
      <w:pPr>
        <w:widowControl w:val="0"/>
        <w:shd w:val="clear" w:color="auto" w:fill="FFFFFF"/>
        <w:spacing w:after="0" w:line="240" w:lineRule="auto"/>
        <w:ind w:firstLine="709"/>
        <w:jc w:val="both"/>
        <w:rPr>
          <w:rFonts w:ascii="Times New Roman" w:hAnsi="Times New Roman"/>
          <w:sz w:val="20"/>
          <w:szCs w:val="20"/>
        </w:rPr>
      </w:pPr>
    </w:p>
    <w:p w:rsidR="0094333A" w:rsidRPr="00423363" w:rsidRDefault="0094333A" w:rsidP="0094333A">
      <w:pPr>
        <w:widowControl w:val="0"/>
        <w:spacing w:after="0" w:line="240" w:lineRule="auto"/>
        <w:ind w:firstLine="709"/>
        <w:jc w:val="both"/>
        <w:rPr>
          <w:rFonts w:ascii="Times New Roman" w:hAnsi="Times New Roman"/>
          <w:b/>
          <w:bCs/>
          <w:i/>
          <w:iCs/>
          <w:sz w:val="24"/>
          <w:szCs w:val="24"/>
        </w:rPr>
      </w:pPr>
      <w:r w:rsidRPr="00423363">
        <w:rPr>
          <w:rFonts w:ascii="Times New Roman" w:hAnsi="Times New Roman"/>
          <w:b/>
          <w:bCs/>
          <w:i/>
          <w:iCs/>
          <w:sz w:val="24"/>
          <w:szCs w:val="24"/>
        </w:rPr>
        <w:t>Кредитная деятельность ПРБ</w:t>
      </w:r>
    </w:p>
    <w:p w:rsidR="0094333A" w:rsidRPr="0094333A" w:rsidRDefault="0094333A" w:rsidP="0094333A">
      <w:pPr>
        <w:pStyle w:val="ad"/>
        <w:spacing w:after="0"/>
        <w:ind w:firstLine="709"/>
        <w:jc w:val="both"/>
        <w:rPr>
          <w:rFonts w:ascii="Times New Roman" w:hAnsi="Times New Roman"/>
          <w:sz w:val="24"/>
          <w:szCs w:val="24"/>
        </w:rPr>
      </w:pPr>
      <w:r w:rsidRPr="0094333A">
        <w:rPr>
          <w:rFonts w:ascii="Times New Roman" w:hAnsi="Times New Roman"/>
          <w:sz w:val="24"/>
          <w:szCs w:val="24"/>
        </w:rPr>
        <w:t xml:space="preserve">По состоянию на 1 января 2018 года совокупная задолженность банков перед Приднестровским республиканским банком составила 169,0 млн руб. (на 1 января                2017 года – </w:t>
      </w:r>
      <w:r w:rsidRPr="0094333A">
        <w:rPr>
          <w:rFonts w:ascii="Times New Roman" w:hAnsi="Times New Roman"/>
          <w:bCs/>
          <w:iCs/>
          <w:sz w:val="24"/>
          <w:szCs w:val="24"/>
        </w:rPr>
        <w:t xml:space="preserve">818,3 млн руб.). </w:t>
      </w:r>
    </w:p>
    <w:p w:rsidR="0094333A" w:rsidRPr="0094333A" w:rsidRDefault="0094333A" w:rsidP="0094333A">
      <w:pPr>
        <w:pStyle w:val="ad"/>
        <w:spacing w:after="0"/>
        <w:ind w:firstLine="709"/>
        <w:jc w:val="both"/>
        <w:rPr>
          <w:rFonts w:ascii="Times New Roman" w:hAnsi="Times New Roman"/>
          <w:sz w:val="24"/>
          <w:szCs w:val="24"/>
        </w:rPr>
      </w:pPr>
      <w:r w:rsidRPr="0094333A">
        <w:rPr>
          <w:rFonts w:ascii="Times New Roman" w:hAnsi="Times New Roman"/>
          <w:sz w:val="24"/>
          <w:szCs w:val="24"/>
        </w:rPr>
        <w:t>В соответствии с Законом о стабилизации Приднестровский республиканский банк выдал ОАО «Агентство по оздоровлению банковской системы» кредит в размере                785,05 млн руб.</w:t>
      </w:r>
    </w:p>
    <w:p w:rsidR="0094333A" w:rsidRPr="0094333A" w:rsidRDefault="0094333A" w:rsidP="0094333A">
      <w:pPr>
        <w:widowControl w:val="0"/>
        <w:spacing w:after="0" w:line="240" w:lineRule="auto"/>
        <w:ind w:firstLine="709"/>
        <w:jc w:val="both"/>
        <w:rPr>
          <w:rFonts w:ascii="Times New Roman" w:hAnsi="Times New Roman"/>
          <w:bCs/>
          <w:iCs/>
          <w:sz w:val="20"/>
          <w:szCs w:val="20"/>
        </w:rPr>
      </w:pPr>
    </w:p>
    <w:p w:rsidR="0094333A" w:rsidRPr="00423363" w:rsidRDefault="0094333A" w:rsidP="0094333A">
      <w:pPr>
        <w:widowControl w:val="0"/>
        <w:spacing w:after="0" w:line="240" w:lineRule="auto"/>
        <w:ind w:firstLine="709"/>
        <w:jc w:val="both"/>
        <w:rPr>
          <w:rFonts w:ascii="Times New Roman" w:hAnsi="Times New Roman"/>
          <w:b/>
          <w:bCs/>
          <w:i/>
          <w:iCs/>
          <w:sz w:val="24"/>
          <w:szCs w:val="24"/>
        </w:rPr>
      </w:pPr>
      <w:r w:rsidRPr="00423363">
        <w:rPr>
          <w:rFonts w:ascii="Times New Roman" w:hAnsi="Times New Roman"/>
          <w:b/>
          <w:bCs/>
          <w:i/>
          <w:iCs/>
          <w:sz w:val="24"/>
          <w:szCs w:val="24"/>
        </w:rPr>
        <w:t xml:space="preserve">Кредитование экономики коммерческими банками (без учета ЗАО «Банк </w:t>
      </w:r>
      <w:proofErr w:type="spellStart"/>
      <w:r w:rsidRPr="00423363">
        <w:rPr>
          <w:rFonts w:ascii="Times New Roman" w:hAnsi="Times New Roman"/>
          <w:b/>
          <w:bCs/>
          <w:i/>
          <w:iCs/>
          <w:sz w:val="24"/>
          <w:szCs w:val="24"/>
        </w:rPr>
        <w:t>Сельхозразвития</w:t>
      </w:r>
      <w:proofErr w:type="spellEnd"/>
      <w:r w:rsidRPr="00423363">
        <w:rPr>
          <w:rFonts w:ascii="Times New Roman" w:hAnsi="Times New Roman"/>
          <w:b/>
          <w:bCs/>
          <w:i/>
          <w:iCs/>
          <w:sz w:val="24"/>
          <w:szCs w:val="24"/>
        </w:rPr>
        <w:t>»)</w:t>
      </w:r>
    </w:p>
    <w:p w:rsidR="0094333A" w:rsidRPr="00423363" w:rsidRDefault="0094333A" w:rsidP="0094333A">
      <w:pPr>
        <w:spacing w:after="0" w:line="240" w:lineRule="auto"/>
        <w:ind w:firstLine="709"/>
        <w:jc w:val="both"/>
        <w:rPr>
          <w:rFonts w:ascii="Times New Roman" w:hAnsi="Times New Roman"/>
          <w:color w:val="000000"/>
          <w:sz w:val="24"/>
          <w:szCs w:val="24"/>
        </w:rPr>
      </w:pPr>
      <w:r w:rsidRPr="00423363">
        <w:rPr>
          <w:rFonts w:ascii="Times New Roman" w:hAnsi="Times New Roman"/>
          <w:color w:val="000000"/>
          <w:sz w:val="24"/>
          <w:szCs w:val="24"/>
        </w:rPr>
        <w:t xml:space="preserve">Совокупный кредитный портфель банковской системы за 2017 год увеличился на 6,6% или на 266,7 млн руб., составив в абсолютном выражении 4 328,8 млн руб. Из них 82,0% банками были направлены на кредитование хозяйствующих субъектов и населения (85,0% годом ранее). </w:t>
      </w:r>
      <w:proofErr w:type="gramStart"/>
      <w:r w:rsidRPr="00423363">
        <w:rPr>
          <w:rFonts w:ascii="Times New Roman" w:hAnsi="Times New Roman"/>
          <w:color w:val="000000"/>
          <w:sz w:val="24"/>
          <w:szCs w:val="24"/>
        </w:rPr>
        <w:t>Сумма задолженности по кредитам юридических и физических лиц составила 3 548,6 млн руб., превысив значение на начало отчётного года на 2,8%. Данная динамика определялась расширением задолженности хозяйствующих субъектов на               65,8 млн руб., или на 2,4%, до 2 766,7 млн руб. При этом без учёта изменения курсов иностранных валют «чистое» сокращение задолженности по кредитам юридическим лицам составило 17,6%. Это было обусловлено</w:t>
      </w:r>
      <w:proofErr w:type="gramEnd"/>
      <w:r w:rsidRPr="00423363">
        <w:rPr>
          <w:rFonts w:ascii="Times New Roman" w:hAnsi="Times New Roman"/>
          <w:color w:val="000000"/>
          <w:sz w:val="24"/>
          <w:szCs w:val="24"/>
        </w:rPr>
        <w:t xml:space="preserve">, прежде всего, мероприятиями по оздоровлению финансовой системы республики, в результате которых проблемные активы кредитных организаций были переданы ОАО «Агентство по оздоровлению банковской системы». </w:t>
      </w:r>
    </w:p>
    <w:p w:rsidR="0094333A" w:rsidRPr="00423363" w:rsidRDefault="0094333A" w:rsidP="0094333A">
      <w:pPr>
        <w:spacing w:after="0" w:line="240" w:lineRule="auto"/>
        <w:ind w:firstLine="709"/>
        <w:jc w:val="both"/>
        <w:rPr>
          <w:rFonts w:ascii="Times New Roman" w:hAnsi="Times New Roman"/>
          <w:color w:val="000000"/>
          <w:sz w:val="24"/>
          <w:szCs w:val="24"/>
        </w:rPr>
      </w:pPr>
      <w:r w:rsidRPr="00423363">
        <w:rPr>
          <w:rFonts w:ascii="Times New Roman" w:hAnsi="Times New Roman"/>
          <w:color w:val="000000"/>
          <w:sz w:val="24"/>
          <w:szCs w:val="24"/>
        </w:rPr>
        <w:t>В структуре совокупной задолженности основной удельный вес принадлежал индустриальному комплексу – 55,1% совокупного показателя или 1 523,9 млн руб., что на 11,1% больше уровня начала отчетного года. Задолженность по кредитам предприятий торговли уменьшилась на 12,5% до 552,6 млн руб., или 19,2% совокупного объема. На                 1 января 2018 года долг агрофирм составил 493,9 млн руб. (+2,8%), что соответствует 17,8% общей задолженности реального сектора. Долги строительных предприятий перед коммерческими банками сократились в 2,7 раза до 12,9 млн руб.</w:t>
      </w:r>
    </w:p>
    <w:p w:rsidR="0094333A" w:rsidRPr="00423363" w:rsidRDefault="0094333A" w:rsidP="0094333A">
      <w:pPr>
        <w:spacing w:after="0" w:line="240" w:lineRule="auto"/>
        <w:ind w:firstLine="709"/>
        <w:jc w:val="both"/>
        <w:rPr>
          <w:rFonts w:ascii="Times New Roman" w:hAnsi="Times New Roman"/>
          <w:color w:val="000000"/>
          <w:sz w:val="24"/>
          <w:szCs w:val="24"/>
        </w:rPr>
      </w:pPr>
      <w:r w:rsidRPr="00423363">
        <w:rPr>
          <w:rFonts w:ascii="Times New Roman" w:hAnsi="Times New Roman"/>
          <w:color w:val="000000"/>
          <w:sz w:val="24"/>
          <w:szCs w:val="24"/>
        </w:rPr>
        <w:t xml:space="preserve">На фоне роста емкости корпоративного сегмента рынка заемных ресурсов, сектор потребительского кредитования также характеризовался расширением. По итогам                 2017 года задолженность населения по кредитам увеличилась на 3,9% или на      </w:t>
      </w:r>
      <w:r>
        <w:rPr>
          <w:rFonts w:ascii="Times New Roman" w:hAnsi="Times New Roman"/>
          <w:color w:val="000000"/>
          <w:sz w:val="24"/>
          <w:szCs w:val="24"/>
        </w:rPr>
        <w:t xml:space="preserve">            </w:t>
      </w:r>
      <w:r w:rsidRPr="00423363">
        <w:rPr>
          <w:rFonts w:ascii="Times New Roman" w:hAnsi="Times New Roman"/>
          <w:color w:val="000000"/>
          <w:sz w:val="24"/>
          <w:szCs w:val="24"/>
        </w:rPr>
        <w:t xml:space="preserve">             29,2 млн руб. до 781,9 млн руб., что соответствует 22,0% в структуре кредитов нефинансовому сектору. </w:t>
      </w:r>
    </w:p>
    <w:p w:rsidR="0094333A" w:rsidRPr="00423363" w:rsidRDefault="0094333A" w:rsidP="0094333A">
      <w:pPr>
        <w:spacing w:after="0" w:line="240" w:lineRule="auto"/>
        <w:ind w:firstLine="709"/>
        <w:jc w:val="both"/>
        <w:rPr>
          <w:rFonts w:ascii="Times New Roman" w:hAnsi="Times New Roman"/>
          <w:color w:val="000000"/>
          <w:sz w:val="24"/>
          <w:szCs w:val="24"/>
        </w:rPr>
      </w:pPr>
      <w:r w:rsidRPr="00423363">
        <w:rPr>
          <w:rFonts w:ascii="Times New Roman" w:hAnsi="Times New Roman"/>
          <w:color w:val="000000"/>
          <w:sz w:val="24"/>
          <w:szCs w:val="24"/>
        </w:rPr>
        <w:t>Совокупный объем задолженности нефинансового сектора с нарушениями сроков погашения сложился на отметке 199,2 млн руб., что в 4,1 раза ниже показателя на начало 2017 года (810,5 млн руб.). В результате интегрированный показатель</w:t>
      </w:r>
      <w:r w:rsidRPr="00423363">
        <w:rPr>
          <w:rFonts w:ascii="Times New Roman" w:hAnsi="Times New Roman"/>
          <w:color w:val="000000"/>
          <w:sz w:val="24"/>
          <w:szCs w:val="24"/>
          <w:vertAlign w:val="superscript"/>
        </w:rPr>
        <w:footnoteReference w:id="2"/>
      </w:r>
      <w:r w:rsidRPr="00423363">
        <w:rPr>
          <w:rFonts w:ascii="Times New Roman" w:hAnsi="Times New Roman"/>
          <w:color w:val="000000"/>
          <w:sz w:val="24"/>
          <w:szCs w:val="24"/>
        </w:rPr>
        <w:t xml:space="preserve"> качественных характеристик операций кредитования повысился на 15,7 п.п. до 95,2%. </w:t>
      </w:r>
    </w:p>
    <w:p w:rsidR="0094333A" w:rsidRPr="00423363" w:rsidRDefault="0094333A" w:rsidP="0094333A">
      <w:pPr>
        <w:spacing w:after="0" w:line="240" w:lineRule="auto"/>
        <w:ind w:firstLine="709"/>
        <w:jc w:val="both"/>
        <w:rPr>
          <w:rFonts w:ascii="Times New Roman" w:hAnsi="Times New Roman"/>
          <w:color w:val="000000"/>
          <w:sz w:val="24"/>
          <w:szCs w:val="24"/>
        </w:rPr>
      </w:pPr>
      <w:r w:rsidRPr="00423363">
        <w:rPr>
          <w:rFonts w:ascii="Times New Roman" w:hAnsi="Times New Roman"/>
          <w:color w:val="000000"/>
          <w:sz w:val="24"/>
          <w:szCs w:val="24"/>
        </w:rPr>
        <w:t xml:space="preserve">Процесс формирования кредитного портфеля банков характеризовался расширением стандартных ссуд (+412,2 млн руб.), в результате чего их удельный вес в структуре кредитного портфеля увеличился на 6,4 п.п. до 47,6%. Проведенные проверки и детальный анализ деятельности кредитных организаций обусловили необходимость усиления контроля за рисками активных операций. Так, коммерческим банкам было предписано произвести адекватную классификацию выданных кредитов. </w:t>
      </w:r>
      <w:proofErr w:type="gramStart"/>
      <w:r w:rsidRPr="00423363">
        <w:rPr>
          <w:rFonts w:ascii="Times New Roman" w:hAnsi="Times New Roman"/>
          <w:color w:val="000000"/>
          <w:sz w:val="24"/>
          <w:szCs w:val="24"/>
        </w:rPr>
        <w:t>Следствием этого стало расширение категории сомнительных кредитов (+243,3 млн руб.), обусловившее увеличение их доли с 22,7% до 26,6%, что привело к наращиванию объема резервов на возможные потери по кредитам и приравненным к ним средствам: по отношению к уровню начала 2017 года он был увеличен на четверть и сложился на отметке 507,4 млн руб., составив 12,0% общего объема выданных займов (+1,9</w:t>
      </w:r>
      <w:proofErr w:type="gramEnd"/>
      <w:r w:rsidRPr="00423363">
        <w:rPr>
          <w:rFonts w:ascii="Times New Roman" w:hAnsi="Times New Roman"/>
          <w:color w:val="000000"/>
          <w:sz w:val="24"/>
          <w:szCs w:val="24"/>
        </w:rPr>
        <w:t xml:space="preserve"> п.п.). </w:t>
      </w:r>
    </w:p>
    <w:p w:rsidR="0094333A" w:rsidRPr="00423363" w:rsidRDefault="0094333A" w:rsidP="0094333A">
      <w:pPr>
        <w:spacing w:after="0" w:line="240" w:lineRule="auto"/>
        <w:ind w:firstLine="709"/>
        <w:jc w:val="both"/>
        <w:rPr>
          <w:rFonts w:ascii="Times New Roman" w:hAnsi="Times New Roman"/>
          <w:color w:val="000000"/>
          <w:sz w:val="24"/>
          <w:szCs w:val="24"/>
        </w:rPr>
      </w:pPr>
    </w:p>
    <w:p w:rsidR="0094333A" w:rsidRPr="00423363" w:rsidRDefault="0094333A" w:rsidP="0094333A">
      <w:pPr>
        <w:widowControl w:val="0"/>
        <w:spacing w:after="0" w:line="240" w:lineRule="auto"/>
        <w:ind w:firstLine="709"/>
        <w:jc w:val="both"/>
        <w:rPr>
          <w:rFonts w:ascii="Times New Roman" w:hAnsi="Times New Roman"/>
          <w:b/>
          <w:bCs/>
          <w:i/>
          <w:iCs/>
          <w:sz w:val="24"/>
          <w:szCs w:val="24"/>
        </w:rPr>
      </w:pPr>
      <w:r w:rsidRPr="00423363">
        <w:rPr>
          <w:rFonts w:ascii="Times New Roman" w:hAnsi="Times New Roman"/>
          <w:b/>
          <w:bCs/>
          <w:i/>
          <w:iCs/>
          <w:sz w:val="24"/>
          <w:szCs w:val="24"/>
        </w:rPr>
        <w:lastRenderedPageBreak/>
        <w:t xml:space="preserve">Инструменты денежно-кредитного регулирования </w:t>
      </w:r>
    </w:p>
    <w:p w:rsidR="0094333A" w:rsidRPr="00423363" w:rsidRDefault="0094333A" w:rsidP="0094333A">
      <w:pPr>
        <w:spacing w:after="0" w:line="240" w:lineRule="auto"/>
        <w:ind w:firstLine="709"/>
        <w:jc w:val="both"/>
        <w:rPr>
          <w:rFonts w:ascii="Times New Roman" w:hAnsi="Times New Roman"/>
          <w:sz w:val="24"/>
          <w:szCs w:val="24"/>
        </w:rPr>
      </w:pPr>
      <w:r w:rsidRPr="00423363">
        <w:rPr>
          <w:rFonts w:ascii="Times New Roman" w:hAnsi="Times New Roman"/>
          <w:sz w:val="24"/>
          <w:szCs w:val="24"/>
        </w:rPr>
        <w:t xml:space="preserve">В складывающихся макроэкономических условиях применяемые инструменты денежно-кредитного регулирования корректировались исходя из приоритета снижения давления на внутреннем валютном рынке и сдерживания развития инфляционных тенденций. В этих целях принимались решения о повышении нормативов обязательных резервов и ставки страховых взносов, как по рублёвым, так и по валютным обязательствам кредитных организаций. </w:t>
      </w:r>
    </w:p>
    <w:p w:rsidR="0094333A" w:rsidRPr="00423363" w:rsidRDefault="0094333A" w:rsidP="0094333A">
      <w:pPr>
        <w:spacing w:after="0" w:line="240" w:lineRule="auto"/>
        <w:ind w:firstLine="709"/>
        <w:jc w:val="both"/>
        <w:rPr>
          <w:rFonts w:ascii="Times New Roman" w:hAnsi="Times New Roman"/>
          <w:sz w:val="24"/>
          <w:szCs w:val="24"/>
        </w:rPr>
      </w:pPr>
      <w:r w:rsidRPr="00423363">
        <w:rPr>
          <w:rFonts w:ascii="Times New Roman" w:hAnsi="Times New Roman"/>
          <w:sz w:val="24"/>
          <w:szCs w:val="24"/>
        </w:rPr>
        <w:t xml:space="preserve">Принимая во внимание накопленный в республике инфляционный потенциал ставка рефинансирования, установленная с 11 августа 2014 года в размере 3,5% </w:t>
      </w:r>
      <w:proofErr w:type="gramStart"/>
      <w:r w:rsidRPr="00423363">
        <w:rPr>
          <w:rFonts w:ascii="Times New Roman" w:hAnsi="Times New Roman"/>
          <w:sz w:val="24"/>
          <w:szCs w:val="24"/>
        </w:rPr>
        <w:t>годовых</w:t>
      </w:r>
      <w:proofErr w:type="gramEnd"/>
      <w:r w:rsidRPr="00423363">
        <w:rPr>
          <w:rFonts w:ascii="Times New Roman" w:hAnsi="Times New Roman"/>
          <w:sz w:val="24"/>
          <w:szCs w:val="24"/>
        </w:rPr>
        <w:t xml:space="preserve"> была повышена с 16 февраля 2017 года до 7% годовых.</w:t>
      </w:r>
    </w:p>
    <w:p w:rsidR="0094333A" w:rsidRPr="00423363" w:rsidRDefault="0094333A" w:rsidP="0094333A">
      <w:pPr>
        <w:spacing w:after="0" w:line="240" w:lineRule="auto"/>
        <w:ind w:firstLine="709"/>
        <w:jc w:val="both"/>
        <w:rPr>
          <w:rFonts w:ascii="Times New Roman" w:hAnsi="Times New Roman"/>
          <w:sz w:val="24"/>
          <w:szCs w:val="24"/>
        </w:rPr>
      </w:pPr>
      <w:r w:rsidRPr="00423363">
        <w:rPr>
          <w:rFonts w:ascii="Times New Roman" w:hAnsi="Times New Roman"/>
          <w:sz w:val="24"/>
          <w:szCs w:val="24"/>
        </w:rPr>
        <w:t xml:space="preserve">Ставка страховых взносов по обязательствам банка перед юридическими лицами в рублях в январе 2017 года составляла 14%, в иностранной валюте – 12%. Для обеспечения своевременности исполнения принятых обязательств перед вкладчиками – физическими лицами банки республики формируют страховые взносы, ставки которых, составляли 12% как в рублях, так и в иностранной валюте. </w:t>
      </w:r>
      <w:proofErr w:type="gramStart"/>
      <w:r w:rsidRPr="00423363">
        <w:rPr>
          <w:rFonts w:ascii="Times New Roman" w:hAnsi="Times New Roman"/>
          <w:sz w:val="24"/>
          <w:szCs w:val="24"/>
        </w:rPr>
        <w:t xml:space="preserve">С целью снижения давления на внутреннем валютном рынке республики были приняты решения об увеличении норматива обязательных резервов с 1 февраля на 1 п.п. до 15% обязательств кредитной организации перед юридическими лицами по средствам, привлеченным в рублях и с 12% до 14% обязательств банка перед физическими лицами по средствам, привлеченным в иностранной валюте. </w:t>
      </w:r>
      <w:proofErr w:type="gramEnd"/>
    </w:p>
    <w:p w:rsidR="0094333A" w:rsidRPr="0094333A" w:rsidRDefault="0094333A" w:rsidP="0094333A">
      <w:pPr>
        <w:widowControl w:val="0"/>
        <w:spacing w:after="0" w:line="240" w:lineRule="auto"/>
        <w:ind w:firstLine="709"/>
        <w:jc w:val="both"/>
        <w:rPr>
          <w:rFonts w:ascii="Times New Roman" w:hAnsi="Times New Roman"/>
          <w:b/>
          <w:bCs/>
          <w:i/>
          <w:iCs/>
          <w:sz w:val="20"/>
          <w:szCs w:val="20"/>
        </w:rPr>
      </w:pPr>
    </w:p>
    <w:p w:rsidR="0094333A" w:rsidRPr="00423363" w:rsidRDefault="0094333A" w:rsidP="0094333A">
      <w:pPr>
        <w:widowControl w:val="0"/>
        <w:spacing w:after="0" w:line="240" w:lineRule="auto"/>
        <w:ind w:firstLine="709"/>
        <w:contextualSpacing/>
        <w:jc w:val="both"/>
        <w:rPr>
          <w:rFonts w:ascii="Times New Roman" w:hAnsi="Times New Roman"/>
          <w:b/>
          <w:bCs/>
          <w:i/>
          <w:iCs/>
          <w:sz w:val="24"/>
          <w:szCs w:val="24"/>
        </w:rPr>
      </w:pPr>
      <w:r w:rsidRPr="00423363">
        <w:rPr>
          <w:rFonts w:ascii="Times New Roman" w:hAnsi="Times New Roman"/>
          <w:b/>
          <w:bCs/>
          <w:i/>
          <w:iCs/>
          <w:sz w:val="24"/>
          <w:szCs w:val="24"/>
        </w:rPr>
        <w:t>Противодействие легализации (отмыванию) доходов, полученных преступным путем</w:t>
      </w:r>
    </w:p>
    <w:p w:rsidR="0094333A" w:rsidRPr="00A76F62" w:rsidRDefault="0094333A" w:rsidP="0094333A">
      <w:pPr>
        <w:tabs>
          <w:tab w:val="left" w:pos="720"/>
        </w:tabs>
        <w:spacing w:after="0" w:line="240" w:lineRule="auto"/>
        <w:ind w:firstLine="709"/>
        <w:jc w:val="both"/>
        <w:rPr>
          <w:rFonts w:ascii="Times New Roman" w:hAnsi="Times New Roman"/>
          <w:sz w:val="24"/>
          <w:szCs w:val="24"/>
        </w:rPr>
      </w:pPr>
      <w:proofErr w:type="gramStart"/>
      <w:r w:rsidRPr="00423363">
        <w:rPr>
          <w:rFonts w:ascii="Times New Roman" w:hAnsi="Times New Roman"/>
          <w:sz w:val="24"/>
          <w:szCs w:val="24"/>
        </w:rPr>
        <w:t>В 2017 году в рамках реализации функций, установленных статьей 12 Закона Приднестровской Молдавской Республики от 6 апреля 2009 года №704-З-IV «О противодействии легализации (отмыванию) доходов, полученных преступным путём, и финансированию терроризма» осуществлялись мероприятия, направленные на операции с денежными средствами, в отношении которых имелись достаточные основания полагать, что они связаны с легализацией (отмыванием) доходов, полученных преступным путём, и финансированием терроризма, а</w:t>
      </w:r>
      <w:proofErr w:type="gramEnd"/>
      <w:r w:rsidRPr="00423363">
        <w:rPr>
          <w:rFonts w:ascii="Times New Roman" w:hAnsi="Times New Roman"/>
          <w:sz w:val="24"/>
          <w:szCs w:val="24"/>
        </w:rPr>
        <w:t xml:space="preserve"> также продолжилось совершенствование нормативно-правовой базы в данной сфере</w:t>
      </w:r>
    </w:p>
    <w:p w:rsidR="0094333A" w:rsidRPr="0094333A" w:rsidRDefault="0094333A" w:rsidP="00146BB8">
      <w:pPr>
        <w:shd w:val="clear" w:color="auto" w:fill="FFFFFF"/>
        <w:spacing w:after="0" w:line="240" w:lineRule="auto"/>
        <w:ind w:firstLine="709"/>
        <w:contextualSpacing/>
        <w:jc w:val="both"/>
        <w:rPr>
          <w:rFonts w:ascii="Times New Roman" w:hAnsi="Times New Roman"/>
        </w:rPr>
      </w:pPr>
    </w:p>
    <w:p w:rsidR="00CE326F" w:rsidRPr="0080737A" w:rsidRDefault="00CE326F" w:rsidP="00CE326F">
      <w:pPr>
        <w:spacing w:after="0" w:line="240" w:lineRule="auto"/>
        <w:ind w:firstLine="709"/>
        <w:rPr>
          <w:rFonts w:ascii="Times New Roman" w:hAnsi="Times New Roman"/>
          <w:b/>
          <w:sz w:val="24"/>
          <w:szCs w:val="24"/>
        </w:rPr>
      </w:pPr>
      <w:r w:rsidRPr="0080737A">
        <w:rPr>
          <w:rFonts w:ascii="Times New Roman" w:hAnsi="Times New Roman"/>
          <w:b/>
          <w:sz w:val="24"/>
          <w:szCs w:val="24"/>
        </w:rPr>
        <w:t>Экология</w:t>
      </w:r>
    </w:p>
    <w:p w:rsidR="00CE326F" w:rsidRPr="0094333A" w:rsidRDefault="00CE326F" w:rsidP="00CE326F">
      <w:pPr>
        <w:spacing w:after="0" w:line="240" w:lineRule="auto"/>
        <w:ind w:firstLine="709"/>
        <w:rPr>
          <w:rFonts w:ascii="Times New Roman" w:hAnsi="Times New Roman"/>
          <w:b/>
        </w:rPr>
      </w:pPr>
    </w:p>
    <w:p w:rsidR="0094333A" w:rsidRPr="0080737A" w:rsidRDefault="0094333A" w:rsidP="0094333A">
      <w:pPr>
        <w:spacing w:after="0" w:line="240" w:lineRule="auto"/>
        <w:ind w:firstLine="709"/>
        <w:jc w:val="both"/>
        <w:rPr>
          <w:rFonts w:ascii="Times New Roman" w:hAnsi="Times New Roman"/>
          <w:sz w:val="24"/>
          <w:szCs w:val="24"/>
        </w:rPr>
      </w:pPr>
      <w:r w:rsidRPr="00BC32B8">
        <w:rPr>
          <w:rFonts w:ascii="Times New Roman" w:hAnsi="Times New Roman"/>
          <w:sz w:val="24"/>
          <w:szCs w:val="24"/>
        </w:rPr>
        <w:t>В 2017 году экологический фон в республик</w:t>
      </w:r>
      <w:r>
        <w:rPr>
          <w:rFonts w:ascii="Times New Roman" w:hAnsi="Times New Roman"/>
          <w:sz w:val="24"/>
          <w:szCs w:val="24"/>
        </w:rPr>
        <w:t>е</w:t>
      </w:r>
      <w:r w:rsidRPr="00BC32B8">
        <w:rPr>
          <w:rFonts w:ascii="Times New Roman" w:hAnsi="Times New Roman"/>
          <w:sz w:val="24"/>
          <w:szCs w:val="24"/>
        </w:rPr>
        <w:t xml:space="preserve"> </w:t>
      </w:r>
      <w:r>
        <w:rPr>
          <w:rFonts w:ascii="Times New Roman" w:hAnsi="Times New Roman"/>
          <w:sz w:val="24"/>
          <w:szCs w:val="24"/>
        </w:rPr>
        <w:t xml:space="preserve">характеризовался прямой зависимостью от экономической составляющей, а именно </w:t>
      </w:r>
      <w:r w:rsidRPr="00866046">
        <w:rPr>
          <w:rFonts w:ascii="Times New Roman" w:hAnsi="Times New Roman"/>
          <w:sz w:val="24"/>
          <w:szCs w:val="24"/>
        </w:rPr>
        <w:t xml:space="preserve">перебои в работе </w:t>
      </w:r>
      <w:r>
        <w:rPr>
          <w:rFonts w:ascii="Times New Roman" w:hAnsi="Times New Roman"/>
          <w:sz w:val="24"/>
          <w:szCs w:val="24"/>
        </w:rPr>
        <w:t xml:space="preserve">на </w:t>
      </w:r>
      <w:r w:rsidRPr="00CF3B61">
        <w:rPr>
          <w:rFonts w:ascii="Times New Roman" w:hAnsi="Times New Roman"/>
          <w:sz w:val="24"/>
          <w:szCs w:val="24"/>
        </w:rPr>
        <w:t>крупнейшем энергетическом предприятии обусловили сокращение вредных выбросов в атмосферный воздух. Так,</w:t>
      </w:r>
      <w:r>
        <w:rPr>
          <w:rFonts w:ascii="Times New Roman" w:hAnsi="Times New Roman"/>
          <w:sz w:val="24"/>
          <w:szCs w:val="24"/>
        </w:rPr>
        <w:t xml:space="preserve"> в отчетном периоде </w:t>
      </w:r>
      <w:r w:rsidRPr="0080737A">
        <w:rPr>
          <w:rFonts w:ascii="Times New Roman" w:hAnsi="Times New Roman"/>
          <w:b/>
          <w:i/>
          <w:sz w:val="24"/>
          <w:szCs w:val="24"/>
        </w:rPr>
        <w:t xml:space="preserve">валовой выброс загрязняющих веществ </w:t>
      </w:r>
      <w:r>
        <w:rPr>
          <w:rFonts w:ascii="Times New Roman" w:hAnsi="Times New Roman"/>
          <w:sz w:val="24"/>
          <w:szCs w:val="24"/>
        </w:rPr>
        <w:t>сократился к уровню 2016 года</w:t>
      </w:r>
      <w:r w:rsidRPr="009F3CC1">
        <w:rPr>
          <w:rFonts w:ascii="Times New Roman" w:hAnsi="Times New Roman"/>
          <w:sz w:val="24"/>
          <w:szCs w:val="24"/>
        </w:rPr>
        <w:t xml:space="preserve"> </w:t>
      </w:r>
      <w:r w:rsidRPr="00327844">
        <w:rPr>
          <w:rFonts w:ascii="Times New Roman" w:hAnsi="Times New Roman"/>
          <w:sz w:val="24"/>
          <w:szCs w:val="24"/>
        </w:rPr>
        <w:t xml:space="preserve">на </w:t>
      </w:r>
      <w:r>
        <w:rPr>
          <w:rFonts w:ascii="Times New Roman" w:hAnsi="Times New Roman"/>
          <w:sz w:val="24"/>
          <w:szCs w:val="24"/>
        </w:rPr>
        <w:t>1,7</w:t>
      </w:r>
      <w:r w:rsidRPr="00327844">
        <w:rPr>
          <w:rFonts w:ascii="Times New Roman" w:hAnsi="Times New Roman"/>
          <w:sz w:val="24"/>
          <w:szCs w:val="24"/>
        </w:rPr>
        <w:t>%</w:t>
      </w:r>
      <w:r>
        <w:rPr>
          <w:rFonts w:ascii="Times New Roman" w:hAnsi="Times New Roman"/>
          <w:sz w:val="24"/>
          <w:szCs w:val="24"/>
        </w:rPr>
        <w:t xml:space="preserve"> до </w:t>
      </w:r>
      <w:r>
        <w:rPr>
          <w:rFonts w:ascii="Times New Roman" w:hAnsi="Times New Roman"/>
          <w:b/>
          <w:i/>
          <w:sz w:val="24"/>
          <w:szCs w:val="24"/>
        </w:rPr>
        <w:t>44 684,2</w:t>
      </w:r>
      <w:r w:rsidRPr="0080737A">
        <w:rPr>
          <w:rFonts w:ascii="Times New Roman" w:hAnsi="Times New Roman"/>
          <w:b/>
          <w:i/>
          <w:sz w:val="24"/>
          <w:szCs w:val="24"/>
        </w:rPr>
        <w:t xml:space="preserve"> тонн</w:t>
      </w:r>
      <w:r>
        <w:rPr>
          <w:rFonts w:ascii="Times New Roman" w:hAnsi="Times New Roman"/>
          <w:sz w:val="24"/>
          <w:szCs w:val="24"/>
        </w:rPr>
        <w:t>.</w:t>
      </w:r>
    </w:p>
    <w:p w:rsidR="0094333A" w:rsidRPr="0080737A" w:rsidRDefault="0094333A" w:rsidP="0094333A">
      <w:pPr>
        <w:spacing w:after="0" w:line="240" w:lineRule="auto"/>
        <w:ind w:firstLine="720"/>
        <w:jc w:val="right"/>
        <w:rPr>
          <w:rFonts w:ascii="Times New Roman" w:hAnsi="Times New Roman"/>
          <w:b/>
          <w:sz w:val="24"/>
          <w:szCs w:val="24"/>
        </w:rPr>
      </w:pPr>
      <w:r w:rsidRPr="00623CD1">
        <w:rPr>
          <w:rFonts w:ascii="Times New Roman" w:hAnsi="Times New Roman"/>
          <w:b/>
          <w:i/>
          <w:sz w:val="24"/>
          <w:szCs w:val="24"/>
        </w:rPr>
        <w:t xml:space="preserve">Таблица </w:t>
      </w:r>
      <w:r>
        <w:rPr>
          <w:rFonts w:ascii="Times New Roman" w:hAnsi="Times New Roman"/>
          <w:b/>
          <w:i/>
          <w:sz w:val="24"/>
          <w:szCs w:val="24"/>
        </w:rPr>
        <w:t>№1</w:t>
      </w:r>
      <w:r w:rsidR="00623CD1">
        <w:rPr>
          <w:rFonts w:ascii="Times New Roman" w:hAnsi="Times New Roman"/>
          <w:b/>
          <w:i/>
          <w:sz w:val="24"/>
          <w:szCs w:val="24"/>
        </w:rPr>
        <w:t>2</w:t>
      </w:r>
    </w:p>
    <w:p w:rsidR="0094333A" w:rsidRDefault="0094333A" w:rsidP="0094333A">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 xml:space="preserve">Выбросы вредных веществ в атмосферный воздух </w:t>
      </w:r>
    </w:p>
    <w:p w:rsidR="0094333A" w:rsidRDefault="0094333A" w:rsidP="0094333A">
      <w:pPr>
        <w:spacing w:after="0" w:line="240" w:lineRule="auto"/>
        <w:ind w:firstLine="720"/>
        <w:jc w:val="center"/>
        <w:rPr>
          <w:rFonts w:ascii="Times New Roman" w:hAnsi="Times New Roman"/>
          <w:b/>
          <w:sz w:val="24"/>
          <w:szCs w:val="24"/>
        </w:rPr>
      </w:pPr>
      <w:r w:rsidRPr="0080737A">
        <w:rPr>
          <w:rFonts w:ascii="Times New Roman" w:hAnsi="Times New Roman"/>
          <w:b/>
          <w:sz w:val="24"/>
          <w:szCs w:val="24"/>
        </w:rPr>
        <w:t>в разрезе городов и районов за 201</w:t>
      </w:r>
      <w:r>
        <w:rPr>
          <w:rFonts w:ascii="Times New Roman" w:hAnsi="Times New Roman"/>
          <w:b/>
          <w:sz w:val="24"/>
          <w:szCs w:val="24"/>
        </w:rPr>
        <w:t>7</w:t>
      </w:r>
      <w:r w:rsidRPr="0080737A">
        <w:rPr>
          <w:rFonts w:ascii="Times New Roman" w:hAnsi="Times New Roman"/>
          <w:b/>
          <w:sz w:val="24"/>
          <w:szCs w:val="24"/>
        </w:rPr>
        <w:t xml:space="preserve"> год</w:t>
      </w:r>
    </w:p>
    <w:p w:rsidR="0094333A" w:rsidRPr="0094333A" w:rsidRDefault="0094333A" w:rsidP="0094333A">
      <w:pPr>
        <w:spacing w:after="0" w:line="240" w:lineRule="auto"/>
        <w:ind w:firstLine="720"/>
        <w:jc w:val="right"/>
        <w:rPr>
          <w:rFonts w:ascii="Times New Roman" w:hAnsi="Times New Roman"/>
          <w:i/>
          <w:sz w:val="20"/>
          <w:szCs w:val="20"/>
        </w:rPr>
      </w:pPr>
      <w:r w:rsidRPr="0094333A">
        <w:rPr>
          <w:rFonts w:ascii="Times New Roman" w:hAnsi="Times New Roman"/>
          <w:i/>
          <w:sz w:val="20"/>
          <w:szCs w:val="20"/>
        </w:rPr>
        <w:t>(тонн</w:t>
      </w:r>
      <w:proofErr w:type="gramStart"/>
      <w:r w:rsidRPr="0094333A">
        <w:rPr>
          <w:rFonts w:ascii="Times New Roman" w:hAnsi="Times New Roman"/>
          <w:i/>
          <w:sz w:val="20"/>
          <w:szCs w:val="20"/>
        </w:rPr>
        <w:t>, %)</w:t>
      </w:r>
      <w:proofErr w:type="gramEnd"/>
    </w:p>
    <w:tbl>
      <w:tblPr>
        <w:tblW w:w="9515" w:type="dxa"/>
        <w:tblInd w:w="93" w:type="dxa"/>
        <w:tblLook w:val="04A0"/>
      </w:tblPr>
      <w:tblGrid>
        <w:gridCol w:w="3571"/>
        <w:gridCol w:w="995"/>
        <w:gridCol w:w="963"/>
        <w:gridCol w:w="1028"/>
        <w:gridCol w:w="964"/>
        <w:gridCol w:w="1031"/>
        <w:gridCol w:w="963"/>
      </w:tblGrid>
      <w:tr w:rsidR="0094333A" w:rsidRPr="0094333A" w:rsidTr="00A73BD0">
        <w:trPr>
          <w:trHeight w:val="362"/>
        </w:trPr>
        <w:tc>
          <w:tcPr>
            <w:tcW w:w="357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Город, район</w:t>
            </w:r>
          </w:p>
        </w:tc>
        <w:tc>
          <w:tcPr>
            <w:tcW w:w="195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Всего</w:t>
            </w:r>
          </w:p>
        </w:tc>
        <w:tc>
          <w:tcPr>
            <w:tcW w:w="199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ind w:left="-75" w:right="-140"/>
              <w:jc w:val="center"/>
              <w:rPr>
                <w:rFonts w:ascii="Times New Roman" w:hAnsi="Times New Roman"/>
                <w:b/>
                <w:bCs/>
                <w:color w:val="000000"/>
                <w:sz w:val="20"/>
                <w:szCs w:val="20"/>
              </w:rPr>
            </w:pPr>
            <w:r w:rsidRPr="0094333A">
              <w:rPr>
                <w:rFonts w:ascii="Times New Roman" w:hAnsi="Times New Roman"/>
                <w:b/>
                <w:bCs/>
                <w:color w:val="000000"/>
                <w:sz w:val="20"/>
                <w:szCs w:val="20"/>
              </w:rPr>
              <w:t>От стационарных источников</w:t>
            </w:r>
          </w:p>
        </w:tc>
        <w:tc>
          <w:tcPr>
            <w:tcW w:w="199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От передвижных источников</w:t>
            </w:r>
          </w:p>
        </w:tc>
      </w:tr>
      <w:tr w:rsidR="0094333A" w:rsidRPr="0094333A" w:rsidTr="00A73BD0">
        <w:trPr>
          <w:trHeight w:val="358"/>
        </w:trPr>
        <w:tc>
          <w:tcPr>
            <w:tcW w:w="357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rPr>
                <w:rFonts w:ascii="Times New Roman" w:hAnsi="Times New Roman"/>
                <w:b/>
                <w:bCs/>
                <w:color w:val="000000"/>
                <w:sz w:val="20"/>
                <w:szCs w:val="20"/>
              </w:rPr>
            </w:pPr>
          </w:p>
        </w:tc>
        <w:tc>
          <w:tcPr>
            <w:tcW w:w="995" w:type="dxa"/>
            <w:tcBorders>
              <w:top w:val="nil"/>
              <w:left w:val="nil"/>
              <w:bottom w:val="single" w:sz="4" w:space="0" w:color="auto"/>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2017г.</w:t>
            </w:r>
          </w:p>
        </w:tc>
        <w:tc>
          <w:tcPr>
            <w:tcW w:w="963" w:type="dxa"/>
            <w:tcBorders>
              <w:top w:val="nil"/>
              <w:left w:val="nil"/>
              <w:bottom w:val="single" w:sz="4" w:space="0" w:color="auto"/>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в % к 2016г.</w:t>
            </w:r>
          </w:p>
        </w:tc>
        <w:tc>
          <w:tcPr>
            <w:tcW w:w="1028" w:type="dxa"/>
            <w:tcBorders>
              <w:top w:val="nil"/>
              <w:left w:val="nil"/>
              <w:bottom w:val="single" w:sz="4" w:space="0" w:color="auto"/>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2017г.</w:t>
            </w:r>
          </w:p>
        </w:tc>
        <w:tc>
          <w:tcPr>
            <w:tcW w:w="964" w:type="dxa"/>
            <w:tcBorders>
              <w:top w:val="nil"/>
              <w:left w:val="nil"/>
              <w:bottom w:val="single" w:sz="4" w:space="0" w:color="auto"/>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в % к 2016г.</w:t>
            </w:r>
          </w:p>
        </w:tc>
        <w:tc>
          <w:tcPr>
            <w:tcW w:w="1031" w:type="dxa"/>
            <w:tcBorders>
              <w:top w:val="nil"/>
              <w:left w:val="nil"/>
              <w:bottom w:val="single" w:sz="4" w:space="0" w:color="auto"/>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2017г.</w:t>
            </w:r>
          </w:p>
        </w:tc>
        <w:tc>
          <w:tcPr>
            <w:tcW w:w="963" w:type="dxa"/>
            <w:tcBorders>
              <w:top w:val="nil"/>
              <w:left w:val="nil"/>
              <w:bottom w:val="single" w:sz="4" w:space="0" w:color="auto"/>
              <w:right w:val="single" w:sz="4" w:space="0" w:color="auto"/>
            </w:tcBorders>
            <w:shd w:val="clear" w:color="auto" w:fill="D9D9D9" w:themeFill="background1" w:themeFillShade="D9"/>
            <w:vAlign w:val="center"/>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в % к. 2016г.</w:t>
            </w:r>
          </w:p>
        </w:tc>
      </w:tr>
      <w:tr w:rsidR="0094333A" w:rsidRPr="0094333A" w:rsidTr="0094333A">
        <w:trPr>
          <w:trHeight w:val="141"/>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rPr>
                <w:rFonts w:ascii="Times New Roman" w:hAnsi="Times New Roman"/>
                <w:color w:val="000000"/>
                <w:sz w:val="20"/>
                <w:szCs w:val="20"/>
              </w:rPr>
            </w:pPr>
            <w:r w:rsidRPr="0094333A">
              <w:rPr>
                <w:rFonts w:ascii="Times New Roman" w:hAnsi="Times New Roman"/>
                <w:color w:val="000000"/>
                <w:sz w:val="20"/>
                <w:szCs w:val="20"/>
              </w:rPr>
              <w:t>г. Тирасполь</w:t>
            </w:r>
          </w:p>
        </w:tc>
        <w:tc>
          <w:tcPr>
            <w:tcW w:w="995"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11 904,8</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101,8</w:t>
            </w:r>
          </w:p>
        </w:tc>
        <w:tc>
          <w:tcPr>
            <w:tcW w:w="1028"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1 547,3</w:t>
            </w:r>
          </w:p>
        </w:tc>
        <w:tc>
          <w:tcPr>
            <w:tcW w:w="964"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97,1</w:t>
            </w:r>
          </w:p>
        </w:tc>
        <w:tc>
          <w:tcPr>
            <w:tcW w:w="1031"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10 357,5</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102,5</w:t>
            </w:r>
          </w:p>
        </w:tc>
      </w:tr>
      <w:tr w:rsidR="0094333A" w:rsidRPr="0094333A" w:rsidTr="0094333A">
        <w:trPr>
          <w:trHeight w:val="148"/>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rPr>
                <w:rFonts w:ascii="Times New Roman" w:hAnsi="Times New Roman"/>
                <w:color w:val="000000"/>
                <w:sz w:val="20"/>
                <w:szCs w:val="20"/>
              </w:rPr>
            </w:pPr>
            <w:r w:rsidRPr="0094333A">
              <w:rPr>
                <w:rFonts w:ascii="Times New Roman" w:hAnsi="Times New Roman"/>
                <w:color w:val="000000"/>
                <w:sz w:val="20"/>
                <w:szCs w:val="20"/>
              </w:rPr>
              <w:t>г. Днестровск,</w:t>
            </w:r>
            <w:r w:rsidRPr="0094333A">
              <w:rPr>
                <w:rFonts w:ascii="Times New Roman" w:hAnsi="Times New Roman"/>
                <w:i/>
                <w:iCs/>
                <w:color w:val="000000"/>
                <w:sz w:val="20"/>
                <w:szCs w:val="20"/>
              </w:rPr>
              <w:t xml:space="preserve"> в том числе:</w:t>
            </w:r>
          </w:p>
        </w:tc>
        <w:tc>
          <w:tcPr>
            <w:tcW w:w="995"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4 959,4</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75,5</w:t>
            </w:r>
          </w:p>
        </w:tc>
        <w:tc>
          <w:tcPr>
            <w:tcW w:w="1028"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4 878,3</w:t>
            </w:r>
          </w:p>
        </w:tc>
        <w:tc>
          <w:tcPr>
            <w:tcW w:w="964"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75,4</w:t>
            </w:r>
          </w:p>
        </w:tc>
        <w:tc>
          <w:tcPr>
            <w:tcW w:w="1031"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81,1</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78,0</w:t>
            </w:r>
          </w:p>
        </w:tc>
      </w:tr>
      <w:tr w:rsidR="0094333A" w:rsidRPr="0094333A" w:rsidTr="0094333A">
        <w:trPr>
          <w:trHeight w:val="137"/>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94333A" w:rsidRPr="0094333A" w:rsidRDefault="0094333A" w:rsidP="0094333A">
            <w:pPr>
              <w:spacing w:after="0" w:line="240" w:lineRule="auto"/>
              <w:ind w:firstLineChars="100" w:firstLine="200"/>
              <w:rPr>
                <w:rFonts w:ascii="Times New Roman" w:hAnsi="Times New Roman"/>
                <w:color w:val="000000"/>
                <w:sz w:val="20"/>
                <w:szCs w:val="20"/>
              </w:rPr>
            </w:pPr>
            <w:r w:rsidRPr="0094333A">
              <w:rPr>
                <w:rFonts w:ascii="Times New Roman" w:hAnsi="Times New Roman"/>
                <w:color w:val="000000"/>
                <w:sz w:val="20"/>
                <w:szCs w:val="20"/>
              </w:rPr>
              <w:t>ЗАО «Молдавская ГРЭС»</w:t>
            </w:r>
          </w:p>
        </w:tc>
        <w:tc>
          <w:tcPr>
            <w:tcW w:w="995" w:type="dxa"/>
            <w:tcBorders>
              <w:top w:val="nil"/>
              <w:left w:val="single" w:sz="4" w:space="0" w:color="auto"/>
              <w:bottom w:val="single" w:sz="4" w:space="0" w:color="auto"/>
              <w:right w:val="single" w:sz="4" w:space="0" w:color="auto"/>
            </w:tcBorders>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4 949,6</w:t>
            </w:r>
          </w:p>
        </w:tc>
        <w:tc>
          <w:tcPr>
            <w:tcW w:w="963" w:type="dxa"/>
            <w:tcBorders>
              <w:top w:val="nil"/>
              <w:left w:val="single" w:sz="4" w:space="0" w:color="auto"/>
              <w:bottom w:val="single" w:sz="4" w:space="0" w:color="auto"/>
              <w:right w:val="single" w:sz="4" w:space="0" w:color="auto"/>
            </w:tcBorders>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76,2</w:t>
            </w:r>
          </w:p>
        </w:tc>
        <w:tc>
          <w:tcPr>
            <w:tcW w:w="1028" w:type="dxa"/>
            <w:tcBorders>
              <w:top w:val="nil"/>
              <w:left w:val="single" w:sz="4" w:space="0" w:color="auto"/>
              <w:bottom w:val="single" w:sz="4" w:space="0" w:color="auto"/>
              <w:right w:val="single" w:sz="4" w:space="0" w:color="auto"/>
            </w:tcBorders>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4 868,5</w:t>
            </w:r>
          </w:p>
        </w:tc>
        <w:tc>
          <w:tcPr>
            <w:tcW w:w="964" w:type="dxa"/>
            <w:tcBorders>
              <w:top w:val="nil"/>
              <w:left w:val="single" w:sz="4" w:space="0" w:color="auto"/>
              <w:bottom w:val="single" w:sz="4" w:space="0" w:color="auto"/>
              <w:right w:val="single" w:sz="4" w:space="0" w:color="auto"/>
            </w:tcBorders>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76,2</w:t>
            </w:r>
          </w:p>
        </w:tc>
        <w:tc>
          <w:tcPr>
            <w:tcW w:w="1031" w:type="dxa"/>
            <w:tcBorders>
              <w:top w:val="nil"/>
              <w:left w:val="single" w:sz="4" w:space="0" w:color="auto"/>
              <w:bottom w:val="single" w:sz="4" w:space="0" w:color="auto"/>
              <w:right w:val="single" w:sz="4" w:space="0" w:color="auto"/>
            </w:tcBorders>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81,1</w:t>
            </w:r>
          </w:p>
        </w:tc>
        <w:tc>
          <w:tcPr>
            <w:tcW w:w="963" w:type="dxa"/>
            <w:tcBorders>
              <w:top w:val="nil"/>
              <w:left w:val="single" w:sz="4" w:space="0" w:color="auto"/>
              <w:bottom w:val="single" w:sz="4" w:space="0" w:color="auto"/>
              <w:right w:val="single" w:sz="4" w:space="0" w:color="auto"/>
            </w:tcBorders>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78,0</w:t>
            </w:r>
          </w:p>
        </w:tc>
      </w:tr>
      <w:tr w:rsidR="0094333A" w:rsidRPr="0094333A" w:rsidTr="0094333A">
        <w:trPr>
          <w:trHeight w:val="81"/>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rPr>
                <w:rFonts w:ascii="Times New Roman" w:hAnsi="Times New Roman"/>
                <w:color w:val="000000"/>
                <w:sz w:val="20"/>
                <w:szCs w:val="20"/>
              </w:rPr>
            </w:pPr>
            <w:r w:rsidRPr="0094333A">
              <w:rPr>
                <w:rFonts w:ascii="Times New Roman" w:hAnsi="Times New Roman"/>
                <w:color w:val="000000"/>
                <w:sz w:val="20"/>
                <w:szCs w:val="20"/>
              </w:rPr>
              <w:t>г. Бендеры</w:t>
            </w:r>
          </w:p>
        </w:tc>
        <w:tc>
          <w:tcPr>
            <w:tcW w:w="995"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5 433,9</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94,3</w:t>
            </w:r>
          </w:p>
        </w:tc>
        <w:tc>
          <w:tcPr>
            <w:tcW w:w="1028"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609,1</w:t>
            </w:r>
          </w:p>
        </w:tc>
        <w:tc>
          <w:tcPr>
            <w:tcW w:w="964"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103,3</w:t>
            </w:r>
          </w:p>
        </w:tc>
        <w:tc>
          <w:tcPr>
            <w:tcW w:w="1031"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4 824,8</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93,3</w:t>
            </w:r>
          </w:p>
        </w:tc>
      </w:tr>
      <w:tr w:rsidR="0094333A" w:rsidRPr="0094333A" w:rsidTr="0094333A">
        <w:trPr>
          <w:trHeight w:val="214"/>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rPr>
                <w:rFonts w:ascii="Times New Roman" w:hAnsi="Times New Roman"/>
                <w:color w:val="000000"/>
                <w:sz w:val="20"/>
                <w:szCs w:val="20"/>
              </w:rPr>
            </w:pPr>
            <w:r w:rsidRPr="0094333A">
              <w:rPr>
                <w:rFonts w:ascii="Times New Roman" w:hAnsi="Times New Roman"/>
                <w:color w:val="000000"/>
                <w:sz w:val="20"/>
                <w:szCs w:val="20"/>
              </w:rPr>
              <w:t>г. Рыбница и Рыбницкий р-н</w:t>
            </w:r>
          </w:p>
        </w:tc>
        <w:tc>
          <w:tcPr>
            <w:tcW w:w="995"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9 491,5</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121,8</w:t>
            </w:r>
          </w:p>
        </w:tc>
        <w:tc>
          <w:tcPr>
            <w:tcW w:w="1028"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4 309,5</w:t>
            </w:r>
          </w:p>
        </w:tc>
        <w:tc>
          <w:tcPr>
            <w:tcW w:w="964"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174,4</w:t>
            </w:r>
          </w:p>
        </w:tc>
        <w:tc>
          <w:tcPr>
            <w:tcW w:w="1031"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5 182,0</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97,4</w:t>
            </w:r>
          </w:p>
        </w:tc>
      </w:tr>
      <w:tr w:rsidR="0094333A" w:rsidRPr="0094333A" w:rsidTr="0094333A">
        <w:trPr>
          <w:trHeight w:val="193"/>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rPr>
                <w:rFonts w:ascii="Times New Roman" w:hAnsi="Times New Roman"/>
                <w:color w:val="000000"/>
                <w:sz w:val="20"/>
                <w:szCs w:val="20"/>
              </w:rPr>
            </w:pPr>
            <w:r w:rsidRPr="0094333A">
              <w:rPr>
                <w:rFonts w:ascii="Times New Roman" w:hAnsi="Times New Roman"/>
                <w:color w:val="000000"/>
                <w:sz w:val="20"/>
                <w:szCs w:val="20"/>
              </w:rPr>
              <w:t>г. Дубоссары и Дубоссарский р-н</w:t>
            </w:r>
          </w:p>
        </w:tc>
        <w:tc>
          <w:tcPr>
            <w:tcW w:w="995"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2 871,3</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105,3</w:t>
            </w:r>
          </w:p>
        </w:tc>
        <w:tc>
          <w:tcPr>
            <w:tcW w:w="1028"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118,0</w:t>
            </w:r>
          </w:p>
        </w:tc>
        <w:tc>
          <w:tcPr>
            <w:tcW w:w="964"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95,5</w:t>
            </w:r>
          </w:p>
        </w:tc>
        <w:tc>
          <w:tcPr>
            <w:tcW w:w="1031"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2 753,3</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105,8</w:t>
            </w:r>
          </w:p>
        </w:tc>
      </w:tr>
      <w:tr w:rsidR="0094333A" w:rsidRPr="0094333A" w:rsidTr="0094333A">
        <w:trPr>
          <w:trHeight w:val="229"/>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rPr>
                <w:rFonts w:ascii="Times New Roman" w:hAnsi="Times New Roman"/>
                <w:color w:val="000000"/>
                <w:sz w:val="20"/>
                <w:szCs w:val="20"/>
              </w:rPr>
            </w:pPr>
            <w:r w:rsidRPr="0094333A">
              <w:rPr>
                <w:rFonts w:ascii="Times New Roman" w:hAnsi="Times New Roman"/>
                <w:color w:val="000000"/>
                <w:sz w:val="20"/>
                <w:szCs w:val="20"/>
              </w:rPr>
              <w:t xml:space="preserve">г. Григориополь и Григориопольский р-н </w:t>
            </w:r>
          </w:p>
        </w:tc>
        <w:tc>
          <w:tcPr>
            <w:tcW w:w="995"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1 595,3</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96,5</w:t>
            </w:r>
          </w:p>
        </w:tc>
        <w:tc>
          <w:tcPr>
            <w:tcW w:w="1028"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81,7</w:t>
            </w:r>
          </w:p>
        </w:tc>
        <w:tc>
          <w:tcPr>
            <w:tcW w:w="964"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117,9</w:t>
            </w:r>
          </w:p>
        </w:tc>
        <w:tc>
          <w:tcPr>
            <w:tcW w:w="1031"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1 513,6</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95,6</w:t>
            </w:r>
          </w:p>
        </w:tc>
      </w:tr>
      <w:tr w:rsidR="0094333A" w:rsidRPr="0094333A" w:rsidTr="0094333A">
        <w:trPr>
          <w:trHeight w:val="57"/>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rPr>
                <w:rFonts w:ascii="Times New Roman" w:hAnsi="Times New Roman"/>
                <w:color w:val="000000"/>
                <w:sz w:val="20"/>
                <w:szCs w:val="20"/>
              </w:rPr>
            </w:pPr>
            <w:r w:rsidRPr="0094333A">
              <w:rPr>
                <w:rFonts w:ascii="Times New Roman" w:hAnsi="Times New Roman"/>
                <w:color w:val="000000"/>
                <w:sz w:val="20"/>
                <w:szCs w:val="20"/>
              </w:rPr>
              <w:t>г. Слободзея и Слободзейский р-н</w:t>
            </w:r>
          </w:p>
        </w:tc>
        <w:tc>
          <w:tcPr>
            <w:tcW w:w="995"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7 669,0</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93,4</w:t>
            </w:r>
          </w:p>
        </w:tc>
        <w:tc>
          <w:tcPr>
            <w:tcW w:w="1028"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978,0</w:t>
            </w:r>
          </w:p>
        </w:tc>
        <w:tc>
          <w:tcPr>
            <w:tcW w:w="964"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61,3</w:t>
            </w:r>
          </w:p>
        </w:tc>
        <w:tc>
          <w:tcPr>
            <w:tcW w:w="1031"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6 691,0</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101,1</w:t>
            </w:r>
          </w:p>
        </w:tc>
      </w:tr>
      <w:tr w:rsidR="0094333A" w:rsidRPr="0094333A" w:rsidTr="0094333A">
        <w:trPr>
          <w:trHeight w:val="65"/>
        </w:trPr>
        <w:tc>
          <w:tcPr>
            <w:tcW w:w="3571" w:type="dxa"/>
            <w:tcBorders>
              <w:top w:val="nil"/>
              <w:left w:val="single" w:sz="4" w:space="0" w:color="auto"/>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rPr>
                <w:rFonts w:ascii="Times New Roman" w:hAnsi="Times New Roman"/>
                <w:color w:val="000000"/>
                <w:sz w:val="20"/>
                <w:szCs w:val="20"/>
              </w:rPr>
            </w:pPr>
            <w:r w:rsidRPr="0094333A">
              <w:rPr>
                <w:rFonts w:ascii="Times New Roman" w:hAnsi="Times New Roman"/>
                <w:color w:val="000000"/>
                <w:sz w:val="20"/>
                <w:szCs w:val="20"/>
              </w:rPr>
              <w:t>г. Каменка и Каменский р-н</w:t>
            </w:r>
          </w:p>
        </w:tc>
        <w:tc>
          <w:tcPr>
            <w:tcW w:w="995"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759,0</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72,6</w:t>
            </w:r>
          </w:p>
        </w:tc>
        <w:tc>
          <w:tcPr>
            <w:tcW w:w="1028"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30,0</w:t>
            </w:r>
          </w:p>
        </w:tc>
        <w:tc>
          <w:tcPr>
            <w:tcW w:w="964"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112,4</w:t>
            </w:r>
          </w:p>
        </w:tc>
        <w:tc>
          <w:tcPr>
            <w:tcW w:w="1031"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color w:val="000000"/>
                <w:sz w:val="20"/>
                <w:szCs w:val="20"/>
              </w:rPr>
            </w:pPr>
            <w:r w:rsidRPr="0094333A">
              <w:rPr>
                <w:rFonts w:ascii="Times New Roman" w:hAnsi="Times New Roman"/>
                <w:color w:val="000000"/>
                <w:sz w:val="20"/>
                <w:szCs w:val="20"/>
              </w:rPr>
              <w:t>729,0</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71,6</w:t>
            </w:r>
          </w:p>
        </w:tc>
      </w:tr>
      <w:tr w:rsidR="0094333A" w:rsidRPr="0094333A" w:rsidTr="0094333A">
        <w:trPr>
          <w:trHeight w:val="80"/>
        </w:trPr>
        <w:tc>
          <w:tcPr>
            <w:tcW w:w="3571" w:type="dxa"/>
            <w:tcBorders>
              <w:top w:val="nil"/>
              <w:left w:val="single" w:sz="4" w:space="0" w:color="auto"/>
              <w:bottom w:val="single" w:sz="4" w:space="0" w:color="auto"/>
              <w:right w:val="single" w:sz="4" w:space="0" w:color="auto"/>
            </w:tcBorders>
            <w:shd w:val="clear" w:color="auto" w:fill="auto"/>
            <w:hideMark/>
          </w:tcPr>
          <w:p w:rsidR="0094333A" w:rsidRPr="0094333A" w:rsidRDefault="0094333A" w:rsidP="00A73BD0">
            <w:pPr>
              <w:spacing w:after="0" w:line="240" w:lineRule="auto"/>
              <w:rPr>
                <w:rFonts w:ascii="Times New Roman" w:hAnsi="Times New Roman"/>
                <w:b/>
                <w:bCs/>
                <w:color w:val="000000"/>
                <w:sz w:val="20"/>
                <w:szCs w:val="20"/>
              </w:rPr>
            </w:pPr>
            <w:r w:rsidRPr="0094333A">
              <w:rPr>
                <w:rFonts w:ascii="Times New Roman" w:hAnsi="Times New Roman"/>
                <w:b/>
                <w:bCs/>
                <w:color w:val="000000"/>
                <w:sz w:val="20"/>
                <w:szCs w:val="20"/>
              </w:rPr>
              <w:t>Всего</w:t>
            </w:r>
          </w:p>
        </w:tc>
        <w:tc>
          <w:tcPr>
            <w:tcW w:w="995"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44 684,2</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98,3</w:t>
            </w:r>
          </w:p>
        </w:tc>
        <w:tc>
          <w:tcPr>
            <w:tcW w:w="1028"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12 551,9</w:t>
            </w:r>
          </w:p>
        </w:tc>
        <w:tc>
          <w:tcPr>
            <w:tcW w:w="964"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97,0</w:t>
            </w:r>
          </w:p>
        </w:tc>
        <w:tc>
          <w:tcPr>
            <w:tcW w:w="1031"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b/>
                <w:bCs/>
                <w:color w:val="000000"/>
                <w:sz w:val="20"/>
                <w:szCs w:val="20"/>
              </w:rPr>
            </w:pPr>
            <w:r w:rsidRPr="0094333A">
              <w:rPr>
                <w:rFonts w:ascii="Times New Roman" w:hAnsi="Times New Roman"/>
                <w:b/>
                <w:bCs/>
                <w:color w:val="000000"/>
                <w:sz w:val="20"/>
                <w:szCs w:val="20"/>
              </w:rPr>
              <w:t>32 132,3</w:t>
            </w:r>
          </w:p>
        </w:tc>
        <w:tc>
          <w:tcPr>
            <w:tcW w:w="963" w:type="dxa"/>
            <w:tcBorders>
              <w:top w:val="nil"/>
              <w:left w:val="nil"/>
              <w:bottom w:val="single" w:sz="4" w:space="0" w:color="auto"/>
              <w:right w:val="single" w:sz="4" w:space="0" w:color="auto"/>
            </w:tcBorders>
            <w:shd w:val="clear" w:color="auto" w:fill="auto"/>
            <w:vAlign w:val="bottom"/>
            <w:hideMark/>
          </w:tcPr>
          <w:p w:rsidR="0094333A" w:rsidRPr="0094333A" w:rsidRDefault="0094333A" w:rsidP="00A73BD0">
            <w:pPr>
              <w:spacing w:after="0" w:line="240" w:lineRule="auto"/>
              <w:jc w:val="center"/>
              <w:rPr>
                <w:rFonts w:ascii="Times New Roman" w:hAnsi="Times New Roman"/>
                <w:iCs/>
                <w:color w:val="000000"/>
                <w:sz w:val="20"/>
                <w:szCs w:val="20"/>
              </w:rPr>
            </w:pPr>
            <w:r w:rsidRPr="0094333A">
              <w:rPr>
                <w:rFonts w:ascii="Times New Roman" w:hAnsi="Times New Roman"/>
                <w:iCs/>
                <w:color w:val="000000"/>
                <w:sz w:val="20"/>
                <w:szCs w:val="20"/>
              </w:rPr>
              <w:t>98,8</w:t>
            </w:r>
          </w:p>
        </w:tc>
      </w:tr>
    </w:tbl>
    <w:p w:rsidR="0094333A" w:rsidRDefault="0094333A" w:rsidP="0094333A">
      <w:pPr>
        <w:spacing w:after="100" w:line="240" w:lineRule="auto"/>
        <w:ind w:firstLine="720"/>
        <w:jc w:val="both"/>
        <w:rPr>
          <w:rFonts w:ascii="Times New Roman" w:hAnsi="Times New Roman"/>
          <w:spacing w:val="6"/>
          <w:sz w:val="24"/>
          <w:szCs w:val="24"/>
        </w:rPr>
      </w:pPr>
      <w:r>
        <w:rPr>
          <w:rFonts w:ascii="Times New Roman" w:hAnsi="Times New Roman"/>
          <w:spacing w:val="6"/>
          <w:sz w:val="24"/>
          <w:szCs w:val="24"/>
        </w:rPr>
        <w:lastRenderedPageBreak/>
        <w:t xml:space="preserve">Структурное распределение выбросов вредных веществ в атмосферный воздух в разрезе источников загрязнения в 2017 году осталось практически на уровне 2016 года </w:t>
      </w:r>
      <w:r w:rsidRPr="0084469B">
        <w:rPr>
          <w:rFonts w:ascii="Times New Roman" w:hAnsi="Times New Roman"/>
          <w:spacing w:val="6"/>
          <w:sz w:val="24"/>
          <w:szCs w:val="24"/>
        </w:rPr>
        <w:t>(рис.</w:t>
      </w:r>
      <w:r w:rsidR="0084469B" w:rsidRPr="0084469B">
        <w:rPr>
          <w:rFonts w:ascii="Times New Roman" w:hAnsi="Times New Roman"/>
          <w:spacing w:val="6"/>
          <w:sz w:val="24"/>
          <w:szCs w:val="24"/>
        </w:rPr>
        <w:t xml:space="preserve"> 47</w:t>
      </w:r>
      <w:r w:rsidRPr="0084469B">
        <w:rPr>
          <w:rFonts w:ascii="Times New Roman" w:hAnsi="Times New Roman"/>
          <w:spacing w:val="6"/>
          <w:sz w:val="24"/>
          <w:szCs w:val="24"/>
        </w:rPr>
        <w:t>).</w:t>
      </w:r>
      <w:r>
        <w:rPr>
          <w:rFonts w:ascii="Times New Roman" w:hAnsi="Times New Roman"/>
          <w:spacing w:val="6"/>
          <w:sz w:val="24"/>
          <w:szCs w:val="24"/>
        </w:rPr>
        <w:t xml:space="preserve"> Однако удельный вес </w:t>
      </w:r>
      <w:r w:rsidRPr="0080737A">
        <w:rPr>
          <w:rFonts w:ascii="Times New Roman" w:hAnsi="Times New Roman"/>
          <w:spacing w:val="6"/>
          <w:sz w:val="24"/>
          <w:szCs w:val="24"/>
        </w:rPr>
        <w:t xml:space="preserve">выброшенных вредных веществ в атмосферу </w:t>
      </w:r>
      <w:r w:rsidRPr="00AA6E9B">
        <w:rPr>
          <w:rFonts w:ascii="Times New Roman" w:hAnsi="Times New Roman"/>
          <w:spacing w:val="6"/>
          <w:sz w:val="24"/>
          <w:szCs w:val="24"/>
        </w:rPr>
        <w:t>от стационарных источников</w:t>
      </w:r>
      <w:r>
        <w:rPr>
          <w:rFonts w:ascii="Times New Roman" w:hAnsi="Times New Roman"/>
          <w:spacing w:val="6"/>
          <w:sz w:val="24"/>
          <w:szCs w:val="24"/>
        </w:rPr>
        <w:t xml:space="preserve"> сузился до 28,1%, перераспределив 0,4 п.п. на </w:t>
      </w:r>
      <w:r w:rsidRPr="0080737A">
        <w:rPr>
          <w:rFonts w:ascii="Times New Roman" w:hAnsi="Times New Roman"/>
          <w:spacing w:val="6"/>
          <w:sz w:val="24"/>
          <w:szCs w:val="24"/>
        </w:rPr>
        <w:t xml:space="preserve">выбросы </w:t>
      </w:r>
      <w:r w:rsidRPr="00AA6E9B">
        <w:rPr>
          <w:rFonts w:ascii="Times New Roman" w:hAnsi="Times New Roman"/>
          <w:spacing w:val="6"/>
          <w:sz w:val="24"/>
          <w:szCs w:val="24"/>
        </w:rPr>
        <w:t>от передвижных источников (автотранспорта)</w:t>
      </w:r>
      <w:r>
        <w:rPr>
          <w:rFonts w:ascii="Times New Roman" w:hAnsi="Times New Roman"/>
          <w:spacing w:val="6"/>
          <w:sz w:val="24"/>
          <w:szCs w:val="24"/>
        </w:rPr>
        <w:t xml:space="preserve">, </w:t>
      </w:r>
      <w:r w:rsidRPr="0025247F">
        <w:rPr>
          <w:rFonts w:ascii="Times New Roman" w:hAnsi="Times New Roman"/>
          <w:spacing w:val="6"/>
          <w:sz w:val="24"/>
          <w:szCs w:val="24"/>
        </w:rPr>
        <w:t>представительство которых составило</w:t>
      </w:r>
      <w:r>
        <w:rPr>
          <w:rFonts w:ascii="Times New Roman" w:hAnsi="Times New Roman"/>
          <w:spacing w:val="6"/>
          <w:sz w:val="24"/>
          <w:szCs w:val="24"/>
        </w:rPr>
        <w:t xml:space="preserve"> 71,9</w:t>
      </w:r>
      <w:r w:rsidRPr="0080737A">
        <w:rPr>
          <w:rFonts w:ascii="Times New Roman" w:hAnsi="Times New Roman"/>
          <w:spacing w:val="6"/>
          <w:sz w:val="24"/>
          <w:szCs w:val="24"/>
        </w:rPr>
        <w:t>% от общего количества выбросов по республике.</w:t>
      </w:r>
      <w:r w:rsidRPr="0025247F">
        <w:rPr>
          <w:rFonts w:ascii="Times New Roman" w:hAnsi="Times New Roman"/>
          <w:spacing w:val="6"/>
          <w:sz w:val="24"/>
          <w:szCs w:val="24"/>
        </w:rPr>
        <w:t xml:space="preserve"> </w:t>
      </w:r>
    </w:p>
    <w:p w:rsidR="0094333A" w:rsidRPr="00310AED" w:rsidRDefault="0094333A" w:rsidP="0094333A">
      <w:pPr>
        <w:spacing w:after="100" w:line="240" w:lineRule="auto"/>
        <w:ind w:firstLine="720"/>
        <w:jc w:val="right"/>
        <w:rPr>
          <w:rFonts w:ascii="Times New Roman" w:hAnsi="Times New Roman"/>
          <w:b/>
          <w:i/>
          <w:spacing w:val="6"/>
          <w:sz w:val="24"/>
          <w:szCs w:val="24"/>
        </w:rPr>
      </w:pPr>
      <w:r>
        <w:rPr>
          <w:rFonts w:ascii="Times New Roman" w:hAnsi="Times New Roman"/>
          <w:b/>
          <w:i/>
          <w:sz w:val="24"/>
          <w:szCs w:val="24"/>
        </w:rPr>
        <w:t>Рисунок</w:t>
      </w:r>
      <w:r w:rsidR="0084469B">
        <w:rPr>
          <w:rFonts w:ascii="Times New Roman" w:hAnsi="Times New Roman"/>
          <w:b/>
          <w:i/>
          <w:sz w:val="24"/>
          <w:szCs w:val="24"/>
        </w:rPr>
        <w:t xml:space="preserve"> 47</w:t>
      </w:r>
    </w:p>
    <w:p w:rsidR="0094333A" w:rsidRPr="0080737A" w:rsidRDefault="0094333A" w:rsidP="0094333A">
      <w:pPr>
        <w:spacing w:after="0" w:line="240" w:lineRule="auto"/>
        <w:jc w:val="center"/>
        <w:rPr>
          <w:rFonts w:ascii="Times New Roman" w:hAnsi="Times New Roman"/>
          <w:b/>
          <w:sz w:val="24"/>
          <w:szCs w:val="24"/>
        </w:rPr>
      </w:pPr>
      <w:r w:rsidRPr="0080737A">
        <w:rPr>
          <w:rFonts w:ascii="Times New Roman" w:hAnsi="Times New Roman"/>
          <w:b/>
          <w:sz w:val="24"/>
          <w:szCs w:val="24"/>
        </w:rPr>
        <w:t xml:space="preserve">Структура выбросов вредных веществ </w:t>
      </w:r>
    </w:p>
    <w:p w:rsidR="0094333A" w:rsidRPr="0080737A" w:rsidRDefault="0094333A" w:rsidP="0094333A">
      <w:pPr>
        <w:spacing w:after="0" w:line="240" w:lineRule="auto"/>
        <w:jc w:val="center"/>
        <w:rPr>
          <w:rFonts w:ascii="Times New Roman" w:hAnsi="Times New Roman"/>
          <w:b/>
          <w:sz w:val="24"/>
          <w:szCs w:val="24"/>
        </w:rPr>
      </w:pPr>
      <w:r w:rsidRPr="0080737A">
        <w:rPr>
          <w:rFonts w:ascii="Times New Roman" w:hAnsi="Times New Roman"/>
          <w:b/>
          <w:sz w:val="24"/>
          <w:szCs w:val="24"/>
        </w:rPr>
        <w:t>в атмосферный воздух (тыс. тонн</w:t>
      </w:r>
      <w:proofErr w:type="gramStart"/>
      <w:r w:rsidRPr="0080737A">
        <w:rPr>
          <w:rFonts w:ascii="Times New Roman" w:hAnsi="Times New Roman"/>
          <w:b/>
          <w:sz w:val="24"/>
          <w:szCs w:val="24"/>
        </w:rPr>
        <w:t>; %)</w:t>
      </w:r>
      <w:proofErr w:type="gramEnd"/>
    </w:p>
    <w:p w:rsidR="0094333A" w:rsidRDefault="0094333A" w:rsidP="0094333A">
      <w:pPr>
        <w:spacing w:after="0" w:line="240" w:lineRule="auto"/>
        <w:jc w:val="both"/>
        <w:rPr>
          <w:rFonts w:ascii="Times New Roman" w:hAnsi="Times New Roman"/>
          <w:spacing w:val="6"/>
          <w:sz w:val="24"/>
          <w:szCs w:val="24"/>
        </w:rPr>
      </w:pPr>
      <w:r w:rsidRPr="00EB1C50">
        <w:rPr>
          <w:rFonts w:eastAsia="Calibri"/>
          <w:noProof/>
        </w:rPr>
        <w:drawing>
          <wp:inline distT="0" distB="0" distL="0" distR="0">
            <wp:extent cx="3467100" cy="1362075"/>
            <wp:effectExtent l="19050" t="0" r="0" b="0"/>
            <wp:docPr id="13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EB1C50">
        <w:rPr>
          <w:rFonts w:eastAsia="Calibri"/>
          <w:noProof/>
        </w:rPr>
        <w:drawing>
          <wp:inline distT="0" distB="0" distL="0" distR="0">
            <wp:extent cx="2295525" cy="1314450"/>
            <wp:effectExtent l="19050" t="0" r="0" b="0"/>
            <wp:docPr id="13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4333A" w:rsidRPr="0084469B" w:rsidRDefault="0094333A" w:rsidP="0094333A">
      <w:pPr>
        <w:spacing w:after="0" w:line="240" w:lineRule="auto"/>
        <w:ind w:firstLine="720"/>
        <w:jc w:val="both"/>
        <w:rPr>
          <w:rFonts w:ascii="Times New Roman" w:hAnsi="Times New Roman"/>
          <w:spacing w:val="6"/>
          <w:sz w:val="16"/>
          <w:szCs w:val="16"/>
        </w:rPr>
      </w:pPr>
    </w:p>
    <w:p w:rsidR="0094333A" w:rsidRDefault="0094333A" w:rsidP="0094333A">
      <w:pPr>
        <w:spacing w:after="0" w:line="240" w:lineRule="auto"/>
        <w:ind w:firstLine="720"/>
        <w:jc w:val="both"/>
        <w:rPr>
          <w:rFonts w:ascii="Times New Roman" w:hAnsi="Times New Roman"/>
          <w:spacing w:val="6"/>
          <w:sz w:val="24"/>
          <w:szCs w:val="24"/>
        </w:rPr>
      </w:pPr>
      <w:r>
        <w:rPr>
          <w:rFonts w:ascii="Times New Roman" w:hAnsi="Times New Roman"/>
          <w:spacing w:val="6"/>
          <w:sz w:val="24"/>
          <w:szCs w:val="24"/>
        </w:rPr>
        <w:t>В</w:t>
      </w:r>
      <w:r w:rsidRPr="00B72969">
        <w:rPr>
          <w:rFonts w:ascii="Times New Roman" w:hAnsi="Times New Roman"/>
          <w:spacing w:val="6"/>
          <w:sz w:val="24"/>
          <w:szCs w:val="24"/>
        </w:rPr>
        <w:t xml:space="preserve"> 2017 году</w:t>
      </w:r>
      <w:r w:rsidRPr="00F773C5">
        <w:rPr>
          <w:rFonts w:ascii="Times New Roman" w:hAnsi="Times New Roman"/>
          <w:spacing w:val="6"/>
          <w:sz w:val="24"/>
          <w:szCs w:val="24"/>
        </w:rPr>
        <w:t xml:space="preserve"> </w:t>
      </w:r>
      <w:r>
        <w:rPr>
          <w:rFonts w:ascii="Times New Roman" w:hAnsi="Times New Roman"/>
          <w:spacing w:val="6"/>
          <w:sz w:val="24"/>
          <w:szCs w:val="24"/>
        </w:rPr>
        <w:t>с</w:t>
      </w:r>
      <w:r w:rsidRPr="0080737A">
        <w:rPr>
          <w:rFonts w:ascii="Times New Roman" w:hAnsi="Times New Roman"/>
          <w:spacing w:val="6"/>
          <w:sz w:val="24"/>
          <w:szCs w:val="24"/>
        </w:rPr>
        <w:t xml:space="preserve">овокупный объем выброшенных вредных веществ в атмосферу </w:t>
      </w:r>
      <w:r w:rsidRPr="0080737A">
        <w:rPr>
          <w:rFonts w:ascii="Times New Roman" w:hAnsi="Times New Roman"/>
          <w:i/>
          <w:spacing w:val="6"/>
          <w:sz w:val="24"/>
          <w:szCs w:val="24"/>
        </w:rPr>
        <w:t xml:space="preserve">от стационарных источников </w:t>
      </w:r>
      <w:r>
        <w:rPr>
          <w:rFonts w:ascii="Times New Roman" w:hAnsi="Times New Roman"/>
          <w:spacing w:val="6"/>
          <w:sz w:val="24"/>
          <w:szCs w:val="24"/>
        </w:rPr>
        <w:t xml:space="preserve">сложился на уровне 12 551,9 </w:t>
      </w:r>
      <w:r w:rsidRPr="0080737A">
        <w:rPr>
          <w:rFonts w:ascii="Times New Roman" w:hAnsi="Times New Roman"/>
          <w:spacing w:val="6"/>
          <w:sz w:val="24"/>
          <w:szCs w:val="24"/>
        </w:rPr>
        <w:t>тонн</w:t>
      </w:r>
      <w:r>
        <w:rPr>
          <w:rFonts w:ascii="Times New Roman" w:hAnsi="Times New Roman"/>
          <w:spacing w:val="6"/>
          <w:sz w:val="24"/>
          <w:szCs w:val="24"/>
        </w:rPr>
        <w:t>, сократившись</w:t>
      </w:r>
      <w:r w:rsidRPr="0080737A">
        <w:rPr>
          <w:rFonts w:ascii="Times New Roman" w:hAnsi="Times New Roman"/>
          <w:spacing w:val="6"/>
          <w:sz w:val="24"/>
          <w:szCs w:val="24"/>
        </w:rPr>
        <w:t xml:space="preserve"> на </w:t>
      </w:r>
      <w:r>
        <w:rPr>
          <w:rFonts w:ascii="Times New Roman" w:hAnsi="Times New Roman"/>
          <w:spacing w:val="6"/>
          <w:sz w:val="24"/>
          <w:szCs w:val="24"/>
        </w:rPr>
        <w:t>3,0</w:t>
      </w:r>
      <w:r w:rsidRPr="0080737A">
        <w:rPr>
          <w:rFonts w:ascii="Times New Roman" w:hAnsi="Times New Roman"/>
          <w:spacing w:val="6"/>
          <w:sz w:val="24"/>
          <w:szCs w:val="24"/>
        </w:rPr>
        <w:t xml:space="preserve">% </w:t>
      </w:r>
      <w:r>
        <w:rPr>
          <w:rFonts w:ascii="Times New Roman" w:hAnsi="Times New Roman"/>
          <w:spacing w:val="6"/>
          <w:sz w:val="24"/>
          <w:szCs w:val="24"/>
        </w:rPr>
        <w:t xml:space="preserve">к уровню </w:t>
      </w:r>
      <w:r w:rsidRPr="0080737A">
        <w:rPr>
          <w:rFonts w:ascii="Times New Roman" w:hAnsi="Times New Roman"/>
          <w:spacing w:val="6"/>
          <w:sz w:val="24"/>
          <w:szCs w:val="24"/>
        </w:rPr>
        <w:t>201</w:t>
      </w:r>
      <w:r>
        <w:rPr>
          <w:rFonts w:ascii="Times New Roman" w:hAnsi="Times New Roman"/>
          <w:spacing w:val="6"/>
          <w:sz w:val="24"/>
          <w:szCs w:val="24"/>
        </w:rPr>
        <w:t>6</w:t>
      </w:r>
      <w:r w:rsidRPr="0080737A">
        <w:rPr>
          <w:rFonts w:ascii="Times New Roman" w:hAnsi="Times New Roman"/>
          <w:spacing w:val="6"/>
          <w:sz w:val="24"/>
          <w:szCs w:val="24"/>
        </w:rPr>
        <w:t xml:space="preserve"> года</w:t>
      </w:r>
      <w:r>
        <w:rPr>
          <w:rFonts w:ascii="Times New Roman" w:hAnsi="Times New Roman"/>
          <w:spacing w:val="6"/>
          <w:sz w:val="24"/>
          <w:szCs w:val="24"/>
        </w:rPr>
        <w:t>.</w:t>
      </w:r>
      <w:r w:rsidRPr="0080737A">
        <w:rPr>
          <w:rFonts w:ascii="Times New Roman" w:hAnsi="Times New Roman"/>
          <w:spacing w:val="6"/>
          <w:sz w:val="24"/>
          <w:szCs w:val="24"/>
        </w:rPr>
        <w:t xml:space="preserve"> </w:t>
      </w:r>
      <w:r>
        <w:rPr>
          <w:rFonts w:ascii="Times New Roman" w:hAnsi="Times New Roman"/>
          <w:spacing w:val="6"/>
          <w:sz w:val="24"/>
          <w:szCs w:val="24"/>
        </w:rPr>
        <w:t>Данное уменьшение обусловлено снижением выработки электроэнергии на ЗАО «Молдавская ГРЭС» (на которое приходится 38,8% всех выбросов от стационарных источников), а также изменением структуры и количества сожженного топлива на энергоблоках гидроэлектростанции,</w:t>
      </w:r>
      <w:r>
        <w:rPr>
          <w:rFonts w:ascii="Times New Roman" w:eastAsia="Calibri" w:hAnsi="Times New Roman"/>
          <w:sz w:val="24"/>
          <w:szCs w:val="24"/>
        </w:rPr>
        <w:t xml:space="preserve"> что в свою очередь привело к снижению общего количества выбросов от стационарных источников по </w:t>
      </w:r>
      <w:proofErr w:type="gramStart"/>
      <w:r w:rsidRPr="00004A1E">
        <w:rPr>
          <w:rFonts w:ascii="Times New Roman" w:hAnsi="Times New Roman"/>
          <w:spacing w:val="6"/>
          <w:sz w:val="24"/>
          <w:szCs w:val="24"/>
        </w:rPr>
        <w:t>г</w:t>
      </w:r>
      <w:proofErr w:type="gramEnd"/>
      <w:r w:rsidRPr="00004A1E">
        <w:rPr>
          <w:rFonts w:ascii="Times New Roman" w:hAnsi="Times New Roman"/>
          <w:spacing w:val="6"/>
          <w:sz w:val="24"/>
          <w:szCs w:val="24"/>
        </w:rPr>
        <w:t xml:space="preserve">. </w:t>
      </w:r>
      <w:r>
        <w:rPr>
          <w:rFonts w:ascii="Times New Roman" w:hAnsi="Times New Roman"/>
          <w:spacing w:val="6"/>
          <w:sz w:val="24"/>
          <w:szCs w:val="24"/>
        </w:rPr>
        <w:t>Днестровск</w:t>
      </w:r>
      <w:r w:rsidRPr="00004A1E">
        <w:rPr>
          <w:rFonts w:ascii="Times New Roman" w:hAnsi="Times New Roman"/>
          <w:spacing w:val="6"/>
          <w:sz w:val="24"/>
          <w:szCs w:val="24"/>
        </w:rPr>
        <w:t xml:space="preserve"> </w:t>
      </w:r>
      <w:r>
        <w:rPr>
          <w:rFonts w:ascii="Times New Roman" w:hAnsi="Times New Roman"/>
          <w:spacing w:val="6"/>
          <w:sz w:val="24"/>
          <w:szCs w:val="24"/>
        </w:rPr>
        <w:t xml:space="preserve">на 24,6%. </w:t>
      </w:r>
    </w:p>
    <w:p w:rsidR="0094333A" w:rsidRDefault="0094333A" w:rsidP="0094333A">
      <w:pPr>
        <w:spacing w:after="0" w:line="240" w:lineRule="auto"/>
        <w:ind w:firstLine="709"/>
        <w:jc w:val="both"/>
        <w:rPr>
          <w:rFonts w:ascii="Times New Roman" w:hAnsi="Times New Roman"/>
          <w:spacing w:val="6"/>
          <w:sz w:val="24"/>
          <w:szCs w:val="24"/>
        </w:rPr>
      </w:pPr>
      <w:r>
        <w:rPr>
          <w:rFonts w:ascii="Times New Roman" w:hAnsi="Times New Roman"/>
          <w:spacing w:val="6"/>
          <w:sz w:val="24"/>
          <w:szCs w:val="24"/>
        </w:rPr>
        <w:t xml:space="preserve">Сокращение объема </w:t>
      </w:r>
      <w:r w:rsidRPr="0080737A">
        <w:rPr>
          <w:rFonts w:ascii="Times New Roman" w:hAnsi="Times New Roman"/>
          <w:spacing w:val="6"/>
          <w:sz w:val="24"/>
          <w:szCs w:val="24"/>
        </w:rPr>
        <w:t>выбросов вредных веществ в атмосферу от стационарных источников</w:t>
      </w:r>
      <w:r>
        <w:rPr>
          <w:rFonts w:ascii="Times New Roman" w:hAnsi="Times New Roman"/>
          <w:spacing w:val="6"/>
          <w:sz w:val="24"/>
          <w:szCs w:val="24"/>
        </w:rPr>
        <w:t xml:space="preserve"> к базовому значению минувшего года</w:t>
      </w:r>
      <w:r w:rsidRPr="0086179E">
        <w:rPr>
          <w:rFonts w:ascii="Times New Roman" w:hAnsi="Times New Roman"/>
          <w:spacing w:val="6"/>
          <w:sz w:val="24"/>
          <w:szCs w:val="24"/>
        </w:rPr>
        <w:t xml:space="preserve"> </w:t>
      </w:r>
      <w:r>
        <w:rPr>
          <w:rFonts w:ascii="Times New Roman" w:hAnsi="Times New Roman"/>
          <w:spacing w:val="6"/>
          <w:sz w:val="24"/>
          <w:szCs w:val="24"/>
        </w:rPr>
        <w:t xml:space="preserve">также зафиксировано по </w:t>
      </w:r>
      <w:proofErr w:type="gramStart"/>
      <w:r>
        <w:rPr>
          <w:rFonts w:ascii="Times New Roman" w:hAnsi="Times New Roman"/>
          <w:spacing w:val="6"/>
          <w:sz w:val="24"/>
          <w:szCs w:val="24"/>
        </w:rPr>
        <w:t>г</w:t>
      </w:r>
      <w:proofErr w:type="gramEnd"/>
      <w:r>
        <w:rPr>
          <w:rFonts w:ascii="Times New Roman" w:hAnsi="Times New Roman"/>
          <w:spacing w:val="6"/>
          <w:sz w:val="24"/>
          <w:szCs w:val="24"/>
        </w:rPr>
        <w:t xml:space="preserve">. Тирасполь </w:t>
      </w:r>
      <w:r w:rsidRPr="005A435B">
        <w:rPr>
          <w:rFonts w:ascii="Times New Roman" w:hAnsi="Times New Roman"/>
          <w:spacing w:val="6"/>
          <w:sz w:val="24"/>
          <w:szCs w:val="24"/>
        </w:rPr>
        <w:t>(-2</w:t>
      </w:r>
      <w:r>
        <w:rPr>
          <w:rFonts w:ascii="Times New Roman" w:hAnsi="Times New Roman"/>
          <w:spacing w:val="6"/>
          <w:sz w:val="24"/>
          <w:szCs w:val="24"/>
        </w:rPr>
        <w:t>,</w:t>
      </w:r>
      <w:r w:rsidRPr="005A435B">
        <w:rPr>
          <w:rFonts w:ascii="Times New Roman" w:hAnsi="Times New Roman"/>
          <w:spacing w:val="6"/>
          <w:sz w:val="24"/>
          <w:szCs w:val="24"/>
        </w:rPr>
        <w:t>9%)</w:t>
      </w:r>
      <w:r>
        <w:rPr>
          <w:rFonts w:ascii="Times New Roman" w:hAnsi="Times New Roman"/>
          <w:spacing w:val="6"/>
          <w:sz w:val="24"/>
          <w:szCs w:val="24"/>
        </w:rPr>
        <w:t xml:space="preserve">, </w:t>
      </w:r>
      <w:r w:rsidRPr="00BB2013">
        <w:rPr>
          <w:rFonts w:ascii="Times New Roman" w:hAnsi="Times New Roman"/>
          <w:color w:val="000000"/>
        </w:rPr>
        <w:t>г.</w:t>
      </w:r>
      <w:r>
        <w:rPr>
          <w:rFonts w:ascii="Times New Roman" w:hAnsi="Times New Roman"/>
          <w:color w:val="000000"/>
          <w:lang w:val="en-US"/>
        </w:rPr>
        <w:t> </w:t>
      </w:r>
      <w:r w:rsidRPr="00BB2013">
        <w:rPr>
          <w:rFonts w:ascii="Times New Roman" w:hAnsi="Times New Roman"/>
          <w:color w:val="000000"/>
        </w:rPr>
        <w:t>Дубоссары и Дубоссарск</w:t>
      </w:r>
      <w:r>
        <w:rPr>
          <w:rFonts w:ascii="Times New Roman" w:hAnsi="Times New Roman"/>
          <w:color w:val="000000"/>
        </w:rPr>
        <w:t>ому</w:t>
      </w:r>
      <w:r w:rsidRPr="00BB2013">
        <w:rPr>
          <w:rFonts w:ascii="Times New Roman" w:hAnsi="Times New Roman"/>
          <w:color w:val="000000"/>
        </w:rPr>
        <w:t xml:space="preserve"> р</w:t>
      </w:r>
      <w:r>
        <w:rPr>
          <w:rFonts w:ascii="Times New Roman" w:hAnsi="Times New Roman"/>
          <w:color w:val="000000"/>
        </w:rPr>
        <w:t>айо</w:t>
      </w:r>
      <w:r w:rsidRPr="00BB2013">
        <w:rPr>
          <w:rFonts w:ascii="Times New Roman" w:hAnsi="Times New Roman"/>
          <w:color w:val="000000"/>
        </w:rPr>
        <w:t>н</w:t>
      </w:r>
      <w:r w:rsidRPr="005A435B">
        <w:rPr>
          <w:rFonts w:ascii="Times New Roman" w:hAnsi="Times New Roman"/>
          <w:color w:val="000000"/>
        </w:rPr>
        <w:t xml:space="preserve"> (-4</w:t>
      </w:r>
      <w:r>
        <w:rPr>
          <w:rFonts w:ascii="Times New Roman" w:hAnsi="Times New Roman"/>
          <w:color w:val="000000"/>
        </w:rPr>
        <w:t>,</w:t>
      </w:r>
      <w:r w:rsidRPr="005A435B">
        <w:rPr>
          <w:rFonts w:ascii="Times New Roman" w:hAnsi="Times New Roman"/>
          <w:color w:val="000000"/>
        </w:rPr>
        <w:t>5%)</w:t>
      </w:r>
      <w:r>
        <w:rPr>
          <w:rFonts w:ascii="Times New Roman" w:hAnsi="Times New Roman"/>
          <w:color w:val="000000"/>
        </w:rPr>
        <w:t>,</w:t>
      </w:r>
      <w:r w:rsidRPr="005A435B">
        <w:rPr>
          <w:rFonts w:ascii="Times New Roman" w:hAnsi="Times New Roman"/>
          <w:color w:val="000000"/>
        </w:rPr>
        <w:t xml:space="preserve"> </w:t>
      </w:r>
      <w:r w:rsidRPr="00BB2013">
        <w:rPr>
          <w:rFonts w:ascii="Times New Roman" w:hAnsi="Times New Roman"/>
          <w:color w:val="000000"/>
        </w:rPr>
        <w:t>г. Слободзея и Слободзейск</w:t>
      </w:r>
      <w:r>
        <w:rPr>
          <w:rFonts w:ascii="Times New Roman" w:hAnsi="Times New Roman"/>
          <w:color w:val="000000"/>
        </w:rPr>
        <w:t>ому</w:t>
      </w:r>
      <w:r w:rsidRPr="00BB2013">
        <w:rPr>
          <w:rFonts w:ascii="Times New Roman" w:hAnsi="Times New Roman"/>
          <w:color w:val="000000"/>
        </w:rPr>
        <w:t xml:space="preserve"> р</w:t>
      </w:r>
      <w:r>
        <w:rPr>
          <w:rFonts w:ascii="Times New Roman" w:hAnsi="Times New Roman"/>
          <w:color w:val="000000"/>
        </w:rPr>
        <w:t xml:space="preserve">айон </w:t>
      </w:r>
      <w:r w:rsidR="0084469B">
        <w:rPr>
          <w:rFonts w:ascii="Times New Roman" w:hAnsi="Times New Roman"/>
          <w:color w:val="000000"/>
        </w:rPr>
        <w:t xml:space="preserve">               </w:t>
      </w:r>
      <w:r w:rsidRPr="005A435B">
        <w:rPr>
          <w:rFonts w:ascii="Times New Roman" w:hAnsi="Times New Roman"/>
          <w:color w:val="000000"/>
        </w:rPr>
        <w:t>(-38</w:t>
      </w:r>
      <w:r>
        <w:rPr>
          <w:rFonts w:ascii="Times New Roman" w:hAnsi="Times New Roman"/>
          <w:color w:val="000000"/>
        </w:rPr>
        <w:t>,</w:t>
      </w:r>
      <w:r w:rsidRPr="005A435B">
        <w:rPr>
          <w:rFonts w:ascii="Times New Roman" w:hAnsi="Times New Roman"/>
          <w:color w:val="000000"/>
        </w:rPr>
        <w:t>7%)</w:t>
      </w:r>
      <w:r>
        <w:rPr>
          <w:rFonts w:ascii="Times New Roman" w:hAnsi="Times New Roman"/>
          <w:color w:val="000000"/>
        </w:rPr>
        <w:t xml:space="preserve"> п</w:t>
      </w:r>
      <w:r w:rsidRPr="0080737A">
        <w:rPr>
          <w:rFonts w:ascii="Times New Roman" w:hAnsi="Times New Roman"/>
          <w:spacing w:val="6"/>
          <w:sz w:val="24"/>
          <w:szCs w:val="24"/>
        </w:rPr>
        <w:t xml:space="preserve">о </w:t>
      </w:r>
      <w:r>
        <w:rPr>
          <w:rFonts w:ascii="Times New Roman" w:hAnsi="Times New Roman"/>
          <w:spacing w:val="6"/>
          <w:sz w:val="24"/>
          <w:szCs w:val="24"/>
        </w:rPr>
        <w:t>всем остальным территориально-административным единицам республики фиксировалась</w:t>
      </w:r>
      <w:r w:rsidRPr="0080737A">
        <w:rPr>
          <w:rFonts w:ascii="Times New Roman" w:hAnsi="Times New Roman"/>
          <w:spacing w:val="6"/>
          <w:sz w:val="24"/>
          <w:szCs w:val="24"/>
        </w:rPr>
        <w:t xml:space="preserve"> </w:t>
      </w:r>
      <w:r>
        <w:rPr>
          <w:rFonts w:ascii="Times New Roman" w:hAnsi="Times New Roman"/>
          <w:spacing w:val="6"/>
          <w:sz w:val="24"/>
          <w:szCs w:val="24"/>
        </w:rPr>
        <w:t>их рост.</w:t>
      </w:r>
      <w:r w:rsidRPr="0080737A">
        <w:rPr>
          <w:rFonts w:ascii="Times New Roman" w:hAnsi="Times New Roman"/>
          <w:spacing w:val="6"/>
          <w:sz w:val="24"/>
          <w:szCs w:val="24"/>
        </w:rPr>
        <w:t xml:space="preserve"> </w:t>
      </w:r>
      <w:r>
        <w:rPr>
          <w:rFonts w:ascii="Times New Roman" w:hAnsi="Times New Roman"/>
          <w:spacing w:val="6"/>
          <w:sz w:val="24"/>
          <w:szCs w:val="24"/>
        </w:rPr>
        <w:t xml:space="preserve">При этом необходимо отметить, что наибольшее увеличение объема выбросов сконцентрировано в </w:t>
      </w:r>
      <w:proofErr w:type="gramStart"/>
      <w:r w:rsidRPr="00BB2013">
        <w:rPr>
          <w:rFonts w:ascii="Times New Roman" w:hAnsi="Times New Roman"/>
          <w:color w:val="000000"/>
        </w:rPr>
        <w:t>г</w:t>
      </w:r>
      <w:proofErr w:type="gramEnd"/>
      <w:r w:rsidRPr="00BB2013">
        <w:rPr>
          <w:rFonts w:ascii="Times New Roman" w:hAnsi="Times New Roman"/>
          <w:color w:val="000000"/>
        </w:rPr>
        <w:t xml:space="preserve">. Рыбница и </w:t>
      </w:r>
      <w:proofErr w:type="spellStart"/>
      <w:r w:rsidRPr="00BB2013">
        <w:rPr>
          <w:rFonts w:ascii="Times New Roman" w:hAnsi="Times New Roman"/>
          <w:color w:val="000000"/>
        </w:rPr>
        <w:t>Рыбницк</w:t>
      </w:r>
      <w:r>
        <w:rPr>
          <w:rFonts w:ascii="Times New Roman" w:hAnsi="Times New Roman"/>
          <w:color w:val="000000"/>
        </w:rPr>
        <w:t>ом</w:t>
      </w:r>
      <w:proofErr w:type="spellEnd"/>
      <w:r w:rsidRPr="00BB2013">
        <w:rPr>
          <w:rFonts w:ascii="Times New Roman" w:hAnsi="Times New Roman"/>
          <w:color w:val="000000"/>
        </w:rPr>
        <w:t xml:space="preserve"> р</w:t>
      </w:r>
      <w:r>
        <w:rPr>
          <w:rFonts w:ascii="Times New Roman" w:hAnsi="Times New Roman"/>
          <w:color w:val="000000"/>
        </w:rPr>
        <w:t xml:space="preserve">айоне </w:t>
      </w:r>
      <w:r>
        <w:rPr>
          <w:rFonts w:ascii="Times New Roman" w:hAnsi="Times New Roman"/>
          <w:spacing w:val="6"/>
          <w:sz w:val="24"/>
          <w:szCs w:val="24"/>
        </w:rPr>
        <w:t>(34,3% всех выбросов от стационарных источников)</w:t>
      </w:r>
      <w:r>
        <w:rPr>
          <w:rFonts w:ascii="Times New Roman" w:hAnsi="Times New Roman"/>
          <w:color w:val="000000"/>
        </w:rPr>
        <w:t>, что объясняется восстановлением и наращиванием производственной деятельности на ЗАО «Молдавский металлургический завод».</w:t>
      </w:r>
    </w:p>
    <w:p w:rsidR="0094333A" w:rsidRPr="0080737A" w:rsidRDefault="0094333A" w:rsidP="0094333A">
      <w:pPr>
        <w:spacing w:after="0" w:line="240" w:lineRule="auto"/>
        <w:ind w:firstLine="709"/>
        <w:jc w:val="both"/>
        <w:rPr>
          <w:rFonts w:ascii="Times New Roman" w:hAnsi="Times New Roman"/>
          <w:spacing w:val="6"/>
          <w:sz w:val="24"/>
          <w:szCs w:val="24"/>
        </w:rPr>
      </w:pPr>
      <w:r>
        <w:rPr>
          <w:rFonts w:ascii="Times New Roman" w:hAnsi="Times New Roman"/>
          <w:spacing w:val="6"/>
          <w:sz w:val="24"/>
          <w:szCs w:val="24"/>
        </w:rPr>
        <w:t>Основное</w:t>
      </w:r>
      <w:r w:rsidRPr="0080737A">
        <w:rPr>
          <w:rFonts w:ascii="Times New Roman" w:hAnsi="Times New Roman"/>
          <w:spacing w:val="6"/>
          <w:sz w:val="24"/>
          <w:szCs w:val="24"/>
        </w:rPr>
        <w:t xml:space="preserve"> </w:t>
      </w:r>
      <w:r>
        <w:rPr>
          <w:rFonts w:ascii="Times New Roman" w:hAnsi="Times New Roman"/>
          <w:spacing w:val="6"/>
          <w:sz w:val="24"/>
          <w:szCs w:val="24"/>
        </w:rPr>
        <w:t>воздействие</w:t>
      </w:r>
      <w:r w:rsidRPr="0080737A">
        <w:rPr>
          <w:rFonts w:ascii="Times New Roman" w:hAnsi="Times New Roman"/>
          <w:spacing w:val="6"/>
          <w:sz w:val="24"/>
          <w:szCs w:val="24"/>
        </w:rPr>
        <w:t xml:space="preserve"> на уровень загрязнения атмосферы городов и район</w:t>
      </w:r>
      <w:r w:rsidR="00A373B1">
        <w:rPr>
          <w:rFonts w:ascii="Times New Roman" w:hAnsi="Times New Roman"/>
          <w:spacing w:val="6"/>
          <w:sz w:val="24"/>
          <w:szCs w:val="24"/>
        </w:rPr>
        <w:t>ов</w:t>
      </w:r>
      <w:r w:rsidRPr="0080737A">
        <w:rPr>
          <w:rFonts w:ascii="Times New Roman" w:hAnsi="Times New Roman"/>
          <w:spacing w:val="6"/>
          <w:sz w:val="24"/>
          <w:szCs w:val="24"/>
        </w:rPr>
        <w:t xml:space="preserve"> республики оказывают выбросы </w:t>
      </w:r>
      <w:r w:rsidRPr="0080737A">
        <w:rPr>
          <w:rFonts w:ascii="Times New Roman" w:hAnsi="Times New Roman"/>
          <w:i/>
          <w:spacing w:val="6"/>
          <w:sz w:val="24"/>
          <w:szCs w:val="24"/>
        </w:rPr>
        <w:t>от передвижных источников (автотранспорта</w:t>
      </w:r>
      <w:r>
        <w:rPr>
          <w:rFonts w:ascii="Times New Roman" w:hAnsi="Times New Roman"/>
          <w:i/>
          <w:spacing w:val="6"/>
          <w:sz w:val="24"/>
          <w:szCs w:val="24"/>
        </w:rPr>
        <w:t>)</w:t>
      </w:r>
      <w:r w:rsidRPr="0080737A">
        <w:rPr>
          <w:rFonts w:ascii="Times New Roman" w:hAnsi="Times New Roman"/>
          <w:spacing w:val="6"/>
          <w:sz w:val="24"/>
          <w:szCs w:val="24"/>
        </w:rPr>
        <w:t xml:space="preserve">. </w:t>
      </w:r>
      <w:r>
        <w:rPr>
          <w:rFonts w:ascii="Times New Roman" w:hAnsi="Times New Roman"/>
          <w:spacing w:val="6"/>
          <w:sz w:val="24"/>
          <w:szCs w:val="24"/>
        </w:rPr>
        <w:t>В</w:t>
      </w:r>
      <w:r w:rsidRPr="0080737A">
        <w:rPr>
          <w:rFonts w:ascii="Times New Roman" w:hAnsi="Times New Roman"/>
          <w:spacing w:val="6"/>
          <w:sz w:val="24"/>
          <w:szCs w:val="24"/>
        </w:rPr>
        <w:t xml:space="preserve"> </w:t>
      </w:r>
      <w:r>
        <w:rPr>
          <w:rFonts w:ascii="Times New Roman" w:hAnsi="Times New Roman"/>
          <w:spacing w:val="6"/>
          <w:sz w:val="24"/>
          <w:szCs w:val="24"/>
        </w:rPr>
        <w:t>январе-декабре 2017 года</w:t>
      </w:r>
      <w:r w:rsidRPr="0080737A">
        <w:rPr>
          <w:rFonts w:ascii="Times New Roman" w:hAnsi="Times New Roman"/>
          <w:spacing w:val="6"/>
          <w:sz w:val="24"/>
          <w:szCs w:val="24"/>
        </w:rPr>
        <w:t xml:space="preserve"> </w:t>
      </w:r>
      <w:r>
        <w:rPr>
          <w:rFonts w:ascii="Times New Roman" w:hAnsi="Times New Roman"/>
          <w:spacing w:val="6"/>
          <w:sz w:val="24"/>
          <w:szCs w:val="24"/>
        </w:rPr>
        <w:t>объем выбросов составил 32 132,3 тонн, что на 1,2</w:t>
      </w:r>
      <w:r w:rsidRPr="0080737A">
        <w:rPr>
          <w:rFonts w:ascii="Times New Roman" w:hAnsi="Times New Roman"/>
          <w:spacing w:val="6"/>
          <w:sz w:val="24"/>
          <w:szCs w:val="24"/>
        </w:rPr>
        <w:t>%</w:t>
      </w:r>
      <w:r>
        <w:rPr>
          <w:rFonts w:ascii="Times New Roman" w:hAnsi="Times New Roman"/>
          <w:spacing w:val="6"/>
          <w:sz w:val="24"/>
          <w:szCs w:val="24"/>
        </w:rPr>
        <w:t xml:space="preserve"> ниже уровня 2016 года.</w:t>
      </w:r>
    </w:p>
    <w:p w:rsidR="0094333A" w:rsidRPr="0080737A" w:rsidRDefault="0094333A" w:rsidP="0094333A">
      <w:pPr>
        <w:spacing w:after="0" w:line="240" w:lineRule="auto"/>
        <w:ind w:firstLine="709"/>
        <w:jc w:val="both"/>
        <w:rPr>
          <w:rFonts w:ascii="Times New Roman" w:hAnsi="Times New Roman"/>
          <w:sz w:val="24"/>
          <w:szCs w:val="24"/>
        </w:rPr>
      </w:pPr>
      <w:r>
        <w:rPr>
          <w:rFonts w:ascii="Times New Roman" w:hAnsi="Times New Roman"/>
          <w:spacing w:val="5"/>
          <w:sz w:val="24"/>
          <w:szCs w:val="24"/>
        </w:rPr>
        <w:t>Понижательные темпы</w:t>
      </w:r>
      <w:r w:rsidRPr="00273C27">
        <w:rPr>
          <w:rFonts w:ascii="Times New Roman" w:hAnsi="Times New Roman"/>
          <w:spacing w:val="5"/>
          <w:sz w:val="24"/>
          <w:szCs w:val="24"/>
        </w:rPr>
        <w:t xml:space="preserve"> </w:t>
      </w:r>
      <w:r>
        <w:rPr>
          <w:rFonts w:ascii="Times New Roman" w:hAnsi="Times New Roman"/>
          <w:spacing w:val="5"/>
          <w:sz w:val="24"/>
          <w:szCs w:val="24"/>
        </w:rPr>
        <w:t xml:space="preserve">обусловлены </w:t>
      </w:r>
      <w:r w:rsidRPr="00273C27">
        <w:rPr>
          <w:rFonts w:ascii="Times New Roman" w:hAnsi="Times New Roman"/>
          <w:spacing w:val="5"/>
          <w:sz w:val="24"/>
          <w:szCs w:val="24"/>
        </w:rPr>
        <w:t>сокращени</w:t>
      </w:r>
      <w:r>
        <w:rPr>
          <w:rFonts w:ascii="Times New Roman" w:hAnsi="Times New Roman"/>
          <w:spacing w:val="5"/>
          <w:sz w:val="24"/>
          <w:szCs w:val="24"/>
        </w:rPr>
        <w:t>ем</w:t>
      </w:r>
      <w:r w:rsidRPr="00273C27">
        <w:rPr>
          <w:rFonts w:ascii="Times New Roman" w:hAnsi="Times New Roman"/>
          <w:spacing w:val="5"/>
          <w:sz w:val="24"/>
          <w:szCs w:val="24"/>
        </w:rPr>
        <w:t xml:space="preserve"> объемов реализации топлива и газа автозаправочными станциями и автомобильными газонаполнительными компрессорными станциями,</w:t>
      </w:r>
      <w:r w:rsidRPr="00273C27">
        <w:rPr>
          <w:rFonts w:ascii="Times New Roman" w:hAnsi="Times New Roman"/>
          <w:sz w:val="24"/>
          <w:szCs w:val="24"/>
        </w:rPr>
        <w:t xml:space="preserve"> </w:t>
      </w:r>
      <w:r>
        <w:rPr>
          <w:rFonts w:ascii="Times New Roman" w:hAnsi="Times New Roman"/>
          <w:sz w:val="24"/>
          <w:szCs w:val="24"/>
        </w:rPr>
        <w:t xml:space="preserve">в связи, с чем </w:t>
      </w:r>
      <w:r w:rsidRPr="00273C27">
        <w:rPr>
          <w:rFonts w:ascii="Times New Roman" w:hAnsi="Times New Roman"/>
          <w:sz w:val="24"/>
          <w:szCs w:val="24"/>
        </w:rPr>
        <w:t xml:space="preserve">по </w:t>
      </w:r>
      <w:r>
        <w:rPr>
          <w:rFonts w:ascii="Times New Roman" w:hAnsi="Times New Roman"/>
          <w:sz w:val="24"/>
          <w:szCs w:val="24"/>
        </w:rPr>
        <w:t>большинству</w:t>
      </w:r>
      <w:r w:rsidRPr="00273C27">
        <w:rPr>
          <w:rFonts w:ascii="Times New Roman" w:hAnsi="Times New Roman"/>
          <w:sz w:val="24"/>
          <w:szCs w:val="24"/>
        </w:rPr>
        <w:t xml:space="preserve"> </w:t>
      </w:r>
      <w:r w:rsidRPr="00273C27">
        <w:rPr>
          <w:rFonts w:ascii="Times New Roman" w:hAnsi="Times New Roman"/>
          <w:spacing w:val="5"/>
          <w:sz w:val="24"/>
          <w:szCs w:val="24"/>
        </w:rPr>
        <w:t>муниципальны</w:t>
      </w:r>
      <w:r>
        <w:rPr>
          <w:rFonts w:ascii="Times New Roman" w:hAnsi="Times New Roman"/>
          <w:spacing w:val="5"/>
          <w:sz w:val="24"/>
          <w:szCs w:val="24"/>
        </w:rPr>
        <w:t>х</w:t>
      </w:r>
      <w:r w:rsidRPr="00273C27">
        <w:rPr>
          <w:rFonts w:ascii="Times New Roman" w:hAnsi="Times New Roman"/>
          <w:spacing w:val="5"/>
          <w:sz w:val="24"/>
          <w:szCs w:val="24"/>
        </w:rPr>
        <w:t xml:space="preserve"> единиц республики зафиксировано снижение уровня выбросов от передвижных источников. Однако </w:t>
      </w:r>
      <w:r w:rsidRPr="00273C27">
        <w:rPr>
          <w:rFonts w:ascii="Times New Roman" w:hAnsi="Times New Roman"/>
          <w:sz w:val="24"/>
          <w:szCs w:val="24"/>
        </w:rPr>
        <w:t xml:space="preserve">за счет увеличения количества транспортных средств, а также ухудшения их общего технического состояния, повышение уровня данных выбросов наблюдается по </w:t>
      </w:r>
      <w:proofErr w:type="gramStart"/>
      <w:r w:rsidRPr="00BB2013">
        <w:rPr>
          <w:rFonts w:ascii="Times New Roman" w:hAnsi="Times New Roman"/>
          <w:color w:val="000000"/>
        </w:rPr>
        <w:t>г</w:t>
      </w:r>
      <w:proofErr w:type="gramEnd"/>
      <w:r w:rsidRPr="00BB2013">
        <w:rPr>
          <w:rFonts w:ascii="Times New Roman" w:hAnsi="Times New Roman"/>
          <w:color w:val="000000"/>
        </w:rPr>
        <w:t>.</w:t>
      </w:r>
      <w:r>
        <w:rPr>
          <w:rFonts w:ascii="Times New Roman" w:hAnsi="Times New Roman"/>
          <w:color w:val="000000"/>
        </w:rPr>
        <w:t> </w:t>
      </w:r>
      <w:r w:rsidRPr="00BB2013">
        <w:rPr>
          <w:rFonts w:ascii="Times New Roman" w:hAnsi="Times New Roman"/>
          <w:color w:val="000000"/>
        </w:rPr>
        <w:t>Тирасполь</w:t>
      </w:r>
      <w:r>
        <w:rPr>
          <w:rFonts w:ascii="Times New Roman" w:hAnsi="Times New Roman"/>
          <w:color w:val="000000"/>
        </w:rPr>
        <w:t xml:space="preserve"> (+2,5%), </w:t>
      </w:r>
      <w:r w:rsidRPr="00BB2013">
        <w:rPr>
          <w:rFonts w:ascii="Times New Roman" w:hAnsi="Times New Roman"/>
          <w:color w:val="000000"/>
        </w:rPr>
        <w:t>г.</w:t>
      </w:r>
      <w:r>
        <w:rPr>
          <w:rFonts w:ascii="Times New Roman" w:hAnsi="Times New Roman"/>
          <w:color w:val="000000"/>
          <w:lang w:val="en-US"/>
        </w:rPr>
        <w:t> </w:t>
      </w:r>
      <w:r w:rsidRPr="00BB2013">
        <w:rPr>
          <w:rFonts w:ascii="Times New Roman" w:hAnsi="Times New Roman"/>
          <w:color w:val="000000"/>
        </w:rPr>
        <w:t>Дубоссары и Дубоссарск</w:t>
      </w:r>
      <w:r>
        <w:rPr>
          <w:rFonts w:ascii="Times New Roman" w:hAnsi="Times New Roman"/>
          <w:color w:val="000000"/>
        </w:rPr>
        <w:t>ому</w:t>
      </w:r>
      <w:r w:rsidRPr="00BB2013">
        <w:rPr>
          <w:rFonts w:ascii="Times New Roman" w:hAnsi="Times New Roman"/>
          <w:color w:val="000000"/>
        </w:rPr>
        <w:t xml:space="preserve"> р</w:t>
      </w:r>
      <w:r>
        <w:rPr>
          <w:rFonts w:ascii="Times New Roman" w:hAnsi="Times New Roman"/>
          <w:color w:val="000000"/>
        </w:rPr>
        <w:t>айо</w:t>
      </w:r>
      <w:r w:rsidRPr="00BB2013">
        <w:rPr>
          <w:rFonts w:ascii="Times New Roman" w:hAnsi="Times New Roman"/>
          <w:color w:val="000000"/>
        </w:rPr>
        <w:t>н</w:t>
      </w:r>
      <w:r w:rsidRPr="005A435B">
        <w:rPr>
          <w:rFonts w:ascii="Times New Roman" w:hAnsi="Times New Roman"/>
          <w:color w:val="000000"/>
        </w:rPr>
        <w:t xml:space="preserve"> (</w:t>
      </w:r>
      <w:r>
        <w:rPr>
          <w:rFonts w:ascii="Times New Roman" w:hAnsi="Times New Roman"/>
          <w:color w:val="000000"/>
        </w:rPr>
        <w:t>+5,8%</w:t>
      </w:r>
      <w:r w:rsidRPr="005A435B">
        <w:rPr>
          <w:rFonts w:ascii="Times New Roman" w:hAnsi="Times New Roman"/>
          <w:color w:val="000000"/>
        </w:rPr>
        <w:t>)</w:t>
      </w:r>
      <w:r>
        <w:rPr>
          <w:rFonts w:ascii="Times New Roman" w:hAnsi="Times New Roman"/>
          <w:color w:val="000000"/>
        </w:rPr>
        <w:t>,</w:t>
      </w:r>
      <w:r w:rsidRPr="005A435B">
        <w:rPr>
          <w:rFonts w:ascii="Times New Roman" w:hAnsi="Times New Roman"/>
          <w:color w:val="000000"/>
        </w:rPr>
        <w:t xml:space="preserve"> </w:t>
      </w:r>
      <w:r w:rsidRPr="00BB2013">
        <w:rPr>
          <w:rFonts w:ascii="Times New Roman" w:hAnsi="Times New Roman"/>
          <w:color w:val="000000"/>
        </w:rPr>
        <w:t>г. Слободзея и Слободзейск</w:t>
      </w:r>
      <w:r>
        <w:rPr>
          <w:rFonts w:ascii="Times New Roman" w:hAnsi="Times New Roman"/>
          <w:color w:val="000000"/>
        </w:rPr>
        <w:t>ому</w:t>
      </w:r>
      <w:r w:rsidRPr="00BB2013">
        <w:rPr>
          <w:rFonts w:ascii="Times New Roman" w:hAnsi="Times New Roman"/>
          <w:color w:val="000000"/>
        </w:rPr>
        <w:t xml:space="preserve"> р</w:t>
      </w:r>
      <w:r>
        <w:rPr>
          <w:rFonts w:ascii="Times New Roman" w:hAnsi="Times New Roman"/>
          <w:color w:val="000000"/>
        </w:rPr>
        <w:t>айон (+1,1%).</w:t>
      </w:r>
    </w:p>
    <w:p w:rsidR="0094333A" w:rsidRDefault="0094333A" w:rsidP="0094333A">
      <w:pPr>
        <w:spacing w:after="0" w:line="240" w:lineRule="auto"/>
        <w:ind w:firstLine="709"/>
        <w:jc w:val="both"/>
        <w:rPr>
          <w:rFonts w:ascii="Times New Roman" w:hAnsi="Times New Roman"/>
          <w:sz w:val="24"/>
          <w:szCs w:val="24"/>
        </w:rPr>
      </w:pPr>
      <w:r w:rsidRPr="000A00E0">
        <w:rPr>
          <w:rFonts w:ascii="Times New Roman" w:hAnsi="Times New Roman"/>
          <w:sz w:val="24"/>
          <w:szCs w:val="24"/>
        </w:rPr>
        <w:t xml:space="preserve">В части реализации государственной политики в </w:t>
      </w:r>
      <w:r w:rsidRPr="00583499">
        <w:rPr>
          <w:rFonts w:ascii="Times New Roman" w:hAnsi="Times New Roman"/>
          <w:b/>
          <w:sz w:val="24"/>
          <w:szCs w:val="24"/>
        </w:rPr>
        <w:t>области охраны, рационального использования, восстановления и охраны водных и рыбных ресурсов республики в</w:t>
      </w:r>
      <w:r w:rsidRPr="0080737A">
        <w:rPr>
          <w:rFonts w:ascii="Times New Roman" w:hAnsi="Times New Roman"/>
          <w:sz w:val="24"/>
          <w:szCs w:val="24"/>
        </w:rPr>
        <w:t xml:space="preserve"> 201</w:t>
      </w:r>
      <w:r>
        <w:rPr>
          <w:rFonts w:ascii="Times New Roman" w:hAnsi="Times New Roman"/>
          <w:sz w:val="24"/>
          <w:szCs w:val="24"/>
        </w:rPr>
        <w:t>7 </w:t>
      </w:r>
      <w:r w:rsidRPr="0080737A">
        <w:rPr>
          <w:rFonts w:ascii="Times New Roman" w:hAnsi="Times New Roman"/>
          <w:sz w:val="24"/>
          <w:szCs w:val="24"/>
        </w:rPr>
        <w:t>год</w:t>
      </w:r>
      <w:r>
        <w:rPr>
          <w:rFonts w:ascii="Times New Roman" w:hAnsi="Times New Roman"/>
          <w:sz w:val="24"/>
          <w:szCs w:val="24"/>
        </w:rPr>
        <w:t xml:space="preserve">у проводилась работа </w:t>
      </w:r>
      <w:proofErr w:type="gramStart"/>
      <w:r>
        <w:rPr>
          <w:rFonts w:ascii="Times New Roman" w:hAnsi="Times New Roman"/>
          <w:sz w:val="24"/>
          <w:szCs w:val="24"/>
        </w:rPr>
        <w:t>по</w:t>
      </w:r>
      <w:proofErr w:type="gramEnd"/>
      <w:r>
        <w:rPr>
          <w:rFonts w:ascii="Times New Roman" w:hAnsi="Times New Roman"/>
          <w:sz w:val="24"/>
          <w:szCs w:val="24"/>
        </w:rPr>
        <w:t>:</w:t>
      </w:r>
    </w:p>
    <w:p w:rsidR="0094333A" w:rsidRPr="00AD5414" w:rsidRDefault="0094333A" w:rsidP="0094333A">
      <w:pPr>
        <w:pStyle w:val="a6"/>
        <w:numPr>
          <w:ilvl w:val="0"/>
          <w:numId w:val="11"/>
        </w:numPr>
        <w:tabs>
          <w:tab w:val="left" w:pos="284"/>
          <w:tab w:val="left" w:pos="993"/>
        </w:tabs>
        <w:spacing w:after="0" w:line="240" w:lineRule="auto"/>
        <w:ind w:left="0" w:firstLine="709"/>
        <w:jc w:val="both"/>
        <w:rPr>
          <w:rFonts w:ascii="Times New Roman" w:hAnsi="Times New Roman"/>
          <w:sz w:val="24"/>
          <w:szCs w:val="24"/>
        </w:rPr>
      </w:pPr>
      <w:r w:rsidRPr="00AD5414">
        <w:rPr>
          <w:rFonts w:ascii="Times New Roman" w:hAnsi="Times New Roman"/>
          <w:sz w:val="24"/>
          <w:szCs w:val="24"/>
        </w:rPr>
        <w:t>установлен</w:t>
      </w:r>
      <w:r>
        <w:rPr>
          <w:rFonts w:ascii="Times New Roman" w:hAnsi="Times New Roman"/>
          <w:sz w:val="24"/>
          <w:szCs w:val="24"/>
        </w:rPr>
        <w:t xml:space="preserve">ию 278 </w:t>
      </w:r>
      <w:r w:rsidRPr="00AD5414">
        <w:rPr>
          <w:rFonts w:ascii="Times New Roman" w:hAnsi="Times New Roman"/>
          <w:sz w:val="24"/>
          <w:szCs w:val="24"/>
        </w:rPr>
        <w:t>лимит</w:t>
      </w:r>
      <w:r>
        <w:rPr>
          <w:rFonts w:ascii="Times New Roman" w:hAnsi="Times New Roman"/>
          <w:sz w:val="24"/>
          <w:szCs w:val="24"/>
        </w:rPr>
        <w:t>ов</w:t>
      </w:r>
      <w:r w:rsidRPr="00AD5414">
        <w:rPr>
          <w:rFonts w:ascii="Times New Roman" w:hAnsi="Times New Roman"/>
          <w:sz w:val="24"/>
          <w:szCs w:val="24"/>
        </w:rPr>
        <w:t xml:space="preserve"> водопользования, а также выда</w:t>
      </w:r>
      <w:r>
        <w:rPr>
          <w:rFonts w:ascii="Times New Roman" w:hAnsi="Times New Roman"/>
          <w:sz w:val="24"/>
          <w:szCs w:val="24"/>
        </w:rPr>
        <w:t xml:space="preserve">че </w:t>
      </w:r>
      <w:r w:rsidRPr="00AD5414">
        <w:rPr>
          <w:rFonts w:ascii="Times New Roman" w:hAnsi="Times New Roman"/>
          <w:sz w:val="24"/>
          <w:szCs w:val="24"/>
        </w:rPr>
        <w:t>разрешений на специальное в</w:t>
      </w:r>
      <w:r>
        <w:rPr>
          <w:rFonts w:ascii="Times New Roman" w:hAnsi="Times New Roman"/>
          <w:sz w:val="24"/>
          <w:szCs w:val="24"/>
        </w:rPr>
        <w:t>одопользование по 72 объектам (</w:t>
      </w:r>
      <w:r w:rsidRPr="00AD5414">
        <w:rPr>
          <w:rFonts w:ascii="Times New Roman" w:hAnsi="Times New Roman"/>
          <w:sz w:val="24"/>
          <w:szCs w:val="24"/>
        </w:rPr>
        <w:t>в 201</w:t>
      </w:r>
      <w:r>
        <w:rPr>
          <w:rFonts w:ascii="Times New Roman" w:hAnsi="Times New Roman"/>
          <w:sz w:val="24"/>
          <w:szCs w:val="24"/>
        </w:rPr>
        <w:t>6</w:t>
      </w:r>
      <w:r w:rsidRPr="00AD5414">
        <w:rPr>
          <w:rFonts w:ascii="Times New Roman" w:hAnsi="Times New Roman"/>
          <w:sz w:val="24"/>
          <w:szCs w:val="24"/>
        </w:rPr>
        <w:t xml:space="preserve"> году 1 </w:t>
      </w:r>
      <w:r>
        <w:rPr>
          <w:rFonts w:ascii="Times New Roman" w:hAnsi="Times New Roman"/>
          <w:sz w:val="24"/>
          <w:szCs w:val="24"/>
        </w:rPr>
        <w:t>082</w:t>
      </w:r>
      <w:r w:rsidRPr="00AD5414">
        <w:rPr>
          <w:rFonts w:ascii="Times New Roman" w:hAnsi="Times New Roman"/>
          <w:sz w:val="24"/>
          <w:szCs w:val="24"/>
        </w:rPr>
        <w:t xml:space="preserve"> и </w:t>
      </w:r>
      <w:r>
        <w:rPr>
          <w:rFonts w:ascii="Times New Roman" w:hAnsi="Times New Roman"/>
          <w:sz w:val="24"/>
          <w:szCs w:val="24"/>
        </w:rPr>
        <w:t>113</w:t>
      </w:r>
      <w:r w:rsidRPr="00AD5414">
        <w:rPr>
          <w:rFonts w:ascii="Times New Roman" w:hAnsi="Times New Roman"/>
          <w:sz w:val="24"/>
          <w:szCs w:val="24"/>
        </w:rPr>
        <w:t xml:space="preserve"> единиц соответственно</w:t>
      </w:r>
      <w:r>
        <w:rPr>
          <w:rFonts w:ascii="Times New Roman" w:hAnsi="Times New Roman"/>
          <w:sz w:val="24"/>
          <w:szCs w:val="24"/>
        </w:rPr>
        <w:t>);</w:t>
      </w:r>
    </w:p>
    <w:p w:rsidR="0094333A" w:rsidRPr="00AD5414" w:rsidRDefault="0094333A" w:rsidP="0094333A">
      <w:pPr>
        <w:pStyle w:val="a6"/>
        <w:numPr>
          <w:ilvl w:val="0"/>
          <w:numId w:val="11"/>
        </w:numPr>
        <w:tabs>
          <w:tab w:val="left" w:pos="0"/>
          <w:tab w:val="left" w:pos="284"/>
          <w:tab w:val="left" w:pos="993"/>
        </w:tabs>
        <w:spacing w:after="0" w:line="240" w:lineRule="auto"/>
        <w:ind w:left="0" w:firstLine="709"/>
        <w:jc w:val="both"/>
        <w:rPr>
          <w:rFonts w:ascii="Times New Roman" w:hAnsi="Times New Roman"/>
          <w:sz w:val="24"/>
          <w:szCs w:val="24"/>
        </w:rPr>
      </w:pPr>
      <w:r w:rsidRPr="00AD5414">
        <w:rPr>
          <w:rFonts w:ascii="Times New Roman" w:hAnsi="Times New Roman"/>
          <w:sz w:val="24"/>
          <w:szCs w:val="24"/>
        </w:rPr>
        <w:lastRenderedPageBreak/>
        <w:t>проведен</w:t>
      </w:r>
      <w:r>
        <w:rPr>
          <w:rFonts w:ascii="Times New Roman" w:hAnsi="Times New Roman"/>
          <w:sz w:val="24"/>
          <w:szCs w:val="24"/>
        </w:rPr>
        <w:t>ию</w:t>
      </w:r>
      <w:r w:rsidRPr="00AD5414">
        <w:rPr>
          <w:rFonts w:ascii="Times New Roman" w:hAnsi="Times New Roman"/>
          <w:sz w:val="24"/>
          <w:szCs w:val="24"/>
        </w:rPr>
        <w:t xml:space="preserve"> государственн</w:t>
      </w:r>
      <w:r>
        <w:rPr>
          <w:rFonts w:ascii="Times New Roman" w:hAnsi="Times New Roman"/>
          <w:sz w:val="24"/>
          <w:szCs w:val="24"/>
        </w:rPr>
        <w:t>ой</w:t>
      </w:r>
      <w:r w:rsidRPr="00AD5414">
        <w:rPr>
          <w:rFonts w:ascii="Times New Roman" w:hAnsi="Times New Roman"/>
          <w:sz w:val="24"/>
          <w:szCs w:val="24"/>
        </w:rPr>
        <w:t xml:space="preserve"> экспертиз</w:t>
      </w:r>
      <w:r>
        <w:rPr>
          <w:rFonts w:ascii="Times New Roman" w:hAnsi="Times New Roman"/>
          <w:sz w:val="24"/>
          <w:szCs w:val="24"/>
        </w:rPr>
        <w:t>ы</w:t>
      </w:r>
      <w:r w:rsidRPr="00AD5414">
        <w:rPr>
          <w:rFonts w:ascii="Times New Roman" w:hAnsi="Times New Roman"/>
          <w:sz w:val="24"/>
          <w:szCs w:val="24"/>
        </w:rPr>
        <w:t xml:space="preserve"> </w:t>
      </w:r>
      <w:proofErr w:type="spellStart"/>
      <w:r w:rsidRPr="00AD5414">
        <w:rPr>
          <w:rFonts w:ascii="Times New Roman" w:hAnsi="Times New Roman"/>
          <w:sz w:val="24"/>
          <w:szCs w:val="24"/>
        </w:rPr>
        <w:t>предпроектной</w:t>
      </w:r>
      <w:proofErr w:type="spellEnd"/>
      <w:r w:rsidRPr="00AD5414">
        <w:rPr>
          <w:rFonts w:ascii="Times New Roman" w:hAnsi="Times New Roman"/>
          <w:sz w:val="24"/>
          <w:szCs w:val="24"/>
        </w:rPr>
        <w:t xml:space="preserve"> и проектной документации на строительство и реконструкцию хозяйственных и других объектов, влияющих на состояние водных объектов по </w:t>
      </w:r>
      <w:r>
        <w:rPr>
          <w:rFonts w:ascii="Times New Roman" w:hAnsi="Times New Roman"/>
          <w:sz w:val="24"/>
          <w:szCs w:val="24"/>
        </w:rPr>
        <w:t>32</w:t>
      </w:r>
      <w:r w:rsidRPr="00AD5414">
        <w:rPr>
          <w:rFonts w:ascii="Times New Roman" w:hAnsi="Times New Roman"/>
          <w:sz w:val="24"/>
          <w:szCs w:val="24"/>
        </w:rPr>
        <w:t xml:space="preserve"> объектам</w:t>
      </w:r>
      <w:r>
        <w:rPr>
          <w:rFonts w:ascii="Times New Roman" w:hAnsi="Times New Roman"/>
          <w:sz w:val="24"/>
          <w:szCs w:val="24"/>
        </w:rPr>
        <w:t xml:space="preserve"> (в 2016 году по 128 объектам)</w:t>
      </w:r>
      <w:r w:rsidRPr="00AD5414">
        <w:rPr>
          <w:rFonts w:ascii="Times New Roman" w:hAnsi="Times New Roman"/>
          <w:sz w:val="24"/>
          <w:szCs w:val="24"/>
        </w:rPr>
        <w:t>;</w:t>
      </w:r>
    </w:p>
    <w:p w:rsidR="0094333A" w:rsidRDefault="0094333A" w:rsidP="0094333A">
      <w:pPr>
        <w:pStyle w:val="a6"/>
        <w:numPr>
          <w:ilvl w:val="0"/>
          <w:numId w:val="11"/>
        </w:numPr>
        <w:tabs>
          <w:tab w:val="left" w:pos="993"/>
        </w:tabs>
        <w:spacing w:after="0" w:line="240" w:lineRule="auto"/>
        <w:ind w:left="0" w:firstLine="709"/>
        <w:jc w:val="both"/>
        <w:rPr>
          <w:rFonts w:ascii="Times New Roman" w:hAnsi="Times New Roman"/>
          <w:sz w:val="24"/>
          <w:szCs w:val="24"/>
        </w:rPr>
      </w:pPr>
      <w:r w:rsidRPr="00AD5414">
        <w:rPr>
          <w:rFonts w:ascii="Times New Roman" w:hAnsi="Times New Roman"/>
          <w:sz w:val="24"/>
          <w:szCs w:val="24"/>
        </w:rPr>
        <w:t>опломбирован</w:t>
      </w:r>
      <w:r>
        <w:rPr>
          <w:rFonts w:ascii="Times New Roman" w:hAnsi="Times New Roman"/>
          <w:sz w:val="24"/>
          <w:szCs w:val="24"/>
        </w:rPr>
        <w:t>ию</w:t>
      </w:r>
      <w:r w:rsidRPr="00AD5414">
        <w:rPr>
          <w:rFonts w:ascii="Times New Roman" w:hAnsi="Times New Roman"/>
          <w:sz w:val="24"/>
          <w:szCs w:val="24"/>
        </w:rPr>
        <w:t xml:space="preserve"> первичных приборов учета забира</w:t>
      </w:r>
      <w:r>
        <w:rPr>
          <w:rFonts w:ascii="Times New Roman" w:hAnsi="Times New Roman"/>
          <w:sz w:val="24"/>
          <w:szCs w:val="24"/>
        </w:rPr>
        <w:t>емой воды водопользователей на 134</w:t>
      </w:r>
      <w:r w:rsidRPr="00AD5414">
        <w:rPr>
          <w:rFonts w:ascii="Times New Roman" w:hAnsi="Times New Roman"/>
          <w:sz w:val="24"/>
          <w:szCs w:val="24"/>
        </w:rPr>
        <w:t xml:space="preserve"> объектах, что </w:t>
      </w:r>
      <w:r>
        <w:rPr>
          <w:rFonts w:ascii="Times New Roman" w:hAnsi="Times New Roman"/>
          <w:sz w:val="24"/>
          <w:szCs w:val="24"/>
        </w:rPr>
        <w:t>на 54 объекта</w:t>
      </w:r>
      <w:r w:rsidRPr="00AD5414">
        <w:rPr>
          <w:rFonts w:ascii="Times New Roman" w:hAnsi="Times New Roman"/>
          <w:sz w:val="24"/>
          <w:szCs w:val="24"/>
        </w:rPr>
        <w:t xml:space="preserve"> больше чем в 201</w:t>
      </w:r>
      <w:r>
        <w:rPr>
          <w:rFonts w:ascii="Times New Roman" w:hAnsi="Times New Roman"/>
          <w:sz w:val="24"/>
          <w:szCs w:val="24"/>
        </w:rPr>
        <w:t>6</w:t>
      </w:r>
      <w:r w:rsidRPr="00AD5414">
        <w:rPr>
          <w:rFonts w:ascii="Times New Roman" w:hAnsi="Times New Roman"/>
          <w:sz w:val="24"/>
          <w:szCs w:val="24"/>
        </w:rPr>
        <w:t xml:space="preserve"> году;</w:t>
      </w:r>
    </w:p>
    <w:p w:rsidR="0094333A" w:rsidRDefault="0094333A" w:rsidP="0094333A">
      <w:pPr>
        <w:pStyle w:val="a6"/>
        <w:numPr>
          <w:ilvl w:val="0"/>
          <w:numId w:val="11"/>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увеличению количества эксплуатируемых артезианских скважин с 560 в 2016 году до 614 в 2017 году, при этом сократилось количество как поверхностных водозаборов до </w:t>
      </w:r>
      <w:r w:rsidR="0084469B">
        <w:rPr>
          <w:rFonts w:ascii="Times New Roman" w:hAnsi="Times New Roman"/>
          <w:sz w:val="24"/>
          <w:szCs w:val="24"/>
        </w:rPr>
        <w:t xml:space="preserve">             </w:t>
      </w:r>
      <w:r>
        <w:rPr>
          <w:rFonts w:ascii="Times New Roman" w:hAnsi="Times New Roman"/>
          <w:sz w:val="24"/>
          <w:szCs w:val="24"/>
        </w:rPr>
        <w:t>36 единиц (-10 ед.), так и шахтных колодцев до 544 единиц (-6 ед.).</w:t>
      </w:r>
    </w:p>
    <w:p w:rsidR="0094333A" w:rsidRPr="0079655B" w:rsidRDefault="0094333A" w:rsidP="0094333A">
      <w:pPr>
        <w:pStyle w:val="a6"/>
        <w:numPr>
          <w:ilvl w:val="0"/>
          <w:numId w:val="11"/>
        </w:numPr>
        <w:tabs>
          <w:tab w:val="left" w:pos="993"/>
        </w:tabs>
        <w:spacing w:after="0" w:line="240" w:lineRule="auto"/>
        <w:ind w:left="0" w:firstLine="709"/>
        <w:jc w:val="both"/>
        <w:rPr>
          <w:rFonts w:ascii="Times New Roman" w:hAnsi="Times New Roman"/>
          <w:sz w:val="24"/>
          <w:szCs w:val="24"/>
        </w:rPr>
      </w:pPr>
      <w:proofErr w:type="gramStart"/>
      <w:r w:rsidRPr="0079655B">
        <w:rPr>
          <w:rFonts w:ascii="Times New Roman" w:hAnsi="Times New Roman"/>
          <w:sz w:val="24"/>
          <w:szCs w:val="24"/>
        </w:rPr>
        <w:t xml:space="preserve">выполнению мероприятий, направленных на сохранение, поддержание и увеличение рыбных запасов, в рамках которых было проведено зарыбление </w:t>
      </w:r>
      <w:proofErr w:type="spellStart"/>
      <w:r w:rsidRPr="0079655B">
        <w:rPr>
          <w:rFonts w:ascii="Times New Roman" w:hAnsi="Times New Roman"/>
          <w:sz w:val="24"/>
          <w:szCs w:val="24"/>
        </w:rPr>
        <w:t>рыбохозяйственных</w:t>
      </w:r>
      <w:proofErr w:type="spellEnd"/>
      <w:r w:rsidRPr="0079655B">
        <w:rPr>
          <w:rFonts w:ascii="Times New Roman" w:hAnsi="Times New Roman"/>
          <w:sz w:val="24"/>
          <w:szCs w:val="24"/>
        </w:rPr>
        <w:t xml:space="preserve"> водоемов</w:t>
      </w:r>
      <w:r>
        <w:rPr>
          <w:rFonts w:ascii="Times New Roman" w:hAnsi="Times New Roman"/>
          <w:sz w:val="24"/>
          <w:szCs w:val="24"/>
        </w:rPr>
        <w:t xml:space="preserve"> республики (</w:t>
      </w:r>
      <w:r w:rsidRPr="007D2B13">
        <w:rPr>
          <w:rFonts w:ascii="Times New Roman" w:hAnsi="Times New Roman"/>
          <w:sz w:val="24"/>
          <w:szCs w:val="24"/>
        </w:rPr>
        <w:t>реки Днестр, проток</w:t>
      </w:r>
      <w:r>
        <w:rPr>
          <w:rFonts w:ascii="Times New Roman" w:hAnsi="Times New Roman"/>
          <w:sz w:val="24"/>
          <w:szCs w:val="24"/>
        </w:rPr>
        <w:t>а</w:t>
      </w:r>
      <w:r w:rsidRPr="007D2B13">
        <w:rPr>
          <w:rFonts w:ascii="Times New Roman" w:hAnsi="Times New Roman"/>
          <w:sz w:val="24"/>
          <w:szCs w:val="24"/>
        </w:rPr>
        <w:t xml:space="preserve"> </w:t>
      </w:r>
      <w:proofErr w:type="spellStart"/>
      <w:r w:rsidRPr="007D2B13">
        <w:rPr>
          <w:rFonts w:ascii="Times New Roman" w:hAnsi="Times New Roman"/>
          <w:sz w:val="24"/>
          <w:szCs w:val="24"/>
        </w:rPr>
        <w:t>Турунчук</w:t>
      </w:r>
      <w:proofErr w:type="spellEnd"/>
      <w:r>
        <w:rPr>
          <w:rFonts w:ascii="Times New Roman" w:hAnsi="Times New Roman"/>
          <w:sz w:val="24"/>
          <w:szCs w:val="24"/>
        </w:rPr>
        <w:t>,</w:t>
      </w:r>
      <w:r w:rsidRPr="007D2B13">
        <w:rPr>
          <w:rFonts w:ascii="Times New Roman" w:hAnsi="Times New Roman"/>
          <w:sz w:val="24"/>
          <w:szCs w:val="24"/>
        </w:rPr>
        <w:t xml:space="preserve"> </w:t>
      </w:r>
      <w:proofErr w:type="spellStart"/>
      <w:r>
        <w:rPr>
          <w:rFonts w:ascii="Times New Roman" w:hAnsi="Times New Roman"/>
          <w:sz w:val="24"/>
          <w:szCs w:val="24"/>
        </w:rPr>
        <w:t>Кучурганского</w:t>
      </w:r>
      <w:proofErr w:type="spellEnd"/>
      <w:r>
        <w:rPr>
          <w:rFonts w:ascii="Times New Roman" w:hAnsi="Times New Roman"/>
          <w:sz w:val="24"/>
          <w:szCs w:val="24"/>
        </w:rPr>
        <w:t xml:space="preserve"> </w:t>
      </w:r>
      <w:r w:rsidRPr="007D2B13">
        <w:rPr>
          <w:rFonts w:ascii="Times New Roman" w:hAnsi="Times New Roman"/>
          <w:sz w:val="24"/>
          <w:szCs w:val="24"/>
        </w:rPr>
        <w:t xml:space="preserve">и </w:t>
      </w:r>
      <w:proofErr w:type="spellStart"/>
      <w:r w:rsidRPr="007D2B13">
        <w:rPr>
          <w:rFonts w:ascii="Times New Roman" w:hAnsi="Times New Roman"/>
          <w:sz w:val="24"/>
          <w:szCs w:val="24"/>
        </w:rPr>
        <w:t>Дубоссарского</w:t>
      </w:r>
      <w:proofErr w:type="spellEnd"/>
      <w:r w:rsidRPr="007D2B13">
        <w:rPr>
          <w:rFonts w:ascii="Times New Roman" w:hAnsi="Times New Roman"/>
          <w:sz w:val="24"/>
          <w:szCs w:val="24"/>
        </w:rPr>
        <w:t xml:space="preserve"> водохранилищ</w:t>
      </w:r>
      <w:r>
        <w:rPr>
          <w:rFonts w:ascii="Times New Roman" w:hAnsi="Times New Roman"/>
          <w:sz w:val="24"/>
          <w:szCs w:val="24"/>
        </w:rPr>
        <w:t>)</w:t>
      </w:r>
      <w:r w:rsidRPr="0079655B">
        <w:rPr>
          <w:rFonts w:ascii="Times New Roman" w:hAnsi="Times New Roman"/>
          <w:sz w:val="24"/>
          <w:szCs w:val="24"/>
        </w:rPr>
        <w:t xml:space="preserve"> разновозрастными группами промысловых видов рыб (белый и пестрый толстолобик, белый амур, карп карась, судак, лещ, тарань (плотва)) общим весом 24 620,2 кг, тогда как в 2016 году их вес составлял 39 280,8 кг;</w:t>
      </w:r>
      <w:proofErr w:type="gramEnd"/>
    </w:p>
    <w:p w:rsidR="0094333A" w:rsidRPr="0080737A" w:rsidRDefault="0094333A" w:rsidP="0094333A">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Pr="00563451">
        <w:rPr>
          <w:rFonts w:ascii="Times New Roman" w:hAnsi="Times New Roman"/>
          <w:sz w:val="24"/>
          <w:szCs w:val="24"/>
        </w:rPr>
        <w:t>201</w:t>
      </w:r>
      <w:r>
        <w:rPr>
          <w:rFonts w:ascii="Times New Roman" w:hAnsi="Times New Roman"/>
          <w:sz w:val="24"/>
          <w:szCs w:val="24"/>
        </w:rPr>
        <w:t>7</w:t>
      </w:r>
      <w:r w:rsidRPr="00563451">
        <w:rPr>
          <w:rFonts w:ascii="Times New Roman" w:hAnsi="Times New Roman"/>
          <w:sz w:val="24"/>
          <w:szCs w:val="24"/>
        </w:rPr>
        <w:t xml:space="preserve"> год</w:t>
      </w:r>
      <w:r>
        <w:rPr>
          <w:rFonts w:ascii="Times New Roman" w:hAnsi="Times New Roman"/>
          <w:sz w:val="24"/>
          <w:szCs w:val="24"/>
        </w:rPr>
        <w:t>у</w:t>
      </w:r>
      <w:r w:rsidRPr="00563451">
        <w:rPr>
          <w:rFonts w:ascii="Times New Roman" w:hAnsi="Times New Roman"/>
          <w:sz w:val="24"/>
          <w:szCs w:val="24"/>
        </w:rPr>
        <w:t xml:space="preserve"> за разрешения в целях осуществления промыслового рыболовства, любительского и спортивного рыболовства с </w:t>
      </w:r>
      <w:proofErr w:type="spellStart"/>
      <w:r w:rsidRPr="00563451">
        <w:rPr>
          <w:rFonts w:ascii="Times New Roman" w:hAnsi="Times New Roman"/>
          <w:sz w:val="24"/>
          <w:szCs w:val="24"/>
        </w:rPr>
        <w:t>плавсредств</w:t>
      </w:r>
      <w:proofErr w:type="spellEnd"/>
      <w:r w:rsidRPr="00563451">
        <w:rPr>
          <w:rFonts w:ascii="Times New Roman" w:hAnsi="Times New Roman"/>
          <w:sz w:val="24"/>
          <w:szCs w:val="24"/>
        </w:rPr>
        <w:t xml:space="preserve"> и подводной охоты в Республиканский целевой бюджетный экологический фонд было перечислено </w:t>
      </w:r>
      <w:r>
        <w:rPr>
          <w:rFonts w:ascii="Times New Roman" w:hAnsi="Times New Roman"/>
          <w:sz w:val="24"/>
          <w:szCs w:val="24"/>
        </w:rPr>
        <w:t>50,5</w:t>
      </w:r>
      <w:r w:rsidRPr="00563451">
        <w:rPr>
          <w:rFonts w:ascii="Times New Roman" w:hAnsi="Times New Roman"/>
          <w:sz w:val="24"/>
          <w:szCs w:val="24"/>
        </w:rPr>
        <w:t xml:space="preserve"> тыс. руб. ПМР, </w:t>
      </w:r>
      <w:r>
        <w:rPr>
          <w:rFonts w:ascii="Times New Roman" w:hAnsi="Times New Roman"/>
          <w:sz w:val="24"/>
          <w:szCs w:val="24"/>
        </w:rPr>
        <w:t>против 262,0 тыс. руб. в прошлом году.</w:t>
      </w:r>
    </w:p>
    <w:p w:rsidR="0094333A" w:rsidRPr="0080737A" w:rsidRDefault="0094333A" w:rsidP="0094333A">
      <w:pPr>
        <w:spacing w:after="0" w:line="240" w:lineRule="auto"/>
        <w:ind w:firstLine="709"/>
        <w:jc w:val="both"/>
        <w:rPr>
          <w:rFonts w:ascii="Times New Roman" w:hAnsi="Times New Roman"/>
          <w:sz w:val="24"/>
          <w:szCs w:val="24"/>
        </w:rPr>
      </w:pPr>
      <w:r w:rsidRPr="00AB0EE8">
        <w:rPr>
          <w:rFonts w:ascii="Times New Roman" w:hAnsi="Times New Roman"/>
          <w:sz w:val="24"/>
          <w:szCs w:val="24"/>
        </w:rPr>
        <w:t>В с</w:t>
      </w:r>
      <w:r>
        <w:rPr>
          <w:rFonts w:ascii="Times New Roman" w:hAnsi="Times New Roman"/>
          <w:sz w:val="24"/>
          <w:szCs w:val="24"/>
        </w:rPr>
        <w:t>фере</w:t>
      </w:r>
      <w:r w:rsidRPr="0080737A">
        <w:rPr>
          <w:rFonts w:ascii="Times New Roman" w:hAnsi="Times New Roman"/>
          <w:sz w:val="24"/>
          <w:szCs w:val="24"/>
        </w:rPr>
        <w:t xml:space="preserve"> </w:t>
      </w:r>
      <w:r w:rsidRPr="0080737A">
        <w:rPr>
          <w:rFonts w:ascii="Times New Roman" w:hAnsi="Times New Roman"/>
          <w:b/>
          <w:sz w:val="24"/>
          <w:szCs w:val="24"/>
        </w:rPr>
        <w:t>охраны и использования лесных ресурсов</w:t>
      </w:r>
      <w:r w:rsidRPr="0080737A">
        <w:rPr>
          <w:rFonts w:ascii="Times New Roman" w:hAnsi="Times New Roman"/>
          <w:sz w:val="24"/>
          <w:szCs w:val="24"/>
        </w:rPr>
        <w:t xml:space="preserve"> в </w:t>
      </w:r>
      <w:r>
        <w:rPr>
          <w:rFonts w:ascii="Times New Roman" w:hAnsi="Times New Roman"/>
          <w:sz w:val="24"/>
          <w:szCs w:val="24"/>
        </w:rPr>
        <w:t>январе-декабре 2017</w:t>
      </w:r>
      <w:r w:rsidRPr="0080737A">
        <w:rPr>
          <w:rFonts w:ascii="Times New Roman" w:hAnsi="Times New Roman"/>
          <w:sz w:val="24"/>
          <w:szCs w:val="24"/>
        </w:rPr>
        <w:t xml:space="preserve"> год</w:t>
      </w:r>
      <w:r>
        <w:rPr>
          <w:rFonts w:ascii="Times New Roman" w:hAnsi="Times New Roman"/>
          <w:sz w:val="24"/>
          <w:szCs w:val="24"/>
        </w:rPr>
        <w:t xml:space="preserve">а осуществлялась работа, </w:t>
      </w:r>
      <w:r w:rsidRPr="0080737A">
        <w:rPr>
          <w:rFonts w:ascii="Times New Roman" w:hAnsi="Times New Roman"/>
          <w:sz w:val="24"/>
          <w:szCs w:val="24"/>
        </w:rPr>
        <w:t>направленн</w:t>
      </w:r>
      <w:r>
        <w:rPr>
          <w:rFonts w:ascii="Times New Roman" w:hAnsi="Times New Roman"/>
          <w:sz w:val="24"/>
          <w:szCs w:val="24"/>
        </w:rPr>
        <w:t>ая</w:t>
      </w:r>
      <w:r w:rsidRPr="0080737A">
        <w:rPr>
          <w:rFonts w:ascii="Times New Roman" w:hAnsi="Times New Roman"/>
          <w:sz w:val="24"/>
          <w:szCs w:val="24"/>
        </w:rPr>
        <w:t xml:space="preserve"> на повышение экологической безопасности региона, увеличение лесистости территории, выращивание высокопродуктивных, экологически устойчивых лесов</w:t>
      </w:r>
      <w:r>
        <w:rPr>
          <w:rFonts w:ascii="Times New Roman" w:hAnsi="Times New Roman"/>
          <w:sz w:val="24"/>
          <w:szCs w:val="24"/>
        </w:rPr>
        <w:t>.</w:t>
      </w:r>
    </w:p>
    <w:p w:rsidR="0094333A" w:rsidRDefault="0094333A" w:rsidP="0094333A">
      <w:pPr>
        <w:spacing w:after="0" w:line="240" w:lineRule="auto"/>
        <w:ind w:firstLine="567"/>
        <w:jc w:val="both"/>
        <w:rPr>
          <w:rFonts w:ascii="Times New Roman" w:hAnsi="Times New Roman"/>
          <w:sz w:val="24"/>
          <w:szCs w:val="24"/>
        </w:rPr>
      </w:pPr>
      <w:r>
        <w:rPr>
          <w:rFonts w:ascii="Times New Roman" w:hAnsi="Times New Roman"/>
          <w:sz w:val="24"/>
          <w:szCs w:val="24"/>
        </w:rPr>
        <w:t>С целью формирования</w:t>
      </w:r>
      <w:r w:rsidRPr="00AB0EE8">
        <w:t xml:space="preserve"> </w:t>
      </w:r>
      <w:r w:rsidRPr="00AB0EE8">
        <w:rPr>
          <w:rFonts w:ascii="Times New Roman" w:hAnsi="Times New Roman"/>
          <w:sz w:val="24"/>
          <w:szCs w:val="24"/>
        </w:rPr>
        <w:t>высокопродуктивных, экологически устойчивых лесов и улучшени</w:t>
      </w:r>
      <w:r>
        <w:rPr>
          <w:rFonts w:ascii="Times New Roman" w:hAnsi="Times New Roman"/>
          <w:sz w:val="24"/>
          <w:szCs w:val="24"/>
        </w:rPr>
        <w:t>я</w:t>
      </w:r>
      <w:r w:rsidRPr="00AB0EE8">
        <w:rPr>
          <w:rFonts w:ascii="Times New Roman" w:hAnsi="Times New Roman"/>
          <w:sz w:val="24"/>
          <w:szCs w:val="24"/>
        </w:rPr>
        <w:t xml:space="preserve"> их санитарного состояния проведены </w:t>
      </w:r>
      <w:r>
        <w:rPr>
          <w:rFonts w:ascii="Times New Roman" w:hAnsi="Times New Roman"/>
          <w:sz w:val="24"/>
          <w:szCs w:val="24"/>
        </w:rPr>
        <w:t xml:space="preserve">рубки </w:t>
      </w:r>
      <w:r w:rsidRPr="0080737A">
        <w:rPr>
          <w:rFonts w:ascii="Times New Roman" w:hAnsi="Times New Roman"/>
          <w:sz w:val="24"/>
          <w:szCs w:val="24"/>
        </w:rPr>
        <w:t xml:space="preserve">ухода за лесом и выборочные санитарные рубки </w:t>
      </w:r>
      <w:r w:rsidRPr="00AB0EE8">
        <w:rPr>
          <w:rFonts w:ascii="Times New Roman" w:hAnsi="Times New Roman"/>
          <w:sz w:val="24"/>
          <w:szCs w:val="24"/>
        </w:rPr>
        <w:t>на площади 510 га с общим объемом выбираемой древесины 6</w:t>
      </w:r>
      <w:r>
        <w:rPr>
          <w:rFonts w:ascii="Times New Roman" w:hAnsi="Times New Roman"/>
          <w:sz w:val="24"/>
          <w:szCs w:val="24"/>
        </w:rPr>
        <w:t> </w:t>
      </w:r>
      <w:r w:rsidRPr="00AB0EE8">
        <w:rPr>
          <w:rFonts w:ascii="Times New Roman" w:hAnsi="Times New Roman"/>
          <w:sz w:val="24"/>
          <w:szCs w:val="24"/>
        </w:rPr>
        <w:t>388 м</w:t>
      </w:r>
      <w:r w:rsidRPr="00AB0EE8">
        <w:rPr>
          <w:rFonts w:ascii="Times New Roman" w:hAnsi="Times New Roman"/>
          <w:sz w:val="24"/>
          <w:szCs w:val="24"/>
          <w:vertAlign w:val="superscript"/>
        </w:rPr>
        <w:t>3</w:t>
      </w:r>
      <w:r w:rsidRPr="00AB0EE8">
        <w:rPr>
          <w:rFonts w:ascii="Times New Roman" w:hAnsi="Times New Roman"/>
          <w:sz w:val="24"/>
          <w:szCs w:val="24"/>
        </w:rPr>
        <w:t xml:space="preserve">, </w:t>
      </w:r>
      <w:r>
        <w:rPr>
          <w:rFonts w:ascii="Times New Roman" w:hAnsi="Times New Roman"/>
          <w:sz w:val="24"/>
          <w:szCs w:val="24"/>
        </w:rPr>
        <w:t>тогда как в минувшем году их площадь составляла 448 га.</w:t>
      </w:r>
    </w:p>
    <w:p w:rsidR="0094333A" w:rsidRPr="0080737A" w:rsidRDefault="0094333A" w:rsidP="0094333A">
      <w:pPr>
        <w:spacing w:after="0" w:line="240" w:lineRule="auto"/>
        <w:ind w:firstLine="709"/>
        <w:jc w:val="both"/>
        <w:rPr>
          <w:rFonts w:ascii="Times New Roman" w:hAnsi="Times New Roman"/>
          <w:sz w:val="24"/>
          <w:szCs w:val="24"/>
        </w:rPr>
      </w:pPr>
      <w:r w:rsidRPr="0080737A">
        <w:rPr>
          <w:rFonts w:ascii="Times New Roman" w:hAnsi="Times New Roman"/>
          <w:sz w:val="24"/>
          <w:szCs w:val="24"/>
        </w:rPr>
        <w:t xml:space="preserve">Сплошные санитарные рубки, </w:t>
      </w:r>
      <w:r>
        <w:rPr>
          <w:rFonts w:ascii="Times New Roman" w:hAnsi="Times New Roman"/>
          <w:sz w:val="24"/>
          <w:szCs w:val="24"/>
        </w:rPr>
        <w:t>цель которых</w:t>
      </w:r>
      <w:r w:rsidRPr="0080737A">
        <w:rPr>
          <w:rFonts w:ascii="Times New Roman" w:hAnsi="Times New Roman"/>
          <w:sz w:val="24"/>
          <w:szCs w:val="24"/>
        </w:rPr>
        <w:t xml:space="preserve"> </w:t>
      </w:r>
      <w:r>
        <w:rPr>
          <w:rFonts w:ascii="Times New Roman" w:hAnsi="Times New Roman"/>
          <w:sz w:val="24"/>
          <w:szCs w:val="24"/>
        </w:rPr>
        <w:t>состоит в</w:t>
      </w:r>
      <w:r w:rsidRPr="0080737A">
        <w:rPr>
          <w:rFonts w:ascii="Times New Roman" w:hAnsi="Times New Roman"/>
          <w:sz w:val="24"/>
          <w:szCs w:val="24"/>
        </w:rPr>
        <w:t xml:space="preserve"> замен</w:t>
      </w:r>
      <w:r>
        <w:rPr>
          <w:rFonts w:ascii="Times New Roman" w:hAnsi="Times New Roman"/>
          <w:sz w:val="24"/>
          <w:szCs w:val="24"/>
        </w:rPr>
        <w:t>е</w:t>
      </w:r>
      <w:r w:rsidRPr="0080737A">
        <w:rPr>
          <w:rFonts w:ascii="Times New Roman" w:hAnsi="Times New Roman"/>
          <w:sz w:val="24"/>
          <w:szCs w:val="24"/>
        </w:rPr>
        <w:t xml:space="preserve"> насаждений, утративших свои экологические функции на биологически устойчивые продуктивные насаждения, проведены на площади </w:t>
      </w:r>
      <w:r>
        <w:rPr>
          <w:rFonts w:ascii="Times New Roman" w:hAnsi="Times New Roman"/>
          <w:sz w:val="24"/>
          <w:szCs w:val="24"/>
        </w:rPr>
        <w:t>72</w:t>
      </w:r>
      <w:r w:rsidRPr="0080737A">
        <w:rPr>
          <w:rFonts w:ascii="Times New Roman" w:hAnsi="Times New Roman"/>
          <w:sz w:val="24"/>
          <w:szCs w:val="24"/>
        </w:rPr>
        <w:t xml:space="preserve"> га</w:t>
      </w:r>
      <w:r>
        <w:rPr>
          <w:rFonts w:ascii="Times New Roman" w:hAnsi="Times New Roman"/>
          <w:sz w:val="24"/>
          <w:szCs w:val="24"/>
        </w:rPr>
        <w:t>, против 48 га в 2017 году</w:t>
      </w:r>
      <w:r w:rsidRPr="0080737A">
        <w:rPr>
          <w:rFonts w:ascii="Times New Roman" w:hAnsi="Times New Roman"/>
          <w:sz w:val="24"/>
          <w:szCs w:val="24"/>
        </w:rPr>
        <w:t>.</w:t>
      </w:r>
    </w:p>
    <w:p w:rsidR="0094333A" w:rsidRPr="001C6366" w:rsidRDefault="0094333A" w:rsidP="0094333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w:t>
      </w:r>
      <w:r w:rsidRPr="0080737A">
        <w:rPr>
          <w:rFonts w:ascii="Times New Roman" w:hAnsi="Times New Roman"/>
          <w:sz w:val="24"/>
          <w:szCs w:val="24"/>
        </w:rPr>
        <w:t xml:space="preserve">осев и посадка леса в </w:t>
      </w:r>
      <w:proofErr w:type="spellStart"/>
      <w:r w:rsidRPr="0080737A">
        <w:rPr>
          <w:rFonts w:ascii="Times New Roman" w:hAnsi="Times New Roman"/>
          <w:sz w:val="24"/>
          <w:szCs w:val="24"/>
        </w:rPr>
        <w:t>Гослесфонде</w:t>
      </w:r>
      <w:proofErr w:type="spellEnd"/>
      <w:r w:rsidRPr="0080737A">
        <w:rPr>
          <w:rFonts w:ascii="Times New Roman" w:hAnsi="Times New Roman"/>
          <w:sz w:val="24"/>
          <w:szCs w:val="24"/>
        </w:rPr>
        <w:t xml:space="preserve"> </w:t>
      </w:r>
      <w:r>
        <w:rPr>
          <w:rFonts w:ascii="Times New Roman" w:hAnsi="Times New Roman"/>
          <w:sz w:val="24"/>
          <w:szCs w:val="24"/>
        </w:rPr>
        <w:t xml:space="preserve">в отчетном периоде </w:t>
      </w:r>
      <w:r w:rsidRPr="0080737A">
        <w:rPr>
          <w:rFonts w:ascii="Times New Roman" w:hAnsi="Times New Roman"/>
          <w:sz w:val="24"/>
          <w:szCs w:val="24"/>
        </w:rPr>
        <w:t>проведен</w:t>
      </w:r>
      <w:r>
        <w:rPr>
          <w:rFonts w:ascii="Times New Roman" w:hAnsi="Times New Roman"/>
          <w:sz w:val="24"/>
          <w:szCs w:val="24"/>
        </w:rPr>
        <w:t>а на площади 131 </w:t>
      </w:r>
      <w:r w:rsidRPr="0080737A">
        <w:rPr>
          <w:rFonts w:ascii="Times New Roman" w:hAnsi="Times New Roman"/>
          <w:sz w:val="24"/>
          <w:szCs w:val="24"/>
        </w:rPr>
        <w:t>га</w:t>
      </w:r>
      <w:r>
        <w:rPr>
          <w:rFonts w:ascii="Times New Roman" w:hAnsi="Times New Roman"/>
          <w:sz w:val="24"/>
          <w:szCs w:val="24"/>
        </w:rPr>
        <w:t>, что на 19 га меньше чем в 2016 году</w:t>
      </w:r>
      <w:r w:rsidRPr="0080737A">
        <w:rPr>
          <w:rFonts w:ascii="Times New Roman" w:hAnsi="Times New Roman"/>
          <w:sz w:val="24"/>
          <w:szCs w:val="24"/>
        </w:rPr>
        <w:t xml:space="preserve">. Дополнение лесных культур прошлых лет проведено на площади </w:t>
      </w:r>
      <w:r>
        <w:rPr>
          <w:rFonts w:ascii="Times New Roman" w:hAnsi="Times New Roman"/>
          <w:sz w:val="24"/>
          <w:szCs w:val="24"/>
        </w:rPr>
        <w:t xml:space="preserve">172 </w:t>
      </w:r>
      <w:r w:rsidRPr="0080737A">
        <w:rPr>
          <w:rFonts w:ascii="Times New Roman" w:hAnsi="Times New Roman"/>
          <w:sz w:val="24"/>
          <w:szCs w:val="24"/>
        </w:rPr>
        <w:t>га</w:t>
      </w:r>
      <w:r>
        <w:rPr>
          <w:rFonts w:ascii="Times New Roman" w:hAnsi="Times New Roman"/>
          <w:sz w:val="24"/>
          <w:szCs w:val="24"/>
        </w:rPr>
        <w:t xml:space="preserve">, тогда как в прошлом году данные вид работ проведен на площади  87 га. </w:t>
      </w:r>
      <w:r w:rsidRPr="00A505BB">
        <w:rPr>
          <w:rFonts w:ascii="Times New Roman" w:hAnsi="Times New Roman"/>
          <w:sz w:val="24"/>
          <w:szCs w:val="24"/>
        </w:rPr>
        <w:t>Уход за лесными культурами</w:t>
      </w:r>
      <w:r w:rsidRPr="0080737A">
        <w:rPr>
          <w:rFonts w:ascii="Times New Roman" w:hAnsi="Times New Roman"/>
          <w:sz w:val="24"/>
          <w:szCs w:val="24"/>
        </w:rPr>
        <w:t xml:space="preserve"> проведен на площади </w:t>
      </w:r>
      <w:r>
        <w:rPr>
          <w:rFonts w:ascii="Times New Roman" w:hAnsi="Times New Roman"/>
          <w:sz w:val="24"/>
          <w:szCs w:val="24"/>
        </w:rPr>
        <w:t xml:space="preserve">1 090 </w:t>
      </w:r>
      <w:r w:rsidRPr="0080737A">
        <w:rPr>
          <w:rFonts w:ascii="Times New Roman" w:hAnsi="Times New Roman"/>
          <w:sz w:val="24"/>
          <w:szCs w:val="24"/>
        </w:rPr>
        <w:t>га</w:t>
      </w:r>
      <w:r>
        <w:rPr>
          <w:rFonts w:ascii="Times New Roman" w:hAnsi="Times New Roman"/>
          <w:sz w:val="24"/>
          <w:szCs w:val="24"/>
        </w:rPr>
        <w:t>, против 1 404 га в 2016 году</w:t>
      </w:r>
      <w:r w:rsidRPr="0080737A">
        <w:rPr>
          <w:rFonts w:ascii="Times New Roman" w:hAnsi="Times New Roman"/>
          <w:sz w:val="24"/>
          <w:szCs w:val="24"/>
        </w:rPr>
        <w:t xml:space="preserve">. </w:t>
      </w:r>
      <w:r>
        <w:rPr>
          <w:rFonts w:ascii="Times New Roman" w:hAnsi="Times New Roman"/>
          <w:sz w:val="24"/>
          <w:szCs w:val="24"/>
        </w:rPr>
        <w:t>Подготовка почвы под посадку, выполнена на площади 213 га, что в 2,0 раза превышает базовый уровень прошлого года.</w:t>
      </w:r>
    </w:p>
    <w:p w:rsidR="0094333A" w:rsidRDefault="0094333A" w:rsidP="0094333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целях</w:t>
      </w:r>
      <w:r w:rsidRPr="0080737A">
        <w:rPr>
          <w:rFonts w:ascii="Times New Roman" w:hAnsi="Times New Roman"/>
          <w:sz w:val="24"/>
          <w:szCs w:val="24"/>
        </w:rPr>
        <w:t xml:space="preserve"> противопожарной безопасности территории </w:t>
      </w:r>
      <w:proofErr w:type="spellStart"/>
      <w:r w:rsidRPr="0080737A">
        <w:rPr>
          <w:rFonts w:ascii="Times New Roman" w:hAnsi="Times New Roman"/>
          <w:sz w:val="24"/>
          <w:szCs w:val="24"/>
        </w:rPr>
        <w:t>Гослесфонда</w:t>
      </w:r>
      <w:proofErr w:type="spellEnd"/>
      <w:r w:rsidRPr="0080737A">
        <w:rPr>
          <w:rFonts w:ascii="Times New Roman" w:hAnsi="Times New Roman"/>
          <w:sz w:val="24"/>
          <w:szCs w:val="24"/>
        </w:rPr>
        <w:t xml:space="preserve"> был осуществлен ремонт дорог противопожарного назначения в объеме </w:t>
      </w:r>
      <w:r>
        <w:rPr>
          <w:rFonts w:ascii="Times New Roman" w:hAnsi="Times New Roman"/>
          <w:sz w:val="24"/>
          <w:szCs w:val="24"/>
        </w:rPr>
        <w:t>12</w:t>
      </w:r>
      <w:r w:rsidRPr="0080737A">
        <w:rPr>
          <w:rFonts w:ascii="Times New Roman" w:hAnsi="Times New Roman"/>
          <w:sz w:val="24"/>
          <w:szCs w:val="24"/>
        </w:rPr>
        <w:t xml:space="preserve"> км (в 201</w:t>
      </w:r>
      <w:r>
        <w:rPr>
          <w:rFonts w:ascii="Times New Roman" w:hAnsi="Times New Roman"/>
          <w:sz w:val="24"/>
          <w:szCs w:val="24"/>
        </w:rPr>
        <w:t>6</w:t>
      </w:r>
      <w:r w:rsidRPr="0080737A">
        <w:rPr>
          <w:rFonts w:ascii="Times New Roman" w:hAnsi="Times New Roman"/>
          <w:sz w:val="24"/>
          <w:szCs w:val="24"/>
        </w:rPr>
        <w:t> год</w:t>
      </w:r>
      <w:r>
        <w:rPr>
          <w:rFonts w:ascii="Times New Roman" w:hAnsi="Times New Roman"/>
          <w:sz w:val="24"/>
          <w:szCs w:val="24"/>
        </w:rPr>
        <w:t>у</w:t>
      </w:r>
      <w:r w:rsidRPr="0080737A">
        <w:rPr>
          <w:rFonts w:ascii="Times New Roman" w:hAnsi="Times New Roman"/>
          <w:sz w:val="24"/>
          <w:szCs w:val="24"/>
        </w:rPr>
        <w:t xml:space="preserve"> – </w:t>
      </w:r>
      <w:r>
        <w:rPr>
          <w:rFonts w:ascii="Times New Roman" w:hAnsi="Times New Roman"/>
          <w:sz w:val="24"/>
          <w:szCs w:val="24"/>
        </w:rPr>
        <w:t>13 </w:t>
      </w:r>
      <w:r w:rsidRPr="0080737A">
        <w:rPr>
          <w:rFonts w:ascii="Times New Roman" w:hAnsi="Times New Roman"/>
          <w:sz w:val="24"/>
          <w:szCs w:val="24"/>
        </w:rPr>
        <w:t>км), показатель по уходу за минерализованными полосами состави</w:t>
      </w:r>
      <w:r>
        <w:rPr>
          <w:rFonts w:ascii="Times New Roman" w:hAnsi="Times New Roman"/>
          <w:sz w:val="24"/>
          <w:szCs w:val="24"/>
        </w:rPr>
        <w:t>л</w:t>
      </w:r>
      <w:r w:rsidRPr="0080737A">
        <w:rPr>
          <w:rFonts w:ascii="Times New Roman" w:hAnsi="Times New Roman"/>
          <w:sz w:val="24"/>
          <w:szCs w:val="24"/>
        </w:rPr>
        <w:t xml:space="preserve"> </w:t>
      </w:r>
      <w:r>
        <w:rPr>
          <w:rFonts w:ascii="Times New Roman" w:hAnsi="Times New Roman"/>
          <w:sz w:val="24"/>
          <w:szCs w:val="24"/>
        </w:rPr>
        <w:t>397 </w:t>
      </w:r>
      <w:r w:rsidRPr="0080737A">
        <w:rPr>
          <w:rFonts w:ascii="Times New Roman" w:hAnsi="Times New Roman"/>
          <w:sz w:val="24"/>
          <w:szCs w:val="24"/>
        </w:rPr>
        <w:t xml:space="preserve">км против </w:t>
      </w:r>
      <w:r>
        <w:rPr>
          <w:rFonts w:ascii="Times New Roman" w:hAnsi="Times New Roman"/>
          <w:sz w:val="24"/>
          <w:szCs w:val="24"/>
        </w:rPr>
        <w:t>312</w:t>
      </w:r>
      <w:r w:rsidRPr="0080737A">
        <w:rPr>
          <w:rFonts w:ascii="Times New Roman" w:hAnsi="Times New Roman"/>
          <w:sz w:val="24"/>
          <w:szCs w:val="24"/>
        </w:rPr>
        <w:t xml:space="preserve"> км в </w:t>
      </w:r>
      <w:r>
        <w:rPr>
          <w:rFonts w:ascii="Times New Roman" w:hAnsi="Times New Roman"/>
          <w:sz w:val="24"/>
          <w:szCs w:val="24"/>
        </w:rPr>
        <w:t>прошлом</w:t>
      </w:r>
      <w:r w:rsidRPr="0080737A">
        <w:rPr>
          <w:rFonts w:ascii="Times New Roman" w:hAnsi="Times New Roman"/>
          <w:sz w:val="24"/>
          <w:szCs w:val="24"/>
        </w:rPr>
        <w:t xml:space="preserve"> год</w:t>
      </w:r>
      <w:r>
        <w:rPr>
          <w:rFonts w:ascii="Times New Roman" w:hAnsi="Times New Roman"/>
          <w:sz w:val="24"/>
          <w:szCs w:val="24"/>
        </w:rPr>
        <w:t>у</w:t>
      </w:r>
      <w:r w:rsidRPr="0080737A">
        <w:rPr>
          <w:rFonts w:ascii="Times New Roman" w:hAnsi="Times New Roman"/>
          <w:sz w:val="24"/>
          <w:szCs w:val="24"/>
        </w:rPr>
        <w:t xml:space="preserve">. </w:t>
      </w:r>
    </w:p>
    <w:p w:rsidR="0094333A" w:rsidRDefault="0094333A" w:rsidP="0094333A">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январе-декабре 2017 года для </w:t>
      </w:r>
      <w:r w:rsidRPr="00004A1E">
        <w:rPr>
          <w:rFonts w:ascii="Times New Roman" w:hAnsi="Times New Roman"/>
          <w:sz w:val="24"/>
          <w:szCs w:val="24"/>
        </w:rPr>
        <w:t xml:space="preserve">увеличения численности </w:t>
      </w:r>
      <w:proofErr w:type="spellStart"/>
      <w:r w:rsidRPr="00004A1E">
        <w:rPr>
          <w:rFonts w:ascii="Times New Roman" w:hAnsi="Times New Roman"/>
          <w:sz w:val="24"/>
          <w:szCs w:val="24"/>
        </w:rPr>
        <w:t>охотфауны</w:t>
      </w:r>
      <w:proofErr w:type="spellEnd"/>
      <w:r w:rsidRPr="00004A1E">
        <w:rPr>
          <w:rFonts w:ascii="Times New Roman" w:hAnsi="Times New Roman"/>
          <w:sz w:val="24"/>
          <w:szCs w:val="24"/>
        </w:rPr>
        <w:t xml:space="preserve"> </w:t>
      </w:r>
      <w:r>
        <w:rPr>
          <w:rFonts w:ascii="Times New Roman" w:hAnsi="Times New Roman"/>
          <w:sz w:val="24"/>
          <w:szCs w:val="24"/>
        </w:rPr>
        <w:t xml:space="preserve">республики, </w:t>
      </w:r>
      <w:r w:rsidRPr="00004A1E">
        <w:rPr>
          <w:rFonts w:ascii="Times New Roman" w:hAnsi="Times New Roman"/>
          <w:sz w:val="24"/>
          <w:szCs w:val="24"/>
        </w:rPr>
        <w:t xml:space="preserve">выполнены биотехнические мероприятия в следующих объемах: </w:t>
      </w:r>
    </w:p>
    <w:p w:rsidR="0094333A" w:rsidRDefault="0094333A" w:rsidP="0094333A">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 xml:space="preserve">закладка кормовых полей – </w:t>
      </w:r>
      <w:r>
        <w:rPr>
          <w:rFonts w:ascii="Times New Roman" w:hAnsi="Times New Roman"/>
          <w:sz w:val="24"/>
          <w:szCs w:val="24"/>
        </w:rPr>
        <w:t>7</w:t>
      </w:r>
      <w:r w:rsidRPr="00004A1E">
        <w:rPr>
          <w:rFonts w:ascii="Times New Roman" w:hAnsi="Times New Roman"/>
          <w:sz w:val="24"/>
          <w:szCs w:val="24"/>
        </w:rPr>
        <w:t xml:space="preserve"> га (</w:t>
      </w:r>
      <w:r>
        <w:rPr>
          <w:rFonts w:ascii="Times New Roman" w:hAnsi="Times New Roman"/>
          <w:sz w:val="24"/>
          <w:szCs w:val="24"/>
        </w:rPr>
        <w:t>+40</w:t>
      </w:r>
      <w:r w:rsidR="00165C23">
        <w:rPr>
          <w:rFonts w:ascii="Times New Roman" w:hAnsi="Times New Roman"/>
          <w:sz w:val="24"/>
          <w:szCs w:val="24"/>
        </w:rPr>
        <w:t>,0</w:t>
      </w:r>
      <w:r>
        <w:rPr>
          <w:rFonts w:ascii="Times New Roman" w:hAnsi="Times New Roman"/>
          <w:sz w:val="24"/>
          <w:szCs w:val="24"/>
        </w:rPr>
        <w:t xml:space="preserve">% к уровню </w:t>
      </w:r>
      <w:r w:rsidRPr="00004A1E">
        <w:rPr>
          <w:rFonts w:ascii="Times New Roman" w:hAnsi="Times New Roman"/>
          <w:sz w:val="24"/>
          <w:szCs w:val="24"/>
        </w:rPr>
        <w:t>201</w:t>
      </w:r>
      <w:r>
        <w:rPr>
          <w:rFonts w:ascii="Times New Roman" w:hAnsi="Times New Roman"/>
          <w:sz w:val="24"/>
          <w:szCs w:val="24"/>
        </w:rPr>
        <w:t>6</w:t>
      </w:r>
      <w:r w:rsidRPr="00004A1E">
        <w:rPr>
          <w:rFonts w:ascii="Times New Roman" w:hAnsi="Times New Roman"/>
          <w:sz w:val="24"/>
          <w:szCs w:val="24"/>
        </w:rPr>
        <w:t xml:space="preserve"> год</w:t>
      </w:r>
      <w:r>
        <w:rPr>
          <w:rFonts w:ascii="Times New Roman" w:hAnsi="Times New Roman"/>
          <w:sz w:val="24"/>
          <w:szCs w:val="24"/>
        </w:rPr>
        <w:t>а</w:t>
      </w:r>
      <w:r w:rsidRPr="00004A1E">
        <w:rPr>
          <w:rFonts w:ascii="Times New Roman" w:hAnsi="Times New Roman"/>
          <w:sz w:val="24"/>
          <w:szCs w:val="24"/>
        </w:rPr>
        <w:t>)</w:t>
      </w:r>
      <w:r>
        <w:rPr>
          <w:rFonts w:ascii="Times New Roman" w:hAnsi="Times New Roman"/>
          <w:sz w:val="24"/>
          <w:szCs w:val="24"/>
        </w:rPr>
        <w:t>;</w:t>
      </w:r>
    </w:p>
    <w:p w:rsidR="0094333A" w:rsidRDefault="0094333A" w:rsidP="0094333A">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 xml:space="preserve">заготовка сена – </w:t>
      </w:r>
      <w:r>
        <w:rPr>
          <w:rFonts w:ascii="Times New Roman" w:hAnsi="Times New Roman"/>
          <w:sz w:val="24"/>
          <w:szCs w:val="24"/>
        </w:rPr>
        <w:t>12,7</w:t>
      </w:r>
      <w:r w:rsidRPr="00004A1E">
        <w:rPr>
          <w:rFonts w:ascii="Times New Roman" w:hAnsi="Times New Roman"/>
          <w:sz w:val="24"/>
          <w:szCs w:val="24"/>
        </w:rPr>
        <w:t xml:space="preserve"> тонн (</w:t>
      </w:r>
      <w:r>
        <w:rPr>
          <w:rFonts w:ascii="Times New Roman" w:hAnsi="Times New Roman"/>
          <w:sz w:val="24"/>
          <w:szCs w:val="24"/>
        </w:rPr>
        <w:t xml:space="preserve">на уровне </w:t>
      </w:r>
      <w:r w:rsidRPr="00004A1E">
        <w:rPr>
          <w:rFonts w:ascii="Times New Roman" w:hAnsi="Times New Roman"/>
          <w:sz w:val="24"/>
          <w:szCs w:val="24"/>
        </w:rPr>
        <w:t>201</w:t>
      </w:r>
      <w:r>
        <w:rPr>
          <w:rFonts w:ascii="Times New Roman" w:hAnsi="Times New Roman"/>
          <w:sz w:val="24"/>
          <w:szCs w:val="24"/>
        </w:rPr>
        <w:t>6</w:t>
      </w:r>
      <w:r w:rsidRPr="00004A1E">
        <w:rPr>
          <w:rFonts w:ascii="Times New Roman" w:hAnsi="Times New Roman"/>
          <w:sz w:val="24"/>
          <w:szCs w:val="24"/>
        </w:rPr>
        <w:t xml:space="preserve"> год</w:t>
      </w:r>
      <w:r>
        <w:rPr>
          <w:rFonts w:ascii="Times New Roman" w:hAnsi="Times New Roman"/>
          <w:sz w:val="24"/>
          <w:szCs w:val="24"/>
        </w:rPr>
        <w:t>а</w:t>
      </w:r>
      <w:r w:rsidRPr="00004A1E">
        <w:rPr>
          <w:rFonts w:ascii="Times New Roman" w:hAnsi="Times New Roman"/>
          <w:sz w:val="24"/>
          <w:szCs w:val="24"/>
        </w:rPr>
        <w:t>)</w:t>
      </w:r>
      <w:r>
        <w:rPr>
          <w:rFonts w:ascii="Times New Roman" w:hAnsi="Times New Roman"/>
          <w:sz w:val="24"/>
          <w:szCs w:val="24"/>
        </w:rPr>
        <w:t>;</w:t>
      </w:r>
    </w:p>
    <w:p w:rsidR="0094333A" w:rsidRDefault="0094333A" w:rsidP="0094333A">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 xml:space="preserve">заготовка </w:t>
      </w:r>
      <w:proofErr w:type="spellStart"/>
      <w:r w:rsidRPr="00004A1E">
        <w:rPr>
          <w:rFonts w:ascii="Times New Roman" w:hAnsi="Times New Roman"/>
          <w:sz w:val="24"/>
          <w:szCs w:val="24"/>
        </w:rPr>
        <w:t>веткорма</w:t>
      </w:r>
      <w:proofErr w:type="spellEnd"/>
      <w:r w:rsidRPr="00004A1E">
        <w:rPr>
          <w:rFonts w:ascii="Times New Roman" w:hAnsi="Times New Roman"/>
          <w:sz w:val="24"/>
          <w:szCs w:val="24"/>
        </w:rPr>
        <w:t xml:space="preserve"> –</w:t>
      </w:r>
      <w:r>
        <w:rPr>
          <w:rFonts w:ascii="Times New Roman" w:hAnsi="Times New Roman"/>
          <w:sz w:val="24"/>
          <w:szCs w:val="24"/>
        </w:rPr>
        <w:t xml:space="preserve"> 11</w:t>
      </w:r>
      <w:r w:rsidRPr="00004A1E">
        <w:rPr>
          <w:rFonts w:ascii="Times New Roman" w:hAnsi="Times New Roman"/>
          <w:sz w:val="24"/>
          <w:szCs w:val="24"/>
        </w:rPr>
        <w:t xml:space="preserve"> т.</w:t>
      </w:r>
      <w:r>
        <w:rPr>
          <w:rFonts w:ascii="Times New Roman" w:hAnsi="Times New Roman"/>
          <w:sz w:val="24"/>
          <w:szCs w:val="24"/>
        </w:rPr>
        <w:t xml:space="preserve"> </w:t>
      </w:r>
      <w:r w:rsidRPr="00004A1E">
        <w:rPr>
          <w:rFonts w:ascii="Times New Roman" w:hAnsi="Times New Roman"/>
          <w:sz w:val="24"/>
          <w:szCs w:val="24"/>
        </w:rPr>
        <w:t>шт.</w:t>
      </w:r>
      <w:r>
        <w:rPr>
          <w:rFonts w:ascii="Times New Roman" w:hAnsi="Times New Roman"/>
          <w:sz w:val="24"/>
          <w:szCs w:val="24"/>
        </w:rPr>
        <w:t xml:space="preserve"> (-15,4% к уровню 2016 года);</w:t>
      </w:r>
    </w:p>
    <w:p w:rsidR="0094333A" w:rsidRDefault="0094333A" w:rsidP="0094333A">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 xml:space="preserve">выкладка </w:t>
      </w:r>
      <w:proofErr w:type="spellStart"/>
      <w:r w:rsidRPr="00004A1E">
        <w:rPr>
          <w:rFonts w:ascii="Times New Roman" w:hAnsi="Times New Roman"/>
          <w:sz w:val="24"/>
          <w:szCs w:val="24"/>
        </w:rPr>
        <w:t>веткорма</w:t>
      </w:r>
      <w:proofErr w:type="spellEnd"/>
      <w:r w:rsidRPr="00004A1E">
        <w:rPr>
          <w:rFonts w:ascii="Times New Roman" w:hAnsi="Times New Roman"/>
          <w:sz w:val="24"/>
          <w:szCs w:val="24"/>
        </w:rPr>
        <w:t xml:space="preserve"> </w:t>
      </w:r>
      <w:r>
        <w:rPr>
          <w:rFonts w:ascii="Times New Roman" w:hAnsi="Times New Roman"/>
          <w:sz w:val="24"/>
          <w:szCs w:val="24"/>
        </w:rPr>
        <w:t>– 15,4</w:t>
      </w:r>
      <w:r w:rsidRPr="00004A1E">
        <w:rPr>
          <w:rFonts w:ascii="Times New Roman" w:hAnsi="Times New Roman"/>
          <w:sz w:val="24"/>
          <w:szCs w:val="24"/>
        </w:rPr>
        <w:t xml:space="preserve"> тыс. шт. (</w:t>
      </w:r>
      <w:r>
        <w:rPr>
          <w:rFonts w:ascii="Times New Roman" w:hAnsi="Times New Roman"/>
          <w:sz w:val="24"/>
          <w:szCs w:val="24"/>
        </w:rPr>
        <w:t xml:space="preserve">+13,2% к уровню </w:t>
      </w:r>
      <w:r w:rsidRPr="00004A1E">
        <w:rPr>
          <w:rFonts w:ascii="Times New Roman" w:hAnsi="Times New Roman"/>
          <w:sz w:val="24"/>
          <w:szCs w:val="24"/>
        </w:rPr>
        <w:t>201</w:t>
      </w:r>
      <w:r>
        <w:rPr>
          <w:rFonts w:ascii="Times New Roman" w:hAnsi="Times New Roman"/>
          <w:sz w:val="24"/>
          <w:szCs w:val="24"/>
        </w:rPr>
        <w:t>6</w:t>
      </w:r>
      <w:r w:rsidRPr="00004A1E">
        <w:rPr>
          <w:rFonts w:ascii="Times New Roman" w:hAnsi="Times New Roman"/>
          <w:sz w:val="24"/>
          <w:szCs w:val="24"/>
        </w:rPr>
        <w:t xml:space="preserve"> год</w:t>
      </w:r>
      <w:r>
        <w:rPr>
          <w:rFonts w:ascii="Times New Roman" w:hAnsi="Times New Roman"/>
          <w:sz w:val="24"/>
          <w:szCs w:val="24"/>
        </w:rPr>
        <w:t>а</w:t>
      </w:r>
      <w:r w:rsidRPr="00004A1E">
        <w:rPr>
          <w:rFonts w:ascii="Times New Roman" w:hAnsi="Times New Roman"/>
          <w:sz w:val="24"/>
          <w:szCs w:val="24"/>
        </w:rPr>
        <w:t>)</w:t>
      </w:r>
      <w:r>
        <w:rPr>
          <w:rFonts w:ascii="Times New Roman" w:hAnsi="Times New Roman"/>
          <w:sz w:val="24"/>
          <w:szCs w:val="24"/>
        </w:rPr>
        <w:t>;</w:t>
      </w:r>
    </w:p>
    <w:p w:rsidR="0094333A" w:rsidRDefault="0094333A" w:rsidP="0094333A">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 xml:space="preserve">выкладка сена </w:t>
      </w:r>
      <w:r>
        <w:rPr>
          <w:rFonts w:ascii="Times New Roman" w:hAnsi="Times New Roman"/>
          <w:sz w:val="24"/>
          <w:szCs w:val="24"/>
        </w:rPr>
        <w:t>– 15,3</w:t>
      </w:r>
      <w:r w:rsidRPr="00004A1E">
        <w:rPr>
          <w:rFonts w:ascii="Times New Roman" w:hAnsi="Times New Roman"/>
          <w:sz w:val="24"/>
          <w:szCs w:val="24"/>
        </w:rPr>
        <w:t xml:space="preserve"> тонн (</w:t>
      </w:r>
      <w:r>
        <w:rPr>
          <w:rFonts w:ascii="Times New Roman" w:hAnsi="Times New Roman"/>
          <w:sz w:val="24"/>
          <w:szCs w:val="24"/>
        </w:rPr>
        <w:t xml:space="preserve">+16,8% к уровню </w:t>
      </w:r>
      <w:r w:rsidRPr="00004A1E">
        <w:rPr>
          <w:rFonts w:ascii="Times New Roman" w:hAnsi="Times New Roman"/>
          <w:sz w:val="24"/>
          <w:szCs w:val="24"/>
        </w:rPr>
        <w:t>201</w:t>
      </w:r>
      <w:r>
        <w:rPr>
          <w:rFonts w:ascii="Times New Roman" w:hAnsi="Times New Roman"/>
          <w:sz w:val="24"/>
          <w:szCs w:val="24"/>
        </w:rPr>
        <w:t>6</w:t>
      </w:r>
      <w:r w:rsidRPr="00004A1E">
        <w:rPr>
          <w:rFonts w:ascii="Times New Roman" w:hAnsi="Times New Roman"/>
          <w:sz w:val="24"/>
          <w:szCs w:val="24"/>
        </w:rPr>
        <w:t xml:space="preserve"> год</w:t>
      </w:r>
      <w:r>
        <w:rPr>
          <w:rFonts w:ascii="Times New Roman" w:hAnsi="Times New Roman"/>
          <w:sz w:val="24"/>
          <w:szCs w:val="24"/>
        </w:rPr>
        <w:t>а</w:t>
      </w:r>
      <w:r w:rsidRPr="00004A1E">
        <w:rPr>
          <w:rFonts w:ascii="Times New Roman" w:hAnsi="Times New Roman"/>
          <w:sz w:val="24"/>
          <w:szCs w:val="24"/>
        </w:rPr>
        <w:t>)</w:t>
      </w:r>
      <w:r>
        <w:rPr>
          <w:rFonts w:ascii="Times New Roman" w:hAnsi="Times New Roman"/>
          <w:sz w:val="24"/>
          <w:szCs w:val="24"/>
        </w:rPr>
        <w:t>;</w:t>
      </w:r>
    </w:p>
    <w:p w:rsidR="0094333A" w:rsidRDefault="0094333A" w:rsidP="0094333A">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04A1E">
        <w:rPr>
          <w:rFonts w:ascii="Times New Roman" w:hAnsi="Times New Roman"/>
          <w:sz w:val="24"/>
          <w:szCs w:val="24"/>
        </w:rPr>
        <w:t>выкладк</w:t>
      </w:r>
      <w:r>
        <w:rPr>
          <w:rFonts w:ascii="Times New Roman" w:hAnsi="Times New Roman"/>
          <w:sz w:val="24"/>
          <w:szCs w:val="24"/>
        </w:rPr>
        <w:t>и</w:t>
      </w:r>
      <w:r w:rsidRPr="00004A1E">
        <w:rPr>
          <w:rFonts w:ascii="Times New Roman" w:hAnsi="Times New Roman"/>
          <w:sz w:val="24"/>
          <w:szCs w:val="24"/>
        </w:rPr>
        <w:t xml:space="preserve"> зерна и </w:t>
      </w:r>
      <w:proofErr w:type="spellStart"/>
      <w:r w:rsidRPr="00004A1E">
        <w:rPr>
          <w:rFonts w:ascii="Times New Roman" w:hAnsi="Times New Roman"/>
          <w:sz w:val="24"/>
          <w:szCs w:val="24"/>
        </w:rPr>
        <w:t>зерноотходов</w:t>
      </w:r>
      <w:proofErr w:type="spellEnd"/>
      <w:r w:rsidRPr="00004A1E">
        <w:rPr>
          <w:rFonts w:ascii="Times New Roman" w:hAnsi="Times New Roman"/>
          <w:sz w:val="24"/>
          <w:szCs w:val="24"/>
        </w:rPr>
        <w:t xml:space="preserve"> в общедоступных </w:t>
      </w:r>
      <w:proofErr w:type="spellStart"/>
      <w:r w:rsidRPr="00004A1E">
        <w:rPr>
          <w:rFonts w:ascii="Times New Roman" w:hAnsi="Times New Roman"/>
          <w:sz w:val="24"/>
          <w:szCs w:val="24"/>
        </w:rPr>
        <w:t>охотугодьях</w:t>
      </w:r>
      <w:proofErr w:type="spellEnd"/>
      <w:r>
        <w:rPr>
          <w:rFonts w:ascii="Times New Roman" w:hAnsi="Times New Roman"/>
          <w:sz w:val="24"/>
          <w:szCs w:val="24"/>
        </w:rPr>
        <w:t xml:space="preserve"> и</w:t>
      </w:r>
      <w:r w:rsidRPr="00004A1E">
        <w:rPr>
          <w:rFonts w:ascii="Times New Roman" w:hAnsi="Times New Roman"/>
          <w:sz w:val="24"/>
          <w:szCs w:val="24"/>
        </w:rPr>
        <w:t xml:space="preserve"> в </w:t>
      </w:r>
      <w:proofErr w:type="spellStart"/>
      <w:r w:rsidRPr="00004A1E">
        <w:rPr>
          <w:rFonts w:ascii="Times New Roman" w:hAnsi="Times New Roman"/>
          <w:sz w:val="24"/>
          <w:szCs w:val="24"/>
        </w:rPr>
        <w:t>Гослесфонде</w:t>
      </w:r>
      <w:proofErr w:type="spellEnd"/>
      <w:r>
        <w:rPr>
          <w:rFonts w:ascii="Times New Roman" w:hAnsi="Times New Roman"/>
          <w:sz w:val="24"/>
          <w:szCs w:val="24"/>
        </w:rPr>
        <w:t xml:space="preserve"> – 5 950</w:t>
      </w:r>
      <w:r w:rsidRPr="00004A1E">
        <w:rPr>
          <w:rFonts w:ascii="Times New Roman" w:hAnsi="Times New Roman"/>
          <w:sz w:val="24"/>
          <w:szCs w:val="24"/>
        </w:rPr>
        <w:t xml:space="preserve"> кг</w:t>
      </w:r>
      <w:r>
        <w:rPr>
          <w:rFonts w:ascii="Times New Roman" w:hAnsi="Times New Roman"/>
          <w:sz w:val="24"/>
          <w:szCs w:val="24"/>
        </w:rPr>
        <w:t>, что на 33,5% ниже уровня 2016 года. Данное снижение объясняется благоприятными условиями для диких животных, а также отсутствием устойчивого снежного покрова в зимний период.</w:t>
      </w:r>
    </w:p>
    <w:p w:rsidR="0094333A" w:rsidRPr="00FF2573" w:rsidRDefault="0094333A" w:rsidP="0094333A">
      <w:pPr>
        <w:spacing w:after="0" w:line="240" w:lineRule="auto"/>
        <w:ind w:firstLine="709"/>
        <w:jc w:val="both"/>
        <w:rPr>
          <w:rFonts w:ascii="Times New Roman" w:hAnsi="Times New Roman"/>
          <w:sz w:val="24"/>
          <w:szCs w:val="24"/>
        </w:rPr>
      </w:pPr>
      <w:r w:rsidRPr="00FF2573">
        <w:rPr>
          <w:rFonts w:ascii="Times New Roman" w:hAnsi="Times New Roman"/>
          <w:b/>
          <w:sz w:val="24"/>
          <w:szCs w:val="24"/>
        </w:rPr>
        <w:t>В</w:t>
      </w:r>
      <w:r w:rsidRPr="00FF2573">
        <w:rPr>
          <w:rFonts w:ascii="Times New Roman" w:hAnsi="Times New Roman"/>
          <w:sz w:val="24"/>
          <w:szCs w:val="24"/>
        </w:rPr>
        <w:t xml:space="preserve"> </w:t>
      </w:r>
      <w:r w:rsidRPr="00FF2573">
        <w:rPr>
          <w:rFonts w:ascii="Times New Roman" w:hAnsi="Times New Roman"/>
          <w:b/>
          <w:sz w:val="24"/>
          <w:szCs w:val="24"/>
        </w:rPr>
        <w:t>сфере геологи</w:t>
      </w:r>
      <w:r>
        <w:rPr>
          <w:rFonts w:ascii="Times New Roman" w:hAnsi="Times New Roman"/>
          <w:b/>
          <w:sz w:val="24"/>
          <w:szCs w:val="24"/>
        </w:rPr>
        <w:t>и и</w:t>
      </w:r>
      <w:r w:rsidRPr="00FF2573">
        <w:rPr>
          <w:rFonts w:ascii="Times New Roman" w:hAnsi="Times New Roman"/>
          <w:b/>
          <w:sz w:val="24"/>
          <w:szCs w:val="24"/>
        </w:rPr>
        <w:t xml:space="preserve"> </w:t>
      </w:r>
      <w:proofErr w:type="spellStart"/>
      <w:r>
        <w:rPr>
          <w:rFonts w:ascii="Times New Roman" w:hAnsi="Times New Roman"/>
          <w:b/>
          <w:sz w:val="24"/>
          <w:szCs w:val="24"/>
        </w:rPr>
        <w:t>недропользования</w:t>
      </w:r>
      <w:proofErr w:type="spellEnd"/>
      <w:r w:rsidRPr="00FF2573">
        <w:rPr>
          <w:rFonts w:ascii="Times New Roman" w:hAnsi="Times New Roman"/>
          <w:sz w:val="24"/>
          <w:szCs w:val="24"/>
        </w:rPr>
        <w:t xml:space="preserve"> осуществлялась деятельность, направленная на обеспечение и реализацию государственной политики по </w:t>
      </w:r>
      <w:r>
        <w:rPr>
          <w:rFonts w:ascii="Times New Roman" w:hAnsi="Times New Roman"/>
          <w:sz w:val="24"/>
          <w:szCs w:val="24"/>
        </w:rPr>
        <w:t xml:space="preserve">геологическому изучению и </w:t>
      </w:r>
      <w:r w:rsidRPr="00FF2573">
        <w:rPr>
          <w:rFonts w:ascii="Times New Roman" w:hAnsi="Times New Roman"/>
          <w:sz w:val="24"/>
          <w:szCs w:val="24"/>
        </w:rPr>
        <w:t>рациональному использованию недр.</w:t>
      </w:r>
    </w:p>
    <w:p w:rsidR="0094333A" w:rsidRDefault="0094333A" w:rsidP="0094333A">
      <w:pPr>
        <w:spacing w:after="0" w:line="240" w:lineRule="auto"/>
        <w:ind w:firstLine="709"/>
        <w:jc w:val="both"/>
        <w:rPr>
          <w:rFonts w:ascii="Times New Roman" w:hAnsi="Times New Roman"/>
          <w:sz w:val="24"/>
          <w:szCs w:val="24"/>
        </w:rPr>
      </w:pPr>
      <w:proofErr w:type="gramStart"/>
      <w:r w:rsidRPr="00ED5967">
        <w:rPr>
          <w:rFonts w:ascii="Times New Roman" w:hAnsi="Times New Roman"/>
          <w:sz w:val="24"/>
          <w:szCs w:val="24"/>
        </w:rPr>
        <w:t>В 2017 году по данным сводного отчетного баланса запасов полезных ископаемых в республике зарегистрировано</w:t>
      </w:r>
      <w:r>
        <w:rPr>
          <w:rFonts w:ascii="Times New Roman" w:hAnsi="Times New Roman"/>
          <w:sz w:val="24"/>
          <w:szCs w:val="24"/>
        </w:rPr>
        <w:t xml:space="preserve"> 87 месторождений, из которых: 11 - пильного известняка, </w:t>
      </w:r>
      <w:r w:rsidR="0084469B">
        <w:rPr>
          <w:rFonts w:ascii="Times New Roman" w:hAnsi="Times New Roman"/>
          <w:sz w:val="24"/>
          <w:szCs w:val="24"/>
        </w:rPr>
        <w:t xml:space="preserve">            </w:t>
      </w:r>
      <w:r>
        <w:rPr>
          <w:rFonts w:ascii="Times New Roman" w:hAnsi="Times New Roman"/>
          <w:sz w:val="24"/>
          <w:szCs w:val="24"/>
        </w:rPr>
        <w:lastRenderedPageBreak/>
        <w:t xml:space="preserve">6 – известняка на бут и щебень, 1 – известняка для сахарного сырья и производства извести, 6 – цементного сырья, 6 – кремнеземистых пород, 41 – песчано-гравийных пород, </w:t>
      </w:r>
      <w:r w:rsidR="0084469B">
        <w:rPr>
          <w:rFonts w:ascii="Times New Roman" w:hAnsi="Times New Roman"/>
          <w:sz w:val="24"/>
          <w:szCs w:val="24"/>
        </w:rPr>
        <w:t xml:space="preserve">                   </w:t>
      </w:r>
      <w:r>
        <w:rPr>
          <w:rFonts w:ascii="Times New Roman" w:hAnsi="Times New Roman"/>
          <w:sz w:val="24"/>
          <w:szCs w:val="24"/>
        </w:rPr>
        <w:t xml:space="preserve">14 – кирпично-черепичного сырья, 1 – стекольных песков, 1 – </w:t>
      </w:r>
      <w:proofErr w:type="spellStart"/>
      <w:r>
        <w:rPr>
          <w:rFonts w:ascii="Times New Roman" w:hAnsi="Times New Roman"/>
          <w:sz w:val="24"/>
          <w:szCs w:val="24"/>
        </w:rPr>
        <w:t>песков-отощителей</w:t>
      </w:r>
      <w:proofErr w:type="spellEnd"/>
      <w:r>
        <w:rPr>
          <w:rFonts w:ascii="Times New Roman" w:hAnsi="Times New Roman"/>
          <w:sz w:val="24"/>
          <w:szCs w:val="24"/>
        </w:rPr>
        <w:t>.</w:t>
      </w:r>
      <w:proofErr w:type="gramEnd"/>
      <w:r>
        <w:rPr>
          <w:rFonts w:ascii="Times New Roman" w:hAnsi="Times New Roman"/>
          <w:sz w:val="24"/>
          <w:szCs w:val="24"/>
        </w:rPr>
        <w:t xml:space="preserve"> По итогам 2017 года в разработку вовлечено 31 месторождение.</w:t>
      </w:r>
    </w:p>
    <w:p w:rsidR="0094333A" w:rsidRDefault="0094333A" w:rsidP="0094333A">
      <w:pPr>
        <w:spacing w:after="0" w:line="240" w:lineRule="auto"/>
        <w:ind w:firstLine="709"/>
        <w:jc w:val="both"/>
        <w:rPr>
          <w:rFonts w:ascii="Times New Roman" w:hAnsi="Times New Roman"/>
          <w:sz w:val="24"/>
          <w:szCs w:val="24"/>
        </w:rPr>
      </w:pPr>
      <w:r>
        <w:rPr>
          <w:rFonts w:ascii="Times New Roman" w:hAnsi="Times New Roman"/>
          <w:sz w:val="24"/>
          <w:szCs w:val="24"/>
        </w:rPr>
        <w:t>На фоне отсутствия рынка сбыта в рассматриваемом периоде зафиксировано снижение объемов добычи цементного сырья и прочих нерудных полезных ископаемых до 689 423,0 т. (-16,1%) и 431 170,2 тыс. м</w:t>
      </w:r>
      <w:r w:rsidRPr="00E105F6">
        <w:rPr>
          <w:rFonts w:ascii="Times New Roman" w:hAnsi="Times New Roman"/>
          <w:sz w:val="24"/>
          <w:szCs w:val="24"/>
          <w:vertAlign w:val="superscript"/>
        </w:rPr>
        <w:t>3</w:t>
      </w:r>
      <w:r>
        <w:rPr>
          <w:rFonts w:ascii="Times New Roman" w:hAnsi="Times New Roman"/>
          <w:sz w:val="24"/>
          <w:szCs w:val="24"/>
        </w:rPr>
        <w:t xml:space="preserve"> (-5,2%) соответственно. Объем добычи минеральной воды также сократился к сопоставимому уровню прошлого года на 12,9%, составив </w:t>
      </w:r>
      <w:r w:rsidR="0084469B">
        <w:rPr>
          <w:rFonts w:ascii="Times New Roman" w:hAnsi="Times New Roman"/>
          <w:sz w:val="24"/>
          <w:szCs w:val="24"/>
        </w:rPr>
        <w:t xml:space="preserve">                           </w:t>
      </w:r>
      <w:r>
        <w:rPr>
          <w:rFonts w:ascii="Times New Roman" w:hAnsi="Times New Roman"/>
          <w:sz w:val="24"/>
          <w:szCs w:val="24"/>
        </w:rPr>
        <w:t>5,4 тыс. м</w:t>
      </w:r>
      <w:r w:rsidRPr="00E105F6">
        <w:rPr>
          <w:rFonts w:ascii="Times New Roman" w:hAnsi="Times New Roman"/>
          <w:sz w:val="24"/>
          <w:szCs w:val="24"/>
          <w:vertAlign w:val="superscript"/>
        </w:rPr>
        <w:t>3</w:t>
      </w:r>
      <w:r w:rsidRPr="00E105F6">
        <w:rPr>
          <w:rFonts w:ascii="Times New Roman" w:hAnsi="Times New Roman"/>
          <w:sz w:val="24"/>
          <w:szCs w:val="24"/>
        </w:rPr>
        <w:t>.</w:t>
      </w:r>
      <w:r>
        <w:rPr>
          <w:rFonts w:ascii="Times New Roman" w:hAnsi="Times New Roman"/>
          <w:sz w:val="24"/>
          <w:szCs w:val="24"/>
        </w:rPr>
        <w:t xml:space="preserve"> </w:t>
      </w:r>
    </w:p>
    <w:p w:rsidR="0094333A" w:rsidRDefault="0094333A" w:rsidP="0094333A">
      <w:pPr>
        <w:spacing w:after="0" w:line="240" w:lineRule="auto"/>
        <w:ind w:firstLine="709"/>
        <w:jc w:val="both"/>
        <w:rPr>
          <w:rFonts w:ascii="Times New Roman" w:hAnsi="Times New Roman"/>
          <w:sz w:val="24"/>
          <w:szCs w:val="24"/>
        </w:rPr>
      </w:pPr>
      <w:r>
        <w:rPr>
          <w:rFonts w:ascii="Times New Roman" w:hAnsi="Times New Roman"/>
          <w:sz w:val="24"/>
          <w:szCs w:val="24"/>
        </w:rPr>
        <w:t>Совокупная величина платежей за пользование недрами в 2017 году сложилась в размере 9 614,7 тыс. руб., превысив уровень 2016 года на 1,2%. Платежи на воспроизводство минерально-сырьевой базы составили 6 042,1 тыс. руб., что на 6,1% больше уровня</w:t>
      </w:r>
      <w:r w:rsidR="0084469B">
        <w:rPr>
          <w:rFonts w:ascii="Times New Roman" w:hAnsi="Times New Roman"/>
          <w:sz w:val="24"/>
          <w:szCs w:val="24"/>
        </w:rPr>
        <w:t xml:space="preserve">                 </w:t>
      </w:r>
      <w:r>
        <w:rPr>
          <w:rFonts w:ascii="Times New Roman" w:hAnsi="Times New Roman"/>
          <w:sz w:val="24"/>
          <w:szCs w:val="24"/>
        </w:rPr>
        <w:t xml:space="preserve"> 2016 года. </w:t>
      </w:r>
    </w:p>
    <w:p w:rsidR="0094333A" w:rsidRPr="008154B0" w:rsidRDefault="0094333A" w:rsidP="0094333A">
      <w:pPr>
        <w:spacing w:after="0" w:line="240" w:lineRule="auto"/>
        <w:ind w:firstLine="709"/>
        <w:jc w:val="both"/>
        <w:rPr>
          <w:rFonts w:ascii="Times New Roman" w:hAnsi="Times New Roman"/>
          <w:sz w:val="24"/>
          <w:szCs w:val="24"/>
        </w:rPr>
      </w:pPr>
      <w:proofErr w:type="gramStart"/>
      <w:r w:rsidRPr="00E31249">
        <w:rPr>
          <w:rFonts w:ascii="Times New Roman" w:hAnsi="Times New Roman"/>
          <w:sz w:val="24"/>
          <w:szCs w:val="24"/>
        </w:rPr>
        <w:t>В рамках реализации Постановления Правительства Приднестровской Молдавской Республики от 12 ноября 2013 года № 273 «Об утверждении Положения о порядке использования строительных материалов (песок, гравий, щебень, ПГС) для выполнения мероприятий по благоустройству сельских населенных пунктов и ремонту дорог, расположенных в сельских населенных пунктах городов и районов, а также обеспечения строительными материалами социально незащищенных категорий граждан сельских (поселковых) населенных пунктов Приднестровской Молдавской</w:t>
      </w:r>
      <w:proofErr w:type="gramEnd"/>
      <w:r w:rsidRPr="00E31249">
        <w:rPr>
          <w:rFonts w:ascii="Times New Roman" w:hAnsi="Times New Roman"/>
          <w:sz w:val="24"/>
          <w:szCs w:val="24"/>
        </w:rPr>
        <w:t xml:space="preserve"> Республики», подготовлены и подписаны 3 Соглашения о безвозмездном отпуске строительных материалов (песок, ПГС) горнодобывающими предприятиями для Государственных администраций Приднестровской Молдавской Республики</w:t>
      </w:r>
      <w:r>
        <w:rPr>
          <w:rFonts w:ascii="Times New Roman" w:hAnsi="Times New Roman"/>
          <w:sz w:val="24"/>
          <w:szCs w:val="24"/>
        </w:rPr>
        <w:t xml:space="preserve"> общим объемом 3 550 м</w:t>
      </w:r>
      <w:r w:rsidRPr="008154B0">
        <w:rPr>
          <w:rFonts w:ascii="Times New Roman" w:hAnsi="Times New Roman"/>
          <w:sz w:val="24"/>
          <w:szCs w:val="24"/>
          <w:vertAlign w:val="superscript"/>
        </w:rPr>
        <w:t>3</w:t>
      </w:r>
      <w:r>
        <w:rPr>
          <w:rFonts w:ascii="Times New Roman" w:hAnsi="Times New Roman"/>
          <w:sz w:val="24"/>
          <w:szCs w:val="24"/>
        </w:rPr>
        <w:t>.</w:t>
      </w:r>
    </w:p>
    <w:p w:rsidR="0094333A" w:rsidRPr="00E31249" w:rsidRDefault="0094333A" w:rsidP="0094333A">
      <w:pPr>
        <w:spacing w:after="0" w:line="240" w:lineRule="auto"/>
        <w:ind w:firstLine="709"/>
        <w:jc w:val="both"/>
        <w:rPr>
          <w:rFonts w:ascii="Times New Roman" w:hAnsi="Times New Roman"/>
          <w:sz w:val="24"/>
          <w:szCs w:val="24"/>
        </w:rPr>
      </w:pPr>
      <w:proofErr w:type="gramStart"/>
      <w:r w:rsidRPr="00E31249">
        <w:rPr>
          <w:rFonts w:ascii="Times New Roman" w:hAnsi="Times New Roman"/>
          <w:sz w:val="24"/>
          <w:szCs w:val="24"/>
        </w:rPr>
        <w:t>В рамках реализации Государственной программы геологического изучения, охраны недр и воспроизводства минерально-сырьевой базы Приднестровской Молдавской Республики на 2017-2019 годы, ГУП «Геологоразведка» выполняются работы по мониторингу современного состояние геологической среды, в частности работы, направленные на изучение режима подземных вод и прогнозирование их уровня на кратко- и долгосрочную перспективу, а также мероприятия по наблюдению за развитием экзогенных процессов (оползневых явлений и процессов</w:t>
      </w:r>
      <w:proofErr w:type="gramEnd"/>
      <w:r w:rsidRPr="00E31249">
        <w:rPr>
          <w:rFonts w:ascii="Times New Roman" w:hAnsi="Times New Roman"/>
          <w:sz w:val="24"/>
          <w:szCs w:val="24"/>
        </w:rPr>
        <w:t xml:space="preserve"> </w:t>
      </w:r>
      <w:proofErr w:type="spellStart"/>
      <w:proofErr w:type="gramStart"/>
      <w:r w:rsidRPr="00E31249">
        <w:rPr>
          <w:rFonts w:ascii="Times New Roman" w:hAnsi="Times New Roman"/>
          <w:sz w:val="24"/>
          <w:szCs w:val="24"/>
        </w:rPr>
        <w:t>оврагообразования</w:t>
      </w:r>
      <w:proofErr w:type="spellEnd"/>
      <w:r w:rsidRPr="00E31249">
        <w:rPr>
          <w:rFonts w:ascii="Times New Roman" w:hAnsi="Times New Roman"/>
          <w:sz w:val="24"/>
          <w:szCs w:val="24"/>
        </w:rPr>
        <w:t>).</w:t>
      </w:r>
      <w:proofErr w:type="gramEnd"/>
    </w:p>
    <w:p w:rsidR="0094333A" w:rsidRDefault="0094333A" w:rsidP="0094333A">
      <w:pPr>
        <w:spacing w:after="0" w:line="240" w:lineRule="auto"/>
        <w:ind w:firstLine="709"/>
        <w:jc w:val="both"/>
      </w:pPr>
      <w:r w:rsidRPr="00E31249">
        <w:rPr>
          <w:rFonts w:ascii="Times New Roman" w:hAnsi="Times New Roman"/>
          <w:sz w:val="24"/>
          <w:szCs w:val="24"/>
        </w:rPr>
        <w:t xml:space="preserve">Для предотвращения загрязнения и истощения водоносных горизонтов и комплексов выполнены работы по ликвидационному тампонажу </w:t>
      </w:r>
      <w:r>
        <w:rPr>
          <w:rFonts w:ascii="Times New Roman" w:hAnsi="Times New Roman"/>
          <w:sz w:val="24"/>
          <w:szCs w:val="24"/>
        </w:rPr>
        <w:t>8</w:t>
      </w:r>
      <w:r w:rsidRPr="00E31249">
        <w:rPr>
          <w:rFonts w:ascii="Times New Roman" w:hAnsi="Times New Roman"/>
          <w:sz w:val="24"/>
          <w:szCs w:val="24"/>
        </w:rPr>
        <w:t xml:space="preserve"> вышедших из строя и неиспользуемых скважин.</w:t>
      </w:r>
    </w:p>
    <w:p w:rsidR="0094333A" w:rsidRDefault="0094333A" w:rsidP="00CE326F">
      <w:pPr>
        <w:spacing w:after="0" w:line="240" w:lineRule="auto"/>
        <w:ind w:firstLine="709"/>
        <w:rPr>
          <w:rFonts w:ascii="Times New Roman" w:hAnsi="Times New Roman"/>
          <w:b/>
          <w:sz w:val="24"/>
          <w:szCs w:val="24"/>
        </w:rPr>
      </w:pPr>
    </w:p>
    <w:p w:rsidR="00146BB8" w:rsidRPr="003F5257" w:rsidRDefault="00146BB8" w:rsidP="006E2BBC">
      <w:pPr>
        <w:spacing w:after="0" w:line="240" w:lineRule="auto"/>
        <w:ind w:firstLine="709"/>
        <w:jc w:val="both"/>
        <w:rPr>
          <w:rFonts w:ascii="Times New Roman" w:hAnsi="Times New Roman"/>
          <w:color w:val="000000"/>
          <w:sz w:val="24"/>
          <w:szCs w:val="24"/>
          <w:shd w:val="clear" w:color="auto" w:fill="FFFFFF"/>
        </w:rPr>
      </w:pPr>
    </w:p>
    <w:p w:rsidR="00335844" w:rsidRPr="0080737A" w:rsidRDefault="00335844" w:rsidP="00335844">
      <w:pPr>
        <w:spacing w:after="0" w:line="240" w:lineRule="auto"/>
        <w:ind w:firstLine="709"/>
        <w:jc w:val="both"/>
        <w:rPr>
          <w:rFonts w:ascii="Times New Roman" w:hAnsi="Times New Roman"/>
          <w:sz w:val="24"/>
          <w:szCs w:val="24"/>
          <w:shd w:val="clear" w:color="auto" w:fill="FFFFFF"/>
        </w:rPr>
      </w:pPr>
    </w:p>
    <w:p w:rsidR="00335844" w:rsidRPr="0080737A" w:rsidRDefault="00335844" w:rsidP="00335844">
      <w:pPr>
        <w:spacing w:after="0" w:line="240" w:lineRule="auto"/>
        <w:jc w:val="both"/>
        <w:rPr>
          <w:rFonts w:ascii="Times New Roman" w:hAnsi="Times New Roman"/>
          <w:sz w:val="24"/>
          <w:szCs w:val="24"/>
        </w:rPr>
        <w:sectPr w:rsidR="00335844" w:rsidRPr="0080737A" w:rsidSect="006E2BBC">
          <w:pgSz w:w="11906" w:h="16838" w:code="9"/>
          <w:pgMar w:top="567" w:right="567" w:bottom="1134" w:left="1701" w:header="709" w:footer="709" w:gutter="0"/>
          <w:cols w:space="708"/>
          <w:titlePg/>
          <w:docGrid w:linePitch="360"/>
        </w:sectPr>
      </w:pPr>
    </w:p>
    <w:tbl>
      <w:tblPr>
        <w:tblpPr w:leftFromText="180" w:rightFromText="180" w:vertAnchor="page" w:horzAnchor="margin" w:tblpXSpec="center" w:tblpY="451"/>
        <w:tblW w:w="9790" w:type="dxa"/>
        <w:tblLayout w:type="fixed"/>
        <w:tblLook w:val="00A0"/>
      </w:tblPr>
      <w:tblGrid>
        <w:gridCol w:w="4219"/>
        <w:gridCol w:w="567"/>
        <w:gridCol w:w="142"/>
        <w:gridCol w:w="709"/>
        <w:gridCol w:w="260"/>
        <w:gridCol w:w="165"/>
        <w:gridCol w:w="236"/>
        <w:gridCol w:w="308"/>
        <w:gridCol w:w="377"/>
        <w:gridCol w:w="213"/>
        <w:gridCol w:w="184"/>
        <w:gridCol w:w="242"/>
        <w:gridCol w:w="844"/>
        <w:gridCol w:w="6"/>
        <w:gridCol w:w="232"/>
        <w:gridCol w:w="760"/>
        <w:gridCol w:w="326"/>
      </w:tblGrid>
      <w:tr w:rsidR="002148BB" w:rsidTr="00A73BD0">
        <w:trPr>
          <w:gridAfter w:val="1"/>
          <w:wAfter w:w="326" w:type="dxa"/>
          <w:trHeight w:val="80"/>
        </w:trPr>
        <w:tc>
          <w:tcPr>
            <w:tcW w:w="4786" w:type="dxa"/>
            <w:gridSpan w:val="2"/>
            <w:tcBorders>
              <w:top w:val="nil"/>
              <w:left w:val="nil"/>
              <w:right w:val="nil"/>
            </w:tcBorders>
            <w:noWrap/>
            <w:vAlign w:val="bottom"/>
          </w:tcPr>
          <w:p w:rsidR="002148BB" w:rsidRDefault="002148BB" w:rsidP="00A73BD0">
            <w:pPr>
              <w:spacing w:after="0" w:line="240" w:lineRule="auto"/>
              <w:ind w:left="-142" w:firstLine="142"/>
              <w:rPr>
                <w:color w:val="000000"/>
              </w:rPr>
            </w:pPr>
          </w:p>
        </w:tc>
        <w:tc>
          <w:tcPr>
            <w:tcW w:w="1276" w:type="dxa"/>
            <w:gridSpan w:val="4"/>
            <w:tcBorders>
              <w:top w:val="nil"/>
              <w:left w:val="nil"/>
              <w:right w:val="nil"/>
            </w:tcBorders>
            <w:noWrap/>
            <w:vAlign w:val="bottom"/>
          </w:tcPr>
          <w:p w:rsidR="002148BB" w:rsidRDefault="002148BB" w:rsidP="00A73BD0">
            <w:pPr>
              <w:spacing w:after="0" w:line="240" w:lineRule="auto"/>
              <w:ind w:left="-142" w:firstLine="142"/>
              <w:rPr>
                <w:color w:val="000000"/>
              </w:rPr>
            </w:pPr>
          </w:p>
        </w:tc>
        <w:tc>
          <w:tcPr>
            <w:tcW w:w="236" w:type="dxa"/>
            <w:tcBorders>
              <w:top w:val="nil"/>
              <w:left w:val="nil"/>
              <w:right w:val="nil"/>
            </w:tcBorders>
            <w:noWrap/>
            <w:vAlign w:val="bottom"/>
          </w:tcPr>
          <w:p w:rsidR="002148BB" w:rsidRDefault="002148BB" w:rsidP="00A73BD0">
            <w:pPr>
              <w:spacing w:after="0" w:line="240" w:lineRule="auto"/>
              <w:ind w:left="-142" w:firstLine="142"/>
              <w:rPr>
                <w:color w:val="000000"/>
              </w:rPr>
            </w:pPr>
          </w:p>
        </w:tc>
        <w:tc>
          <w:tcPr>
            <w:tcW w:w="1082" w:type="dxa"/>
            <w:gridSpan w:val="4"/>
            <w:tcBorders>
              <w:top w:val="nil"/>
              <w:left w:val="nil"/>
              <w:right w:val="nil"/>
            </w:tcBorders>
          </w:tcPr>
          <w:p w:rsidR="002148BB" w:rsidRDefault="002148BB" w:rsidP="00A73BD0">
            <w:pPr>
              <w:spacing w:after="0" w:line="240" w:lineRule="auto"/>
              <w:ind w:left="-142" w:firstLine="142"/>
              <w:rPr>
                <w:color w:val="000000"/>
              </w:rPr>
            </w:pPr>
          </w:p>
        </w:tc>
        <w:tc>
          <w:tcPr>
            <w:tcW w:w="2084" w:type="dxa"/>
            <w:gridSpan w:val="5"/>
            <w:tcBorders>
              <w:top w:val="nil"/>
              <w:left w:val="nil"/>
            </w:tcBorders>
            <w:noWrap/>
            <w:vAlign w:val="bottom"/>
          </w:tcPr>
          <w:p w:rsidR="002148BB" w:rsidRDefault="002148BB" w:rsidP="00A73BD0">
            <w:pPr>
              <w:tabs>
                <w:tab w:val="left" w:pos="7122"/>
              </w:tabs>
              <w:spacing w:after="0" w:line="240" w:lineRule="auto"/>
              <w:ind w:left="-142" w:right="1167" w:firstLine="142"/>
              <w:rPr>
                <w:color w:val="000000"/>
              </w:rPr>
            </w:pPr>
          </w:p>
        </w:tc>
      </w:tr>
      <w:tr w:rsidR="002148BB" w:rsidTr="00A73BD0">
        <w:trPr>
          <w:gridAfter w:val="1"/>
          <w:wAfter w:w="326" w:type="dxa"/>
          <w:trHeight w:val="80"/>
        </w:trPr>
        <w:tc>
          <w:tcPr>
            <w:tcW w:w="9464" w:type="dxa"/>
            <w:gridSpan w:val="16"/>
            <w:tcBorders>
              <w:left w:val="nil"/>
              <w:bottom w:val="single" w:sz="4" w:space="0" w:color="auto"/>
            </w:tcBorders>
            <w:noWrap/>
            <w:vAlign w:val="bottom"/>
          </w:tcPr>
          <w:p w:rsidR="002148BB" w:rsidRDefault="002148BB" w:rsidP="00A73BD0">
            <w:pPr>
              <w:tabs>
                <w:tab w:val="left" w:pos="8931"/>
              </w:tabs>
              <w:spacing w:after="0" w:line="240" w:lineRule="auto"/>
              <w:ind w:left="-142" w:firstLine="142"/>
              <w:jc w:val="right"/>
              <w:rPr>
                <w:rFonts w:ascii="Times New Roman" w:hAnsi="Times New Roman"/>
                <w:b/>
                <w:bCs/>
                <w:color w:val="000000"/>
                <w:sz w:val="24"/>
                <w:szCs w:val="24"/>
              </w:rPr>
            </w:pPr>
            <w:r>
              <w:rPr>
                <w:rFonts w:ascii="Times New Roman" w:hAnsi="Times New Roman"/>
                <w:b/>
                <w:bCs/>
                <w:color w:val="000000"/>
                <w:sz w:val="24"/>
                <w:szCs w:val="24"/>
              </w:rPr>
              <w:t>Приложение №1</w:t>
            </w:r>
          </w:p>
          <w:p w:rsidR="002148BB" w:rsidRDefault="002148BB" w:rsidP="00A73BD0">
            <w:pPr>
              <w:spacing w:after="0" w:line="240" w:lineRule="auto"/>
              <w:ind w:left="-108"/>
              <w:jc w:val="center"/>
              <w:rPr>
                <w:rFonts w:ascii="Times New Roman" w:hAnsi="Times New Roman"/>
                <w:b/>
                <w:bCs/>
                <w:color w:val="000000"/>
                <w:sz w:val="24"/>
                <w:szCs w:val="24"/>
              </w:rPr>
            </w:pPr>
            <w:r>
              <w:rPr>
                <w:rFonts w:ascii="Times New Roman" w:hAnsi="Times New Roman"/>
                <w:b/>
                <w:bCs/>
                <w:color w:val="000000"/>
                <w:sz w:val="24"/>
                <w:szCs w:val="24"/>
              </w:rPr>
              <w:t>Основные макроэкономические показатели</w:t>
            </w:r>
          </w:p>
          <w:p w:rsidR="002148BB" w:rsidRDefault="002148BB" w:rsidP="00A73BD0">
            <w:pPr>
              <w:tabs>
                <w:tab w:val="left" w:pos="8931"/>
              </w:tabs>
              <w:spacing w:after="0" w:line="240" w:lineRule="auto"/>
              <w:ind w:left="-142" w:firstLine="142"/>
              <w:jc w:val="center"/>
              <w:rPr>
                <w:rFonts w:ascii="Times New Roman" w:hAnsi="Times New Roman"/>
                <w:b/>
                <w:bCs/>
                <w:color w:val="000000"/>
                <w:sz w:val="24"/>
                <w:szCs w:val="24"/>
              </w:rPr>
            </w:pPr>
            <w:r>
              <w:rPr>
                <w:rFonts w:ascii="Times New Roman" w:hAnsi="Times New Roman"/>
                <w:b/>
                <w:bCs/>
                <w:color w:val="000000"/>
                <w:sz w:val="24"/>
                <w:szCs w:val="24"/>
              </w:rPr>
              <w:t>Приднестровской Молдавской Республики в 2017году</w:t>
            </w:r>
          </w:p>
          <w:p w:rsidR="002148BB" w:rsidRDefault="002148BB" w:rsidP="00A73BD0">
            <w:pPr>
              <w:spacing w:after="0" w:line="240" w:lineRule="auto"/>
              <w:ind w:left="-142" w:firstLine="142"/>
              <w:jc w:val="right"/>
              <w:rPr>
                <w:color w:val="000000"/>
              </w:rPr>
            </w:pPr>
          </w:p>
        </w:tc>
      </w:tr>
      <w:tr w:rsidR="002148BB" w:rsidTr="00A73BD0">
        <w:trPr>
          <w:gridAfter w:val="1"/>
          <w:wAfter w:w="326" w:type="dxa"/>
          <w:trHeight w:val="878"/>
        </w:trPr>
        <w:tc>
          <w:tcPr>
            <w:tcW w:w="4786" w:type="dxa"/>
            <w:gridSpan w:val="2"/>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Показатели</w:t>
            </w:r>
          </w:p>
        </w:tc>
        <w:tc>
          <w:tcPr>
            <w:tcW w:w="1276" w:type="dxa"/>
            <w:gridSpan w:val="4"/>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 xml:space="preserve">Ед. </w:t>
            </w:r>
            <w:proofErr w:type="spellStart"/>
            <w:r>
              <w:rPr>
                <w:rFonts w:ascii="Times New Roman" w:hAnsi="Times New Roman"/>
                <w:b/>
                <w:bCs/>
                <w:color w:val="000000"/>
                <w:sz w:val="20"/>
                <w:szCs w:val="20"/>
              </w:rPr>
              <w:t>изм</w:t>
            </w:r>
            <w:proofErr w:type="spellEnd"/>
            <w:r>
              <w:rPr>
                <w:rFonts w:ascii="Times New Roman" w:hAnsi="Times New Roman"/>
                <w:b/>
                <w:bCs/>
                <w:color w:val="000000"/>
                <w:sz w:val="20"/>
                <w:szCs w:val="20"/>
              </w:rPr>
              <w:t>.</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tabs>
                <w:tab w:val="left" w:pos="918"/>
              </w:tabs>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Факт</w:t>
            </w:r>
          </w:p>
          <w:p w:rsidR="002148BB" w:rsidRDefault="002148BB" w:rsidP="00A73BD0">
            <w:pPr>
              <w:tabs>
                <w:tab w:val="left" w:pos="918"/>
              </w:tabs>
              <w:spacing w:after="0" w:line="240" w:lineRule="auto"/>
              <w:ind w:left="-142" w:firstLine="34"/>
              <w:jc w:val="center"/>
              <w:rPr>
                <w:rFonts w:ascii="Times New Roman" w:hAnsi="Times New Roman"/>
                <w:b/>
                <w:bCs/>
                <w:color w:val="000000"/>
                <w:sz w:val="20"/>
                <w:szCs w:val="20"/>
              </w:rPr>
            </w:pPr>
            <w:r>
              <w:rPr>
                <w:rFonts w:ascii="Times New Roman" w:hAnsi="Times New Roman"/>
                <w:b/>
                <w:bCs/>
                <w:color w:val="000000"/>
                <w:sz w:val="20"/>
                <w:szCs w:val="20"/>
              </w:rPr>
              <w:t>2016 г.</w:t>
            </w:r>
          </w:p>
        </w:tc>
        <w:tc>
          <w:tcPr>
            <w:tcW w:w="1276" w:type="dxa"/>
            <w:gridSpan w:val="4"/>
            <w:tcBorders>
              <w:top w:val="single" w:sz="4" w:space="0" w:color="auto"/>
              <w:left w:val="single" w:sz="4" w:space="0" w:color="auto"/>
              <w:bottom w:val="single" w:sz="4" w:space="0" w:color="auto"/>
              <w:right w:val="single" w:sz="4" w:space="0" w:color="auto"/>
            </w:tcBorders>
            <w:vAlign w:val="center"/>
            <w:hideMark/>
          </w:tcPr>
          <w:p w:rsidR="002148BB" w:rsidRPr="00027C08" w:rsidRDefault="002148BB" w:rsidP="00A73BD0">
            <w:pPr>
              <w:spacing w:after="0" w:line="240" w:lineRule="auto"/>
              <w:ind w:left="-142" w:firstLine="34"/>
              <w:jc w:val="center"/>
              <w:rPr>
                <w:rFonts w:ascii="Times New Roman" w:hAnsi="Times New Roman"/>
                <w:b/>
                <w:bCs/>
                <w:color w:val="000000"/>
                <w:sz w:val="20"/>
                <w:szCs w:val="20"/>
              </w:rPr>
            </w:pPr>
            <w:r w:rsidRPr="00027C08">
              <w:rPr>
                <w:rFonts w:ascii="Times New Roman" w:hAnsi="Times New Roman"/>
                <w:b/>
                <w:bCs/>
                <w:color w:val="000000"/>
                <w:sz w:val="20"/>
                <w:szCs w:val="20"/>
              </w:rPr>
              <w:t>Факт</w:t>
            </w:r>
          </w:p>
          <w:p w:rsidR="002148BB" w:rsidRPr="00027C08" w:rsidRDefault="002148BB" w:rsidP="00A73BD0">
            <w:pPr>
              <w:spacing w:after="0" w:line="240" w:lineRule="auto"/>
              <w:ind w:left="-142" w:firstLine="34"/>
              <w:jc w:val="center"/>
              <w:rPr>
                <w:rFonts w:ascii="Times New Roman" w:hAnsi="Times New Roman"/>
                <w:b/>
                <w:bCs/>
                <w:color w:val="000000"/>
                <w:sz w:val="20"/>
                <w:szCs w:val="20"/>
              </w:rPr>
            </w:pPr>
            <w:r w:rsidRPr="00027C08">
              <w:rPr>
                <w:rFonts w:ascii="Times New Roman" w:hAnsi="Times New Roman"/>
                <w:b/>
                <w:bCs/>
                <w:color w:val="000000"/>
                <w:sz w:val="20"/>
                <w:szCs w:val="20"/>
              </w:rPr>
              <w:t>2017 г.</w:t>
            </w:r>
          </w:p>
        </w:tc>
        <w:tc>
          <w:tcPr>
            <w:tcW w:w="992" w:type="dxa"/>
            <w:gridSpan w:val="2"/>
            <w:tcBorders>
              <w:top w:val="single" w:sz="4" w:space="0" w:color="auto"/>
              <w:left w:val="single" w:sz="4" w:space="0" w:color="auto"/>
              <w:bottom w:val="single" w:sz="4" w:space="0" w:color="auto"/>
              <w:right w:val="single" w:sz="4" w:space="0" w:color="auto"/>
            </w:tcBorders>
          </w:tcPr>
          <w:p w:rsidR="002148BB" w:rsidRPr="00027C08" w:rsidRDefault="002148BB" w:rsidP="00A73BD0">
            <w:pPr>
              <w:spacing w:after="0" w:line="240" w:lineRule="auto"/>
              <w:ind w:left="-108" w:right="-108"/>
              <w:jc w:val="center"/>
              <w:rPr>
                <w:rFonts w:ascii="Times New Roman" w:hAnsi="Times New Roman"/>
                <w:b/>
                <w:bCs/>
                <w:color w:val="000000"/>
                <w:sz w:val="20"/>
                <w:szCs w:val="20"/>
              </w:rPr>
            </w:pPr>
            <w:r w:rsidRPr="00027C08">
              <w:rPr>
                <w:rFonts w:ascii="Times New Roman" w:hAnsi="Times New Roman"/>
                <w:b/>
                <w:bCs/>
                <w:color w:val="000000"/>
                <w:sz w:val="20"/>
                <w:szCs w:val="20"/>
              </w:rPr>
              <w:t>Темп роста* 2017 г. к 2016 г., %</w:t>
            </w:r>
          </w:p>
        </w:tc>
      </w:tr>
      <w:tr w:rsidR="002148BB" w:rsidTr="00A73BD0">
        <w:trPr>
          <w:gridAfter w:val="1"/>
          <w:wAfter w:w="326" w:type="dxa"/>
          <w:trHeight w:val="97"/>
        </w:trPr>
        <w:tc>
          <w:tcPr>
            <w:tcW w:w="4786" w:type="dxa"/>
            <w:gridSpan w:val="2"/>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34"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Pr="00027C08"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148BB" w:rsidRPr="00027C08"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5</w:t>
            </w:r>
          </w:p>
        </w:tc>
      </w:tr>
      <w:tr w:rsidR="002148BB" w:rsidRPr="002361A2" w:rsidTr="00A73BD0">
        <w:trPr>
          <w:gridAfter w:val="1"/>
          <w:wAfter w:w="326" w:type="dxa"/>
          <w:trHeight w:val="225"/>
        </w:trPr>
        <w:tc>
          <w:tcPr>
            <w:tcW w:w="478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Валовой внутренний продукт</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11 464,6</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46970" w:rsidRDefault="002148BB" w:rsidP="00A73BD0">
            <w:pPr>
              <w:spacing w:after="0" w:line="240" w:lineRule="auto"/>
              <w:ind w:left="-142" w:firstLine="142"/>
              <w:jc w:val="right"/>
              <w:rPr>
                <w:rFonts w:ascii="Times New Roman" w:hAnsi="Times New Roman"/>
                <w:color w:val="000000"/>
                <w:sz w:val="20"/>
                <w:szCs w:val="20"/>
              </w:rPr>
            </w:pPr>
            <w:r w:rsidRPr="00446970">
              <w:rPr>
                <w:rFonts w:ascii="Times New Roman" w:hAnsi="Times New Roman"/>
                <w:color w:val="000000"/>
                <w:sz w:val="20"/>
                <w:szCs w:val="20"/>
              </w:rPr>
              <w:t>12 298,8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46970" w:rsidRDefault="002148BB" w:rsidP="00A73BD0">
            <w:pPr>
              <w:spacing w:after="0" w:line="240" w:lineRule="auto"/>
              <w:ind w:left="-142" w:firstLine="142"/>
              <w:jc w:val="right"/>
              <w:rPr>
                <w:rFonts w:ascii="Times New Roman" w:hAnsi="Times New Roman"/>
                <w:color w:val="000000"/>
                <w:sz w:val="20"/>
                <w:szCs w:val="20"/>
              </w:rPr>
            </w:pPr>
            <w:r w:rsidRPr="00446970">
              <w:rPr>
                <w:rFonts w:ascii="Times New Roman" w:hAnsi="Times New Roman"/>
                <w:color w:val="000000"/>
                <w:sz w:val="20"/>
                <w:szCs w:val="20"/>
              </w:rPr>
              <w:t>107,7</w:t>
            </w:r>
          </w:p>
        </w:tc>
      </w:tr>
      <w:tr w:rsidR="002148BB" w:rsidRPr="002361A2" w:rsidTr="00A73BD0">
        <w:trPr>
          <w:gridAfter w:val="1"/>
          <w:wAfter w:w="326" w:type="dxa"/>
          <w:trHeight w:val="272"/>
        </w:trPr>
        <w:tc>
          <w:tcPr>
            <w:tcW w:w="478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Валовой внутренний продукт</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1 018,3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46970" w:rsidRDefault="002148BB" w:rsidP="00A73BD0">
            <w:pPr>
              <w:spacing w:after="0" w:line="240" w:lineRule="auto"/>
              <w:ind w:left="-142" w:firstLine="142"/>
              <w:jc w:val="right"/>
              <w:rPr>
                <w:rFonts w:ascii="Times New Roman" w:hAnsi="Times New Roman"/>
                <w:color w:val="000000"/>
                <w:sz w:val="20"/>
                <w:szCs w:val="20"/>
              </w:rPr>
            </w:pPr>
            <w:r w:rsidRPr="00446970">
              <w:rPr>
                <w:rFonts w:ascii="Times New Roman" w:hAnsi="Times New Roman"/>
                <w:color w:val="000000"/>
                <w:sz w:val="20"/>
                <w:szCs w:val="20"/>
              </w:rPr>
              <w:t>919,2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46970" w:rsidRDefault="002148BB" w:rsidP="00A73BD0">
            <w:pPr>
              <w:spacing w:after="0" w:line="240" w:lineRule="auto"/>
              <w:ind w:left="-142" w:firstLine="142"/>
              <w:jc w:val="right"/>
              <w:rPr>
                <w:rFonts w:ascii="Times New Roman" w:hAnsi="Times New Roman"/>
                <w:color w:val="000000"/>
                <w:sz w:val="20"/>
                <w:szCs w:val="20"/>
              </w:rPr>
            </w:pPr>
            <w:r w:rsidRPr="00446970">
              <w:rPr>
                <w:rFonts w:ascii="Times New Roman" w:hAnsi="Times New Roman"/>
                <w:color w:val="000000"/>
                <w:sz w:val="20"/>
                <w:szCs w:val="20"/>
              </w:rPr>
              <w:t>90,6</w:t>
            </w:r>
          </w:p>
        </w:tc>
      </w:tr>
      <w:tr w:rsidR="002148BB" w:rsidRPr="002361A2" w:rsidTr="00A73BD0">
        <w:trPr>
          <w:gridAfter w:val="1"/>
          <w:wAfter w:w="326" w:type="dxa"/>
          <w:trHeight w:val="40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промышленного производства (оценка)</w:t>
            </w:r>
            <w:r>
              <w:rPr>
                <w:rFonts w:ascii="Times New Roman" w:hAnsi="Times New Roman"/>
                <w:color w:val="000000"/>
                <w:sz w:val="20"/>
                <w:szCs w:val="20"/>
                <w:vertAlign w:val="superscript"/>
              </w:rPr>
              <w:t>1</w:t>
            </w:r>
            <w:r>
              <w:rPr>
                <w:rFonts w:ascii="Times New Roman" w:hAnsi="Times New Roman"/>
                <w:color w:val="000000"/>
                <w:sz w:val="20"/>
                <w:szCs w:val="20"/>
              </w:rPr>
              <w:t xml:space="preserve"> (в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8 573,3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446970">
              <w:rPr>
                <w:rFonts w:ascii="Times New Roman" w:hAnsi="Times New Roman"/>
                <w:color w:val="000000"/>
                <w:sz w:val="20"/>
                <w:szCs w:val="20"/>
              </w:rPr>
              <w:t>10</w:t>
            </w:r>
            <w:r>
              <w:rPr>
                <w:rFonts w:ascii="Times New Roman" w:hAnsi="Times New Roman"/>
                <w:color w:val="000000"/>
                <w:sz w:val="20"/>
                <w:szCs w:val="20"/>
              </w:rPr>
              <w:t> </w:t>
            </w:r>
            <w:r w:rsidRPr="00446970">
              <w:rPr>
                <w:rFonts w:ascii="Times New Roman" w:hAnsi="Times New Roman"/>
                <w:color w:val="000000"/>
                <w:sz w:val="20"/>
                <w:szCs w:val="20"/>
              </w:rPr>
              <w:t>582</w:t>
            </w:r>
            <w:r>
              <w:rPr>
                <w:rFonts w:ascii="Times New Roman" w:hAnsi="Times New Roman"/>
                <w:color w:val="000000"/>
                <w:sz w:val="20"/>
                <w:szCs w:val="20"/>
              </w:rPr>
              <w:t>,</w:t>
            </w:r>
            <w:r w:rsidRPr="00446970">
              <w:rPr>
                <w:rFonts w:ascii="Times New Roman" w:hAnsi="Times New Roman"/>
                <w:color w:val="000000"/>
                <w:sz w:val="20"/>
                <w:szCs w:val="20"/>
              </w:rPr>
              <w:t>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446970">
              <w:rPr>
                <w:rFonts w:ascii="Times New Roman" w:hAnsi="Times New Roman"/>
                <w:color w:val="000000"/>
                <w:sz w:val="20"/>
                <w:szCs w:val="20"/>
              </w:rPr>
              <w:t>123,6</w:t>
            </w:r>
          </w:p>
        </w:tc>
      </w:tr>
      <w:tr w:rsidR="002148BB" w:rsidRPr="002361A2" w:rsidTr="00A73BD0">
        <w:trPr>
          <w:gridAfter w:val="1"/>
          <w:wAfter w:w="326" w:type="dxa"/>
          <w:trHeight w:val="35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том числе по предприятия промышленности (в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8 047,6</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sz w:val="20"/>
                <w:szCs w:val="20"/>
                <w:highlight w:val="yellow"/>
              </w:rPr>
            </w:pPr>
            <w:r w:rsidRPr="00446970">
              <w:rPr>
                <w:rFonts w:ascii="Times New Roman" w:hAnsi="Times New Roman"/>
                <w:sz w:val="20"/>
                <w:szCs w:val="20"/>
              </w:rPr>
              <w:t>9</w:t>
            </w:r>
            <w:r>
              <w:rPr>
                <w:rFonts w:ascii="Times New Roman" w:hAnsi="Times New Roman"/>
                <w:sz w:val="20"/>
                <w:szCs w:val="20"/>
              </w:rPr>
              <w:t> </w:t>
            </w:r>
            <w:r w:rsidRPr="00446970">
              <w:rPr>
                <w:rFonts w:ascii="Times New Roman" w:hAnsi="Times New Roman"/>
                <w:sz w:val="20"/>
                <w:szCs w:val="20"/>
              </w:rPr>
              <w:t>971</w:t>
            </w:r>
            <w:r>
              <w:rPr>
                <w:rFonts w:ascii="Times New Roman" w:hAnsi="Times New Roman"/>
                <w:sz w:val="20"/>
                <w:szCs w:val="20"/>
              </w:rPr>
              <w:t>,</w:t>
            </w:r>
            <w:r w:rsidRPr="00446970">
              <w:rPr>
                <w:rFonts w:ascii="Times New Roman" w:hAnsi="Times New Roman"/>
                <w:sz w:val="20"/>
                <w:szCs w:val="20"/>
              </w:rPr>
              <w:t>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sz w:val="20"/>
                <w:szCs w:val="20"/>
                <w:highlight w:val="yellow"/>
              </w:rPr>
            </w:pPr>
            <w:r>
              <w:rPr>
                <w:rFonts w:ascii="Times New Roman" w:hAnsi="Times New Roman"/>
                <w:sz w:val="20"/>
                <w:szCs w:val="20"/>
              </w:rPr>
              <w:t>123</w:t>
            </w:r>
            <w:r w:rsidRPr="00446970">
              <w:rPr>
                <w:rFonts w:ascii="Times New Roman" w:hAnsi="Times New Roman"/>
                <w:sz w:val="20"/>
                <w:szCs w:val="20"/>
              </w:rPr>
              <w:t>,</w:t>
            </w:r>
            <w:r>
              <w:rPr>
                <w:rFonts w:ascii="Times New Roman" w:hAnsi="Times New Roman"/>
                <w:sz w:val="20"/>
                <w:szCs w:val="20"/>
              </w:rPr>
              <w:t>6</w:t>
            </w:r>
          </w:p>
        </w:tc>
      </w:tr>
      <w:tr w:rsidR="002148BB" w:rsidRPr="002361A2" w:rsidTr="00A73BD0">
        <w:trPr>
          <w:gridAfter w:val="1"/>
          <w:wAfter w:w="326" w:type="dxa"/>
          <w:trHeight w:val="324"/>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Объем промышленного производства по полному кругу предприятий </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761,5</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46970" w:rsidRDefault="002148BB" w:rsidP="00A73BD0">
            <w:pPr>
              <w:spacing w:after="0" w:line="240" w:lineRule="auto"/>
              <w:ind w:left="-142" w:firstLine="142"/>
              <w:jc w:val="right"/>
              <w:rPr>
                <w:rFonts w:ascii="Times New Roman" w:hAnsi="Times New Roman"/>
                <w:color w:val="000000"/>
                <w:sz w:val="20"/>
                <w:szCs w:val="20"/>
              </w:rPr>
            </w:pPr>
            <w:r w:rsidRPr="00446970">
              <w:rPr>
                <w:rFonts w:ascii="Times New Roman" w:hAnsi="Times New Roman"/>
                <w:color w:val="000000"/>
                <w:sz w:val="20"/>
                <w:szCs w:val="20"/>
              </w:rPr>
              <w:t>790,9</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46970" w:rsidRDefault="002148BB" w:rsidP="00A73BD0">
            <w:pPr>
              <w:spacing w:after="0" w:line="240" w:lineRule="auto"/>
              <w:ind w:left="-142" w:firstLine="142"/>
              <w:jc w:val="right"/>
              <w:rPr>
                <w:rFonts w:ascii="Times New Roman" w:hAnsi="Times New Roman"/>
                <w:color w:val="000000"/>
                <w:sz w:val="20"/>
                <w:szCs w:val="20"/>
              </w:rPr>
            </w:pPr>
            <w:r w:rsidRPr="00446970">
              <w:rPr>
                <w:rFonts w:ascii="Times New Roman" w:hAnsi="Times New Roman"/>
                <w:color w:val="000000"/>
                <w:sz w:val="20"/>
                <w:szCs w:val="20"/>
              </w:rPr>
              <w:t>104,0</w:t>
            </w:r>
          </w:p>
        </w:tc>
      </w:tr>
      <w:tr w:rsidR="002148BB" w:rsidRPr="002361A2" w:rsidTr="00A73BD0">
        <w:trPr>
          <w:gridAfter w:val="1"/>
          <w:wAfter w:w="326" w:type="dxa"/>
          <w:trHeight w:val="274"/>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в том числе по предприятия промышленности </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714,8</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46970" w:rsidRDefault="002148BB" w:rsidP="00A73BD0">
            <w:pPr>
              <w:spacing w:after="0" w:line="240" w:lineRule="auto"/>
              <w:ind w:left="-142" w:firstLine="142"/>
              <w:jc w:val="right"/>
              <w:rPr>
                <w:rFonts w:ascii="Times New Roman" w:hAnsi="Times New Roman"/>
                <w:color w:val="000000"/>
                <w:sz w:val="20"/>
                <w:szCs w:val="20"/>
              </w:rPr>
            </w:pPr>
            <w:r w:rsidRPr="00446970">
              <w:rPr>
                <w:rFonts w:ascii="Times New Roman" w:hAnsi="Times New Roman"/>
                <w:color w:val="000000"/>
                <w:sz w:val="20"/>
                <w:szCs w:val="20"/>
              </w:rPr>
              <w:t>74</w:t>
            </w:r>
            <w:r>
              <w:rPr>
                <w:rFonts w:ascii="Times New Roman" w:hAnsi="Times New Roman"/>
                <w:color w:val="000000"/>
                <w:sz w:val="20"/>
                <w:szCs w:val="20"/>
              </w:rPr>
              <w:t>6</w:t>
            </w:r>
            <w:r w:rsidRPr="00446970">
              <w:rPr>
                <w:rFonts w:ascii="Times New Roman" w:hAnsi="Times New Roman"/>
                <w:color w:val="000000"/>
                <w:sz w:val="20"/>
                <w:szCs w:val="20"/>
              </w:rPr>
              <w:t>,</w:t>
            </w:r>
            <w:r>
              <w:rPr>
                <w:rFonts w:ascii="Times New Roman" w:hAnsi="Times New Roman"/>
                <w:color w:val="000000"/>
                <w:sz w:val="20"/>
                <w:szCs w:val="20"/>
              </w:rPr>
              <w:t>9</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46970"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104,3</w:t>
            </w:r>
          </w:p>
        </w:tc>
      </w:tr>
      <w:tr w:rsidR="002148BB" w:rsidRPr="002361A2" w:rsidTr="00A73BD0">
        <w:trPr>
          <w:gridAfter w:val="1"/>
          <w:wAfter w:w="326" w:type="dxa"/>
          <w:trHeight w:val="41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vertAlign w:val="superscript"/>
              </w:rPr>
            </w:pPr>
            <w:r>
              <w:rPr>
                <w:rFonts w:ascii="Times New Roman" w:hAnsi="Times New Roman"/>
                <w:color w:val="000000"/>
                <w:sz w:val="20"/>
                <w:szCs w:val="20"/>
              </w:rPr>
              <w:t>Объем сельскохозяйственного производства (в текущих ценах)</w:t>
            </w:r>
            <w:r>
              <w:rPr>
                <w:rFonts w:ascii="Times New Roman" w:hAnsi="Times New Roman"/>
                <w:color w:val="000000"/>
                <w:sz w:val="20"/>
                <w:szCs w:val="20"/>
                <w:vertAlign w:val="superscript"/>
              </w:rPr>
              <w:t>2</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2 209,1</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446970">
              <w:rPr>
                <w:rFonts w:ascii="Times New Roman" w:hAnsi="Times New Roman"/>
                <w:color w:val="000000"/>
                <w:sz w:val="20"/>
                <w:szCs w:val="20"/>
              </w:rPr>
              <w:t>2</w:t>
            </w:r>
            <w:r>
              <w:rPr>
                <w:rFonts w:ascii="Times New Roman" w:hAnsi="Times New Roman"/>
                <w:color w:val="000000"/>
                <w:sz w:val="20"/>
                <w:szCs w:val="20"/>
              </w:rPr>
              <w:t> </w:t>
            </w:r>
            <w:r w:rsidRPr="00446970">
              <w:rPr>
                <w:rFonts w:ascii="Times New Roman" w:hAnsi="Times New Roman"/>
                <w:color w:val="000000"/>
                <w:sz w:val="20"/>
                <w:szCs w:val="20"/>
              </w:rPr>
              <w:t>783</w:t>
            </w:r>
            <w:r>
              <w:rPr>
                <w:rFonts w:ascii="Times New Roman" w:hAnsi="Times New Roman"/>
                <w:color w:val="000000"/>
                <w:sz w:val="20"/>
                <w:szCs w:val="20"/>
              </w:rPr>
              <w:t>,</w:t>
            </w:r>
            <w:r w:rsidRPr="00446970">
              <w:rPr>
                <w:rFonts w:ascii="Times New Roman" w:hAnsi="Times New Roman"/>
                <w:color w:val="000000"/>
                <w:sz w:val="20"/>
                <w:szCs w:val="20"/>
              </w:rPr>
              <w:t>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C17CF1">
              <w:rPr>
                <w:rFonts w:ascii="Times New Roman" w:hAnsi="Times New Roman"/>
                <w:color w:val="000000"/>
                <w:sz w:val="20"/>
                <w:szCs w:val="20"/>
              </w:rPr>
              <w:t>127,2</w:t>
            </w:r>
          </w:p>
        </w:tc>
      </w:tr>
      <w:tr w:rsidR="002148BB" w:rsidRPr="002361A2" w:rsidTr="00A73BD0">
        <w:trPr>
          <w:gridAfter w:val="1"/>
          <w:wAfter w:w="326" w:type="dxa"/>
          <w:trHeight w:val="376"/>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сельскохозяйственного производства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196,2</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356AAB" w:rsidRDefault="002148BB" w:rsidP="00A73BD0">
            <w:pPr>
              <w:spacing w:after="0" w:line="240" w:lineRule="auto"/>
              <w:ind w:left="-142" w:firstLine="142"/>
              <w:jc w:val="right"/>
              <w:rPr>
                <w:rFonts w:ascii="Times New Roman" w:hAnsi="Times New Roman"/>
                <w:sz w:val="20"/>
                <w:szCs w:val="20"/>
              </w:rPr>
            </w:pPr>
            <w:r w:rsidRPr="00356AAB">
              <w:rPr>
                <w:rFonts w:ascii="Times New Roman" w:hAnsi="Times New Roman"/>
                <w:sz w:val="20"/>
                <w:szCs w:val="20"/>
              </w:rPr>
              <w:t>208,1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356AAB" w:rsidRDefault="002148BB" w:rsidP="00A73BD0">
            <w:pPr>
              <w:spacing w:after="0" w:line="240" w:lineRule="auto"/>
              <w:ind w:left="-142" w:firstLine="142"/>
              <w:jc w:val="right"/>
              <w:rPr>
                <w:rFonts w:ascii="Times New Roman" w:hAnsi="Times New Roman"/>
                <w:sz w:val="20"/>
                <w:szCs w:val="20"/>
              </w:rPr>
            </w:pPr>
            <w:r w:rsidRPr="00356AAB">
              <w:rPr>
                <w:rFonts w:ascii="Times New Roman" w:hAnsi="Times New Roman"/>
                <w:sz w:val="20"/>
                <w:szCs w:val="20"/>
              </w:rPr>
              <w:t>107,0</w:t>
            </w:r>
          </w:p>
        </w:tc>
      </w:tr>
      <w:tr w:rsidR="002148BB" w:rsidRPr="002361A2" w:rsidTr="00A73BD0">
        <w:trPr>
          <w:gridAfter w:val="1"/>
          <w:wAfter w:w="326" w:type="dxa"/>
          <w:trHeight w:val="361"/>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Объем перевозок грузов организациями автомобильного транспорта </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тыс. тонн</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02E7A" w:rsidRDefault="002148BB" w:rsidP="00A73BD0">
            <w:pPr>
              <w:spacing w:after="0" w:line="240" w:lineRule="auto"/>
              <w:ind w:left="-142" w:firstLine="142"/>
              <w:jc w:val="right"/>
              <w:rPr>
                <w:rFonts w:ascii="Times New Roman" w:hAnsi="Times New Roman"/>
                <w:color w:val="000000"/>
                <w:sz w:val="20"/>
                <w:szCs w:val="20"/>
              </w:rPr>
            </w:pPr>
            <w:r w:rsidRPr="00502E7A">
              <w:rPr>
                <w:rFonts w:ascii="Times New Roman" w:hAnsi="Times New Roman"/>
                <w:sz w:val="20"/>
                <w:szCs w:val="20"/>
              </w:rPr>
              <w:t>2</w:t>
            </w:r>
            <w:r>
              <w:rPr>
                <w:rFonts w:ascii="Times New Roman" w:hAnsi="Times New Roman"/>
                <w:sz w:val="20"/>
                <w:szCs w:val="20"/>
              </w:rPr>
              <w:t> </w:t>
            </w:r>
            <w:r w:rsidRPr="00502E7A">
              <w:rPr>
                <w:rFonts w:ascii="Times New Roman" w:hAnsi="Times New Roman"/>
                <w:sz w:val="20"/>
                <w:szCs w:val="20"/>
              </w:rPr>
              <w:t>493</w:t>
            </w:r>
            <w:r>
              <w:rPr>
                <w:rFonts w:ascii="Times New Roman" w:hAnsi="Times New Roman"/>
                <w:sz w:val="20"/>
                <w:szCs w:val="20"/>
              </w:rPr>
              <w:t>,</w:t>
            </w:r>
            <w:r w:rsidRPr="00502E7A">
              <w:rPr>
                <w:rFonts w:ascii="Times New Roman" w:hAnsi="Times New Roman"/>
                <w:sz w:val="20"/>
                <w:szCs w:val="20"/>
              </w:rPr>
              <w:t>2</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1F035D" w:rsidRDefault="002148BB" w:rsidP="00A73BD0">
            <w:pPr>
              <w:spacing w:after="0" w:line="240" w:lineRule="auto"/>
              <w:ind w:left="-142" w:firstLine="142"/>
              <w:jc w:val="right"/>
              <w:rPr>
                <w:rFonts w:ascii="Times New Roman" w:hAnsi="Times New Roman"/>
                <w:color w:val="000000"/>
                <w:sz w:val="20"/>
                <w:szCs w:val="20"/>
              </w:rPr>
            </w:pPr>
            <w:r w:rsidRPr="001F035D">
              <w:rPr>
                <w:rFonts w:ascii="Times New Roman" w:hAnsi="Times New Roman"/>
                <w:color w:val="000000"/>
                <w:sz w:val="20"/>
                <w:szCs w:val="20"/>
              </w:rPr>
              <w:t>1 739,8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1F035D" w:rsidRDefault="002148BB" w:rsidP="00A73BD0">
            <w:pPr>
              <w:spacing w:after="0" w:line="240" w:lineRule="auto"/>
              <w:ind w:left="-142" w:firstLine="142"/>
              <w:jc w:val="right"/>
              <w:rPr>
                <w:rFonts w:ascii="Times New Roman" w:hAnsi="Times New Roman"/>
                <w:color w:val="000000"/>
                <w:sz w:val="20"/>
                <w:szCs w:val="20"/>
              </w:rPr>
            </w:pPr>
            <w:r w:rsidRPr="001F035D">
              <w:rPr>
                <w:rFonts w:ascii="Times New Roman" w:hAnsi="Times New Roman"/>
                <w:color w:val="000000"/>
                <w:sz w:val="20"/>
                <w:szCs w:val="20"/>
              </w:rPr>
              <w:t>68,3</w:t>
            </w:r>
          </w:p>
        </w:tc>
      </w:tr>
      <w:tr w:rsidR="002148BB" w:rsidRPr="002361A2" w:rsidTr="00A73BD0">
        <w:trPr>
          <w:gridAfter w:val="1"/>
          <w:wAfter w:w="326" w:type="dxa"/>
          <w:trHeight w:val="750"/>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Инвестиции в основной капитал, с учетом оценки субъектов малого предпринимательства и индивидуальных застройщиков (в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1 377,3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1F035D">
              <w:rPr>
                <w:rFonts w:ascii="Times New Roman" w:hAnsi="Times New Roman"/>
                <w:color w:val="000000"/>
                <w:sz w:val="20"/>
                <w:szCs w:val="20"/>
              </w:rPr>
              <w:t>1</w:t>
            </w:r>
            <w:r>
              <w:rPr>
                <w:rFonts w:ascii="Times New Roman" w:hAnsi="Times New Roman"/>
                <w:color w:val="000000"/>
                <w:sz w:val="20"/>
                <w:szCs w:val="20"/>
              </w:rPr>
              <w:t> </w:t>
            </w:r>
            <w:r w:rsidRPr="001F035D">
              <w:rPr>
                <w:rFonts w:ascii="Times New Roman" w:hAnsi="Times New Roman"/>
                <w:color w:val="000000"/>
                <w:sz w:val="20"/>
                <w:szCs w:val="20"/>
              </w:rPr>
              <w:t>023</w:t>
            </w:r>
            <w:r>
              <w:rPr>
                <w:rFonts w:ascii="Times New Roman" w:hAnsi="Times New Roman"/>
                <w:color w:val="000000"/>
                <w:sz w:val="20"/>
                <w:szCs w:val="20"/>
              </w:rPr>
              <w:t>,</w:t>
            </w:r>
            <w:r w:rsidRPr="001F035D">
              <w:rPr>
                <w:rFonts w:ascii="Times New Roman" w:hAnsi="Times New Roman"/>
                <w:color w:val="000000"/>
                <w:sz w:val="20"/>
                <w:szCs w:val="20"/>
              </w:rPr>
              <w:t>9</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1F035D">
              <w:rPr>
                <w:rFonts w:ascii="Times New Roman" w:hAnsi="Times New Roman"/>
                <w:color w:val="000000"/>
                <w:sz w:val="20"/>
                <w:szCs w:val="20"/>
              </w:rPr>
              <w:t>74,9</w:t>
            </w:r>
          </w:p>
        </w:tc>
      </w:tr>
      <w:tr w:rsidR="002148BB" w:rsidRPr="002361A2" w:rsidTr="00A73BD0">
        <w:trPr>
          <w:gridAfter w:val="1"/>
          <w:wAfter w:w="326" w:type="dxa"/>
          <w:trHeight w:val="476"/>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Ввод в действие жилых домов</w:t>
            </w:r>
          </w:p>
        </w:tc>
        <w:tc>
          <w:tcPr>
            <w:tcW w:w="1276" w:type="dxa"/>
            <w:gridSpan w:val="4"/>
            <w:tcBorders>
              <w:top w:val="single" w:sz="4" w:space="0" w:color="auto"/>
              <w:left w:val="single" w:sz="4" w:space="0" w:color="auto"/>
              <w:bottom w:val="single" w:sz="4" w:space="0" w:color="auto"/>
              <w:right w:val="single" w:sz="4" w:space="0" w:color="auto"/>
            </w:tcBorders>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кв. м. общей площади</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39 731,3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1F035D">
              <w:rPr>
                <w:rFonts w:ascii="Times New Roman" w:hAnsi="Times New Roman"/>
                <w:color w:val="000000"/>
                <w:sz w:val="20"/>
                <w:szCs w:val="20"/>
              </w:rPr>
              <w:t>52</w:t>
            </w:r>
            <w:r>
              <w:rPr>
                <w:rFonts w:ascii="Times New Roman" w:hAnsi="Times New Roman"/>
                <w:color w:val="000000"/>
                <w:sz w:val="20"/>
                <w:szCs w:val="20"/>
              </w:rPr>
              <w:t> </w:t>
            </w:r>
            <w:r w:rsidRPr="001F035D">
              <w:rPr>
                <w:rFonts w:ascii="Times New Roman" w:hAnsi="Times New Roman"/>
                <w:color w:val="000000"/>
                <w:sz w:val="20"/>
                <w:szCs w:val="20"/>
              </w:rPr>
              <w:t>400</w:t>
            </w:r>
            <w:r>
              <w:rPr>
                <w:rFonts w:ascii="Times New Roman" w:hAnsi="Times New Roman"/>
                <w:color w:val="000000"/>
                <w:sz w:val="20"/>
                <w:szCs w:val="20"/>
              </w:rPr>
              <w:t>,</w:t>
            </w:r>
            <w:r w:rsidRPr="001F035D">
              <w:rPr>
                <w:rFonts w:ascii="Times New Roman" w:hAnsi="Times New Roman"/>
                <w:color w:val="000000"/>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1F035D">
              <w:rPr>
                <w:rFonts w:ascii="Times New Roman" w:hAnsi="Times New Roman"/>
                <w:color w:val="000000"/>
                <w:sz w:val="20"/>
                <w:szCs w:val="20"/>
              </w:rPr>
              <w:t>131,9</w:t>
            </w:r>
          </w:p>
        </w:tc>
      </w:tr>
      <w:tr w:rsidR="002148BB" w:rsidRPr="002361A2" w:rsidTr="00A73BD0">
        <w:trPr>
          <w:gridAfter w:val="1"/>
          <w:wAfter w:w="326" w:type="dxa"/>
          <w:trHeight w:val="647"/>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Общий объем розничного товарооборота + общественное питание и платные услуги населению</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7 748,1</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1F035D">
              <w:rPr>
                <w:rFonts w:ascii="Times New Roman" w:hAnsi="Times New Roman"/>
                <w:color w:val="000000"/>
                <w:sz w:val="20"/>
                <w:szCs w:val="20"/>
              </w:rPr>
              <w:t>9</w:t>
            </w:r>
            <w:r>
              <w:rPr>
                <w:rFonts w:ascii="Times New Roman" w:hAnsi="Times New Roman"/>
                <w:color w:val="000000"/>
                <w:sz w:val="20"/>
                <w:szCs w:val="20"/>
              </w:rPr>
              <w:t> </w:t>
            </w:r>
            <w:r w:rsidRPr="001F035D">
              <w:rPr>
                <w:rFonts w:ascii="Times New Roman" w:hAnsi="Times New Roman"/>
                <w:color w:val="000000"/>
                <w:sz w:val="20"/>
                <w:szCs w:val="20"/>
              </w:rPr>
              <w:t>092</w:t>
            </w:r>
            <w:r>
              <w:rPr>
                <w:rFonts w:ascii="Times New Roman" w:hAnsi="Times New Roman"/>
                <w:color w:val="000000"/>
                <w:sz w:val="20"/>
                <w:szCs w:val="20"/>
              </w:rPr>
              <w:t>,</w:t>
            </w:r>
            <w:r w:rsidRPr="001F035D">
              <w:rPr>
                <w:rFonts w:ascii="Times New Roman" w:hAnsi="Times New Roman"/>
                <w:color w:val="000000"/>
                <w:sz w:val="20"/>
                <w:szCs w:val="20"/>
              </w:rPr>
              <w:t>9</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1F035D">
              <w:rPr>
                <w:rFonts w:ascii="Times New Roman" w:hAnsi="Times New Roman"/>
                <w:color w:val="000000"/>
                <w:sz w:val="20"/>
                <w:szCs w:val="20"/>
              </w:rPr>
              <w:t>117,6</w:t>
            </w:r>
          </w:p>
        </w:tc>
      </w:tr>
      <w:tr w:rsidR="002148BB" w:rsidTr="00A73BD0">
        <w:trPr>
          <w:gridAfter w:val="1"/>
          <w:wAfter w:w="326" w:type="dxa"/>
          <w:trHeight w:val="312"/>
        </w:trPr>
        <w:tc>
          <w:tcPr>
            <w:tcW w:w="47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w:t>
            </w:r>
            <w:r w:rsidRPr="00D71ED8">
              <w:rPr>
                <w:rFonts w:ascii="Times New Roman" w:hAnsi="Times New Roman"/>
                <w:color w:val="000000"/>
                <w:sz w:val="20"/>
                <w:szCs w:val="20"/>
              </w:rPr>
              <w:t>борот розничной торговли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p>
        </w:tc>
      </w:tr>
      <w:tr w:rsidR="002148BB" w:rsidRPr="002361A2" w:rsidTr="00A73BD0">
        <w:trPr>
          <w:gridAfter w:val="1"/>
          <w:wAfter w:w="326" w:type="dxa"/>
          <w:trHeight w:val="284"/>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color w:val="000000"/>
                <w:sz w:val="20"/>
                <w:szCs w:val="20"/>
              </w:rPr>
              <w:t>5</w:t>
            </w:r>
            <w:r>
              <w:rPr>
                <w:rFonts w:ascii="Times New Roman" w:hAnsi="Times New Roman"/>
                <w:color w:val="000000"/>
                <w:sz w:val="20"/>
                <w:szCs w:val="20"/>
              </w:rPr>
              <w:t> </w:t>
            </w:r>
            <w:r w:rsidRPr="00D71ED8">
              <w:rPr>
                <w:rFonts w:ascii="Times New Roman" w:hAnsi="Times New Roman"/>
                <w:color w:val="000000"/>
                <w:sz w:val="20"/>
                <w:szCs w:val="20"/>
              </w:rPr>
              <w:t>375</w:t>
            </w:r>
            <w:r>
              <w:rPr>
                <w:rFonts w:ascii="Times New Roman" w:hAnsi="Times New Roman"/>
                <w:color w:val="000000"/>
                <w:sz w:val="20"/>
                <w:szCs w:val="20"/>
              </w:rPr>
              <w:t>,</w:t>
            </w:r>
            <w:r w:rsidRPr="00D71ED8">
              <w:rPr>
                <w:rFonts w:ascii="Times New Roman" w:hAnsi="Times New Roman"/>
                <w:color w:val="000000"/>
                <w:sz w:val="20"/>
                <w:szCs w:val="20"/>
              </w:rPr>
              <w:t>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D71ED8"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color w:val="000000"/>
                <w:sz w:val="20"/>
                <w:szCs w:val="20"/>
              </w:rPr>
              <w:t>6 690,3</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D71ED8" w:rsidRDefault="002148BB" w:rsidP="00A73BD0">
            <w:pPr>
              <w:spacing w:after="0" w:line="240" w:lineRule="auto"/>
              <w:ind w:left="-142" w:firstLine="142"/>
              <w:jc w:val="center"/>
              <w:rPr>
                <w:rFonts w:ascii="Times New Roman" w:hAnsi="Times New Roman"/>
                <w:color w:val="000000"/>
                <w:sz w:val="20"/>
                <w:szCs w:val="20"/>
              </w:rPr>
            </w:pPr>
            <w:r w:rsidRPr="00D71ED8">
              <w:rPr>
                <w:rFonts w:ascii="Times New Roman" w:hAnsi="Times New Roman"/>
                <w:color w:val="000000"/>
                <w:sz w:val="20"/>
                <w:szCs w:val="20"/>
              </w:rPr>
              <w:t>124,9</w:t>
            </w:r>
          </w:p>
        </w:tc>
      </w:tr>
      <w:tr w:rsidR="002148BB" w:rsidRPr="002361A2" w:rsidTr="00A73BD0">
        <w:trPr>
          <w:gridAfter w:val="1"/>
          <w:wAfter w:w="326" w:type="dxa"/>
          <w:trHeight w:val="101"/>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сопоставимых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color w:val="000000"/>
                <w:sz w:val="20"/>
                <w:szCs w:val="20"/>
              </w:rPr>
              <w:t>99,4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D71ED8"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color w:val="000000"/>
                <w:sz w:val="20"/>
                <w:szCs w:val="20"/>
              </w:rPr>
              <w:t>113,4</w:t>
            </w:r>
          </w:p>
        </w:tc>
        <w:tc>
          <w:tcPr>
            <w:tcW w:w="992" w:type="dxa"/>
            <w:gridSpan w:val="2"/>
            <w:tcBorders>
              <w:top w:val="single" w:sz="4" w:space="0" w:color="auto"/>
              <w:left w:val="single" w:sz="4" w:space="0" w:color="auto"/>
              <w:bottom w:val="single" w:sz="4" w:space="0" w:color="auto"/>
              <w:right w:val="single" w:sz="4" w:space="0" w:color="auto"/>
            </w:tcBorders>
          </w:tcPr>
          <w:p w:rsidR="002148BB" w:rsidRPr="00D71ED8" w:rsidRDefault="002148BB" w:rsidP="00A73BD0">
            <w:pPr>
              <w:spacing w:after="0" w:line="240" w:lineRule="auto"/>
              <w:ind w:left="-142" w:firstLine="142"/>
              <w:jc w:val="center"/>
              <w:rPr>
                <w:rFonts w:ascii="Times New Roman" w:hAnsi="Times New Roman"/>
                <w:color w:val="000000"/>
                <w:sz w:val="20"/>
                <w:szCs w:val="20"/>
              </w:rPr>
            </w:pPr>
            <w:proofErr w:type="spellStart"/>
            <w:r w:rsidRPr="00D71ED8">
              <w:rPr>
                <w:rFonts w:ascii="Times New Roman" w:hAnsi="Times New Roman"/>
                <w:color w:val="000000"/>
                <w:sz w:val="20"/>
                <w:szCs w:val="20"/>
              </w:rPr>
              <w:t>х</w:t>
            </w:r>
            <w:proofErr w:type="spellEnd"/>
          </w:p>
        </w:tc>
      </w:tr>
      <w:tr w:rsidR="002148BB" w:rsidRPr="002361A2" w:rsidTr="00A73BD0">
        <w:trPr>
          <w:gridAfter w:val="1"/>
          <w:wAfter w:w="326" w:type="dxa"/>
          <w:trHeight w:val="101"/>
        </w:trPr>
        <w:tc>
          <w:tcPr>
            <w:tcW w:w="47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148BB" w:rsidRDefault="002148BB" w:rsidP="00A73BD0">
            <w:pPr>
              <w:pStyle w:val="af2"/>
              <w:tabs>
                <w:tab w:val="left" w:pos="708"/>
              </w:tabs>
            </w:pPr>
            <w:r>
              <w:t>Оборот общественного питания</w:t>
            </w: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48BB" w:rsidRPr="00556C3E" w:rsidRDefault="002148BB" w:rsidP="00A73BD0">
            <w:pPr>
              <w:spacing w:after="0" w:line="240" w:lineRule="auto"/>
              <w:ind w:left="-142" w:firstLine="142"/>
              <w:jc w:val="center"/>
              <w:rPr>
                <w:rFonts w:ascii="Times New Roman" w:hAnsi="Times New Roman"/>
                <w:color w:val="000000"/>
                <w:sz w:val="20"/>
                <w:szCs w:val="20"/>
                <w:highlight w:val="yellow"/>
              </w:rPr>
            </w:pPr>
          </w:p>
        </w:tc>
      </w:tr>
      <w:tr w:rsidR="002148BB" w:rsidRPr="002361A2" w:rsidTr="00A73BD0">
        <w:trPr>
          <w:gridAfter w:val="1"/>
          <w:wAfter w:w="326" w:type="dxa"/>
          <w:trHeight w:val="101"/>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D71ED8"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sz w:val="20"/>
                <w:szCs w:val="20"/>
              </w:rPr>
              <w:t>170,4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D71ED8"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sz w:val="20"/>
                <w:szCs w:val="20"/>
              </w:rPr>
              <w:t>202,2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D71ED8" w:rsidRDefault="002148BB" w:rsidP="00A73BD0">
            <w:pPr>
              <w:spacing w:after="0" w:line="240" w:lineRule="auto"/>
              <w:ind w:left="-142" w:firstLine="142"/>
              <w:jc w:val="center"/>
              <w:rPr>
                <w:rFonts w:ascii="Times New Roman" w:hAnsi="Times New Roman"/>
                <w:color w:val="000000"/>
                <w:sz w:val="20"/>
                <w:szCs w:val="20"/>
              </w:rPr>
            </w:pPr>
            <w:r w:rsidRPr="00D71ED8">
              <w:rPr>
                <w:rFonts w:ascii="Times New Roman" w:hAnsi="Times New Roman"/>
                <w:color w:val="000000"/>
                <w:sz w:val="20"/>
                <w:szCs w:val="20"/>
              </w:rPr>
              <w:t>118,3</w:t>
            </w:r>
          </w:p>
        </w:tc>
      </w:tr>
      <w:tr w:rsidR="002148BB" w:rsidRPr="002361A2" w:rsidTr="00A73BD0">
        <w:trPr>
          <w:gridAfter w:val="1"/>
          <w:wAfter w:w="326" w:type="dxa"/>
          <w:trHeight w:val="101"/>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сопоставимых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color w:val="000000"/>
                <w:sz w:val="20"/>
                <w:szCs w:val="20"/>
              </w:rPr>
              <w:t>99,7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D71ED8"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color w:val="000000"/>
                <w:sz w:val="20"/>
                <w:szCs w:val="20"/>
              </w:rPr>
              <w:t>105,9</w:t>
            </w:r>
          </w:p>
        </w:tc>
        <w:tc>
          <w:tcPr>
            <w:tcW w:w="992" w:type="dxa"/>
            <w:gridSpan w:val="2"/>
            <w:tcBorders>
              <w:top w:val="single" w:sz="4" w:space="0" w:color="auto"/>
              <w:left w:val="single" w:sz="4" w:space="0" w:color="auto"/>
              <w:bottom w:val="single" w:sz="4" w:space="0" w:color="auto"/>
              <w:right w:val="single" w:sz="4" w:space="0" w:color="auto"/>
            </w:tcBorders>
          </w:tcPr>
          <w:p w:rsidR="002148BB" w:rsidRPr="00D71ED8" w:rsidRDefault="002148BB" w:rsidP="00A73BD0">
            <w:pPr>
              <w:spacing w:after="0" w:line="240" w:lineRule="auto"/>
              <w:ind w:left="-142" w:firstLine="142"/>
              <w:jc w:val="center"/>
              <w:rPr>
                <w:rFonts w:ascii="Times New Roman" w:hAnsi="Times New Roman"/>
                <w:color w:val="000000"/>
                <w:sz w:val="20"/>
                <w:szCs w:val="20"/>
              </w:rPr>
            </w:pPr>
            <w:proofErr w:type="spellStart"/>
            <w:r w:rsidRPr="00D71ED8">
              <w:rPr>
                <w:rFonts w:ascii="Times New Roman" w:hAnsi="Times New Roman"/>
                <w:color w:val="000000"/>
                <w:sz w:val="20"/>
                <w:szCs w:val="20"/>
              </w:rPr>
              <w:t>х</w:t>
            </w:r>
            <w:proofErr w:type="spellEnd"/>
          </w:p>
        </w:tc>
      </w:tr>
      <w:tr w:rsidR="002148BB" w:rsidTr="00A73BD0">
        <w:trPr>
          <w:gridAfter w:val="1"/>
          <w:wAfter w:w="326" w:type="dxa"/>
          <w:trHeight w:val="270"/>
        </w:trPr>
        <w:tc>
          <w:tcPr>
            <w:tcW w:w="47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Объем платных услуг</w:t>
            </w: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p>
        </w:tc>
        <w:tc>
          <w:tcPr>
            <w:tcW w:w="1276"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p>
        </w:tc>
      </w:tr>
      <w:tr w:rsidR="002148BB" w:rsidRPr="002361A2" w:rsidTr="00A73BD0">
        <w:trPr>
          <w:gridAfter w:val="1"/>
          <w:wAfter w:w="326" w:type="dxa"/>
          <w:trHeight w:val="225"/>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текущих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2 201,9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D71ED8"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color w:val="000000"/>
                <w:sz w:val="20"/>
                <w:szCs w:val="20"/>
              </w:rPr>
              <w:t>2 200,4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D71ED8"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color w:val="000000"/>
                <w:sz w:val="20"/>
                <w:szCs w:val="20"/>
              </w:rPr>
              <w:t>100,0</w:t>
            </w:r>
          </w:p>
        </w:tc>
      </w:tr>
      <w:tr w:rsidR="002148BB" w:rsidRPr="002361A2" w:rsidTr="00A73BD0">
        <w:trPr>
          <w:gridAfter w:val="1"/>
          <w:wAfter w:w="326" w:type="dxa"/>
          <w:trHeight w:val="270"/>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 сопоставимых ценах</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101,0</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D71ED8" w:rsidRDefault="002148BB" w:rsidP="00A73BD0">
            <w:pPr>
              <w:spacing w:after="0" w:line="240" w:lineRule="auto"/>
              <w:ind w:left="-142" w:firstLine="142"/>
              <w:jc w:val="right"/>
              <w:rPr>
                <w:rFonts w:ascii="Times New Roman" w:hAnsi="Times New Roman"/>
                <w:color w:val="000000"/>
                <w:sz w:val="20"/>
                <w:szCs w:val="20"/>
              </w:rPr>
            </w:pPr>
            <w:r w:rsidRPr="00D71ED8">
              <w:rPr>
                <w:rFonts w:ascii="Times New Roman" w:hAnsi="Times New Roman"/>
                <w:color w:val="000000"/>
                <w:sz w:val="20"/>
                <w:szCs w:val="20"/>
              </w:rPr>
              <w:t>99,0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D71ED8" w:rsidRDefault="002148BB" w:rsidP="00A73BD0">
            <w:pPr>
              <w:spacing w:after="0" w:line="240" w:lineRule="auto"/>
              <w:ind w:left="-142" w:firstLine="142"/>
              <w:jc w:val="center"/>
              <w:rPr>
                <w:rFonts w:ascii="Times New Roman" w:hAnsi="Times New Roman"/>
                <w:color w:val="000000"/>
                <w:sz w:val="20"/>
                <w:szCs w:val="20"/>
              </w:rPr>
            </w:pPr>
            <w:proofErr w:type="spellStart"/>
            <w:r w:rsidRPr="00D71ED8">
              <w:rPr>
                <w:rFonts w:ascii="Times New Roman" w:hAnsi="Times New Roman"/>
                <w:color w:val="000000"/>
                <w:sz w:val="20"/>
                <w:szCs w:val="20"/>
              </w:rPr>
              <w:t>х</w:t>
            </w:r>
            <w:proofErr w:type="spellEnd"/>
          </w:p>
        </w:tc>
      </w:tr>
      <w:tr w:rsidR="002148BB" w:rsidRPr="002361A2" w:rsidTr="00A73BD0">
        <w:trPr>
          <w:gridAfter w:val="1"/>
          <w:wAfter w:w="326" w:type="dxa"/>
          <w:trHeight w:val="283"/>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Внешнеторговый оборот</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1 465,4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B9689C" w:rsidRDefault="002148BB" w:rsidP="00A73BD0">
            <w:pPr>
              <w:spacing w:after="0" w:line="240" w:lineRule="auto"/>
              <w:ind w:left="-142" w:firstLine="142"/>
              <w:jc w:val="right"/>
              <w:rPr>
                <w:rFonts w:ascii="Times New Roman" w:hAnsi="Times New Roman"/>
                <w:color w:val="000000"/>
                <w:sz w:val="20"/>
                <w:szCs w:val="20"/>
              </w:rPr>
            </w:pPr>
            <w:r w:rsidRPr="00B9689C">
              <w:rPr>
                <w:rFonts w:ascii="Times New Roman" w:hAnsi="Times New Roman"/>
                <w:color w:val="000000"/>
                <w:sz w:val="20"/>
                <w:szCs w:val="20"/>
              </w:rPr>
              <w:t>1 685,7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B9689C" w:rsidRDefault="002148BB" w:rsidP="00A73BD0">
            <w:pPr>
              <w:spacing w:after="0" w:line="240" w:lineRule="auto"/>
              <w:ind w:left="-142" w:firstLine="142"/>
              <w:jc w:val="right"/>
              <w:rPr>
                <w:rFonts w:ascii="Times New Roman" w:hAnsi="Times New Roman"/>
                <w:color w:val="000000"/>
                <w:sz w:val="20"/>
                <w:szCs w:val="20"/>
              </w:rPr>
            </w:pPr>
            <w:r w:rsidRPr="00B9689C">
              <w:rPr>
                <w:rFonts w:ascii="Times New Roman" w:hAnsi="Times New Roman"/>
                <w:color w:val="000000"/>
                <w:sz w:val="20"/>
                <w:szCs w:val="20"/>
              </w:rPr>
              <w:t>115,0</w:t>
            </w:r>
          </w:p>
        </w:tc>
      </w:tr>
      <w:tr w:rsidR="002148BB" w:rsidRPr="002361A2" w:rsidTr="00A73BD0">
        <w:trPr>
          <w:gridAfter w:val="1"/>
          <w:wAfter w:w="326" w:type="dxa"/>
          <w:trHeight w:val="285"/>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Экспорт товаров</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542,2</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48BB" w:rsidRPr="00B9689C" w:rsidRDefault="002148BB" w:rsidP="00A73BD0">
            <w:pPr>
              <w:spacing w:after="0" w:line="240" w:lineRule="auto"/>
              <w:ind w:left="-142" w:firstLine="142"/>
              <w:jc w:val="right"/>
              <w:rPr>
                <w:rFonts w:ascii="Times New Roman" w:hAnsi="Times New Roman"/>
                <w:color w:val="000000"/>
                <w:sz w:val="20"/>
                <w:szCs w:val="20"/>
              </w:rPr>
            </w:pPr>
            <w:r w:rsidRPr="00B9689C">
              <w:rPr>
                <w:rFonts w:ascii="Times New Roman" w:hAnsi="Times New Roman"/>
                <w:color w:val="000000"/>
                <w:sz w:val="20"/>
                <w:szCs w:val="20"/>
              </w:rPr>
              <w:t>646,8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148BB" w:rsidRPr="00B9689C" w:rsidRDefault="002148BB" w:rsidP="00A73BD0">
            <w:pPr>
              <w:spacing w:after="0" w:line="240" w:lineRule="auto"/>
              <w:ind w:left="-142" w:firstLine="142"/>
              <w:jc w:val="right"/>
              <w:rPr>
                <w:rFonts w:ascii="Times New Roman" w:hAnsi="Times New Roman"/>
                <w:color w:val="000000"/>
                <w:sz w:val="20"/>
                <w:szCs w:val="20"/>
              </w:rPr>
            </w:pPr>
            <w:r w:rsidRPr="00B9689C">
              <w:rPr>
                <w:rFonts w:ascii="Times New Roman" w:hAnsi="Times New Roman"/>
                <w:color w:val="000000"/>
                <w:sz w:val="20"/>
                <w:szCs w:val="20"/>
              </w:rPr>
              <w:t>119,3</w:t>
            </w:r>
          </w:p>
        </w:tc>
      </w:tr>
      <w:tr w:rsidR="002148BB" w:rsidRPr="002361A2" w:rsidTr="00A73BD0">
        <w:trPr>
          <w:gridAfter w:val="1"/>
          <w:wAfter w:w="326" w:type="dxa"/>
          <w:trHeight w:val="255"/>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Импорт товаров</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923,2</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48BB" w:rsidRPr="00B9689C" w:rsidRDefault="002148BB" w:rsidP="00A73BD0">
            <w:pPr>
              <w:spacing w:after="0" w:line="240" w:lineRule="auto"/>
              <w:ind w:left="-142" w:firstLine="142"/>
              <w:jc w:val="right"/>
              <w:rPr>
                <w:rFonts w:ascii="Times New Roman" w:hAnsi="Times New Roman"/>
                <w:color w:val="000000"/>
                <w:sz w:val="20"/>
                <w:szCs w:val="20"/>
              </w:rPr>
            </w:pPr>
            <w:r w:rsidRPr="00B9689C">
              <w:rPr>
                <w:rFonts w:ascii="Times New Roman" w:hAnsi="Times New Roman"/>
                <w:color w:val="000000"/>
                <w:sz w:val="20"/>
                <w:szCs w:val="20"/>
              </w:rPr>
              <w:t>1 038,9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148BB" w:rsidRPr="00B9689C" w:rsidRDefault="002148BB" w:rsidP="00A73BD0">
            <w:pPr>
              <w:spacing w:after="0" w:line="240" w:lineRule="auto"/>
              <w:ind w:left="-142" w:firstLine="142"/>
              <w:jc w:val="right"/>
              <w:rPr>
                <w:rFonts w:ascii="Times New Roman" w:hAnsi="Times New Roman"/>
                <w:color w:val="000000"/>
                <w:sz w:val="20"/>
                <w:szCs w:val="20"/>
              </w:rPr>
            </w:pPr>
            <w:r w:rsidRPr="00B9689C">
              <w:rPr>
                <w:rFonts w:ascii="Times New Roman" w:hAnsi="Times New Roman"/>
                <w:color w:val="000000"/>
                <w:sz w:val="20"/>
                <w:szCs w:val="20"/>
              </w:rPr>
              <w:t>112,5</w:t>
            </w:r>
          </w:p>
        </w:tc>
      </w:tr>
      <w:tr w:rsidR="002148BB" w:rsidRPr="002361A2" w:rsidTr="00A73BD0">
        <w:trPr>
          <w:gridAfter w:val="1"/>
          <w:wAfter w:w="326" w:type="dxa"/>
          <w:trHeight w:val="157"/>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Сальдо внешнеторгового оборота</w:t>
            </w:r>
            <w:proofErr w:type="gramStart"/>
            <w:r>
              <w:rPr>
                <w:rFonts w:ascii="Times New Roman" w:hAnsi="Times New Roman"/>
                <w:color w:val="000000"/>
                <w:sz w:val="20"/>
                <w:szCs w:val="20"/>
              </w:rPr>
              <w:t xml:space="preserve"> (+;-)</w:t>
            </w:r>
            <w:proofErr w:type="gramEnd"/>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-381,0</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B9689C" w:rsidRDefault="002148BB" w:rsidP="00A73BD0">
            <w:pPr>
              <w:spacing w:after="0" w:line="240" w:lineRule="auto"/>
              <w:ind w:left="-142" w:firstLine="142"/>
              <w:jc w:val="right"/>
              <w:rPr>
                <w:rFonts w:ascii="Times New Roman" w:hAnsi="Times New Roman"/>
                <w:color w:val="000000"/>
                <w:sz w:val="20"/>
                <w:szCs w:val="20"/>
              </w:rPr>
            </w:pPr>
            <w:r w:rsidRPr="00B9689C">
              <w:rPr>
                <w:rFonts w:ascii="Times New Roman" w:hAnsi="Times New Roman"/>
                <w:color w:val="000000"/>
                <w:sz w:val="20"/>
                <w:szCs w:val="20"/>
              </w:rPr>
              <w:t>-392,1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B9689C" w:rsidRDefault="002148BB" w:rsidP="00A73BD0">
            <w:pPr>
              <w:spacing w:after="0" w:line="240" w:lineRule="auto"/>
              <w:ind w:left="-142" w:firstLine="142"/>
              <w:jc w:val="center"/>
              <w:rPr>
                <w:rFonts w:ascii="Times New Roman" w:hAnsi="Times New Roman"/>
                <w:color w:val="000000"/>
                <w:sz w:val="20"/>
                <w:szCs w:val="20"/>
              </w:rPr>
            </w:pPr>
            <w:proofErr w:type="spellStart"/>
            <w:r w:rsidRPr="00B9689C">
              <w:rPr>
                <w:rFonts w:ascii="Times New Roman" w:hAnsi="Times New Roman"/>
                <w:color w:val="000000"/>
                <w:sz w:val="20"/>
                <w:szCs w:val="20"/>
              </w:rPr>
              <w:t>х</w:t>
            </w:r>
            <w:proofErr w:type="spellEnd"/>
          </w:p>
        </w:tc>
      </w:tr>
      <w:tr w:rsidR="002148BB" w:rsidRPr="002361A2" w:rsidTr="00A73BD0">
        <w:trPr>
          <w:gridAfter w:val="1"/>
          <w:wAfter w:w="326" w:type="dxa"/>
          <w:trHeight w:val="322"/>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Фонд заработной платы, включая субъекты предпринимательства (оценка)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4 521,7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D71ED8">
              <w:rPr>
                <w:rFonts w:ascii="Times New Roman" w:hAnsi="Times New Roman"/>
                <w:color w:val="000000"/>
                <w:sz w:val="20"/>
                <w:szCs w:val="20"/>
              </w:rPr>
              <w:t>4</w:t>
            </w:r>
            <w:r>
              <w:rPr>
                <w:rFonts w:ascii="Times New Roman" w:hAnsi="Times New Roman"/>
                <w:color w:val="000000"/>
                <w:sz w:val="20"/>
                <w:szCs w:val="20"/>
              </w:rPr>
              <w:t> </w:t>
            </w:r>
            <w:r w:rsidRPr="00D71ED8">
              <w:rPr>
                <w:rFonts w:ascii="Times New Roman" w:hAnsi="Times New Roman"/>
                <w:color w:val="000000"/>
                <w:sz w:val="20"/>
                <w:szCs w:val="20"/>
              </w:rPr>
              <w:t>681</w:t>
            </w:r>
            <w:r>
              <w:rPr>
                <w:rFonts w:ascii="Times New Roman" w:hAnsi="Times New Roman"/>
                <w:color w:val="000000"/>
                <w:sz w:val="20"/>
                <w:szCs w:val="20"/>
              </w:rPr>
              <w:t>,</w:t>
            </w:r>
            <w:r w:rsidRPr="00D71ED8">
              <w:rPr>
                <w:rFonts w:ascii="Times New Roman" w:hAnsi="Times New Roman"/>
                <w:color w:val="000000"/>
                <w:sz w:val="20"/>
                <w:szCs w:val="20"/>
              </w:rPr>
              <w:t>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D71ED8">
              <w:rPr>
                <w:rFonts w:ascii="Times New Roman" w:hAnsi="Times New Roman"/>
                <w:color w:val="000000"/>
                <w:sz w:val="20"/>
                <w:szCs w:val="20"/>
              </w:rPr>
              <w:t>103,5</w:t>
            </w:r>
          </w:p>
        </w:tc>
      </w:tr>
      <w:tr w:rsidR="002148BB" w:rsidRPr="002361A2" w:rsidTr="00A73BD0">
        <w:trPr>
          <w:gridAfter w:val="1"/>
          <w:wAfter w:w="326" w:type="dxa"/>
          <w:trHeight w:val="36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Фонд заработной платы</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4 061,1</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A81ACC" w:rsidRDefault="002148BB" w:rsidP="00A73BD0">
            <w:pPr>
              <w:spacing w:after="0" w:line="240" w:lineRule="auto"/>
              <w:ind w:left="-142" w:firstLine="142"/>
              <w:jc w:val="right"/>
              <w:rPr>
                <w:rFonts w:ascii="Times New Roman" w:hAnsi="Times New Roman"/>
                <w:color w:val="000000"/>
                <w:sz w:val="20"/>
                <w:szCs w:val="20"/>
              </w:rPr>
            </w:pPr>
            <w:r w:rsidRPr="00A81ACC">
              <w:rPr>
                <w:rFonts w:ascii="Times New Roman" w:hAnsi="Times New Roman"/>
                <w:color w:val="000000"/>
                <w:sz w:val="20"/>
                <w:szCs w:val="20"/>
              </w:rPr>
              <w:t>4 185,5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A81ACC" w:rsidRDefault="002148BB" w:rsidP="00A73BD0">
            <w:pPr>
              <w:spacing w:after="0" w:line="240" w:lineRule="auto"/>
              <w:ind w:left="-142" w:firstLine="142"/>
              <w:jc w:val="right"/>
              <w:rPr>
                <w:rFonts w:ascii="Times New Roman" w:hAnsi="Times New Roman"/>
                <w:color w:val="000000"/>
                <w:sz w:val="20"/>
                <w:szCs w:val="20"/>
              </w:rPr>
            </w:pPr>
            <w:r w:rsidRPr="00A81ACC">
              <w:rPr>
                <w:rFonts w:ascii="Times New Roman" w:hAnsi="Times New Roman"/>
                <w:color w:val="000000"/>
                <w:sz w:val="20"/>
                <w:szCs w:val="20"/>
              </w:rPr>
              <w:t>103,</w:t>
            </w:r>
            <w:r>
              <w:rPr>
                <w:rFonts w:ascii="Times New Roman" w:hAnsi="Times New Roman"/>
                <w:color w:val="000000"/>
                <w:sz w:val="20"/>
                <w:szCs w:val="20"/>
              </w:rPr>
              <w:t>4</w:t>
            </w:r>
          </w:p>
        </w:tc>
      </w:tr>
      <w:tr w:rsidR="002148BB" w:rsidRPr="002361A2" w:rsidTr="00A73BD0">
        <w:trPr>
          <w:gridAfter w:val="1"/>
          <w:wAfter w:w="326" w:type="dxa"/>
          <w:trHeight w:val="715"/>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 xml:space="preserve">Среднесписочная численность </w:t>
            </w:r>
            <w:proofErr w:type="gramStart"/>
            <w:r>
              <w:rPr>
                <w:rFonts w:ascii="Times New Roman" w:hAnsi="Times New Roman"/>
                <w:color w:val="000000"/>
                <w:sz w:val="20"/>
                <w:szCs w:val="20"/>
              </w:rPr>
              <w:t>работающих</w:t>
            </w:r>
            <w:proofErr w:type="gramEnd"/>
            <w:r>
              <w:rPr>
                <w:rFonts w:ascii="Times New Roman" w:hAnsi="Times New Roman"/>
                <w:color w:val="000000"/>
                <w:sz w:val="20"/>
                <w:szCs w:val="20"/>
              </w:rPr>
              <w:t>, включая субъекты предпринимательства (оценка)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тыс. чел.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115,3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A81ACC">
              <w:rPr>
                <w:rFonts w:ascii="Times New Roman" w:hAnsi="Times New Roman"/>
                <w:color w:val="000000"/>
                <w:sz w:val="20"/>
                <w:szCs w:val="20"/>
              </w:rPr>
              <w:t>113,9</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A81ACC">
              <w:rPr>
                <w:rFonts w:ascii="Times New Roman" w:hAnsi="Times New Roman"/>
                <w:color w:val="000000"/>
                <w:sz w:val="20"/>
                <w:szCs w:val="20"/>
              </w:rPr>
              <w:t>99,2</w:t>
            </w:r>
          </w:p>
        </w:tc>
      </w:tr>
      <w:tr w:rsidR="002148BB" w:rsidRPr="002361A2" w:rsidTr="00A73BD0">
        <w:trPr>
          <w:gridAfter w:val="1"/>
          <w:wAfter w:w="326" w:type="dxa"/>
          <w:trHeight w:val="309"/>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Среднемесячная заработная плата, включая субъекты предпринимательства (оценка)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3 786</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A81ACC">
              <w:rPr>
                <w:rFonts w:ascii="Times New Roman" w:hAnsi="Times New Roman"/>
                <w:color w:val="000000"/>
                <w:sz w:val="20"/>
                <w:szCs w:val="20"/>
              </w:rPr>
              <w:t>3</w:t>
            </w:r>
            <w:r>
              <w:rPr>
                <w:rFonts w:ascii="Times New Roman" w:hAnsi="Times New Roman"/>
                <w:color w:val="000000"/>
                <w:sz w:val="20"/>
                <w:szCs w:val="20"/>
              </w:rPr>
              <w:t xml:space="preserve"> </w:t>
            </w:r>
            <w:r w:rsidRPr="00A81ACC">
              <w:rPr>
                <w:rFonts w:ascii="Times New Roman" w:hAnsi="Times New Roman"/>
                <w:color w:val="000000"/>
                <w:sz w:val="20"/>
                <w:szCs w:val="20"/>
              </w:rPr>
              <w:t>912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A81ACC">
              <w:rPr>
                <w:rFonts w:ascii="Times New Roman" w:hAnsi="Times New Roman"/>
                <w:color w:val="000000"/>
                <w:sz w:val="20"/>
                <w:szCs w:val="20"/>
              </w:rPr>
              <w:t>103,1</w:t>
            </w:r>
          </w:p>
        </w:tc>
      </w:tr>
      <w:tr w:rsidR="002148BB" w:rsidRPr="002361A2" w:rsidTr="00A73BD0">
        <w:trPr>
          <w:gridAfter w:val="1"/>
          <w:wAfter w:w="326" w:type="dxa"/>
          <w:trHeight w:val="574"/>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vertAlign w:val="superscript"/>
              </w:rPr>
            </w:pPr>
            <w:r>
              <w:rPr>
                <w:rFonts w:ascii="Times New Roman" w:hAnsi="Times New Roman"/>
                <w:color w:val="000000"/>
                <w:sz w:val="20"/>
                <w:szCs w:val="20"/>
              </w:rPr>
              <w:t>Среднемесячная заработная плата одного работника</w:t>
            </w:r>
            <w:r>
              <w:rPr>
                <w:rFonts w:ascii="Times New Roman" w:hAnsi="Times New Roman"/>
                <w:color w:val="000000"/>
                <w:sz w:val="20"/>
                <w:szCs w:val="20"/>
                <w:vertAlign w:val="superscript"/>
              </w:rPr>
              <w:t>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3 844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9415F8" w:rsidRDefault="002148BB" w:rsidP="00A73BD0">
            <w:pPr>
              <w:spacing w:after="0" w:line="240" w:lineRule="auto"/>
              <w:ind w:left="-142" w:firstLine="142"/>
              <w:jc w:val="right"/>
              <w:rPr>
                <w:rFonts w:ascii="Times New Roman" w:hAnsi="Times New Roman"/>
                <w:color w:val="000000"/>
                <w:sz w:val="20"/>
                <w:szCs w:val="20"/>
              </w:rPr>
            </w:pPr>
            <w:r w:rsidRPr="009415F8">
              <w:rPr>
                <w:rFonts w:ascii="Times New Roman" w:hAnsi="Times New Roman"/>
                <w:color w:val="000000"/>
                <w:sz w:val="20"/>
                <w:szCs w:val="20"/>
              </w:rPr>
              <w:t>3 977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9415F8" w:rsidRDefault="002148BB" w:rsidP="00A73BD0">
            <w:pPr>
              <w:spacing w:after="0" w:line="240" w:lineRule="auto"/>
              <w:ind w:left="-142" w:firstLine="142"/>
              <w:jc w:val="right"/>
              <w:rPr>
                <w:rFonts w:ascii="Times New Roman" w:hAnsi="Times New Roman"/>
                <w:color w:val="000000"/>
                <w:sz w:val="20"/>
                <w:szCs w:val="20"/>
              </w:rPr>
            </w:pPr>
            <w:r w:rsidRPr="009415F8">
              <w:rPr>
                <w:rFonts w:ascii="Times New Roman" w:hAnsi="Times New Roman"/>
                <w:color w:val="000000"/>
                <w:sz w:val="20"/>
                <w:szCs w:val="20"/>
              </w:rPr>
              <w:t>103,</w:t>
            </w:r>
            <w:r>
              <w:rPr>
                <w:rFonts w:ascii="Times New Roman" w:hAnsi="Times New Roman"/>
                <w:color w:val="000000"/>
                <w:sz w:val="20"/>
                <w:szCs w:val="20"/>
              </w:rPr>
              <w:t>5</w:t>
            </w:r>
          </w:p>
        </w:tc>
      </w:tr>
      <w:tr w:rsidR="002148BB" w:rsidRPr="002361A2" w:rsidTr="00A73BD0">
        <w:trPr>
          <w:gridAfter w:val="1"/>
          <w:wAfter w:w="326" w:type="dxa"/>
          <w:trHeight w:val="440"/>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Среднемесячная заработная плата одного работника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341,4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9415F8" w:rsidRDefault="002148BB" w:rsidP="00A73BD0">
            <w:pPr>
              <w:spacing w:after="0" w:line="240" w:lineRule="auto"/>
              <w:ind w:left="-142" w:firstLine="142"/>
              <w:jc w:val="right"/>
              <w:rPr>
                <w:rFonts w:ascii="Times New Roman" w:hAnsi="Times New Roman"/>
                <w:color w:val="000000"/>
                <w:sz w:val="20"/>
                <w:szCs w:val="20"/>
              </w:rPr>
            </w:pPr>
            <w:r w:rsidRPr="009415F8">
              <w:rPr>
                <w:rFonts w:ascii="Times New Roman" w:hAnsi="Times New Roman"/>
                <w:color w:val="000000"/>
                <w:sz w:val="20"/>
                <w:szCs w:val="20"/>
              </w:rPr>
              <w:t>297,2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9415F8" w:rsidRDefault="002148BB" w:rsidP="00A73BD0">
            <w:pPr>
              <w:spacing w:after="0" w:line="240" w:lineRule="auto"/>
              <w:ind w:left="-142" w:firstLine="142"/>
              <w:jc w:val="right"/>
              <w:rPr>
                <w:rFonts w:ascii="Times New Roman" w:hAnsi="Times New Roman"/>
                <w:bCs/>
                <w:color w:val="000000"/>
                <w:sz w:val="20"/>
                <w:szCs w:val="20"/>
              </w:rPr>
            </w:pPr>
            <w:r w:rsidRPr="009415F8">
              <w:rPr>
                <w:rFonts w:ascii="Times New Roman" w:hAnsi="Times New Roman"/>
                <w:bCs/>
                <w:color w:val="000000"/>
                <w:sz w:val="20"/>
                <w:szCs w:val="20"/>
              </w:rPr>
              <w:t>87,</w:t>
            </w:r>
            <w:r>
              <w:rPr>
                <w:rFonts w:ascii="Times New Roman" w:hAnsi="Times New Roman"/>
                <w:bCs/>
                <w:color w:val="000000"/>
                <w:sz w:val="20"/>
                <w:szCs w:val="20"/>
              </w:rPr>
              <w:t>1</w:t>
            </w:r>
          </w:p>
        </w:tc>
      </w:tr>
      <w:tr w:rsidR="002148BB" w:rsidRPr="002361A2" w:rsidTr="00A73BD0">
        <w:trPr>
          <w:gridAfter w:val="1"/>
          <w:wAfter w:w="326" w:type="dxa"/>
          <w:trHeight w:val="320"/>
        </w:trPr>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lastRenderedPageBreak/>
              <w:t>1</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134"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276" w:type="dxa"/>
            <w:gridSpan w:val="4"/>
            <w:tcBorders>
              <w:top w:val="single" w:sz="4" w:space="0" w:color="auto"/>
              <w:left w:val="single" w:sz="4" w:space="0" w:color="auto"/>
              <w:bottom w:val="single" w:sz="4" w:space="0" w:color="auto"/>
              <w:right w:val="single" w:sz="4" w:space="0" w:color="auto"/>
            </w:tcBorders>
            <w:noWrap/>
            <w:vAlign w:val="center"/>
            <w:hideMark/>
          </w:tcPr>
          <w:p w:rsidR="002148BB" w:rsidRPr="00027C08"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148BB" w:rsidRPr="00027C08" w:rsidRDefault="002148BB" w:rsidP="00A73BD0">
            <w:pPr>
              <w:spacing w:after="0" w:line="240" w:lineRule="auto"/>
              <w:ind w:left="-142" w:firstLine="142"/>
              <w:jc w:val="center"/>
              <w:rPr>
                <w:rFonts w:ascii="Times New Roman" w:hAnsi="Times New Roman"/>
                <w:b/>
                <w:bCs/>
                <w:color w:val="000000"/>
                <w:sz w:val="20"/>
                <w:szCs w:val="20"/>
              </w:rPr>
            </w:pPr>
            <w:r>
              <w:rPr>
                <w:rFonts w:ascii="Times New Roman" w:hAnsi="Times New Roman"/>
                <w:b/>
                <w:bCs/>
                <w:color w:val="000000"/>
                <w:sz w:val="20"/>
                <w:szCs w:val="20"/>
              </w:rPr>
              <w:t>5</w:t>
            </w:r>
          </w:p>
        </w:tc>
      </w:tr>
      <w:tr w:rsidR="002148BB" w:rsidRPr="002361A2" w:rsidTr="00A73BD0">
        <w:trPr>
          <w:gridAfter w:val="1"/>
          <w:wAfter w:w="326" w:type="dxa"/>
          <w:trHeight w:val="320"/>
        </w:trPr>
        <w:tc>
          <w:tcPr>
            <w:tcW w:w="4786" w:type="dxa"/>
            <w:gridSpan w:val="2"/>
            <w:tcBorders>
              <w:top w:val="single" w:sz="4" w:space="0" w:color="auto"/>
              <w:left w:val="single" w:sz="4" w:space="0" w:color="auto"/>
              <w:bottom w:val="single" w:sz="4" w:space="0" w:color="auto"/>
              <w:right w:val="single" w:sz="4" w:space="0" w:color="auto"/>
            </w:tcBorders>
            <w:vAlign w:val="bottom"/>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Сводный индекс потребительских цен (инфляция)</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2919C7" w:rsidRDefault="002148BB" w:rsidP="00A73BD0">
            <w:pPr>
              <w:spacing w:after="0" w:line="240" w:lineRule="auto"/>
              <w:ind w:left="-142" w:firstLine="142"/>
              <w:jc w:val="right"/>
              <w:rPr>
                <w:rFonts w:ascii="Times New Roman" w:hAnsi="Times New Roman"/>
                <w:color w:val="000000"/>
                <w:sz w:val="20"/>
                <w:szCs w:val="20"/>
                <w:vertAlign w:val="superscript"/>
              </w:rPr>
            </w:pPr>
            <w:r w:rsidRPr="002919C7">
              <w:rPr>
                <w:rFonts w:ascii="Times New Roman" w:hAnsi="Times New Roman"/>
                <w:color w:val="000000"/>
                <w:sz w:val="20"/>
                <w:szCs w:val="20"/>
              </w:rPr>
              <w:t>101,44</w:t>
            </w:r>
            <w:r>
              <w:rPr>
                <w:rFonts w:ascii="Times New Roman" w:hAnsi="Times New Roman"/>
                <w:color w:val="000000"/>
                <w:sz w:val="20"/>
                <w:szCs w:val="20"/>
                <w:vertAlign w:val="superscript"/>
              </w:rPr>
              <w:t>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027C08" w:rsidRDefault="002148BB" w:rsidP="00A73BD0">
            <w:pPr>
              <w:spacing w:after="0" w:line="240" w:lineRule="auto"/>
              <w:ind w:left="-142" w:firstLine="142"/>
              <w:jc w:val="right"/>
              <w:rPr>
                <w:rFonts w:ascii="Times New Roman" w:hAnsi="Times New Roman"/>
                <w:color w:val="000000"/>
                <w:sz w:val="20"/>
                <w:szCs w:val="20"/>
                <w:vertAlign w:val="superscript"/>
              </w:rPr>
            </w:pPr>
            <w:r w:rsidRPr="00027C08">
              <w:rPr>
                <w:rFonts w:ascii="Times New Roman" w:hAnsi="Times New Roman"/>
                <w:color w:val="000000"/>
                <w:sz w:val="20"/>
                <w:szCs w:val="20"/>
              </w:rPr>
              <w:t>111,82</w:t>
            </w:r>
            <w:r w:rsidRPr="00027C08">
              <w:rPr>
                <w:rFonts w:ascii="Times New Roman" w:hAnsi="Times New Roman"/>
                <w:color w:val="000000"/>
                <w:sz w:val="20"/>
                <w:szCs w:val="20"/>
                <w:vertAlign w:val="superscript"/>
              </w:rPr>
              <w:t>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9415F8">
              <w:rPr>
                <w:rFonts w:ascii="Times New Roman" w:hAnsi="Times New Roman"/>
                <w:color w:val="000000"/>
                <w:sz w:val="20"/>
                <w:szCs w:val="20"/>
              </w:rPr>
              <w:t>108,12</w:t>
            </w:r>
          </w:p>
        </w:tc>
      </w:tr>
      <w:tr w:rsidR="002148BB" w:rsidRPr="002361A2" w:rsidTr="00A73BD0">
        <w:trPr>
          <w:gridAfter w:val="1"/>
          <w:wAfter w:w="326" w:type="dxa"/>
          <w:trHeight w:val="602"/>
        </w:trPr>
        <w:tc>
          <w:tcPr>
            <w:tcW w:w="4786" w:type="dxa"/>
            <w:gridSpan w:val="2"/>
            <w:tcBorders>
              <w:top w:val="single" w:sz="4" w:space="0" w:color="auto"/>
              <w:left w:val="single" w:sz="4" w:space="0" w:color="auto"/>
              <w:bottom w:val="single" w:sz="4" w:space="0" w:color="auto"/>
              <w:right w:val="single" w:sz="4" w:space="0" w:color="auto"/>
            </w:tcBorders>
            <w:vAlign w:val="bottom"/>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Индекс цен производителей на промышленную продукцию</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center"/>
              <w:rPr>
                <w:rFonts w:ascii="Times New Roman" w:hAnsi="Times New Roman"/>
                <w:color w:val="000000"/>
                <w:sz w:val="20"/>
                <w:szCs w:val="20"/>
              </w:rPr>
            </w:pPr>
            <w:r>
              <w:rPr>
                <w:rFonts w:ascii="Times New Roman" w:hAnsi="Times New Roman"/>
                <w:color w:val="000000"/>
                <w:sz w:val="20"/>
                <w:szCs w:val="20"/>
              </w:rPr>
              <w:t>%</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2919C7" w:rsidRDefault="002148BB" w:rsidP="00A73BD0">
            <w:pPr>
              <w:spacing w:after="0" w:line="240" w:lineRule="auto"/>
              <w:ind w:left="-142" w:firstLine="142"/>
              <w:jc w:val="right"/>
              <w:rPr>
                <w:rFonts w:ascii="Times New Roman" w:hAnsi="Times New Roman"/>
                <w:color w:val="000000"/>
                <w:sz w:val="20"/>
                <w:szCs w:val="20"/>
                <w:vertAlign w:val="superscript"/>
              </w:rPr>
            </w:pPr>
            <w:r>
              <w:rPr>
                <w:rFonts w:ascii="Times New Roman" w:hAnsi="Times New Roman"/>
                <w:color w:val="000000"/>
                <w:sz w:val="20"/>
                <w:szCs w:val="20"/>
              </w:rPr>
              <w:t>110,3</w:t>
            </w:r>
            <w:r>
              <w:rPr>
                <w:rFonts w:ascii="Times New Roman" w:hAnsi="Times New Roman"/>
                <w:color w:val="000000"/>
                <w:sz w:val="20"/>
                <w:szCs w:val="20"/>
                <w:vertAlign w:val="superscript"/>
              </w:rPr>
              <w:t>4</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9415F8" w:rsidRDefault="002148BB" w:rsidP="00A73BD0">
            <w:pPr>
              <w:spacing w:after="0" w:line="240" w:lineRule="auto"/>
              <w:ind w:left="-142" w:firstLine="142"/>
              <w:jc w:val="right"/>
              <w:rPr>
                <w:rFonts w:ascii="Times New Roman" w:hAnsi="Times New Roman"/>
                <w:color w:val="000000"/>
                <w:sz w:val="20"/>
                <w:szCs w:val="20"/>
                <w:vertAlign w:val="superscript"/>
              </w:rPr>
            </w:pPr>
            <w:r w:rsidRPr="009415F8">
              <w:rPr>
                <w:rFonts w:ascii="Times New Roman" w:hAnsi="Times New Roman"/>
                <w:color w:val="000000"/>
                <w:sz w:val="20"/>
                <w:szCs w:val="20"/>
              </w:rPr>
              <w:t>118,5</w:t>
            </w:r>
            <w:r w:rsidRPr="009415F8">
              <w:rPr>
                <w:rFonts w:ascii="Times New Roman" w:hAnsi="Times New Roman"/>
                <w:color w:val="000000"/>
                <w:sz w:val="20"/>
                <w:szCs w:val="20"/>
                <w:vertAlign w:val="superscript"/>
              </w:rPr>
              <w:t>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9415F8" w:rsidRDefault="002148BB" w:rsidP="00A73BD0">
            <w:pPr>
              <w:spacing w:after="0" w:line="240" w:lineRule="auto"/>
              <w:ind w:left="-142" w:firstLine="142"/>
              <w:jc w:val="right"/>
              <w:rPr>
                <w:rFonts w:ascii="Times New Roman" w:hAnsi="Times New Roman"/>
                <w:color w:val="000000"/>
                <w:sz w:val="20"/>
                <w:szCs w:val="20"/>
              </w:rPr>
            </w:pPr>
            <w:r w:rsidRPr="009415F8">
              <w:rPr>
                <w:rFonts w:ascii="Times New Roman" w:hAnsi="Times New Roman"/>
                <w:color w:val="000000"/>
                <w:sz w:val="20"/>
                <w:szCs w:val="20"/>
              </w:rPr>
              <w:t>114,8</w:t>
            </w:r>
          </w:p>
        </w:tc>
      </w:tr>
      <w:tr w:rsidR="002148BB" w:rsidRPr="002361A2" w:rsidTr="00A73BD0">
        <w:trPr>
          <w:gridAfter w:val="1"/>
          <w:wAfter w:w="326"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Консолидированного бюджета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2919C7"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2 337,7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556C3E" w:rsidRDefault="002148BB" w:rsidP="00A73BD0">
            <w:pPr>
              <w:spacing w:after="0" w:line="240" w:lineRule="auto"/>
              <w:ind w:left="-142" w:firstLine="142"/>
              <w:jc w:val="right"/>
              <w:rPr>
                <w:rFonts w:ascii="Times New Roman" w:hAnsi="Times New Roman"/>
                <w:color w:val="000000"/>
                <w:sz w:val="20"/>
                <w:szCs w:val="20"/>
                <w:highlight w:val="yellow"/>
              </w:rPr>
            </w:pPr>
            <w:r w:rsidRPr="004C1C7A">
              <w:rPr>
                <w:rFonts w:ascii="Times New Roman" w:hAnsi="Times New Roman"/>
                <w:color w:val="000000"/>
                <w:sz w:val="20"/>
                <w:szCs w:val="20"/>
              </w:rPr>
              <w:t>3 136,6</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134,2</w:t>
            </w:r>
          </w:p>
        </w:tc>
      </w:tr>
      <w:tr w:rsidR="002148BB" w:rsidRPr="002361A2" w:rsidTr="00A73BD0">
        <w:trPr>
          <w:gridAfter w:val="1"/>
          <w:wAfter w:w="326"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rPr>
                <w:rFonts w:ascii="Times New Roman" w:hAnsi="Times New Roman"/>
                <w:color w:val="000000"/>
                <w:sz w:val="20"/>
                <w:szCs w:val="20"/>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2919C7"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207,6</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234,4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112,9</w:t>
            </w:r>
          </w:p>
        </w:tc>
      </w:tr>
      <w:tr w:rsidR="002148BB" w:rsidRPr="002361A2" w:rsidTr="00A73BD0">
        <w:trPr>
          <w:gridAfter w:val="1"/>
          <w:wAfter w:w="326"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Республиканского бюджета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2919C7"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1 512,3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2 284,8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151,1</w:t>
            </w:r>
          </w:p>
        </w:tc>
      </w:tr>
      <w:tr w:rsidR="002148BB" w:rsidRPr="002361A2" w:rsidTr="00A73BD0">
        <w:trPr>
          <w:gridAfter w:val="1"/>
          <w:wAfter w:w="326"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rPr>
                <w:rFonts w:ascii="Times New Roman" w:hAnsi="Times New Roman"/>
                <w:color w:val="000000"/>
                <w:sz w:val="20"/>
                <w:szCs w:val="20"/>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2919C7"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134,3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170,8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127,2</w:t>
            </w:r>
          </w:p>
        </w:tc>
      </w:tr>
      <w:tr w:rsidR="002148BB" w:rsidRPr="002361A2" w:rsidTr="00A73BD0">
        <w:trPr>
          <w:gridAfter w:val="1"/>
          <w:wAfter w:w="326"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Доходы местных бюджетов</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2919C7"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825,5</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851,8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103,2</w:t>
            </w:r>
          </w:p>
        </w:tc>
      </w:tr>
      <w:tr w:rsidR="002148BB" w:rsidRPr="002361A2" w:rsidTr="00A73BD0">
        <w:trPr>
          <w:gridAfter w:val="1"/>
          <w:wAfter w:w="326"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rPr>
                <w:rFonts w:ascii="Times New Roman" w:hAnsi="Times New Roman"/>
                <w:color w:val="000000"/>
                <w:sz w:val="20"/>
                <w:szCs w:val="20"/>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73,3</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63,7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86,9</w:t>
            </w:r>
          </w:p>
        </w:tc>
      </w:tr>
      <w:tr w:rsidR="002148BB" w:rsidRPr="002361A2" w:rsidTr="00A73BD0">
        <w:trPr>
          <w:gridAfter w:val="1"/>
          <w:wAfter w:w="326"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Консолидированного бюджета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3 993,0</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4 331,1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108,5</w:t>
            </w:r>
          </w:p>
        </w:tc>
      </w:tr>
      <w:tr w:rsidR="002148BB" w:rsidRPr="002361A2" w:rsidTr="00A73BD0">
        <w:trPr>
          <w:gridAfter w:val="1"/>
          <w:wAfter w:w="326"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rPr>
                <w:rFonts w:ascii="Times New Roman" w:hAnsi="Times New Roman"/>
                <w:color w:val="000000"/>
                <w:sz w:val="20"/>
                <w:szCs w:val="20"/>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354,6</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323,7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91,3</w:t>
            </w:r>
          </w:p>
        </w:tc>
      </w:tr>
      <w:tr w:rsidR="002148BB" w:rsidRPr="002361A2" w:rsidTr="00A73BD0">
        <w:trPr>
          <w:gridAfter w:val="1"/>
          <w:wAfter w:w="326"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Республиканского бюджета</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2 777,9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3 134,5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112,8</w:t>
            </w:r>
          </w:p>
        </w:tc>
      </w:tr>
      <w:tr w:rsidR="002148BB" w:rsidRPr="002361A2" w:rsidTr="00A73BD0">
        <w:trPr>
          <w:gridAfter w:val="1"/>
          <w:wAfter w:w="326"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rPr>
                <w:rFonts w:ascii="Times New Roman" w:hAnsi="Times New Roman"/>
                <w:color w:val="000000"/>
                <w:sz w:val="20"/>
                <w:szCs w:val="20"/>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246,7</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234,3</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95,0</w:t>
            </w:r>
          </w:p>
        </w:tc>
      </w:tr>
      <w:tr w:rsidR="002148BB" w:rsidRPr="002361A2" w:rsidTr="00A73BD0">
        <w:trPr>
          <w:gridAfter w:val="1"/>
          <w:wAfter w:w="326" w:type="dxa"/>
          <w:trHeight w:val="300"/>
        </w:trPr>
        <w:tc>
          <w:tcPr>
            <w:tcW w:w="47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ind w:right="-108"/>
              <w:rPr>
                <w:rFonts w:ascii="Times New Roman" w:hAnsi="Times New Roman"/>
                <w:color w:val="000000"/>
                <w:sz w:val="20"/>
                <w:szCs w:val="20"/>
              </w:rPr>
            </w:pPr>
            <w:r>
              <w:rPr>
                <w:rFonts w:ascii="Times New Roman" w:hAnsi="Times New Roman"/>
                <w:color w:val="000000"/>
                <w:sz w:val="20"/>
                <w:szCs w:val="20"/>
              </w:rPr>
              <w:t>Расходы местных бюджетов</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руб.</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1 215,1</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1 196,6</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98,5</w:t>
            </w:r>
          </w:p>
        </w:tc>
      </w:tr>
      <w:tr w:rsidR="002148BB" w:rsidRPr="002361A2" w:rsidTr="00A73BD0">
        <w:trPr>
          <w:gridAfter w:val="1"/>
          <w:wAfter w:w="326" w:type="dxa"/>
          <w:trHeight w:val="300"/>
        </w:trPr>
        <w:tc>
          <w:tcPr>
            <w:tcW w:w="4786" w:type="dxa"/>
            <w:gridSpan w:val="2"/>
            <w:vMerge/>
            <w:tcBorders>
              <w:top w:val="single" w:sz="4" w:space="0" w:color="auto"/>
              <w:left w:val="single" w:sz="4" w:space="0" w:color="auto"/>
              <w:bottom w:val="single" w:sz="4" w:space="0" w:color="auto"/>
              <w:right w:val="single" w:sz="4" w:space="0" w:color="auto"/>
            </w:tcBorders>
            <w:vAlign w:val="center"/>
            <w:hideMark/>
          </w:tcPr>
          <w:p w:rsidR="002148BB" w:rsidRDefault="002148BB" w:rsidP="00A73BD0">
            <w:pPr>
              <w:spacing w:after="0" w:line="240" w:lineRule="auto"/>
              <w:rPr>
                <w:rFonts w:ascii="Times New Roman" w:hAnsi="Times New Roman"/>
                <w:color w:val="000000"/>
                <w:sz w:val="20"/>
                <w:szCs w:val="20"/>
              </w:rPr>
            </w:pP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right="-108" w:firstLine="34"/>
              <w:jc w:val="center"/>
              <w:rPr>
                <w:rFonts w:ascii="Times New Roman" w:hAnsi="Times New Roman"/>
                <w:color w:val="000000"/>
                <w:sz w:val="20"/>
                <w:szCs w:val="20"/>
              </w:rPr>
            </w:pPr>
            <w:r>
              <w:rPr>
                <w:rFonts w:ascii="Times New Roman" w:hAnsi="Times New Roman"/>
                <w:color w:val="000000"/>
                <w:sz w:val="20"/>
                <w:szCs w:val="20"/>
              </w:rPr>
              <w:t>млн. дол.</w:t>
            </w:r>
          </w:p>
        </w:tc>
        <w:tc>
          <w:tcPr>
            <w:tcW w:w="1134"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Default="002148BB" w:rsidP="00A73BD0">
            <w:pPr>
              <w:spacing w:after="0" w:line="240" w:lineRule="auto"/>
              <w:ind w:left="-142" w:firstLine="142"/>
              <w:jc w:val="right"/>
              <w:rPr>
                <w:rFonts w:ascii="Times New Roman" w:hAnsi="Times New Roman"/>
                <w:color w:val="000000"/>
                <w:sz w:val="20"/>
                <w:szCs w:val="20"/>
              </w:rPr>
            </w:pPr>
            <w:r>
              <w:rPr>
                <w:rFonts w:ascii="Times New Roman" w:hAnsi="Times New Roman"/>
                <w:color w:val="000000"/>
                <w:sz w:val="20"/>
                <w:szCs w:val="20"/>
              </w:rPr>
              <w:t>107,9</w:t>
            </w:r>
          </w:p>
        </w:tc>
        <w:tc>
          <w:tcPr>
            <w:tcW w:w="1276" w:type="dxa"/>
            <w:gridSpan w:val="4"/>
            <w:tcBorders>
              <w:top w:val="single" w:sz="4" w:space="0" w:color="auto"/>
              <w:left w:val="single" w:sz="4" w:space="0" w:color="auto"/>
              <w:bottom w:val="single" w:sz="4" w:space="0" w:color="auto"/>
              <w:right w:val="single" w:sz="4" w:space="0" w:color="auto"/>
            </w:tcBorders>
            <w:noWrap/>
            <w:vAlign w:val="bottom"/>
            <w:hideMark/>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89,4</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2148BB" w:rsidRPr="004C1C7A" w:rsidRDefault="002148BB" w:rsidP="00A73BD0">
            <w:pPr>
              <w:spacing w:after="0" w:line="240" w:lineRule="auto"/>
              <w:ind w:left="-142" w:firstLine="142"/>
              <w:jc w:val="right"/>
              <w:rPr>
                <w:rFonts w:ascii="Times New Roman" w:hAnsi="Times New Roman"/>
                <w:color w:val="000000"/>
                <w:sz w:val="20"/>
                <w:szCs w:val="20"/>
              </w:rPr>
            </w:pPr>
            <w:r w:rsidRPr="004C1C7A">
              <w:rPr>
                <w:rFonts w:ascii="Times New Roman" w:hAnsi="Times New Roman"/>
                <w:color w:val="000000"/>
                <w:sz w:val="20"/>
                <w:szCs w:val="20"/>
              </w:rPr>
              <w:t>82,9</w:t>
            </w:r>
          </w:p>
        </w:tc>
      </w:tr>
      <w:tr w:rsidR="002148BB" w:rsidTr="00A73BD0">
        <w:trPr>
          <w:gridAfter w:val="4"/>
          <w:wAfter w:w="1324" w:type="dxa"/>
          <w:trHeight w:val="300"/>
        </w:trPr>
        <w:tc>
          <w:tcPr>
            <w:tcW w:w="6062" w:type="dxa"/>
            <w:gridSpan w:val="6"/>
            <w:tcBorders>
              <w:top w:val="single" w:sz="4" w:space="0" w:color="auto"/>
              <w:left w:val="nil"/>
              <w:bottom w:val="nil"/>
              <w:right w:val="nil"/>
            </w:tcBorders>
            <w:noWrap/>
            <w:vAlign w:val="bottom"/>
            <w:hideMark/>
          </w:tcPr>
          <w:p w:rsidR="002148BB" w:rsidRDefault="002148BB" w:rsidP="00A73BD0">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rPr>
              <w:t>* - темпы пересчитаны к уточненным данным ГСС;</w:t>
            </w:r>
          </w:p>
        </w:tc>
        <w:tc>
          <w:tcPr>
            <w:tcW w:w="236" w:type="dxa"/>
            <w:tcBorders>
              <w:top w:val="single" w:sz="4" w:space="0" w:color="auto"/>
              <w:left w:val="nil"/>
              <w:bottom w:val="nil"/>
              <w:right w:val="nil"/>
            </w:tcBorders>
            <w:noWrap/>
            <w:vAlign w:val="bottom"/>
          </w:tcPr>
          <w:p w:rsidR="002148BB" w:rsidRDefault="002148BB" w:rsidP="00A73BD0">
            <w:pPr>
              <w:spacing w:after="0" w:line="240" w:lineRule="auto"/>
              <w:ind w:left="-142" w:firstLine="142"/>
              <w:rPr>
                <w:color w:val="000000"/>
              </w:rPr>
            </w:pPr>
          </w:p>
        </w:tc>
        <w:tc>
          <w:tcPr>
            <w:tcW w:w="1082" w:type="dxa"/>
            <w:gridSpan w:val="4"/>
            <w:tcBorders>
              <w:top w:val="single" w:sz="4" w:space="0" w:color="auto"/>
              <w:left w:val="nil"/>
              <w:bottom w:val="nil"/>
              <w:right w:val="nil"/>
            </w:tcBorders>
          </w:tcPr>
          <w:p w:rsidR="002148BB" w:rsidRDefault="002148BB" w:rsidP="00A73BD0">
            <w:pPr>
              <w:spacing w:after="0" w:line="240" w:lineRule="auto"/>
              <w:ind w:left="-142" w:firstLine="142"/>
              <w:rPr>
                <w:color w:val="000000"/>
              </w:rPr>
            </w:pPr>
          </w:p>
        </w:tc>
        <w:tc>
          <w:tcPr>
            <w:tcW w:w="1086" w:type="dxa"/>
            <w:gridSpan w:val="2"/>
            <w:tcBorders>
              <w:top w:val="single" w:sz="4" w:space="0" w:color="auto"/>
              <w:left w:val="nil"/>
              <w:bottom w:val="nil"/>
              <w:right w:val="nil"/>
            </w:tcBorders>
            <w:noWrap/>
            <w:vAlign w:val="bottom"/>
          </w:tcPr>
          <w:p w:rsidR="002148BB" w:rsidRDefault="002148BB" w:rsidP="00A73BD0">
            <w:pPr>
              <w:spacing w:after="0" w:line="240" w:lineRule="auto"/>
              <w:ind w:left="-142" w:firstLine="142"/>
              <w:rPr>
                <w:color w:val="000000"/>
              </w:rPr>
            </w:pPr>
          </w:p>
        </w:tc>
      </w:tr>
      <w:tr w:rsidR="002148BB" w:rsidTr="00A73BD0">
        <w:trPr>
          <w:trHeight w:val="300"/>
        </w:trPr>
        <w:tc>
          <w:tcPr>
            <w:tcW w:w="5637" w:type="dxa"/>
            <w:gridSpan w:val="4"/>
            <w:noWrap/>
            <w:vAlign w:val="bottom"/>
          </w:tcPr>
          <w:p w:rsidR="002148BB" w:rsidRDefault="002148BB" w:rsidP="00A73BD0">
            <w:pPr>
              <w:spacing w:after="0" w:line="240" w:lineRule="auto"/>
              <w:ind w:left="-142" w:right="-4752" w:firstLine="142"/>
              <w:rPr>
                <w:rFonts w:ascii="Times New Roman" w:hAnsi="Times New Roman"/>
                <w:color w:val="000000"/>
                <w:sz w:val="20"/>
                <w:szCs w:val="20"/>
                <w:vertAlign w:val="superscript"/>
              </w:rPr>
            </w:pPr>
          </w:p>
          <w:p w:rsidR="002148BB" w:rsidRDefault="002148BB" w:rsidP="00A73BD0">
            <w:pPr>
              <w:spacing w:after="0" w:line="240" w:lineRule="auto"/>
              <w:ind w:left="-142" w:right="-4752" w:firstLine="142"/>
              <w:rPr>
                <w:rFonts w:ascii="Times New Roman" w:hAnsi="Times New Roman"/>
                <w:color w:val="000000"/>
                <w:sz w:val="20"/>
                <w:szCs w:val="20"/>
              </w:rPr>
            </w:pPr>
            <w:r>
              <w:rPr>
                <w:rFonts w:ascii="Times New Roman" w:hAnsi="Times New Roman"/>
                <w:color w:val="000000"/>
                <w:sz w:val="20"/>
                <w:szCs w:val="20"/>
                <w:vertAlign w:val="superscript"/>
              </w:rPr>
              <w:t>1</w:t>
            </w:r>
            <w:r>
              <w:rPr>
                <w:rFonts w:ascii="Times New Roman" w:hAnsi="Times New Roman"/>
                <w:color w:val="000000"/>
                <w:sz w:val="20"/>
                <w:szCs w:val="20"/>
              </w:rPr>
              <w:t xml:space="preserve"> - с учетом объемов субъектов малого предпринимательства;</w:t>
            </w:r>
          </w:p>
          <w:p w:rsidR="002148BB" w:rsidRDefault="002148BB" w:rsidP="00A73BD0">
            <w:pPr>
              <w:spacing w:after="0" w:line="240" w:lineRule="auto"/>
              <w:ind w:left="-142" w:right="-4752" w:firstLine="142"/>
              <w:rPr>
                <w:rFonts w:ascii="Times New Roman" w:hAnsi="Times New Roman"/>
                <w:color w:val="000000"/>
                <w:sz w:val="20"/>
                <w:szCs w:val="20"/>
              </w:rPr>
            </w:pPr>
            <w:r>
              <w:rPr>
                <w:rFonts w:ascii="Times New Roman" w:hAnsi="Times New Roman"/>
                <w:color w:val="000000"/>
                <w:sz w:val="20"/>
                <w:szCs w:val="20"/>
                <w:vertAlign w:val="superscript"/>
              </w:rPr>
              <w:t>2</w:t>
            </w:r>
            <w:r>
              <w:rPr>
                <w:rFonts w:ascii="Times New Roman" w:hAnsi="Times New Roman"/>
                <w:color w:val="000000"/>
                <w:sz w:val="20"/>
                <w:szCs w:val="20"/>
              </w:rPr>
              <w:t xml:space="preserve"> - </w:t>
            </w:r>
            <w:r>
              <w:rPr>
                <w:rFonts w:ascii="Times New Roman" w:hAnsi="Times New Roman"/>
                <w:color w:val="000000"/>
                <w:sz w:val="20"/>
                <w:szCs w:val="20"/>
                <w:vertAlign w:val="superscript"/>
              </w:rPr>
              <w:t xml:space="preserve"> </w:t>
            </w:r>
            <w:r>
              <w:rPr>
                <w:rFonts w:ascii="Times New Roman" w:hAnsi="Times New Roman"/>
                <w:color w:val="000000"/>
                <w:sz w:val="20"/>
                <w:szCs w:val="20"/>
              </w:rPr>
              <w:t>во всех категориях хозяйств;</w:t>
            </w:r>
          </w:p>
          <w:p w:rsidR="002148BB" w:rsidRDefault="002148BB" w:rsidP="00A73BD0">
            <w:pPr>
              <w:spacing w:after="0" w:line="240" w:lineRule="auto"/>
              <w:ind w:left="-142" w:right="-4752" w:firstLine="142"/>
              <w:rPr>
                <w:color w:val="000000"/>
              </w:rPr>
            </w:pPr>
            <w:r>
              <w:rPr>
                <w:rFonts w:ascii="Times New Roman" w:hAnsi="Times New Roman"/>
                <w:color w:val="000000"/>
                <w:sz w:val="20"/>
                <w:szCs w:val="20"/>
                <w:vertAlign w:val="superscript"/>
              </w:rPr>
              <w:t xml:space="preserve">3 – </w:t>
            </w:r>
            <w:r>
              <w:rPr>
                <w:rFonts w:ascii="Times New Roman" w:hAnsi="Times New Roman"/>
                <w:color w:val="000000"/>
                <w:sz w:val="20"/>
                <w:szCs w:val="20"/>
              </w:rPr>
              <w:t>без силовых структур и таможенных органов;</w:t>
            </w:r>
          </w:p>
        </w:tc>
        <w:tc>
          <w:tcPr>
            <w:tcW w:w="969" w:type="dxa"/>
            <w:gridSpan w:val="4"/>
            <w:noWrap/>
            <w:vAlign w:val="bottom"/>
          </w:tcPr>
          <w:p w:rsidR="002148BB" w:rsidRDefault="002148BB" w:rsidP="00A73BD0">
            <w:pPr>
              <w:spacing w:after="0" w:line="240" w:lineRule="auto"/>
              <w:ind w:left="-142" w:firstLine="142"/>
              <w:rPr>
                <w:color w:val="000000"/>
              </w:rPr>
            </w:pPr>
          </w:p>
        </w:tc>
        <w:tc>
          <w:tcPr>
            <w:tcW w:w="1016" w:type="dxa"/>
            <w:gridSpan w:val="4"/>
            <w:noWrap/>
            <w:vAlign w:val="bottom"/>
          </w:tcPr>
          <w:p w:rsidR="002148BB" w:rsidRDefault="002148BB" w:rsidP="00A73BD0">
            <w:pPr>
              <w:spacing w:after="0" w:line="240" w:lineRule="auto"/>
              <w:ind w:left="-142" w:firstLine="142"/>
              <w:rPr>
                <w:color w:val="000000"/>
              </w:rPr>
            </w:pPr>
          </w:p>
        </w:tc>
        <w:tc>
          <w:tcPr>
            <w:tcW w:w="1082" w:type="dxa"/>
            <w:gridSpan w:val="3"/>
          </w:tcPr>
          <w:p w:rsidR="002148BB" w:rsidRDefault="002148BB" w:rsidP="00A73BD0">
            <w:pPr>
              <w:spacing w:after="0" w:line="240" w:lineRule="auto"/>
              <w:ind w:left="-142" w:firstLine="142"/>
              <w:rPr>
                <w:color w:val="000000"/>
              </w:rPr>
            </w:pPr>
          </w:p>
        </w:tc>
        <w:tc>
          <w:tcPr>
            <w:tcW w:w="1086" w:type="dxa"/>
            <w:gridSpan w:val="2"/>
            <w:noWrap/>
            <w:vAlign w:val="bottom"/>
          </w:tcPr>
          <w:p w:rsidR="002148BB" w:rsidRDefault="002148BB" w:rsidP="00A73BD0">
            <w:pPr>
              <w:spacing w:after="0" w:line="240" w:lineRule="auto"/>
              <w:ind w:left="-142" w:firstLine="142"/>
              <w:rPr>
                <w:color w:val="000000"/>
              </w:rPr>
            </w:pPr>
          </w:p>
        </w:tc>
      </w:tr>
      <w:tr w:rsidR="002148BB" w:rsidTr="00A73BD0">
        <w:trPr>
          <w:gridAfter w:val="8"/>
          <w:wAfter w:w="2807" w:type="dxa"/>
          <w:trHeight w:val="300"/>
        </w:trPr>
        <w:tc>
          <w:tcPr>
            <w:tcW w:w="4219" w:type="dxa"/>
            <w:noWrap/>
            <w:vAlign w:val="bottom"/>
            <w:hideMark/>
          </w:tcPr>
          <w:p w:rsidR="002148BB" w:rsidRDefault="002148BB" w:rsidP="00A73BD0">
            <w:pPr>
              <w:spacing w:after="0" w:line="240" w:lineRule="auto"/>
              <w:ind w:left="-142" w:firstLine="142"/>
              <w:rPr>
                <w:rFonts w:ascii="Times New Roman" w:hAnsi="Times New Roman"/>
                <w:color w:val="000000"/>
                <w:sz w:val="20"/>
                <w:szCs w:val="20"/>
              </w:rPr>
            </w:pPr>
            <w:r>
              <w:rPr>
                <w:rFonts w:ascii="Times New Roman" w:hAnsi="Times New Roman"/>
                <w:color w:val="000000"/>
                <w:sz w:val="20"/>
                <w:szCs w:val="20"/>
                <w:vertAlign w:val="superscript"/>
              </w:rPr>
              <w:t>4</w:t>
            </w:r>
            <w:r>
              <w:rPr>
                <w:rFonts w:ascii="Times New Roman" w:hAnsi="Times New Roman"/>
                <w:color w:val="000000"/>
                <w:sz w:val="20"/>
                <w:szCs w:val="20"/>
              </w:rPr>
              <w:t xml:space="preserve"> - к декабрю предыдущего года</w:t>
            </w:r>
          </w:p>
        </w:tc>
        <w:tc>
          <w:tcPr>
            <w:tcW w:w="709" w:type="dxa"/>
            <w:gridSpan w:val="2"/>
            <w:noWrap/>
            <w:vAlign w:val="bottom"/>
          </w:tcPr>
          <w:p w:rsidR="002148BB" w:rsidRDefault="002148BB" w:rsidP="00A73BD0">
            <w:pPr>
              <w:spacing w:after="0" w:line="240" w:lineRule="auto"/>
              <w:ind w:left="-142" w:firstLine="142"/>
              <w:rPr>
                <w:color w:val="000000"/>
              </w:rPr>
            </w:pPr>
          </w:p>
        </w:tc>
        <w:tc>
          <w:tcPr>
            <w:tcW w:w="969" w:type="dxa"/>
            <w:gridSpan w:val="2"/>
            <w:noWrap/>
            <w:vAlign w:val="bottom"/>
          </w:tcPr>
          <w:p w:rsidR="002148BB" w:rsidRDefault="002148BB" w:rsidP="00A73BD0">
            <w:pPr>
              <w:spacing w:after="0" w:line="240" w:lineRule="auto"/>
              <w:ind w:left="-142" w:firstLine="142"/>
              <w:rPr>
                <w:color w:val="000000"/>
              </w:rPr>
            </w:pPr>
          </w:p>
        </w:tc>
        <w:tc>
          <w:tcPr>
            <w:tcW w:w="1086" w:type="dxa"/>
            <w:gridSpan w:val="4"/>
            <w:noWrap/>
            <w:vAlign w:val="bottom"/>
          </w:tcPr>
          <w:p w:rsidR="002148BB" w:rsidRDefault="002148BB" w:rsidP="00A73BD0">
            <w:pPr>
              <w:spacing w:after="0" w:line="240" w:lineRule="auto"/>
              <w:ind w:left="-142" w:firstLine="142"/>
              <w:rPr>
                <w:color w:val="000000"/>
              </w:rPr>
            </w:pPr>
          </w:p>
        </w:tc>
      </w:tr>
    </w:tbl>
    <w:p w:rsidR="002148BB" w:rsidRPr="001A1E70" w:rsidRDefault="002148BB" w:rsidP="002148BB"/>
    <w:p w:rsidR="00C40A42" w:rsidRPr="0080737A" w:rsidRDefault="00C40A42" w:rsidP="006A29F1"/>
    <w:p w:rsidR="00335844" w:rsidRPr="0080737A" w:rsidRDefault="00335844" w:rsidP="00335844">
      <w:pPr>
        <w:spacing w:after="0" w:line="240" w:lineRule="auto"/>
        <w:ind w:firstLine="709"/>
        <w:jc w:val="center"/>
        <w:rPr>
          <w:rFonts w:ascii="Times New Roman" w:hAnsi="Times New Roman"/>
          <w:sz w:val="24"/>
          <w:szCs w:val="24"/>
        </w:rPr>
        <w:sectPr w:rsidR="00335844" w:rsidRPr="0080737A" w:rsidSect="003F67B2">
          <w:pgSz w:w="11906" w:h="16838" w:code="9"/>
          <w:pgMar w:top="1134" w:right="851" w:bottom="1134" w:left="1701" w:header="709" w:footer="709" w:gutter="0"/>
          <w:cols w:space="708"/>
          <w:titlePg/>
          <w:docGrid w:linePitch="360"/>
        </w:sectPr>
      </w:pPr>
    </w:p>
    <w:p w:rsidR="005074C0" w:rsidRPr="0080737A" w:rsidRDefault="005074C0" w:rsidP="005074C0">
      <w:pPr>
        <w:keepNext/>
        <w:spacing w:after="0" w:line="240" w:lineRule="auto"/>
        <w:jc w:val="right"/>
        <w:rPr>
          <w:rFonts w:ascii="Times New Roman" w:hAnsi="Times New Roman"/>
          <w:b/>
          <w:bCs/>
          <w:sz w:val="24"/>
          <w:szCs w:val="24"/>
        </w:rPr>
      </w:pPr>
      <w:r w:rsidRPr="0080737A">
        <w:rPr>
          <w:rFonts w:ascii="Times New Roman" w:hAnsi="Times New Roman"/>
          <w:b/>
          <w:bCs/>
          <w:sz w:val="24"/>
          <w:szCs w:val="24"/>
        </w:rPr>
        <w:lastRenderedPageBreak/>
        <w:t>Приложение №2</w:t>
      </w:r>
    </w:p>
    <w:p w:rsidR="005074C0" w:rsidRPr="0080737A" w:rsidRDefault="005074C0" w:rsidP="005074C0">
      <w:pPr>
        <w:spacing w:after="0" w:line="240" w:lineRule="auto"/>
        <w:ind w:firstLine="709"/>
        <w:jc w:val="right"/>
        <w:rPr>
          <w:rFonts w:ascii="Times New Roman" w:eastAsia="Calibri" w:hAnsi="Times New Roman"/>
          <w:b/>
          <w:sz w:val="24"/>
          <w:szCs w:val="24"/>
        </w:rPr>
      </w:pPr>
    </w:p>
    <w:p w:rsidR="000C7A80" w:rsidRPr="000C7A80" w:rsidRDefault="000C7A80" w:rsidP="000C7A80">
      <w:pPr>
        <w:spacing w:after="0" w:line="240" w:lineRule="auto"/>
        <w:jc w:val="center"/>
        <w:rPr>
          <w:rFonts w:ascii="Times New Roman" w:hAnsi="Times New Roman"/>
          <w:b/>
          <w:sz w:val="24"/>
          <w:szCs w:val="24"/>
        </w:rPr>
      </w:pPr>
      <w:r w:rsidRPr="000C7A80">
        <w:rPr>
          <w:rFonts w:ascii="Times New Roman" w:hAnsi="Times New Roman"/>
          <w:b/>
          <w:sz w:val="24"/>
          <w:szCs w:val="24"/>
        </w:rPr>
        <w:t>Динамика и структура промышленного производства и реализации продукции по отраслям промышленности</w:t>
      </w:r>
    </w:p>
    <w:p w:rsidR="00C40A42" w:rsidRDefault="00C40A42" w:rsidP="00C40A42">
      <w:pPr>
        <w:spacing w:after="0" w:line="240" w:lineRule="auto"/>
        <w:jc w:val="center"/>
        <w:rPr>
          <w:rFonts w:ascii="Times New Roman" w:hAnsi="Times New Roman"/>
          <w:b/>
          <w:sz w:val="28"/>
          <w:szCs w:val="28"/>
        </w:rPr>
      </w:pPr>
    </w:p>
    <w:tbl>
      <w:tblPr>
        <w:tblW w:w="9622" w:type="dxa"/>
        <w:tblInd w:w="-72" w:type="dxa"/>
        <w:tblLayout w:type="fixed"/>
        <w:tblLook w:val="0000"/>
      </w:tblPr>
      <w:tblGrid>
        <w:gridCol w:w="3183"/>
        <w:gridCol w:w="933"/>
        <w:gridCol w:w="784"/>
        <w:gridCol w:w="1140"/>
        <w:gridCol w:w="862"/>
        <w:gridCol w:w="791"/>
        <w:gridCol w:w="934"/>
        <w:gridCol w:w="995"/>
      </w:tblGrid>
      <w:tr w:rsidR="000C7A80" w:rsidRPr="004C49D8" w:rsidTr="00A73BD0">
        <w:trPr>
          <w:cantSplit/>
          <w:trHeight w:val="366"/>
        </w:trPr>
        <w:tc>
          <w:tcPr>
            <w:tcW w:w="3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C7A80" w:rsidRPr="004C49D8" w:rsidRDefault="000C7A80" w:rsidP="00A73BD0">
            <w:pPr>
              <w:spacing w:after="0" w:line="240" w:lineRule="auto"/>
              <w:ind w:left="-108" w:right="-108"/>
              <w:jc w:val="center"/>
              <w:rPr>
                <w:rFonts w:ascii="Times New Roman" w:hAnsi="Times New Roman"/>
                <w:sz w:val="24"/>
                <w:szCs w:val="24"/>
              </w:rPr>
            </w:pPr>
            <w:r w:rsidRPr="004C49D8">
              <w:rPr>
                <w:rFonts w:ascii="Times New Roman" w:hAnsi="Times New Roman"/>
                <w:sz w:val="24"/>
                <w:szCs w:val="24"/>
              </w:rPr>
              <w:t>Название отраслей промышленности</w:t>
            </w:r>
          </w:p>
        </w:tc>
        <w:tc>
          <w:tcPr>
            <w:tcW w:w="3719" w:type="dxa"/>
            <w:gridSpan w:val="4"/>
            <w:tcBorders>
              <w:top w:val="single" w:sz="4" w:space="0" w:color="auto"/>
              <w:left w:val="nil"/>
              <w:bottom w:val="single" w:sz="4" w:space="0" w:color="auto"/>
              <w:right w:val="single" w:sz="4" w:space="0" w:color="auto"/>
            </w:tcBorders>
            <w:shd w:val="clear" w:color="auto" w:fill="auto"/>
            <w:noWrap/>
            <w:vAlign w:val="center"/>
          </w:tcPr>
          <w:p w:rsidR="000C7A80" w:rsidRPr="004C49D8" w:rsidRDefault="000C7A80" w:rsidP="00A73BD0">
            <w:pPr>
              <w:spacing w:after="0" w:line="240" w:lineRule="auto"/>
              <w:jc w:val="center"/>
              <w:rPr>
                <w:rFonts w:ascii="Times New Roman" w:hAnsi="Times New Roman"/>
                <w:sz w:val="24"/>
                <w:szCs w:val="24"/>
              </w:rPr>
            </w:pPr>
            <w:r w:rsidRPr="004C49D8">
              <w:rPr>
                <w:rFonts w:ascii="Times New Roman" w:hAnsi="Times New Roman"/>
                <w:sz w:val="24"/>
                <w:szCs w:val="24"/>
              </w:rPr>
              <w:t>Объем промышленного производства</w:t>
            </w:r>
          </w:p>
        </w:tc>
        <w:tc>
          <w:tcPr>
            <w:tcW w:w="7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C7A80" w:rsidRPr="004C49D8" w:rsidRDefault="000C7A80" w:rsidP="00A73BD0">
            <w:pPr>
              <w:spacing w:after="0" w:line="240" w:lineRule="auto"/>
              <w:jc w:val="center"/>
              <w:rPr>
                <w:rFonts w:ascii="Times New Roman" w:hAnsi="Times New Roman"/>
                <w:sz w:val="24"/>
                <w:szCs w:val="24"/>
              </w:rPr>
            </w:pPr>
            <w:r w:rsidRPr="004C49D8">
              <w:rPr>
                <w:rFonts w:ascii="Times New Roman" w:hAnsi="Times New Roman"/>
                <w:sz w:val="24"/>
                <w:szCs w:val="24"/>
              </w:rPr>
              <w:t>Удельный вес отрасли в общем объеме производства, %</w:t>
            </w:r>
          </w:p>
        </w:tc>
        <w:tc>
          <w:tcPr>
            <w:tcW w:w="1929" w:type="dxa"/>
            <w:gridSpan w:val="2"/>
            <w:tcBorders>
              <w:top w:val="single" w:sz="4" w:space="0" w:color="auto"/>
              <w:left w:val="nil"/>
              <w:bottom w:val="single" w:sz="4" w:space="0" w:color="auto"/>
              <w:right w:val="single" w:sz="4" w:space="0" w:color="auto"/>
            </w:tcBorders>
            <w:shd w:val="clear" w:color="auto" w:fill="auto"/>
          </w:tcPr>
          <w:p w:rsidR="000C7A80" w:rsidRPr="004C49D8" w:rsidRDefault="000C7A80" w:rsidP="00A73BD0">
            <w:pPr>
              <w:spacing w:after="0" w:line="240" w:lineRule="auto"/>
              <w:ind w:left="-169"/>
              <w:jc w:val="center"/>
              <w:rPr>
                <w:rFonts w:ascii="Times New Roman" w:hAnsi="Times New Roman"/>
                <w:sz w:val="24"/>
                <w:szCs w:val="24"/>
              </w:rPr>
            </w:pPr>
            <w:r w:rsidRPr="004C49D8">
              <w:rPr>
                <w:rFonts w:ascii="Times New Roman" w:hAnsi="Times New Roman"/>
                <w:sz w:val="24"/>
                <w:szCs w:val="24"/>
              </w:rPr>
              <w:t>Объем реализованной продукции</w:t>
            </w:r>
          </w:p>
        </w:tc>
      </w:tr>
      <w:tr w:rsidR="000C7A80" w:rsidRPr="004C49D8" w:rsidTr="00A73BD0">
        <w:trPr>
          <w:cantSplit/>
          <w:trHeight w:val="2587"/>
        </w:trPr>
        <w:tc>
          <w:tcPr>
            <w:tcW w:w="31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7A80" w:rsidRPr="004C49D8" w:rsidRDefault="000C7A80" w:rsidP="00A73BD0">
            <w:pPr>
              <w:spacing w:after="0" w:line="240" w:lineRule="auto"/>
              <w:ind w:left="-108" w:right="-108"/>
              <w:rPr>
                <w:rFonts w:ascii="Times New Roman" w:hAnsi="Times New Roman"/>
                <w:sz w:val="24"/>
                <w:szCs w:val="24"/>
              </w:rPr>
            </w:pP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0C7A80" w:rsidRPr="004C49D8" w:rsidRDefault="000C7A80" w:rsidP="00A73BD0">
            <w:pPr>
              <w:suppressAutoHyphens/>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20</w:t>
            </w:r>
            <w:r>
              <w:rPr>
                <w:rFonts w:ascii="Times New Roman" w:hAnsi="Times New Roman"/>
                <w:snapToGrid w:val="0"/>
                <w:sz w:val="24"/>
                <w:szCs w:val="24"/>
              </w:rPr>
              <w:t>17</w:t>
            </w:r>
            <w:r w:rsidRPr="004C49D8">
              <w:rPr>
                <w:rFonts w:ascii="Times New Roman" w:hAnsi="Times New Roman"/>
                <w:snapToGrid w:val="0"/>
                <w:sz w:val="24"/>
                <w:szCs w:val="24"/>
              </w:rPr>
              <w:t>г.,</w:t>
            </w:r>
          </w:p>
          <w:p w:rsidR="000C7A80" w:rsidRPr="004C49D8" w:rsidRDefault="000C7A80" w:rsidP="00A73BD0">
            <w:pPr>
              <w:suppressAutoHyphens/>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млн. дол</w:t>
            </w:r>
            <w:r>
              <w:rPr>
                <w:rFonts w:ascii="Times New Roman" w:hAnsi="Times New Roman"/>
                <w:snapToGrid w:val="0"/>
                <w:sz w:val="24"/>
                <w:szCs w:val="24"/>
              </w:rPr>
              <w:t>л</w:t>
            </w:r>
            <w:r w:rsidRPr="004C49D8">
              <w:rPr>
                <w:rFonts w:ascii="Times New Roman" w:hAnsi="Times New Roman"/>
                <w:snapToGrid w:val="0"/>
                <w:sz w:val="24"/>
                <w:szCs w:val="24"/>
              </w:rPr>
              <w:t>.</w:t>
            </w:r>
          </w:p>
        </w:tc>
        <w:tc>
          <w:tcPr>
            <w:tcW w:w="784" w:type="dxa"/>
            <w:tcBorders>
              <w:top w:val="single" w:sz="4" w:space="0" w:color="auto"/>
              <w:left w:val="nil"/>
              <w:bottom w:val="single" w:sz="4" w:space="0" w:color="auto"/>
              <w:right w:val="single" w:sz="4" w:space="0" w:color="auto"/>
            </w:tcBorders>
            <w:shd w:val="clear" w:color="auto" w:fill="auto"/>
            <w:textDirection w:val="btLr"/>
            <w:vAlign w:val="center"/>
          </w:tcPr>
          <w:p w:rsidR="000C7A80" w:rsidRPr="00FE5CAF" w:rsidRDefault="000C7A80" w:rsidP="00A73BD0">
            <w:pPr>
              <w:pStyle w:val="afc"/>
              <w:ind w:left="0" w:right="0"/>
              <w:rPr>
                <w:b w:val="0"/>
                <w:snapToGrid w:val="0"/>
                <w:sz w:val="24"/>
                <w:szCs w:val="24"/>
              </w:rPr>
            </w:pPr>
            <w:r w:rsidRPr="00FE5CAF">
              <w:rPr>
                <w:b w:val="0"/>
                <w:sz w:val="24"/>
                <w:szCs w:val="24"/>
              </w:rPr>
              <w:t>Темп роста</w:t>
            </w:r>
          </w:p>
          <w:p w:rsidR="000C7A80" w:rsidRPr="004C49D8" w:rsidRDefault="000C7A80" w:rsidP="00A73BD0">
            <w:pPr>
              <w:pStyle w:val="afc"/>
              <w:ind w:left="0" w:right="0"/>
              <w:rPr>
                <w:snapToGrid w:val="0"/>
                <w:sz w:val="24"/>
                <w:szCs w:val="24"/>
              </w:rPr>
            </w:pPr>
            <w:r w:rsidRPr="00FE5CAF">
              <w:rPr>
                <w:b w:val="0"/>
                <w:snapToGrid w:val="0"/>
                <w:sz w:val="24"/>
                <w:szCs w:val="24"/>
              </w:rPr>
              <w:t>201</w:t>
            </w:r>
            <w:r>
              <w:rPr>
                <w:b w:val="0"/>
                <w:snapToGrid w:val="0"/>
                <w:sz w:val="24"/>
                <w:szCs w:val="24"/>
              </w:rPr>
              <w:t>7</w:t>
            </w:r>
            <w:r w:rsidRPr="00FE5CAF">
              <w:rPr>
                <w:b w:val="0"/>
                <w:snapToGrid w:val="0"/>
                <w:sz w:val="24"/>
                <w:szCs w:val="24"/>
              </w:rPr>
              <w:t xml:space="preserve"> г.</w:t>
            </w:r>
            <w:r>
              <w:rPr>
                <w:b w:val="0"/>
                <w:snapToGrid w:val="0"/>
                <w:sz w:val="24"/>
                <w:szCs w:val="24"/>
              </w:rPr>
              <w:t xml:space="preserve"> </w:t>
            </w:r>
            <w:r w:rsidRPr="002943D5">
              <w:rPr>
                <w:b w:val="0"/>
                <w:snapToGrid w:val="0"/>
                <w:sz w:val="24"/>
                <w:szCs w:val="24"/>
              </w:rPr>
              <w:t>к 2016 г.</w:t>
            </w:r>
            <w:r w:rsidRPr="002943D5">
              <w:rPr>
                <w:b w:val="0"/>
                <w:sz w:val="24"/>
                <w:szCs w:val="24"/>
              </w:rPr>
              <w:t>, %</w:t>
            </w:r>
          </w:p>
        </w:tc>
        <w:tc>
          <w:tcPr>
            <w:tcW w:w="1140" w:type="dxa"/>
            <w:tcBorders>
              <w:top w:val="single" w:sz="4" w:space="0" w:color="auto"/>
              <w:left w:val="nil"/>
              <w:bottom w:val="single" w:sz="4" w:space="0" w:color="auto"/>
              <w:right w:val="single" w:sz="4" w:space="0" w:color="auto"/>
            </w:tcBorders>
            <w:shd w:val="clear" w:color="auto" w:fill="auto"/>
            <w:textDirection w:val="btLr"/>
            <w:vAlign w:val="center"/>
          </w:tcPr>
          <w:p w:rsidR="000C7A80" w:rsidRDefault="000C7A80" w:rsidP="00A73BD0">
            <w:pPr>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20</w:t>
            </w:r>
            <w:r>
              <w:rPr>
                <w:rFonts w:ascii="Times New Roman" w:hAnsi="Times New Roman"/>
                <w:snapToGrid w:val="0"/>
                <w:sz w:val="24"/>
                <w:szCs w:val="24"/>
              </w:rPr>
              <w:t>17</w:t>
            </w:r>
            <w:r w:rsidRPr="004C49D8">
              <w:rPr>
                <w:rFonts w:ascii="Times New Roman" w:hAnsi="Times New Roman"/>
                <w:snapToGrid w:val="0"/>
                <w:sz w:val="24"/>
                <w:szCs w:val="24"/>
              </w:rPr>
              <w:t xml:space="preserve"> г.</w:t>
            </w:r>
            <w:r>
              <w:rPr>
                <w:rFonts w:ascii="Times New Roman" w:hAnsi="Times New Roman"/>
                <w:snapToGrid w:val="0"/>
                <w:sz w:val="24"/>
                <w:szCs w:val="24"/>
              </w:rPr>
              <w:t xml:space="preserve"> </w:t>
            </w:r>
          </w:p>
          <w:p w:rsidR="000C7A80" w:rsidRPr="004C49D8" w:rsidRDefault="000C7A80" w:rsidP="00A73BD0">
            <w:pPr>
              <w:spacing w:after="0" w:line="240" w:lineRule="auto"/>
              <w:jc w:val="center"/>
              <w:rPr>
                <w:rFonts w:ascii="Times New Roman" w:hAnsi="Times New Roman"/>
                <w:sz w:val="24"/>
                <w:szCs w:val="24"/>
              </w:rPr>
            </w:pPr>
            <w:r w:rsidRPr="004C49D8">
              <w:rPr>
                <w:rFonts w:ascii="Times New Roman" w:hAnsi="Times New Roman"/>
                <w:sz w:val="24"/>
                <w:szCs w:val="24"/>
              </w:rPr>
              <w:t>в текущих ценах</w:t>
            </w:r>
            <w:r>
              <w:rPr>
                <w:rFonts w:ascii="Times New Roman" w:hAnsi="Times New Roman"/>
                <w:sz w:val="24"/>
                <w:szCs w:val="24"/>
              </w:rPr>
              <w:t>,</w:t>
            </w:r>
          </w:p>
          <w:p w:rsidR="000C7A80" w:rsidRPr="004C49D8" w:rsidRDefault="000C7A80" w:rsidP="00A73BD0">
            <w:pPr>
              <w:spacing w:after="0" w:line="240" w:lineRule="auto"/>
              <w:jc w:val="center"/>
              <w:rPr>
                <w:rFonts w:ascii="Times New Roman" w:hAnsi="Times New Roman"/>
                <w:sz w:val="24"/>
                <w:szCs w:val="24"/>
              </w:rPr>
            </w:pPr>
            <w:r w:rsidRPr="004C49D8">
              <w:rPr>
                <w:rFonts w:ascii="Times New Roman" w:hAnsi="Times New Roman"/>
                <w:sz w:val="24"/>
                <w:szCs w:val="24"/>
              </w:rPr>
              <w:t>млн. руб.</w:t>
            </w:r>
          </w:p>
        </w:tc>
        <w:tc>
          <w:tcPr>
            <w:tcW w:w="862" w:type="dxa"/>
            <w:tcBorders>
              <w:top w:val="single" w:sz="4" w:space="0" w:color="auto"/>
              <w:left w:val="nil"/>
              <w:bottom w:val="single" w:sz="4" w:space="0" w:color="auto"/>
              <w:right w:val="single" w:sz="4" w:space="0" w:color="auto"/>
            </w:tcBorders>
            <w:shd w:val="clear" w:color="auto" w:fill="auto"/>
            <w:textDirection w:val="btLr"/>
            <w:vAlign w:val="center"/>
          </w:tcPr>
          <w:p w:rsidR="000C7A80" w:rsidRPr="00FE5CAF" w:rsidRDefault="000C7A80" w:rsidP="00A73BD0">
            <w:pPr>
              <w:pStyle w:val="afc"/>
              <w:ind w:left="0" w:right="0"/>
              <w:rPr>
                <w:b w:val="0"/>
                <w:snapToGrid w:val="0"/>
                <w:sz w:val="24"/>
                <w:szCs w:val="24"/>
              </w:rPr>
            </w:pPr>
            <w:r w:rsidRPr="00FE5CAF">
              <w:rPr>
                <w:b w:val="0"/>
                <w:sz w:val="24"/>
                <w:szCs w:val="24"/>
              </w:rPr>
              <w:t>Темп роста</w:t>
            </w:r>
          </w:p>
          <w:p w:rsidR="000C7A80" w:rsidRPr="004C49D8" w:rsidRDefault="000C7A80" w:rsidP="00A73BD0">
            <w:pPr>
              <w:pStyle w:val="afc"/>
              <w:ind w:left="0" w:right="0"/>
              <w:rPr>
                <w:snapToGrid w:val="0"/>
                <w:sz w:val="24"/>
                <w:szCs w:val="24"/>
              </w:rPr>
            </w:pPr>
            <w:r w:rsidRPr="00FE5CAF">
              <w:rPr>
                <w:b w:val="0"/>
                <w:snapToGrid w:val="0"/>
                <w:sz w:val="24"/>
                <w:szCs w:val="24"/>
              </w:rPr>
              <w:t>201</w:t>
            </w:r>
            <w:r>
              <w:rPr>
                <w:b w:val="0"/>
                <w:snapToGrid w:val="0"/>
                <w:sz w:val="24"/>
                <w:szCs w:val="24"/>
              </w:rPr>
              <w:t>7</w:t>
            </w:r>
            <w:r w:rsidRPr="00FE5CAF">
              <w:rPr>
                <w:b w:val="0"/>
                <w:snapToGrid w:val="0"/>
                <w:sz w:val="24"/>
                <w:szCs w:val="24"/>
              </w:rPr>
              <w:t xml:space="preserve"> г.</w:t>
            </w:r>
            <w:r>
              <w:rPr>
                <w:b w:val="0"/>
                <w:snapToGrid w:val="0"/>
                <w:sz w:val="24"/>
                <w:szCs w:val="24"/>
              </w:rPr>
              <w:t xml:space="preserve"> </w:t>
            </w:r>
            <w:r w:rsidRPr="002943D5">
              <w:rPr>
                <w:b w:val="0"/>
                <w:snapToGrid w:val="0"/>
                <w:sz w:val="24"/>
                <w:szCs w:val="24"/>
              </w:rPr>
              <w:t>к 2016 г.</w:t>
            </w:r>
            <w:r w:rsidRPr="002943D5">
              <w:rPr>
                <w:b w:val="0"/>
                <w:sz w:val="24"/>
                <w:szCs w:val="24"/>
              </w:rPr>
              <w:t>, %</w:t>
            </w:r>
          </w:p>
        </w:tc>
        <w:tc>
          <w:tcPr>
            <w:tcW w:w="7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7A80" w:rsidRPr="004C49D8" w:rsidRDefault="000C7A80" w:rsidP="00A73BD0">
            <w:pPr>
              <w:spacing w:after="0" w:line="240" w:lineRule="auto"/>
              <w:jc w:val="center"/>
              <w:rPr>
                <w:rFonts w:ascii="Times New Roman" w:hAnsi="Times New Roman"/>
                <w:sz w:val="24"/>
                <w:szCs w:val="24"/>
              </w:rPr>
            </w:pPr>
          </w:p>
        </w:tc>
        <w:tc>
          <w:tcPr>
            <w:tcW w:w="934" w:type="dxa"/>
            <w:tcBorders>
              <w:top w:val="nil"/>
              <w:left w:val="nil"/>
              <w:bottom w:val="single" w:sz="4" w:space="0" w:color="auto"/>
              <w:right w:val="single" w:sz="4" w:space="0" w:color="auto"/>
            </w:tcBorders>
            <w:shd w:val="clear" w:color="auto" w:fill="auto"/>
            <w:textDirection w:val="btLr"/>
            <w:vAlign w:val="center"/>
          </w:tcPr>
          <w:p w:rsidR="000C7A80" w:rsidRPr="003A38B4" w:rsidRDefault="000C7A80" w:rsidP="00A73BD0">
            <w:pPr>
              <w:spacing w:after="0" w:line="240" w:lineRule="auto"/>
              <w:jc w:val="center"/>
              <w:rPr>
                <w:rFonts w:ascii="Times New Roman" w:hAnsi="Times New Roman"/>
                <w:snapToGrid w:val="0"/>
                <w:sz w:val="24"/>
                <w:szCs w:val="24"/>
              </w:rPr>
            </w:pPr>
            <w:r w:rsidRPr="004C49D8">
              <w:rPr>
                <w:rFonts w:ascii="Times New Roman" w:hAnsi="Times New Roman"/>
                <w:snapToGrid w:val="0"/>
                <w:sz w:val="24"/>
                <w:szCs w:val="24"/>
              </w:rPr>
              <w:t>20</w:t>
            </w:r>
            <w:r>
              <w:rPr>
                <w:rFonts w:ascii="Times New Roman" w:hAnsi="Times New Roman"/>
                <w:snapToGrid w:val="0"/>
                <w:sz w:val="24"/>
                <w:szCs w:val="24"/>
              </w:rPr>
              <w:t>17</w:t>
            </w:r>
            <w:r w:rsidRPr="004C49D8">
              <w:rPr>
                <w:rFonts w:ascii="Times New Roman" w:hAnsi="Times New Roman"/>
                <w:snapToGrid w:val="0"/>
                <w:sz w:val="24"/>
                <w:szCs w:val="24"/>
              </w:rPr>
              <w:t xml:space="preserve"> г.</w:t>
            </w:r>
            <w:r>
              <w:rPr>
                <w:rFonts w:ascii="Times New Roman" w:hAnsi="Times New Roman"/>
                <w:snapToGrid w:val="0"/>
                <w:sz w:val="24"/>
                <w:szCs w:val="24"/>
              </w:rPr>
              <w:t>,</w:t>
            </w:r>
          </w:p>
          <w:p w:rsidR="000C7A80" w:rsidRPr="004C49D8" w:rsidRDefault="000C7A80" w:rsidP="00A73BD0">
            <w:pPr>
              <w:spacing w:after="0" w:line="240" w:lineRule="auto"/>
              <w:jc w:val="center"/>
              <w:rPr>
                <w:rFonts w:ascii="Times New Roman" w:hAnsi="Times New Roman"/>
                <w:sz w:val="24"/>
                <w:szCs w:val="24"/>
              </w:rPr>
            </w:pPr>
            <w:r w:rsidRPr="004C49D8">
              <w:rPr>
                <w:rFonts w:ascii="Times New Roman" w:hAnsi="Times New Roman"/>
                <w:sz w:val="24"/>
                <w:szCs w:val="24"/>
              </w:rPr>
              <w:t>млн. руб.</w:t>
            </w:r>
          </w:p>
        </w:tc>
        <w:tc>
          <w:tcPr>
            <w:tcW w:w="995" w:type="dxa"/>
            <w:tcBorders>
              <w:top w:val="nil"/>
              <w:left w:val="nil"/>
              <w:bottom w:val="single" w:sz="4" w:space="0" w:color="auto"/>
              <w:right w:val="single" w:sz="4" w:space="0" w:color="auto"/>
            </w:tcBorders>
            <w:shd w:val="clear" w:color="auto" w:fill="auto"/>
            <w:textDirection w:val="btLr"/>
            <w:vAlign w:val="center"/>
          </w:tcPr>
          <w:p w:rsidR="000C7A80" w:rsidRPr="00FE5CAF" w:rsidRDefault="000C7A80" w:rsidP="00A73BD0">
            <w:pPr>
              <w:pStyle w:val="afc"/>
              <w:ind w:left="0" w:right="0"/>
              <w:rPr>
                <w:b w:val="0"/>
                <w:snapToGrid w:val="0"/>
                <w:sz w:val="24"/>
                <w:szCs w:val="24"/>
              </w:rPr>
            </w:pPr>
            <w:r w:rsidRPr="00FE5CAF">
              <w:rPr>
                <w:b w:val="0"/>
                <w:sz w:val="24"/>
                <w:szCs w:val="24"/>
              </w:rPr>
              <w:t>Темп роста</w:t>
            </w:r>
          </w:p>
          <w:p w:rsidR="000C7A80" w:rsidRPr="004C49D8" w:rsidRDefault="000C7A80" w:rsidP="00A73BD0">
            <w:pPr>
              <w:pStyle w:val="afc"/>
              <w:ind w:left="0" w:right="0"/>
              <w:rPr>
                <w:snapToGrid w:val="0"/>
                <w:sz w:val="24"/>
                <w:szCs w:val="24"/>
              </w:rPr>
            </w:pPr>
            <w:r w:rsidRPr="00FE5CAF">
              <w:rPr>
                <w:b w:val="0"/>
                <w:snapToGrid w:val="0"/>
                <w:sz w:val="24"/>
                <w:szCs w:val="24"/>
              </w:rPr>
              <w:t>201</w:t>
            </w:r>
            <w:r>
              <w:rPr>
                <w:b w:val="0"/>
                <w:snapToGrid w:val="0"/>
                <w:sz w:val="24"/>
                <w:szCs w:val="24"/>
              </w:rPr>
              <w:t>7</w:t>
            </w:r>
            <w:r w:rsidRPr="00FE5CAF">
              <w:rPr>
                <w:b w:val="0"/>
                <w:snapToGrid w:val="0"/>
                <w:sz w:val="24"/>
                <w:szCs w:val="24"/>
              </w:rPr>
              <w:t xml:space="preserve"> г.</w:t>
            </w:r>
            <w:r>
              <w:rPr>
                <w:b w:val="0"/>
                <w:snapToGrid w:val="0"/>
                <w:sz w:val="24"/>
                <w:szCs w:val="24"/>
              </w:rPr>
              <w:t xml:space="preserve"> </w:t>
            </w:r>
            <w:r w:rsidRPr="002943D5">
              <w:rPr>
                <w:b w:val="0"/>
                <w:snapToGrid w:val="0"/>
                <w:sz w:val="24"/>
                <w:szCs w:val="24"/>
              </w:rPr>
              <w:t>к 2016 г.</w:t>
            </w:r>
            <w:r w:rsidRPr="002943D5">
              <w:rPr>
                <w:b w:val="0"/>
                <w:sz w:val="24"/>
                <w:szCs w:val="24"/>
              </w:rPr>
              <w:t>, %</w:t>
            </w:r>
          </w:p>
        </w:tc>
      </w:tr>
      <w:tr w:rsidR="000C7A80" w:rsidRPr="007074C7" w:rsidTr="00A73BD0">
        <w:trPr>
          <w:trHeight w:val="332"/>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Электроэнергетика</w:t>
            </w:r>
          </w:p>
        </w:tc>
        <w:tc>
          <w:tcPr>
            <w:tcW w:w="933" w:type="dxa"/>
            <w:tcBorders>
              <w:top w:val="single" w:sz="4"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233,0</w:t>
            </w:r>
          </w:p>
        </w:tc>
        <w:tc>
          <w:tcPr>
            <w:tcW w:w="784" w:type="dxa"/>
            <w:tcBorders>
              <w:top w:val="single" w:sz="4"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64,7</w:t>
            </w:r>
          </w:p>
        </w:tc>
        <w:tc>
          <w:tcPr>
            <w:tcW w:w="1140" w:type="dxa"/>
            <w:tcBorders>
              <w:top w:val="single" w:sz="4"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3 066,5</w:t>
            </w:r>
          </w:p>
        </w:tc>
        <w:tc>
          <w:tcPr>
            <w:tcW w:w="862" w:type="dxa"/>
            <w:tcBorders>
              <w:top w:val="single" w:sz="4"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75,7</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Pr>
                <w:rFonts w:ascii="Times New Roman" w:hAnsi="Times New Roman"/>
                <w:color w:val="000000"/>
                <w:sz w:val="24"/>
                <w:szCs w:val="24"/>
              </w:rPr>
              <w:t>30,8</w:t>
            </w:r>
          </w:p>
        </w:tc>
        <w:tc>
          <w:tcPr>
            <w:tcW w:w="934" w:type="dxa"/>
            <w:tcBorders>
              <w:top w:val="nil"/>
              <w:left w:val="nil"/>
              <w:bottom w:val="single" w:sz="4" w:space="0" w:color="auto"/>
              <w:right w:val="single" w:sz="4" w:space="0" w:color="auto"/>
            </w:tcBorders>
            <w:shd w:val="clear" w:color="auto" w:fill="auto"/>
            <w:noWrap/>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3 068,7</w:t>
            </w:r>
          </w:p>
        </w:tc>
        <w:tc>
          <w:tcPr>
            <w:tcW w:w="995" w:type="dxa"/>
            <w:tcBorders>
              <w:top w:val="nil"/>
              <w:left w:val="nil"/>
              <w:bottom w:val="single" w:sz="4" w:space="0" w:color="auto"/>
              <w:right w:val="single" w:sz="4" w:space="0" w:color="auto"/>
            </w:tcBorders>
            <w:shd w:val="clear" w:color="auto" w:fill="auto"/>
            <w:noWrap/>
            <w:vAlign w:val="bottom"/>
          </w:tcPr>
          <w:p w:rsidR="000C7A80" w:rsidRPr="00DE5227" w:rsidRDefault="000C7A80" w:rsidP="00A73BD0">
            <w:pPr>
              <w:spacing w:after="0" w:line="240" w:lineRule="auto"/>
              <w:ind w:left="-65"/>
              <w:jc w:val="center"/>
              <w:rPr>
                <w:rFonts w:ascii="Times New Roman" w:hAnsi="Times New Roman"/>
                <w:sz w:val="24"/>
                <w:szCs w:val="24"/>
              </w:rPr>
            </w:pPr>
            <w:r>
              <w:rPr>
                <w:rFonts w:ascii="Times New Roman" w:hAnsi="Times New Roman"/>
                <w:sz w:val="24"/>
                <w:szCs w:val="24"/>
              </w:rPr>
              <w:t>77,0</w:t>
            </w:r>
          </w:p>
        </w:tc>
      </w:tr>
      <w:tr w:rsidR="000C7A80" w:rsidRPr="004C49D8" w:rsidTr="00A73BD0">
        <w:trPr>
          <w:trHeight w:val="302"/>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Черная металлургия</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41"/>
              <w:jc w:val="center"/>
              <w:rPr>
                <w:rFonts w:ascii="Times New Roman" w:hAnsi="Times New Roman"/>
                <w:sz w:val="24"/>
                <w:szCs w:val="24"/>
              </w:rPr>
            </w:pPr>
            <w:r>
              <w:rPr>
                <w:rFonts w:ascii="Times New Roman" w:hAnsi="Times New Roman"/>
                <w:sz w:val="24"/>
                <w:szCs w:val="24"/>
              </w:rPr>
              <w:t>218,7</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в 3,1р.</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41"/>
              <w:jc w:val="center"/>
              <w:rPr>
                <w:rFonts w:ascii="Times New Roman" w:hAnsi="Times New Roman"/>
                <w:sz w:val="24"/>
                <w:szCs w:val="24"/>
              </w:rPr>
            </w:pPr>
            <w:r>
              <w:rPr>
                <w:rFonts w:ascii="Times New Roman" w:hAnsi="Times New Roman"/>
                <w:sz w:val="24"/>
                <w:szCs w:val="24"/>
              </w:rPr>
              <w:t>2 925,9</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в 3,6р.</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Pr>
                <w:rFonts w:ascii="Times New Roman" w:hAnsi="Times New Roman"/>
                <w:color w:val="000000"/>
                <w:sz w:val="24"/>
                <w:szCs w:val="24"/>
              </w:rPr>
              <w:t>29,3</w:t>
            </w:r>
          </w:p>
        </w:tc>
        <w:tc>
          <w:tcPr>
            <w:tcW w:w="934" w:type="dxa"/>
            <w:tcBorders>
              <w:top w:val="nil"/>
              <w:left w:val="nil"/>
              <w:bottom w:val="single" w:sz="4" w:space="0" w:color="auto"/>
              <w:right w:val="single" w:sz="4" w:space="0" w:color="auto"/>
            </w:tcBorders>
            <w:shd w:val="clear" w:color="auto" w:fill="auto"/>
            <w:noWrap/>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2 925,9</w:t>
            </w:r>
          </w:p>
        </w:tc>
        <w:tc>
          <w:tcPr>
            <w:tcW w:w="995" w:type="dxa"/>
            <w:tcBorders>
              <w:top w:val="nil"/>
              <w:left w:val="nil"/>
              <w:bottom w:val="single" w:sz="4" w:space="0" w:color="auto"/>
              <w:right w:val="single" w:sz="4" w:space="0" w:color="auto"/>
            </w:tcBorders>
            <w:shd w:val="clear" w:color="auto" w:fill="auto"/>
            <w:noWrap/>
            <w:vAlign w:val="bottom"/>
          </w:tcPr>
          <w:p w:rsidR="000C7A80" w:rsidRPr="00DE5227" w:rsidRDefault="000C7A80" w:rsidP="00A73BD0">
            <w:pPr>
              <w:spacing w:after="0" w:line="240" w:lineRule="auto"/>
              <w:ind w:left="-95"/>
              <w:jc w:val="center"/>
              <w:rPr>
                <w:rFonts w:ascii="Times New Roman" w:hAnsi="Times New Roman"/>
                <w:sz w:val="24"/>
                <w:szCs w:val="24"/>
              </w:rPr>
            </w:pPr>
            <w:r>
              <w:rPr>
                <w:rFonts w:ascii="Times New Roman" w:hAnsi="Times New Roman"/>
                <w:sz w:val="24"/>
                <w:szCs w:val="24"/>
              </w:rPr>
              <w:t>в 3,6р.</w:t>
            </w:r>
          </w:p>
        </w:tc>
      </w:tr>
      <w:tr w:rsidR="000C7A80" w:rsidRPr="00DE750C" w:rsidTr="00A73BD0">
        <w:trPr>
          <w:trHeight w:val="235"/>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Химическая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14,3</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106,1</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191,4</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125,7</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Pr>
                <w:rFonts w:ascii="Times New Roman" w:hAnsi="Times New Roman"/>
                <w:color w:val="000000"/>
                <w:sz w:val="24"/>
                <w:szCs w:val="24"/>
              </w:rPr>
              <w:t>1,9</w:t>
            </w:r>
          </w:p>
        </w:tc>
        <w:tc>
          <w:tcPr>
            <w:tcW w:w="934"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222,5</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175,0</w:t>
            </w:r>
          </w:p>
        </w:tc>
      </w:tr>
      <w:tr w:rsidR="000C7A80" w:rsidRPr="004C49D8" w:rsidTr="00A73BD0">
        <w:trPr>
          <w:trHeight w:val="335"/>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Машиностроение</w:t>
            </w:r>
            <w:r>
              <w:rPr>
                <w:rFonts w:ascii="Times New Roman" w:hAnsi="Times New Roman"/>
                <w:sz w:val="24"/>
                <w:szCs w:val="24"/>
              </w:rPr>
              <w:t xml:space="preserve"> и </w:t>
            </w:r>
            <w:r w:rsidRPr="004C49D8">
              <w:rPr>
                <w:rFonts w:ascii="Times New Roman" w:hAnsi="Times New Roman"/>
                <w:sz w:val="24"/>
                <w:szCs w:val="24"/>
              </w:rPr>
              <w:t>металлообработка</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22,2</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124,7</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294,9</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147,1</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3,</w:t>
            </w:r>
            <w:r>
              <w:rPr>
                <w:rFonts w:ascii="Times New Roman" w:hAnsi="Times New Roman"/>
                <w:color w:val="000000"/>
                <w:sz w:val="24"/>
                <w:szCs w:val="24"/>
              </w:rPr>
              <w:t>0</w:t>
            </w:r>
          </w:p>
        </w:tc>
        <w:tc>
          <w:tcPr>
            <w:tcW w:w="934"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293,8</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142,8</w:t>
            </w:r>
          </w:p>
        </w:tc>
      </w:tr>
      <w:tr w:rsidR="000C7A80" w:rsidRPr="004C49D8" w:rsidTr="00A73BD0">
        <w:trPr>
          <w:trHeight w:val="414"/>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Электротехническая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13,7</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145,7</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187,9</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176,9</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1,</w:t>
            </w:r>
            <w:r>
              <w:rPr>
                <w:rFonts w:ascii="Times New Roman" w:hAnsi="Times New Roman"/>
                <w:color w:val="000000"/>
                <w:sz w:val="24"/>
                <w:szCs w:val="24"/>
              </w:rPr>
              <w:t>9</w:t>
            </w:r>
          </w:p>
        </w:tc>
        <w:tc>
          <w:tcPr>
            <w:tcW w:w="934"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193,6</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168,7</w:t>
            </w:r>
          </w:p>
        </w:tc>
      </w:tr>
      <w:tr w:rsidR="000C7A80" w:rsidRPr="004C49D8" w:rsidTr="00A73BD0">
        <w:trPr>
          <w:trHeight w:val="492"/>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Pr>
                <w:rFonts w:ascii="Times New Roman" w:hAnsi="Times New Roman"/>
                <w:sz w:val="24"/>
                <w:szCs w:val="24"/>
              </w:rPr>
              <w:t>Лесная и д</w:t>
            </w:r>
            <w:r w:rsidRPr="004C49D8">
              <w:rPr>
                <w:rFonts w:ascii="Times New Roman" w:hAnsi="Times New Roman"/>
                <w:sz w:val="24"/>
                <w:szCs w:val="24"/>
              </w:rPr>
              <w:t>еревообрабатывающая</w:t>
            </w:r>
            <w:r>
              <w:rPr>
                <w:rFonts w:ascii="Times New Roman" w:hAnsi="Times New Roman"/>
                <w:sz w:val="24"/>
                <w:szCs w:val="24"/>
              </w:rPr>
              <w:t xml:space="preserve">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0,6</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95,1</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7,6</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116,5</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0,1</w:t>
            </w:r>
          </w:p>
        </w:tc>
        <w:tc>
          <w:tcPr>
            <w:tcW w:w="934"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7,6</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119,4</w:t>
            </w:r>
          </w:p>
        </w:tc>
      </w:tr>
      <w:tr w:rsidR="000C7A80" w:rsidRPr="004C49D8" w:rsidTr="00A73BD0">
        <w:trPr>
          <w:trHeight w:val="514"/>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Промышленность стройматериалов</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34,7</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106,1</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479,6</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129,9</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4,</w:t>
            </w:r>
            <w:r>
              <w:rPr>
                <w:rFonts w:ascii="Times New Roman" w:hAnsi="Times New Roman"/>
                <w:color w:val="000000"/>
                <w:sz w:val="24"/>
                <w:szCs w:val="24"/>
              </w:rPr>
              <w:t>8</w:t>
            </w:r>
          </w:p>
        </w:tc>
        <w:tc>
          <w:tcPr>
            <w:tcW w:w="934"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472,4</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131,0</w:t>
            </w:r>
          </w:p>
        </w:tc>
      </w:tr>
      <w:tr w:rsidR="000C7A80" w:rsidRPr="004C49D8" w:rsidTr="00A73BD0">
        <w:trPr>
          <w:trHeight w:val="233"/>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Легкая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41"/>
              <w:jc w:val="center"/>
              <w:rPr>
                <w:rFonts w:ascii="Times New Roman" w:hAnsi="Times New Roman"/>
                <w:sz w:val="24"/>
                <w:szCs w:val="24"/>
              </w:rPr>
            </w:pPr>
            <w:r>
              <w:rPr>
                <w:rFonts w:ascii="Times New Roman" w:hAnsi="Times New Roman"/>
                <w:sz w:val="24"/>
                <w:szCs w:val="24"/>
              </w:rPr>
              <w:t>101,0</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95,4</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41"/>
              <w:jc w:val="center"/>
              <w:rPr>
                <w:rFonts w:ascii="Times New Roman" w:hAnsi="Times New Roman"/>
                <w:sz w:val="24"/>
                <w:szCs w:val="24"/>
              </w:rPr>
            </w:pPr>
            <w:r>
              <w:rPr>
                <w:rFonts w:ascii="Times New Roman" w:hAnsi="Times New Roman"/>
                <w:sz w:val="24"/>
                <w:szCs w:val="24"/>
              </w:rPr>
              <w:t>1 349,5</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113,2</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1</w:t>
            </w:r>
            <w:r>
              <w:rPr>
                <w:rFonts w:ascii="Times New Roman" w:hAnsi="Times New Roman"/>
                <w:color w:val="000000"/>
                <w:sz w:val="24"/>
                <w:szCs w:val="24"/>
              </w:rPr>
              <w:t>3</w:t>
            </w:r>
            <w:r w:rsidRPr="005A6388">
              <w:rPr>
                <w:rFonts w:ascii="Times New Roman" w:hAnsi="Times New Roman"/>
                <w:color w:val="000000"/>
                <w:sz w:val="24"/>
                <w:szCs w:val="24"/>
              </w:rPr>
              <w:t>,5</w:t>
            </w:r>
          </w:p>
        </w:tc>
        <w:tc>
          <w:tcPr>
            <w:tcW w:w="934"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1 348,5</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133,7</w:t>
            </w:r>
          </w:p>
        </w:tc>
      </w:tr>
      <w:tr w:rsidR="000C7A80" w:rsidRPr="004C49D8" w:rsidTr="00A73BD0">
        <w:trPr>
          <w:trHeight w:val="239"/>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Пищевая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41"/>
              <w:jc w:val="center"/>
              <w:rPr>
                <w:rFonts w:ascii="Times New Roman" w:hAnsi="Times New Roman"/>
                <w:sz w:val="24"/>
                <w:szCs w:val="24"/>
              </w:rPr>
            </w:pPr>
            <w:r>
              <w:rPr>
                <w:rFonts w:ascii="Times New Roman" w:hAnsi="Times New Roman"/>
                <w:sz w:val="24"/>
                <w:szCs w:val="24"/>
              </w:rPr>
              <w:t>98,1</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104,6</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41"/>
              <w:jc w:val="center"/>
              <w:rPr>
                <w:rFonts w:ascii="Times New Roman" w:hAnsi="Times New Roman"/>
                <w:sz w:val="24"/>
                <w:szCs w:val="24"/>
              </w:rPr>
            </w:pPr>
            <w:r>
              <w:rPr>
                <w:rFonts w:ascii="Times New Roman" w:hAnsi="Times New Roman"/>
                <w:sz w:val="24"/>
                <w:szCs w:val="24"/>
              </w:rPr>
              <w:t>1 325,2</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125,4</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1</w:t>
            </w:r>
            <w:r>
              <w:rPr>
                <w:rFonts w:ascii="Times New Roman" w:hAnsi="Times New Roman"/>
                <w:color w:val="000000"/>
                <w:sz w:val="24"/>
                <w:szCs w:val="24"/>
              </w:rPr>
              <w:t>3,3</w:t>
            </w:r>
          </w:p>
        </w:tc>
        <w:tc>
          <w:tcPr>
            <w:tcW w:w="934"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1 251,5</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120,7</w:t>
            </w:r>
          </w:p>
        </w:tc>
      </w:tr>
      <w:tr w:rsidR="000C7A80" w:rsidRPr="004C49D8" w:rsidTr="00A73BD0">
        <w:trPr>
          <w:trHeight w:val="362"/>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Мукомольно-крупяная</w:t>
            </w:r>
            <w:r>
              <w:rPr>
                <w:rFonts w:ascii="Times New Roman" w:hAnsi="Times New Roman"/>
                <w:sz w:val="24"/>
                <w:szCs w:val="24"/>
              </w:rPr>
              <w:t xml:space="preserve"> и комбикормовая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9,2</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98,5</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122,1</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116,5</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1,</w:t>
            </w:r>
            <w:r>
              <w:rPr>
                <w:rFonts w:ascii="Times New Roman" w:hAnsi="Times New Roman"/>
                <w:color w:val="000000"/>
                <w:sz w:val="24"/>
                <w:szCs w:val="24"/>
              </w:rPr>
              <w:t>2</w:t>
            </w:r>
          </w:p>
        </w:tc>
        <w:tc>
          <w:tcPr>
            <w:tcW w:w="934"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121,0</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right="-33"/>
              <w:jc w:val="center"/>
              <w:rPr>
                <w:rFonts w:ascii="Times New Roman" w:hAnsi="Times New Roman"/>
                <w:sz w:val="24"/>
                <w:szCs w:val="24"/>
              </w:rPr>
            </w:pPr>
            <w:r>
              <w:rPr>
                <w:rFonts w:ascii="Times New Roman" w:hAnsi="Times New Roman"/>
                <w:sz w:val="24"/>
                <w:szCs w:val="24"/>
              </w:rPr>
              <w:t>115,6</w:t>
            </w:r>
          </w:p>
        </w:tc>
      </w:tr>
      <w:tr w:rsidR="000C7A80" w:rsidRPr="004C49D8" w:rsidTr="00A73BD0">
        <w:trPr>
          <w:trHeight w:val="129"/>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Полиграфическая промышленность</w:t>
            </w:r>
          </w:p>
        </w:tc>
        <w:tc>
          <w:tcPr>
            <w:tcW w:w="933" w:type="dxa"/>
            <w:tcBorders>
              <w:top w:val="single" w:sz="6" w:space="0" w:color="auto"/>
              <w:left w:val="nil"/>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1,6</w:t>
            </w:r>
          </w:p>
        </w:tc>
        <w:tc>
          <w:tcPr>
            <w:tcW w:w="784"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65,5</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20,9</w:t>
            </w:r>
          </w:p>
        </w:tc>
        <w:tc>
          <w:tcPr>
            <w:tcW w:w="862" w:type="dxa"/>
            <w:tcBorders>
              <w:top w:val="single" w:sz="6" w:space="0" w:color="auto"/>
              <w:left w:val="single" w:sz="6" w:space="0" w:color="auto"/>
              <w:bottom w:val="single" w:sz="6"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78,1</w:t>
            </w:r>
          </w:p>
        </w:tc>
        <w:tc>
          <w:tcPr>
            <w:tcW w:w="791" w:type="dxa"/>
            <w:tcBorders>
              <w:top w:val="nil"/>
              <w:left w:val="nil"/>
              <w:bottom w:val="single" w:sz="4" w:space="0" w:color="auto"/>
              <w:right w:val="single" w:sz="4" w:space="0" w:color="auto"/>
            </w:tcBorders>
            <w:shd w:val="clear" w:color="auto" w:fill="auto"/>
            <w:vAlign w:val="bottom"/>
          </w:tcPr>
          <w:p w:rsidR="000C7A80" w:rsidRPr="005A6388" w:rsidRDefault="000C7A80" w:rsidP="00A73BD0">
            <w:pPr>
              <w:spacing w:after="0" w:line="240" w:lineRule="auto"/>
              <w:jc w:val="right"/>
              <w:rPr>
                <w:rFonts w:ascii="Times New Roman" w:hAnsi="Times New Roman"/>
                <w:color w:val="000000"/>
                <w:sz w:val="24"/>
                <w:szCs w:val="24"/>
              </w:rPr>
            </w:pPr>
            <w:r w:rsidRPr="005A6388">
              <w:rPr>
                <w:rFonts w:ascii="Times New Roman" w:hAnsi="Times New Roman"/>
                <w:color w:val="000000"/>
                <w:sz w:val="24"/>
                <w:szCs w:val="24"/>
              </w:rPr>
              <w:t>0,2</w:t>
            </w:r>
          </w:p>
        </w:tc>
        <w:tc>
          <w:tcPr>
            <w:tcW w:w="934"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21,4</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82,8</w:t>
            </w:r>
          </w:p>
        </w:tc>
      </w:tr>
      <w:tr w:rsidR="000C7A80" w:rsidRPr="00C47E4E" w:rsidTr="00A73BD0">
        <w:trPr>
          <w:trHeight w:val="227"/>
        </w:trPr>
        <w:tc>
          <w:tcPr>
            <w:tcW w:w="3183" w:type="dxa"/>
            <w:tcBorders>
              <w:top w:val="nil"/>
              <w:left w:val="single" w:sz="4" w:space="0" w:color="auto"/>
              <w:bottom w:val="single" w:sz="4" w:space="0" w:color="auto"/>
              <w:right w:val="single" w:sz="4" w:space="0" w:color="auto"/>
            </w:tcBorders>
            <w:shd w:val="clear" w:color="auto" w:fill="auto"/>
            <w:vAlign w:val="bottom"/>
          </w:tcPr>
          <w:p w:rsidR="000C7A80" w:rsidRPr="004C49D8" w:rsidRDefault="000C7A80" w:rsidP="00A73BD0">
            <w:pPr>
              <w:spacing w:after="0" w:line="240" w:lineRule="auto"/>
              <w:ind w:left="-108" w:right="-108"/>
              <w:rPr>
                <w:rFonts w:ascii="Times New Roman" w:hAnsi="Times New Roman"/>
                <w:sz w:val="24"/>
                <w:szCs w:val="24"/>
              </w:rPr>
            </w:pPr>
            <w:r w:rsidRPr="004C49D8">
              <w:rPr>
                <w:rFonts w:ascii="Times New Roman" w:hAnsi="Times New Roman"/>
                <w:sz w:val="24"/>
                <w:szCs w:val="24"/>
              </w:rPr>
              <w:t>ИТОГО по ПМР</w:t>
            </w:r>
          </w:p>
        </w:tc>
        <w:tc>
          <w:tcPr>
            <w:tcW w:w="933" w:type="dxa"/>
            <w:tcBorders>
              <w:top w:val="single" w:sz="6" w:space="0" w:color="auto"/>
              <w:left w:val="nil"/>
              <w:bottom w:val="single" w:sz="4" w:space="0" w:color="auto"/>
              <w:right w:val="single" w:sz="6" w:space="0" w:color="auto"/>
            </w:tcBorders>
            <w:shd w:val="clear" w:color="auto" w:fill="auto"/>
            <w:vAlign w:val="bottom"/>
          </w:tcPr>
          <w:p w:rsidR="000C7A80" w:rsidRPr="00DE5227" w:rsidRDefault="000C7A80" w:rsidP="00A73BD0">
            <w:pPr>
              <w:spacing w:after="0" w:line="240" w:lineRule="auto"/>
              <w:ind w:left="-74" w:right="-94"/>
              <w:jc w:val="center"/>
              <w:rPr>
                <w:rFonts w:ascii="Times New Roman" w:hAnsi="Times New Roman"/>
                <w:sz w:val="24"/>
                <w:szCs w:val="24"/>
              </w:rPr>
            </w:pPr>
            <w:r>
              <w:rPr>
                <w:rFonts w:ascii="Times New Roman" w:hAnsi="Times New Roman"/>
                <w:sz w:val="24"/>
                <w:szCs w:val="24"/>
              </w:rPr>
              <w:t>746,9</w:t>
            </w:r>
          </w:p>
        </w:tc>
        <w:tc>
          <w:tcPr>
            <w:tcW w:w="784" w:type="dxa"/>
            <w:tcBorders>
              <w:top w:val="single" w:sz="6" w:space="0" w:color="auto"/>
              <w:left w:val="single" w:sz="6" w:space="0" w:color="auto"/>
              <w:bottom w:val="single" w:sz="4" w:space="0" w:color="auto"/>
              <w:right w:val="single" w:sz="6"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104,3</w:t>
            </w:r>
          </w:p>
        </w:tc>
        <w:tc>
          <w:tcPr>
            <w:tcW w:w="1140" w:type="dxa"/>
            <w:tcBorders>
              <w:top w:val="single" w:sz="6" w:space="0" w:color="auto"/>
              <w:left w:val="single" w:sz="6" w:space="0" w:color="auto"/>
              <w:bottom w:val="single" w:sz="4" w:space="0" w:color="auto"/>
              <w:right w:val="single" w:sz="6" w:space="0" w:color="auto"/>
            </w:tcBorders>
            <w:shd w:val="clear" w:color="auto" w:fill="auto"/>
            <w:vAlign w:val="bottom"/>
          </w:tcPr>
          <w:p w:rsidR="000C7A80" w:rsidRPr="00DE5227" w:rsidRDefault="000C7A80" w:rsidP="00A73BD0">
            <w:pPr>
              <w:spacing w:after="0" w:line="240" w:lineRule="auto"/>
              <w:ind w:left="-74" w:right="-94"/>
              <w:jc w:val="center"/>
              <w:rPr>
                <w:rFonts w:ascii="Times New Roman" w:hAnsi="Times New Roman"/>
                <w:sz w:val="24"/>
                <w:szCs w:val="24"/>
              </w:rPr>
            </w:pPr>
            <w:r>
              <w:rPr>
                <w:rFonts w:ascii="Times New Roman" w:hAnsi="Times New Roman"/>
                <w:sz w:val="24"/>
                <w:szCs w:val="24"/>
              </w:rPr>
              <w:t>9 971,5</w:t>
            </w:r>
          </w:p>
        </w:tc>
        <w:tc>
          <w:tcPr>
            <w:tcW w:w="862" w:type="dxa"/>
            <w:tcBorders>
              <w:top w:val="single" w:sz="6" w:space="0" w:color="auto"/>
              <w:left w:val="single" w:sz="6" w:space="0" w:color="auto"/>
              <w:bottom w:val="single" w:sz="4" w:space="0" w:color="auto"/>
              <w:right w:val="single" w:sz="4" w:space="0" w:color="auto"/>
            </w:tcBorders>
            <w:shd w:val="clear" w:color="auto" w:fill="auto"/>
            <w:vAlign w:val="bottom"/>
          </w:tcPr>
          <w:p w:rsidR="000C7A80" w:rsidRPr="00DE5227" w:rsidRDefault="000C7A80" w:rsidP="00A73BD0">
            <w:pPr>
              <w:spacing w:after="0" w:line="240" w:lineRule="auto"/>
              <w:ind w:right="-108"/>
              <w:jc w:val="center"/>
              <w:rPr>
                <w:rFonts w:ascii="Times New Roman" w:hAnsi="Times New Roman"/>
                <w:sz w:val="24"/>
                <w:szCs w:val="24"/>
              </w:rPr>
            </w:pPr>
            <w:r>
              <w:rPr>
                <w:rFonts w:ascii="Times New Roman" w:hAnsi="Times New Roman"/>
                <w:sz w:val="24"/>
                <w:szCs w:val="24"/>
              </w:rPr>
              <w:t>123,6</w:t>
            </w:r>
          </w:p>
        </w:tc>
        <w:tc>
          <w:tcPr>
            <w:tcW w:w="791" w:type="dxa"/>
            <w:tcBorders>
              <w:top w:val="nil"/>
              <w:left w:val="nil"/>
              <w:bottom w:val="single" w:sz="4" w:space="0" w:color="auto"/>
              <w:right w:val="single" w:sz="4" w:space="0" w:color="auto"/>
            </w:tcBorders>
            <w:shd w:val="clear" w:color="auto" w:fill="auto"/>
            <w:vAlign w:val="bottom"/>
          </w:tcPr>
          <w:p w:rsidR="000C7A80" w:rsidRPr="002943D5" w:rsidRDefault="000C7A80" w:rsidP="00A73BD0">
            <w:pPr>
              <w:spacing w:after="0" w:line="20" w:lineRule="atLeast"/>
              <w:jc w:val="center"/>
              <w:rPr>
                <w:rFonts w:ascii="Times New Roman" w:hAnsi="Times New Roman"/>
                <w:sz w:val="24"/>
                <w:szCs w:val="24"/>
              </w:rPr>
            </w:pPr>
            <w:r w:rsidRPr="002943D5">
              <w:rPr>
                <w:rFonts w:ascii="Times New Roman" w:hAnsi="Times New Roman"/>
                <w:sz w:val="24"/>
                <w:szCs w:val="24"/>
              </w:rPr>
              <w:t>100,0</w:t>
            </w:r>
          </w:p>
        </w:tc>
        <w:tc>
          <w:tcPr>
            <w:tcW w:w="934" w:type="dxa"/>
            <w:tcBorders>
              <w:top w:val="nil"/>
              <w:left w:val="nil"/>
              <w:bottom w:val="single" w:sz="4" w:space="0" w:color="auto"/>
              <w:right w:val="single" w:sz="4" w:space="0" w:color="auto"/>
            </w:tcBorders>
            <w:shd w:val="clear" w:color="auto" w:fill="auto"/>
            <w:vAlign w:val="bottom"/>
          </w:tcPr>
          <w:p w:rsidR="000C7A80" w:rsidRPr="002943D5" w:rsidRDefault="000C7A80" w:rsidP="00A73BD0">
            <w:pPr>
              <w:spacing w:after="0" w:line="240" w:lineRule="auto"/>
              <w:ind w:left="-108" w:right="-66"/>
              <w:jc w:val="center"/>
              <w:rPr>
                <w:rFonts w:ascii="Times New Roman" w:hAnsi="Times New Roman"/>
                <w:sz w:val="24"/>
                <w:szCs w:val="24"/>
              </w:rPr>
            </w:pPr>
            <w:r>
              <w:rPr>
                <w:rFonts w:ascii="Times New Roman" w:hAnsi="Times New Roman"/>
                <w:sz w:val="24"/>
                <w:szCs w:val="24"/>
              </w:rPr>
              <w:t>9</w:t>
            </w:r>
            <w:r w:rsidRPr="002943D5">
              <w:rPr>
                <w:rFonts w:ascii="Times New Roman" w:hAnsi="Times New Roman"/>
                <w:sz w:val="24"/>
                <w:szCs w:val="24"/>
              </w:rPr>
              <w:t> </w:t>
            </w:r>
            <w:r>
              <w:rPr>
                <w:rFonts w:ascii="Times New Roman" w:hAnsi="Times New Roman"/>
                <w:sz w:val="24"/>
                <w:szCs w:val="24"/>
              </w:rPr>
              <w:t>926</w:t>
            </w:r>
            <w:r w:rsidRPr="002943D5">
              <w:rPr>
                <w:rFonts w:ascii="Times New Roman" w:hAnsi="Times New Roman"/>
                <w:sz w:val="24"/>
                <w:szCs w:val="24"/>
              </w:rPr>
              <w:t>,</w:t>
            </w:r>
            <w:r>
              <w:rPr>
                <w:rFonts w:ascii="Times New Roman" w:hAnsi="Times New Roman"/>
                <w:sz w:val="24"/>
                <w:szCs w:val="24"/>
              </w:rPr>
              <w:t>9</w:t>
            </w:r>
          </w:p>
        </w:tc>
        <w:tc>
          <w:tcPr>
            <w:tcW w:w="995" w:type="dxa"/>
            <w:tcBorders>
              <w:top w:val="nil"/>
              <w:left w:val="nil"/>
              <w:bottom w:val="single" w:sz="4" w:space="0" w:color="auto"/>
              <w:right w:val="single" w:sz="4" w:space="0" w:color="auto"/>
            </w:tcBorders>
            <w:shd w:val="clear" w:color="auto" w:fill="auto"/>
            <w:vAlign w:val="bottom"/>
          </w:tcPr>
          <w:p w:rsidR="000C7A80" w:rsidRPr="00DE5227" w:rsidRDefault="000C7A80" w:rsidP="00A73BD0">
            <w:pPr>
              <w:spacing w:after="0" w:line="240" w:lineRule="auto"/>
              <w:jc w:val="center"/>
              <w:rPr>
                <w:rFonts w:ascii="Times New Roman" w:hAnsi="Times New Roman"/>
                <w:sz w:val="24"/>
                <w:szCs w:val="24"/>
              </w:rPr>
            </w:pPr>
            <w:r>
              <w:rPr>
                <w:rFonts w:ascii="Times New Roman" w:hAnsi="Times New Roman"/>
                <w:sz w:val="24"/>
                <w:szCs w:val="24"/>
              </w:rPr>
              <w:t>127,6</w:t>
            </w:r>
          </w:p>
        </w:tc>
      </w:tr>
    </w:tbl>
    <w:p w:rsidR="000C7A80" w:rsidRDefault="000C7A80" w:rsidP="00C40A42">
      <w:pPr>
        <w:spacing w:after="0" w:line="240" w:lineRule="auto"/>
        <w:jc w:val="center"/>
        <w:rPr>
          <w:rFonts w:ascii="Times New Roman" w:hAnsi="Times New Roman"/>
          <w:b/>
          <w:sz w:val="28"/>
          <w:szCs w:val="28"/>
        </w:rPr>
      </w:pPr>
    </w:p>
    <w:p w:rsidR="000C7A80" w:rsidRPr="004C49D8" w:rsidRDefault="000C7A80" w:rsidP="00C40A42">
      <w:pPr>
        <w:spacing w:after="0" w:line="240" w:lineRule="auto"/>
        <w:jc w:val="center"/>
        <w:rPr>
          <w:rFonts w:ascii="Times New Roman" w:hAnsi="Times New Roman"/>
          <w:b/>
          <w:sz w:val="28"/>
          <w:szCs w:val="28"/>
        </w:rPr>
      </w:pPr>
    </w:p>
    <w:p w:rsidR="005074C0" w:rsidRPr="0080737A" w:rsidRDefault="005074C0" w:rsidP="005074C0">
      <w:pPr>
        <w:spacing w:after="0" w:line="240" w:lineRule="auto"/>
        <w:ind w:firstLine="709"/>
        <w:jc w:val="right"/>
        <w:rPr>
          <w:rFonts w:ascii="Times New Roman" w:eastAsia="Calibri" w:hAnsi="Times New Roman"/>
          <w:b/>
          <w:sz w:val="28"/>
          <w:szCs w:val="28"/>
        </w:rPr>
      </w:pPr>
    </w:p>
    <w:p w:rsidR="005074C0" w:rsidRPr="0080737A" w:rsidRDefault="005074C0" w:rsidP="005074C0">
      <w:pPr>
        <w:rPr>
          <w:rFonts w:eastAsia="Calibri"/>
        </w:rPr>
      </w:pPr>
    </w:p>
    <w:p w:rsidR="00335844" w:rsidRPr="0080737A" w:rsidRDefault="00335844" w:rsidP="00335844">
      <w:pPr>
        <w:spacing w:after="0" w:line="240" w:lineRule="auto"/>
        <w:ind w:firstLine="709"/>
        <w:jc w:val="right"/>
        <w:rPr>
          <w:rFonts w:ascii="Times New Roman" w:hAnsi="Times New Roman"/>
          <w:b/>
          <w:sz w:val="28"/>
          <w:szCs w:val="28"/>
        </w:rPr>
      </w:pPr>
    </w:p>
    <w:p w:rsidR="00335844" w:rsidRPr="0080737A" w:rsidRDefault="00335844" w:rsidP="00335844"/>
    <w:p w:rsidR="00335844" w:rsidRPr="0080737A" w:rsidRDefault="00335844" w:rsidP="00335844">
      <w:pPr>
        <w:spacing w:after="0" w:line="240" w:lineRule="auto"/>
        <w:ind w:firstLine="709"/>
        <w:jc w:val="right"/>
        <w:rPr>
          <w:rFonts w:ascii="Times New Roman" w:hAnsi="Times New Roman"/>
          <w:b/>
          <w:sz w:val="28"/>
          <w:szCs w:val="28"/>
        </w:rPr>
      </w:pPr>
    </w:p>
    <w:p w:rsidR="00335844" w:rsidRPr="0080737A" w:rsidRDefault="00335844" w:rsidP="00335844"/>
    <w:p w:rsidR="00335844" w:rsidRPr="0080737A" w:rsidRDefault="00335844" w:rsidP="00335844"/>
    <w:p w:rsidR="00335844" w:rsidRPr="0080737A" w:rsidRDefault="00335844" w:rsidP="00335844"/>
    <w:p w:rsidR="00D212FF" w:rsidRDefault="00D212FF" w:rsidP="00D212FF">
      <w:pPr>
        <w:spacing w:after="0" w:line="240" w:lineRule="auto"/>
        <w:ind w:firstLine="709"/>
        <w:jc w:val="right"/>
        <w:rPr>
          <w:rFonts w:ascii="Times New Roman" w:hAnsi="Times New Roman"/>
          <w:b/>
          <w:sz w:val="24"/>
          <w:szCs w:val="24"/>
        </w:rPr>
      </w:pPr>
      <w:r w:rsidRPr="0080737A">
        <w:rPr>
          <w:rFonts w:ascii="Times New Roman" w:hAnsi="Times New Roman"/>
          <w:b/>
          <w:sz w:val="24"/>
          <w:szCs w:val="24"/>
        </w:rPr>
        <w:lastRenderedPageBreak/>
        <w:t>Приложение№3</w:t>
      </w:r>
    </w:p>
    <w:p w:rsidR="00B47A79" w:rsidRPr="0080737A" w:rsidRDefault="00B47A79" w:rsidP="00D212FF">
      <w:pPr>
        <w:spacing w:after="0" w:line="240" w:lineRule="auto"/>
        <w:ind w:firstLine="709"/>
        <w:jc w:val="right"/>
        <w:rPr>
          <w:rFonts w:ascii="Times New Roman" w:hAnsi="Times New Roman"/>
          <w:b/>
          <w:sz w:val="24"/>
          <w:szCs w:val="24"/>
        </w:rPr>
      </w:pPr>
    </w:p>
    <w:p w:rsidR="00B47A79" w:rsidRDefault="00B47A79" w:rsidP="00B47A79">
      <w:pPr>
        <w:spacing w:after="0" w:line="240" w:lineRule="auto"/>
        <w:jc w:val="center"/>
        <w:rPr>
          <w:rFonts w:ascii="Times New Roman" w:hAnsi="Times New Roman"/>
          <w:b/>
          <w:sz w:val="24"/>
          <w:szCs w:val="24"/>
        </w:rPr>
      </w:pPr>
      <w:r>
        <w:rPr>
          <w:rFonts w:ascii="Times New Roman" w:hAnsi="Times New Roman"/>
          <w:b/>
          <w:sz w:val="24"/>
          <w:szCs w:val="24"/>
        </w:rPr>
        <w:t>Основные показатели развития малого предпринимательства</w:t>
      </w:r>
    </w:p>
    <w:p w:rsidR="00B47A79" w:rsidRDefault="00B47A79" w:rsidP="00B47A79">
      <w:pPr>
        <w:spacing w:after="0" w:line="240" w:lineRule="auto"/>
        <w:jc w:val="center"/>
        <w:rPr>
          <w:rFonts w:ascii="Times New Roman" w:hAnsi="Times New Roman"/>
          <w:b/>
          <w:sz w:val="24"/>
          <w:szCs w:val="24"/>
        </w:rPr>
      </w:pPr>
      <w:r>
        <w:rPr>
          <w:rFonts w:ascii="Times New Roman" w:hAnsi="Times New Roman"/>
          <w:b/>
          <w:sz w:val="24"/>
          <w:szCs w:val="24"/>
        </w:rPr>
        <w:t>за 2017 год</w:t>
      </w:r>
    </w:p>
    <w:p w:rsidR="00D16741" w:rsidRPr="00E25EC3" w:rsidRDefault="00D16741" w:rsidP="00D16741">
      <w:pPr>
        <w:spacing w:after="0" w:line="240" w:lineRule="auto"/>
        <w:jc w:val="center"/>
        <w:rPr>
          <w:rFonts w:ascii="Times New Roman" w:hAnsi="Times New Roman"/>
          <w:b/>
          <w:sz w:val="20"/>
          <w:szCs w:val="20"/>
        </w:rPr>
      </w:pPr>
    </w:p>
    <w:tbl>
      <w:tblPr>
        <w:tblW w:w="9923" w:type="dxa"/>
        <w:tblInd w:w="108" w:type="dxa"/>
        <w:tblLayout w:type="fixed"/>
        <w:tblLook w:val="04A0"/>
      </w:tblPr>
      <w:tblGrid>
        <w:gridCol w:w="4823"/>
        <w:gridCol w:w="1276"/>
        <w:gridCol w:w="1419"/>
        <w:gridCol w:w="1277"/>
        <w:gridCol w:w="1128"/>
      </w:tblGrid>
      <w:tr w:rsidR="00B47A79" w:rsidRPr="004A6879" w:rsidTr="00B47A79">
        <w:trPr>
          <w:trHeight w:val="257"/>
        </w:trPr>
        <w:tc>
          <w:tcPr>
            <w:tcW w:w="4823" w:type="dxa"/>
            <w:vMerge w:val="restart"/>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b/>
                <w:bCs/>
                <w:color w:val="000000"/>
                <w:sz w:val="24"/>
                <w:szCs w:val="24"/>
              </w:rPr>
            </w:pPr>
            <w:r w:rsidRPr="004A6879">
              <w:rPr>
                <w:rFonts w:ascii="Times New Roman" w:hAnsi="Times New Roman"/>
                <w:b/>
                <w:bCs/>
                <w:color w:val="000000"/>
                <w:sz w:val="24"/>
                <w:szCs w:val="24"/>
              </w:rPr>
              <w:t>Показатели</w:t>
            </w:r>
          </w:p>
        </w:tc>
        <w:tc>
          <w:tcPr>
            <w:tcW w:w="1276" w:type="dxa"/>
            <w:vMerge w:val="restart"/>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left="-108" w:right="-84"/>
              <w:jc w:val="center"/>
              <w:rPr>
                <w:rFonts w:ascii="Times New Roman" w:hAnsi="Times New Roman"/>
                <w:b/>
                <w:bCs/>
                <w:color w:val="000000"/>
                <w:sz w:val="24"/>
                <w:szCs w:val="24"/>
              </w:rPr>
            </w:pPr>
            <w:r w:rsidRPr="004A6879">
              <w:rPr>
                <w:rFonts w:ascii="Times New Roman" w:hAnsi="Times New Roman"/>
                <w:b/>
                <w:bCs/>
                <w:color w:val="000000"/>
                <w:sz w:val="24"/>
                <w:szCs w:val="24"/>
              </w:rPr>
              <w:t>Ед. измерения</w:t>
            </w:r>
          </w:p>
        </w:tc>
        <w:tc>
          <w:tcPr>
            <w:tcW w:w="2696" w:type="dxa"/>
            <w:gridSpan w:val="2"/>
            <w:tcBorders>
              <w:top w:val="single" w:sz="8" w:space="0" w:color="auto"/>
              <w:left w:val="nil"/>
              <w:bottom w:val="single" w:sz="4" w:space="0" w:color="auto"/>
              <w:right w:val="single" w:sz="8" w:space="0" w:color="000000"/>
            </w:tcBorders>
            <w:vAlign w:val="center"/>
            <w:hideMark/>
          </w:tcPr>
          <w:p w:rsidR="00B47A79" w:rsidRPr="004A6879" w:rsidRDefault="00B47A79" w:rsidP="00A73BD0">
            <w:pPr>
              <w:spacing w:after="0" w:line="240" w:lineRule="auto"/>
              <w:jc w:val="center"/>
              <w:rPr>
                <w:rFonts w:ascii="Times New Roman" w:hAnsi="Times New Roman"/>
                <w:b/>
                <w:bCs/>
                <w:color w:val="000000"/>
                <w:sz w:val="24"/>
                <w:szCs w:val="24"/>
              </w:rPr>
            </w:pPr>
            <w:r w:rsidRPr="004A6879">
              <w:rPr>
                <w:rFonts w:ascii="Times New Roman" w:hAnsi="Times New Roman"/>
                <w:b/>
                <w:bCs/>
                <w:color w:val="000000"/>
                <w:sz w:val="24"/>
                <w:szCs w:val="24"/>
              </w:rPr>
              <w:t>Факт</w:t>
            </w:r>
          </w:p>
        </w:tc>
        <w:tc>
          <w:tcPr>
            <w:tcW w:w="1128" w:type="dxa"/>
            <w:vMerge w:val="restart"/>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left="-108" w:right="-108"/>
              <w:jc w:val="center"/>
              <w:rPr>
                <w:rFonts w:ascii="Times New Roman" w:hAnsi="Times New Roman"/>
                <w:b/>
                <w:bCs/>
                <w:color w:val="000000"/>
                <w:sz w:val="24"/>
                <w:szCs w:val="24"/>
              </w:rPr>
            </w:pPr>
            <w:r w:rsidRPr="004A6879">
              <w:rPr>
                <w:rFonts w:ascii="Times New Roman" w:hAnsi="Times New Roman"/>
                <w:b/>
                <w:bCs/>
                <w:color w:val="000000"/>
                <w:sz w:val="24"/>
                <w:szCs w:val="24"/>
              </w:rPr>
              <w:t>Темп роста  2017 г. к       2016 г., %</w:t>
            </w:r>
          </w:p>
        </w:tc>
      </w:tr>
      <w:tr w:rsidR="00B47A79" w:rsidRPr="004A6879" w:rsidTr="00B47A79">
        <w:trPr>
          <w:trHeight w:val="529"/>
        </w:trPr>
        <w:tc>
          <w:tcPr>
            <w:tcW w:w="4823" w:type="dxa"/>
            <w:vMerge/>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rPr>
                <w:rFonts w:ascii="Times New Roman" w:hAnsi="Times New Roman"/>
                <w:b/>
                <w:bCs/>
                <w:color w:val="000000"/>
                <w:sz w:val="24"/>
                <w:szCs w:val="24"/>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rPr>
                <w:rFonts w:ascii="Times New Roman" w:hAnsi="Times New Roman"/>
                <w:b/>
                <w:bCs/>
                <w:color w:val="000000"/>
                <w:sz w:val="24"/>
                <w:szCs w:val="24"/>
              </w:rPr>
            </w:pPr>
          </w:p>
        </w:tc>
        <w:tc>
          <w:tcPr>
            <w:tcW w:w="1419" w:type="dxa"/>
            <w:tcBorders>
              <w:top w:val="nil"/>
              <w:left w:val="nil"/>
              <w:bottom w:val="single" w:sz="8" w:space="0" w:color="auto"/>
              <w:right w:val="single" w:sz="8" w:space="0" w:color="auto"/>
            </w:tcBorders>
            <w:vAlign w:val="center"/>
            <w:hideMark/>
          </w:tcPr>
          <w:p w:rsidR="00B47A79" w:rsidRPr="004A6879" w:rsidRDefault="00B47A79" w:rsidP="00A73BD0">
            <w:pPr>
              <w:spacing w:after="0" w:line="240" w:lineRule="auto"/>
              <w:ind w:left="-62" w:right="-103"/>
              <w:jc w:val="center"/>
              <w:rPr>
                <w:rFonts w:ascii="Times New Roman" w:hAnsi="Times New Roman"/>
                <w:b/>
                <w:bCs/>
                <w:color w:val="000000"/>
                <w:sz w:val="24"/>
                <w:szCs w:val="24"/>
              </w:rPr>
            </w:pPr>
            <w:r w:rsidRPr="004A6879">
              <w:rPr>
                <w:rFonts w:ascii="Times New Roman" w:hAnsi="Times New Roman"/>
                <w:b/>
                <w:bCs/>
                <w:color w:val="000000"/>
                <w:sz w:val="24"/>
                <w:szCs w:val="24"/>
              </w:rPr>
              <w:t>2016 год</w:t>
            </w:r>
          </w:p>
        </w:tc>
        <w:tc>
          <w:tcPr>
            <w:tcW w:w="1277" w:type="dxa"/>
            <w:tcBorders>
              <w:top w:val="nil"/>
              <w:left w:val="nil"/>
              <w:bottom w:val="single" w:sz="8" w:space="0" w:color="auto"/>
              <w:right w:val="single" w:sz="8" w:space="0" w:color="auto"/>
            </w:tcBorders>
            <w:vAlign w:val="center"/>
            <w:hideMark/>
          </w:tcPr>
          <w:p w:rsidR="00B47A79" w:rsidRPr="004A6879" w:rsidRDefault="00B47A79" w:rsidP="00A73BD0">
            <w:pPr>
              <w:spacing w:after="0" w:line="240" w:lineRule="auto"/>
              <w:ind w:left="-62" w:right="-103"/>
              <w:jc w:val="center"/>
              <w:rPr>
                <w:rFonts w:ascii="Times New Roman" w:hAnsi="Times New Roman"/>
                <w:b/>
                <w:bCs/>
                <w:color w:val="000000"/>
                <w:sz w:val="24"/>
                <w:szCs w:val="24"/>
              </w:rPr>
            </w:pPr>
            <w:r w:rsidRPr="004A6879">
              <w:rPr>
                <w:rFonts w:ascii="Times New Roman" w:hAnsi="Times New Roman"/>
                <w:b/>
                <w:bCs/>
                <w:color w:val="000000"/>
                <w:sz w:val="24"/>
                <w:szCs w:val="24"/>
              </w:rPr>
              <w:t>2017 год</w:t>
            </w:r>
          </w:p>
        </w:tc>
        <w:tc>
          <w:tcPr>
            <w:tcW w:w="1128" w:type="dxa"/>
            <w:vMerge/>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rPr>
                <w:rFonts w:ascii="Times New Roman" w:hAnsi="Times New Roman"/>
                <w:b/>
                <w:bCs/>
                <w:color w:val="000000"/>
                <w:sz w:val="24"/>
                <w:szCs w:val="24"/>
              </w:rPr>
            </w:pPr>
          </w:p>
        </w:tc>
      </w:tr>
      <w:tr w:rsidR="00B47A79" w:rsidRPr="004A6879" w:rsidTr="00B47A79">
        <w:trPr>
          <w:trHeight w:val="30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Количество отчитавшихся предприятий</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единиц</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 xml:space="preserve">3 949 </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 xml:space="preserve">4 188 </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color w:val="000000"/>
                <w:sz w:val="24"/>
                <w:szCs w:val="24"/>
              </w:rPr>
            </w:pPr>
            <w:r w:rsidRPr="004A6879">
              <w:rPr>
                <w:rFonts w:ascii="Times New Roman" w:hAnsi="Times New Roman"/>
                <w:color w:val="000000"/>
                <w:sz w:val="24"/>
                <w:szCs w:val="24"/>
              </w:rPr>
              <w:t>106,1</w:t>
            </w:r>
          </w:p>
        </w:tc>
      </w:tr>
      <w:tr w:rsidR="00B47A79" w:rsidRPr="004A6879" w:rsidTr="00B47A79">
        <w:trPr>
          <w:trHeight w:val="262"/>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xml:space="preserve">Среднесписочная численность работников </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чел.</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 xml:space="preserve">14 675 </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 xml:space="preserve">14 927 </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color w:val="000000"/>
                <w:sz w:val="24"/>
                <w:szCs w:val="24"/>
              </w:rPr>
            </w:pPr>
            <w:r w:rsidRPr="004A6879">
              <w:rPr>
                <w:rFonts w:ascii="Times New Roman" w:hAnsi="Times New Roman"/>
                <w:color w:val="000000"/>
                <w:sz w:val="24"/>
                <w:szCs w:val="24"/>
              </w:rPr>
              <w:t>101,7</w:t>
            </w:r>
          </w:p>
        </w:tc>
      </w:tr>
      <w:tr w:rsidR="00B47A79" w:rsidRPr="004A6879" w:rsidTr="00B47A79">
        <w:trPr>
          <w:trHeight w:val="272"/>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Фонд начисленной заработной платы</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415 899,8</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432 943,5</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104,1</w:t>
            </w:r>
          </w:p>
        </w:tc>
      </w:tr>
      <w:tr w:rsidR="00B47A79" w:rsidRPr="004A6879" w:rsidTr="00B47A79">
        <w:trPr>
          <w:trHeight w:val="426"/>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Среднемесячная номинальная начисленная заработная плата одного работника</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3 374,7</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 xml:space="preserve">3 419,8 </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101,3</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Доход от продаж (выручка)</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left="-94" w:right="-138"/>
              <w:jc w:val="center"/>
              <w:rPr>
                <w:rFonts w:ascii="Times New Roman" w:hAnsi="Times New Roman"/>
                <w:sz w:val="24"/>
                <w:szCs w:val="24"/>
              </w:rPr>
            </w:pPr>
            <w:r w:rsidRPr="004A6879">
              <w:rPr>
                <w:rFonts w:ascii="Times New Roman" w:hAnsi="Times New Roman"/>
                <w:sz w:val="24"/>
                <w:szCs w:val="24"/>
              </w:rPr>
              <w:t>4 097 390,6</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left="-78" w:right="-153"/>
              <w:jc w:val="center"/>
              <w:rPr>
                <w:rFonts w:ascii="Times New Roman" w:hAnsi="Times New Roman"/>
                <w:sz w:val="24"/>
                <w:szCs w:val="24"/>
              </w:rPr>
            </w:pPr>
            <w:r w:rsidRPr="004A6879">
              <w:rPr>
                <w:rFonts w:ascii="Times New Roman" w:hAnsi="Times New Roman"/>
                <w:sz w:val="24"/>
                <w:szCs w:val="24"/>
              </w:rPr>
              <w:t>4 922 622,0</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120,1</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из него по основным видам деятельности:</w:t>
            </w:r>
          </w:p>
        </w:tc>
        <w:tc>
          <w:tcPr>
            <w:tcW w:w="1276" w:type="dxa"/>
            <w:tcBorders>
              <w:top w:val="single" w:sz="8" w:space="0" w:color="auto"/>
              <w:left w:val="single" w:sz="8" w:space="0" w:color="auto"/>
              <w:bottom w:val="single" w:sz="8" w:space="0" w:color="auto"/>
              <w:right w:val="single" w:sz="8" w:space="0" w:color="auto"/>
            </w:tcBorders>
            <w:vAlign w:val="center"/>
          </w:tcPr>
          <w:p w:rsidR="00B47A79" w:rsidRPr="004A6879" w:rsidRDefault="00B47A79" w:rsidP="00A73BD0">
            <w:pPr>
              <w:spacing w:after="0" w:line="240" w:lineRule="auto"/>
              <w:jc w:val="center"/>
              <w:rPr>
                <w:rFonts w:ascii="Times New Roman" w:hAnsi="Times New Roman"/>
                <w:color w:val="000000"/>
                <w:sz w:val="24"/>
                <w:szCs w:val="24"/>
              </w:rPr>
            </w:pPr>
          </w:p>
        </w:tc>
        <w:tc>
          <w:tcPr>
            <w:tcW w:w="1419" w:type="dxa"/>
            <w:tcBorders>
              <w:top w:val="single" w:sz="8" w:space="0" w:color="auto"/>
              <w:left w:val="single" w:sz="8" w:space="0" w:color="auto"/>
              <w:bottom w:val="single" w:sz="8" w:space="0" w:color="auto"/>
              <w:right w:val="single" w:sz="8" w:space="0" w:color="auto"/>
            </w:tcBorders>
            <w:vAlign w:val="center"/>
          </w:tcPr>
          <w:p w:rsidR="00B47A79" w:rsidRPr="004A6879" w:rsidRDefault="00B47A79" w:rsidP="00A73BD0">
            <w:pPr>
              <w:spacing w:after="0" w:line="240" w:lineRule="auto"/>
              <w:jc w:val="center"/>
              <w:rPr>
                <w:rFonts w:ascii="Times New Roman" w:hAnsi="Times New Roman"/>
                <w:color w:val="808080"/>
                <w:sz w:val="24"/>
                <w:szCs w:val="24"/>
              </w:rPr>
            </w:pPr>
          </w:p>
        </w:tc>
        <w:tc>
          <w:tcPr>
            <w:tcW w:w="1277" w:type="dxa"/>
            <w:tcBorders>
              <w:top w:val="single" w:sz="8" w:space="0" w:color="auto"/>
              <w:left w:val="single" w:sz="8" w:space="0" w:color="auto"/>
              <w:bottom w:val="single" w:sz="8" w:space="0" w:color="auto"/>
              <w:right w:val="single" w:sz="8" w:space="0" w:color="auto"/>
            </w:tcBorders>
            <w:vAlign w:val="center"/>
          </w:tcPr>
          <w:p w:rsidR="00B47A79" w:rsidRPr="004A6879" w:rsidRDefault="00B47A79" w:rsidP="00A73BD0">
            <w:pPr>
              <w:spacing w:after="0" w:line="240" w:lineRule="auto"/>
              <w:jc w:val="center"/>
              <w:rPr>
                <w:rFonts w:ascii="Times New Roman" w:hAnsi="Times New Roman"/>
                <w:color w:val="808080"/>
                <w:sz w:val="24"/>
                <w:szCs w:val="24"/>
              </w:rPr>
            </w:pPr>
          </w:p>
        </w:tc>
        <w:tc>
          <w:tcPr>
            <w:tcW w:w="1128" w:type="dxa"/>
            <w:tcBorders>
              <w:top w:val="single" w:sz="8" w:space="0" w:color="auto"/>
              <w:left w:val="single" w:sz="8" w:space="0" w:color="auto"/>
              <w:bottom w:val="single" w:sz="8" w:space="0" w:color="auto"/>
              <w:right w:val="single" w:sz="8" w:space="0" w:color="auto"/>
            </w:tcBorders>
            <w:vAlign w:val="center"/>
          </w:tcPr>
          <w:p w:rsidR="00B47A79" w:rsidRPr="004A6879" w:rsidRDefault="00B47A79" w:rsidP="00A73BD0">
            <w:pPr>
              <w:spacing w:after="0" w:line="240" w:lineRule="auto"/>
              <w:ind w:right="-108"/>
              <w:jc w:val="center"/>
              <w:rPr>
                <w:rFonts w:ascii="Times New Roman" w:hAnsi="Times New Roman"/>
                <w:color w:val="808080"/>
                <w:sz w:val="24"/>
                <w:szCs w:val="24"/>
              </w:rPr>
            </w:pP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промышленность</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jc w:val="right"/>
              <w:rPr>
                <w:rFonts w:ascii="Times New Roman" w:hAnsi="Times New Roman"/>
                <w:color w:val="000000"/>
                <w:sz w:val="24"/>
                <w:szCs w:val="24"/>
              </w:rPr>
            </w:pPr>
            <w:r w:rsidRPr="004A6879">
              <w:rPr>
                <w:rFonts w:ascii="Times New Roman" w:hAnsi="Times New Roman"/>
                <w:color w:val="000000"/>
                <w:sz w:val="24"/>
                <w:szCs w:val="24"/>
              </w:rPr>
              <w:t>381 417,6</w:t>
            </w:r>
          </w:p>
        </w:tc>
        <w:tc>
          <w:tcPr>
            <w:tcW w:w="1277"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jc w:val="right"/>
              <w:rPr>
                <w:rFonts w:ascii="Times New Roman" w:hAnsi="Times New Roman"/>
                <w:color w:val="000000"/>
                <w:sz w:val="24"/>
                <w:szCs w:val="24"/>
              </w:rPr>
            </w:pPr>
            <w:r w:rsidRPr="004A6879">
              <w:rPr>
                <w:rFonts w:ascii="Times New Roman" w:hAnsi="Times New Roman"/>
                <w:color w:val="000000"/>
                <w:sz w:val="24"/>
                <w:szCs w:val="24"/>
              </w:rPr>
              <w:t>434 530,3</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113,9</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сельское хозяйство</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jc w:val="right"/>
              <w:rPr>
                <w:rFonts w:ascii="Times New Roman" w:hAnsi="Times New Roman"/>
                <w:color w:val="000000"/>
                <w:sz w:val="24"/>
                <w:szCs w:val="24"/>
              </w:rPr>
            </w:pPr>
            <w:r w:rsidRPr="004A6879">
              <w:rPr>
                <w:rFonts w:ascii="Times New Roman" w:hAnsi="Times New Roman"/>
                <w:color w:val="000000"/>
                <w:sz w:val="24"/>
                <w:szCs w:val="24"/>
              </w:rPr>
              <w:t>510 218,8</w:t>
            </w:r>
          </w:p>
        </w:tc>
        <w:tc>
          <w:tcPr>
            <w:tcW w:w="1277"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jc w:val="right"/>
              <w:rPr>
                <w:rFonts w:ascii="Times New Roman" w:hAnsi="Times New Roman"/>
                <w:color w:val="000000"/>
                <w:sz w:val="24"/>
                <w:szCs w:val="24"/>
              </w:rPr>
            </w:pPr>
            <w:r w:rsidRPr="004A6879">
              <w:rPr>
                <w:rFonts w:ascii="Times New Roman" w:hAnsi="Times New Roman"/>
                <w:color w:val="000000"/>
                <w:sz w:val="24"/>
                <w:szCs w:val="24"/>
              </w:rPr>
              <w:t>789 104,1</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154,7</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транспорт</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jc w:val="right"/>
              <w:rPr>
                <w:rFonts w:ascii="Times New Roman" w:hAnsi="Times New Roman"/>
                <w:color w:val="000000"/>
                <w:sz w:val="24"/>
                <w:szCs w:val="24"/>
              </w:rPr>
            </w:pPr>
            <w:r w:rsidRPr="004A6879">
              <w:rPr>
                <w:rFonts w:ascii="Times New Roman" w:hAnsi="Times New Roman"/>
                <w:color w:val="000000"/>
                <w:sz w:val="24"/>
                <w:szCs w:val="24"/>
              </w:rPr>
              <w:t>65 805,3</w:t>
            </w:r>
          </w:p>
        </w:tc>
        <w:tc>
          <w:tcPr>
            <w:tcW w:w="1277"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jc w:val="right"/>
              <w:rPr>
                <w:rFonts w:ascii="Times New Roman" w:hAnsi="Times New Roman"/>
                <w:color w:val="000000"/>
                <w:sz w:val="24"/>
                <w:szCs w:val="24"/>
              </w:rPr>
            </w:pPr>
            <w:r w:rsidRPr="004A6879">
              <w:rPr>
                <w:rFonts w:ascii="Times New Roman" w:hAnsi="Times New Roman"/>
                <w:color w:val="000000"/>
                <w:sz w:val="24"/>
                <w:szCs w:val="24"/>
              </w:rPr>
              <w:t>77 865,2</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118,3</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строительство</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jc w:val="right"/>
              <w:rPr>
                <w:rFonts w:ascii="Times New Roman" w:hAnsi="Times New Roman"/>
                <w:color w:val="000000"/>
                <w:sz w:val="24"/>
                <w:szCs w:val="24"/>
              </w:rPr>
            </w:pPr>
            <w:r w:rsidRPr="004A6879">
              <w:rPr>
                <w:rFonts w:ascii="Times New Roman" w:hAnsi="Times New Roman"/>
                <w:color w:val="000000"/>
                <w:sz w:val="24"/>
                <w:szCs w:val="24"/>
              </w:rPr>
              <w:t>244 956,8</w:t>
            </w:r>
          </w:p>
        </w:tc>
        <w:tc>
          <w:tcPr>
            <w:tcW w:w="1277"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jc w:val="right"/>
              <w:rPr>
                <w:rFonts w:ascii="Times New Roman" w:hAnsi="Times New Roman"/>
                <w:color w:val="000000"/>
                <w:sz w:val="24"/>
                <w:szCs w:val="24"/>
              </w:rPr>
            </w:pPr>
            <w:r w:rsidRPr="004A6879">
              <w:rPr>
                <w:rFonts w:ascii="Times New Roman" w:hAnsi="Times New Roman"/>
                <w:color w:val="000000"/>
                <w:sz w:val="24"/>
                <w:szCs w:val="24"/>
              </w:rPr>
              <w:t>219 564,0</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89,6</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торговля и общепит</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jc w:val="right"/>
              <w:rPr>
                <w:rFonts w:ascii="Times New Roman" w:hAnsi="Times New Roman"/>
                <w:color w:val="000000"/>
                <w:sz w:val="24"/>
                <w:szCs w:val="24"/>
              </w:rPr>
            </w:pPr>
            <w:r w:rsidRPr="004A6879">
              <w:rPr>
                <w:rFonts w:ascii="Times New Roman" w:hAnsi="Times New Roman"/>
                <w:color w:val="000000"/>
                <w:sz w:val="24"/>
                <w:szCs w:val="24"/>
              </w:rPr>
              <w:t>2 255 397,1</w:t>
            </w:r>
          </w:p>
        </w:tc>
        <w:tc>
          <w:tcPr>
            <w:tcW w:w="1277"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left="-108"/>
              <w:jc w:val="right"/>
              <w:rPr>
                <w:rFonts w:ascii="Times New Roman" w:hAnsi="Times New Roman"/>
                <w:color w:val="000000"/>
                <w:sz w:val="24"/>
                <w:szCs w:val="24"/>
              </w:rPr>
            </w:pPr>
            <w:r w:rsidRPr="004A6879">
              <w:rPr>
                <w:rFonts w:ascii="Times New Roman" w:hAnsi="Times New Roman"/>
                <w:color w:val="000000"/>
                <w:sz w:val="24"/>
                <w:szCs w:val="24"/>
              </w:rPr>
              <w:t>2 914 464,3</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129,2</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общая коммерческая деятельность</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38 123,4</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34 335,1</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90,1</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отдых и туризм</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33 601,0</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70 671,8</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в 2,1 р.</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Объем розничного товарооборота</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left="-141"/>
              <w:jc w:val="center"/>
              <w:rPr>
                <w:rFonts w:ascii="Times New Roman" w:hAnsi="Times New Roman"/>
                <w:sz w:val="24"/>
                <w:szCs w:val="24"/>
              </w:rPr>
            </w:pPr>
            <w:r w:rsidRPr="004A6879">
              <w:rPr>
                <w:rFonts w:ascii="Times New Roman" w:hAnsi="Times New Roman"/>
                <w:sz w:val="24"/>
                <w:szCs w:val="24"/>
              </w:rPr>
              <w:t>779 074,0</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left="-135"/>
              <w:jc w:val="center"/>
              <w:rPr>
                <w:rFonts w:ascii="Times New Roman" w:hAnsi="Times New Roman"/>
                <w:sz w:val="24"/>
                <w:szCs w:val="24"/>
              </w:rPr>
            </w:pPr>
            <w:r w:rsidRPr="004A6879">
              <w:rPr>
                <w:rFonts w:ascii="Times New Roman" w:hAnsi="Times New Roman"/>
                <w:sz w:val="24"/>
                <w:szCs w:val="24"/>
              </w:rPr>
              <w:t>1 124 559,3</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144,3</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Объем платных услуг</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169 346,0</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195 020,0</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115,2</w:t>
            </w:r>
          </w:p>
        </w:tc>
      </w:tr>
      <w:tr w:rsidR="00B47A79" w:rsidRPr="004A6879" w:rsidTr="00B47A79">
        <w:trPr>
          <w:trHeight w:val="283"/>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Инвестиции в основной капитал</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248 939,5</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166 586,4</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66,9</w:t>
            </w:r>
          </w:p>
        </w:tc>
      </w:tr>
      <w:tr w:rsidR="00B47A79" w:rsidRPr="004A6879" w:rsidTr="00B47A79">
        <w:trPr>
          <w:trHeight w:val="157"/>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Платежи в бюджет и внебюджетные фонды (фактически внесено), в том числе:</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331 881,9</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340 748,8</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102,7</w:t>
            </w:r>
          </w:p>
        </w:tc>
      </w:tr>
      <w:tr w:rsidR="00B47A79" w:rsidRPr="004A6879" w:rsidTr="00B47A79">
        <w:trPr>
          <w:trHeight w:val="157"/>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налог на доходы организаций</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105 540,3</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116 306,2</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110,2</w:t>
            </w:r>
          </w:p>
        </w:tc>
      </w:tr>
      <w:tr w:rsidR="00B47A79" w:rsidRPr="004A6879" w:rsidTr="00B47A79">
        <w:trPr>
          <w:trHeight w:val="157"/>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единый социальный налог</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84 431,8</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83 486,0</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98,9</w:t>
            </w:r>
          </w:p>
        </w:tc>
      </w:tr>
      <w:tr w:rsidR="00B47A79" w:rsidRPr="004A6879" w:rsidTr="00B47A79">
        <w:trPr>
          <w:trHeight w:val="157"/>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подоходный налог с физических лиц</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30 082,8</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29 972,1</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99,6</w:t>
            </w:r>
          </w:p>
        </w:tc>
      </w:tr>
      <w:tr w:rsidR="00B47A79" w:rsidRPr="004A6879" w:rsidTr="00B47A79">
        <w:trPr>
          <w:trHeight w:val="157"/>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земельный налог</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35 129,8</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33 855,3</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96,4</w:t>
            </w:r>
          </w:p>
        </w:tc>
      </w:tr>
      <w:tr w:rsidR="00B47A79" w:rsidTr="00B47A79">
        <w:trPr>
          <w:trHeight w:val="157"/>
        </w:trPr>
        <w:tc>
          <w:tcPr>
            <w:tcW w:w="4823" w:type="dxa"/>
            <w:tcBorders>
              <w:top w:val="single" w:sz="8" w:space="0" w:color="auto"/>
              <w:left w:val="single" w:sz="8" w:space="0" w:color="auto"/>
              <w:bottom w:val="single" w:sz="8" w:space="0" w:color="auto"/>
              <w:right w:val="single" w:sz="8" w:space="0" w:color="auto"/>
            </w:tcBorders>
            <w:hideMark/>
          </w:tcPr>
          <w:p w:rsidR="00B47A79" w:rsidRPr="004A6879" w:rsidRDefault="00B47A79" w:rsidP="00A73BD0">
            <w:pPr>
              <w:spacing w:after="0" w:line="240" w:lineRule="auto"/>
              <w:ind w:right="-108"/>
              <w:rPr>
                <w:rFonts w:ascii="Times New Roman" w:hAnsi="Times New Roman"/>
                <w:color w:val="000000"/>
                <w:sz w:val="24"/>
                <w:szCs w:val="24"/>
              </w:rPr>
            </w:pPr>
            <w:r w:rsidRPr="004A6879">
              <w:rPr>
                <w:rFonts w:ascii="Times New Roman" w:hAnsi="Times New Roman"/>
                <w:color w:val="000000"/>
                <w:sz w:val="24"/>
                <w:szCs w:val="24"/>
              </w:rPr>
              <w:t>- акцизы</w:t>
            </w:r>
          </w:p>
        </w:tc>
        <w:tc>
          <w:tcPr>
            <w:tcW w:w="1276"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color w:val="000000"/>
                <w:sz w:val="24"/>
                <w:szCs w:val="24"/>
              </w:rPr>
            </w:pPr>
            <w:r w:rsidRPr="004A6879">
              <w:rPr>
                <w:rFonts w:ascii="Times New Roman" w:hAnsi="Times New Roman"/>
                <w:color w:val="000000"/>
                <w:sz w:val="24"/>
                <w:szCs w:val="24"/>
              </w:rPr>
              <w:t>тыс. руб.</w:t>
            </w:r>
          </w:p>
        </w:tc>
        <w:tc>
          <w:tcPr>
            <w:tcW w:w="1419"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5 927,8</w:t>
            </w:r>
          </w:p>
        </w:tc>
        <w:tc>
          <w:tcPr>
            <w:tcW w:w="1277"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jc w:val="center"/>
              <w:rPr>
                <w:rFonts w:ascii="Times New Roman" w:hAnsi="Times New Roman"/>
                <w:sz w:val="24"/>
                <w:szCs w:val="24"/>
              </w:rPr>
            </w:pPr>
            <w:r w:rsidRPr="004A6879">
              <w:rPr>
                <w:rFonts w:ascii="Times New Roman" w:hAnsi="Times New Roman"/>
                <w:sz w:val="24"/>
                <w:szCs w:val="24"/>
              </w:rPr>
              <w:t>5 312,9</w:t>
            </w:r>
          </w:p>
        </w:tc>
        <w:tc>
          <w:tcPr>
            <w:tcW w:w="1128" w:type="dxa"/>
            <w:tcBorders>
              <w:top w:val="single" w:sz="8" w:space="0" w:color="auto"/>
              <w:left w:val="single" w:sz="8" w:space="0" w:color="auto"/>
              <w:bottom w:val="single" w:sz="8" w:space="0" w:color="auto"/>
              <w:right w:val="single" w:sz="8" w:space="0" w:color="auto"/>
            </w:tcBorders>
            <w:vAlign w:val="center"/>
            <w:hideMark/>
          </w:tcPr>
          <w:p w:rsidR="00B47A79" w:rsidRPr="004A6879" w:rsidRDefault="00B47A79" w:rsidP="00A73BD0">
            <w:pPr>
              <w:spacing w:after="0" w:line="240" w:lineRule="auto"/>
              <w:ind w:right="-108"/>
              <w:jc w:val="center"/>
              <w:rPr>
                <w:rFonts w:ascii="Times New Roman" w:hAnsi="Times New Roman"/>
                <w:sz w:val="24"/>
                <w:szCs w:val="24"/>
              </w:rPr>
            </w:pPr>
            <w:r w:rsidRPr="004A6879">
              <w:rPr>
                <w:rFonts w:ascii="Times New Roman" w:hAnsi="Times New Roman"/>
                <w:sz w:val="24"/>
                <w:szCs w:val="24"/>
              </w:rPr>
              <w:t>89,6</w:t>
            </w:r>
          </w:p>
        </w:tc>
      </w:tr>
    </w:tbl>
    <w:p w:rsidR="00D212FF" w:rsidRPr="0080737A" w:rsidRDefault="00D212FF" w:rsidP="00D212FF">
      <w:pPr>
        <w:spacing w:after="0" w:line="240" w:lineRule="auto"/>
        <w:jc w:val="center"/>
        <w:rPr>
          <w:rFonts w:ascii="Times New Roman" w:hAnsi="Times New Roman"/>
          <w:b/>
          <w:sz w:val="24"/>
          <w:szCs w:val="24"/>
        </w:rPr>
      </w:pPr>
    </w:p>
    <w:sectPr w:rsidR="00D212FF" w:rsidRPr="0080737A" w:rsidSect="00E57013">
      <w:pgSz w:w="11906" w:h="16838"/>
      <w:pgMar w:top="1134" w:right="720"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EC6" w:rsidRDefault="008D5EC6" w:rsidP="0009759B">
      <w:pPr>
        <w:spacing w:after="0" w:line="240" w:lineRule="auto"/>
      </w:pPr>
      <w:r>
        <w:separator/>
      </w:r>
    </w:p>
  </w:endnote>
  <w:endnote w:type="continuationSeparator" w:id="1">
    <w:p w:rsidR="008D5EC6" w:rsidRDefault="008D5EC6" w:rsidP="000975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EC6" w:rsidRDefault="00EE27EB" w:rsidP="003F67B2">
    <w:pPr>
      <w:pStyle w:val="af2"/>
      <w:framePr w:wrap="around" w:vAnchor="text" w:hAnchor="margin" w:xAlign="right" w:y="1"/>
      <w:rPr>
        <w:rStyle w:val="af7"/>
      </w:rPr>
    </w:pPr>
    <w:r>
      <w:rPr>
        <w:rStyle w:val="af7"/>
      </w:rPr>
      <w:fldChar w:fldCharType="begin"/>
    </w:r>
    <w:r w:rsidR="008D5EC6">
      <w:rPr>
        <w:rStyle w:val="af7"/>
      </w:rPr>
      <w:instrText xml:space="preserve">PAGE  </w:instrText>
    </w:r>
    <w:r>
      <w:rPr>
        <w:rStyle w:val="af7"/>
      </w:rPr>
      <w:fldChar w:fldCharType="end"/>
    </w:r>
  </w:p>
  <w:p w:rsidR="008D5EC6" w:rsidRDefault="008D5EC6" w:rsidP="003F67B2">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EC6" w:rsidRDefault="00EE27EB" w:rsidP="003F67B2">
    <w:pPr>
      <w:pStyle w:val="af2"/>
      <w:framePr w:wrap="around" w:vAnchor="text" w:hAnchor="margin" w:xAlign="right" w:y="1"/>
      <w:rPr>
        <w:rStyle w:val="af7"/>
      </w:rPr>
    </w:pPr>
    <w:r>
      <w:rPr>
        <w:rStyle w:val="af7"/>
      </w:rPr>
      <w:fldChar w:fldCharType="begin"/>
    </w:r>
    <w:r w:rsidR="008D5EC6">
      <w:rPr>
        <w:rStyle w:val="af7"/>
      </w:rPr>
      <w:instrText xml:space="preserve">PAGE  </w:instrText>
    </w:r>
    <w:r>
      <w:rPr>
        <w:rStyle w:val="af7"/>
      </w:rPr>
      <w:fldChar w:fldCharType="separate"/>
    </w:r>
    <w:r w:rsidR="005838C3">
      <w:rPr>
        <w:rStyle w:val="af7"/>
        <w:noProof/>
      </w:rPr>
      <w:t>2</w:t>
    </w:r>
    <w:r>
      <w:rPr>
        <w:rStyle w:val="af7"/>
      </w:rPr>
      <w:fldChar w:fldCharType="end"/>
    </w:r>
  </w:p>
  <w:p w:rsidR="008D5EC6" w:rsidRDefault="008D5EC6" w:rsidP="003F67B2">
    <w:pPr>
      <w:pStyle w:val="af2"/>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EC6" w:rsidRDefault="008D5EC6" w:rsidP="0009759B">
      <w:pPr>
        <w:spacing w:after="0" w:line="240" w:lineRule="auto"/>
      </w:pPr>
      <w:r>
        <w:separator/>
      </w:r>
    </w:p>
  </w:footnote>
  <w:footnote w:type="continuationSeparator" w:id="1">
    <w:p w:rsidR="008D5EC6" w:rsidRDefault="008D5EC6" w:rsidP="0009759B">
      <w:pPr>
        <w:spacing w:after="0" w:line="240" w:lineRule="auto"/>
      </w:pPr>
      <w:r>
        <w:continuationSeparator/>
      </w:r>
    </w:p>
  </w:footnote>
  <w:footnote w:id="2">
    <w:p w:rsidR="008D5EC6" w:rsidRPr="0094333A" w:rsidRDefault="008D5EC6" w:rsidP="0094333A">
      <w:pPr>
        <w:pStyle w:val="afd"/>
        <w:spacing w:line="235" w:lineRule="auto"/>
        <w:jc w:val="both"/>
        <w:rPr>
          <w:rFonts w:ascii="Times New Roman" w:hAnsi="Times New Roman"/>
          <w:i/>
        </w:rPr>
      </w:pPr>
      <w:r w:rsidRPr="0094333A">
        <w:rPr>
          <w:rStyle w:val="aff"/>
          <w:rFonts w:ascii="Times New Roman" w:hAnsi="Times New Roman"/>
          <w:i/>
        </w:rPr>
        <w:footnoteRef/>
      </w:r>
      <w:r w:rsidRPr="0094333A">
        <w:rPr>
          <w:rFonts w:ascii="Times New Roman" w:hAnsi="Times New Roman"/>
          <w:i/>
        </w:rPr>
        <w:t xml:space="preserve"> (задолженность по кредитам – просроченная задолженность по кредитам) / задолженность по кредитам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E61"/>
    <w:multiLevelType w:val="hybridMultilevel"/>
    <w:tmpl w:val="B2F02A5C"/>
    <w:lvl w:ilvl="0" w:tplc="335825B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42401C"/>
    <w:multiLevelType w:val="hybridMultilevel"/>
    <w:tmpl w:val="5EFC5908"/>
    <w:lvl w:ilvl="0" w:tplc="AE6878D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82B1BF3"/>
    <w:multiLevelType w:val="hybridMultilevel"/>
    <w:tmpl w:val="F3744C5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966F4F"/>
    <w:multiLevelType w:val="hybridMultilevel"/>
    <w:tmpl w:val="CE308408"/>
    <w:lvl w:ilvl="0" w:tplc="0994AFCC">
      <w:start w:val="1"/>
      <w:numFmt w:val="bullet"/>
      <w:lvlText w:val=""/>
      <w:lvlJc w:val="left"/>
      <w:pPr>
        <w:ind w:left="2422"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E2A23E0"/>
    <w:multiLevelType w:val="hybridMultilevel"/>
    <w:tmpl w:val="50D43840"/>
    <w:lvl w:ilvl="0" w:tplc="430C75D6">
      <w:start w:val="1"/>
      <w:numFmt w:val="decimal"/>
      <w:lvlText w:val="%1)"/>
      <w:lvlJc w:val="left"/>
      <w:pPr>
        <w:ind w:left="1350" w:hanging="360"/>
      </w:pPr>
      <w:rPr>
        <w:rFonts w:hint="default"/>
        <w:b w:val="0"/>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
    <w:nsid w:val="1CEB1EE1"/>
    <w:multiLevelType w:val="hybridMultilevel"/>
    <w:tmpl w:val="A5A2C5EC"/>
    <w:lvl w:ilvl="0" w:tplc="0994A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04753F"/>
    <w:multiLevelType w:val="hybridMultilevel"/>
    <w:tmpl w:val="9FAAD1C4"/>
    <w:lvl w:ilvl="0" w:tplc="0C1CCE76">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531EB2"/>
    <w:multiLevelType w:val="hybridMultilevel"/>
    <w:tmpl w:val="7AA225A2"/>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
    <w:nsid w:val="24FB6EEF"/>
    <w:multiLevelType w:val="hybridMultilevel"/>
    <w:tmpl w:val="A3C8D568"/>
    <w:lvl w:ilvl="0" w:tplc="9B0236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E02E56"/>
    <w:multiLevelType w:val="hybridMultilevel"/>
    <w:tmpl w:val="734817E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2F772D7"/>
    <w:multiLevelType w:val="hybridMultilevel"/>
    <w:tmpl w:val="DA185ED4"/>
    <w:lvl w:ilvl="0" w:tplc="9654B282">
      <w:start w:val="1"/>
      <w:numFmt w:val="decimal"/>
      <w:lvlText w:val="%1."/>
      <w:lvlJc w:val="left"/>
      <w:pPr>
        <w:ind w:left="360" w:hanging="360"/>
      </w:pPr>
      <w:rPr>
        <w:rFonts w:hint="default"/>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11">
    <w:nsid w:val="34C63B03"/>
    <w:multiLevelType w:val="hybridMultilevel"/>
    <w:tmpl w:val="663EDC82"/>
    <w:lvl w:ilvl="0" w:tplc="7BA49E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FC037DF"/>
    <w:multiLevelType w:val="hybridMultilevel"/>
    <w:tmpl w:val="80A0131C"/>
    <w:lvl w:ilvl="0" w:tplc="809EB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DC35656"/>
    <w:multiLevelType w:val="hybridMultilevel"/>
    <w:tmpl w:val="C7CEB3D4"/>
    <w:lvl w:ilvl="0" w:tplc="6010CF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5772350"/>
    <w:multiLevelType w:val="hybridMultilevel"/>
    <w:tmpl w:val="B93479BC"/>
    <w:lvl w:ilvl="0" w:tplc="0994AFCC">
      <w:start w:val="1"/>
      <w:numFmt w:val="bullet"/>
      <w:lvlText w:val=""/>
      <w:lvlJc w:val="left"/>
      <w:pPr>
        <w:ind w:left="1211" w:hanging="360"/>
      </w:pPr>
      <w:rPr>
        <w:rFonts w:ascii="Symbol" w:hAnsi="Symbol"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5DC5D64"/>
    <w:multiLevelType w:val="hybridMultilevel"/>
    <w:tmpl w:val="1F48670A"/>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15"/>
  </w:num>
  <w:num w:numId="2">
    <w:abstractNumId w:val="7"/>
  </w:num>
  <w:num w:numId="3">
    <w:abstractNumId w:val="0"/>
  </w:num>
  <w:num w:numId="4">
    <w:abstractNumId w:val="13"/>
  </w:num>
  <w:num w:numId="5">
    <w:abstractNumId w:val="8"/>
  </w:num>
  <w:num w:numId="6">
    <w:abstractNumId w:val="12"/>
  </w:num>
  <w:num w:numId="7">
    <w:abstractNumId w:val="4"/>
  </w:num>
  <w:num w:numId="8">
    <w:abstractNumId w:val="2"/>
  </w:num>
  <w:num w:numId="9">
    <w:abstractNumId w:val="5"/>
  </w:num>
  <w:num w:numId="10">
    <w:abstractNumId w:val="6"/>
  </w:num>
  <w:num w:numId="11">
    <w:abstractNumId w:val="9"/>
  </w:num>
  <w:num w:numId="12">
    <w:abstractNumId w:val="14"/>
  </w:num>
  <w:num w:numId="13">
    <w:abstractNumId w:val="3"/>
  </w:num>
  <w:num w:numId="14">
    <w:abstractNumId w:val="11"/>
  </w:num>
  <w:num w:numId="15">
    <w:abstractNumId w:val="1"/>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335844"/>
    <w:rsid w:val="00003EF6"/>
    <w:rsid w:val="000043C4"/>
    <w:rsid w:val="00005D3C"/>
    <w:rsid w:val="00011FFD"/>
    <w:rsid w:val="00030391"/>
    <w:rsid w:val="00030BFD"/>
    <w:rsid w:val="00034BEF"/>
    <w:rsid w:val="000436F6"/>
    <w:rsid w:val="00043C38"/>
    <w:rsid w:val="00047DAA"/>
    <w:rsid w:val="00057CA6"/>
    <w:rsid w:val="00061FBE"/>
    <w:rsid w:val="00067B57"/>
    <w:rsid w:val="00071E07"/>
    <w:rsid w:val="0007541F"/>
    <w:rsid w:val="000806BE"/>
    <w:rsid w:val="00085DBD"/>
    <w:rsid w:val="00090A9B"/>
    <w:rsid w:val="00091304"/>
    <w:rsid w:val="0009396E"/>
    <w:rsid w:val="000943F5"/>
    <w:rsid w:val="0009759B"/>
    <w:rsid w:val="000A1502"/>
    <w:rsid w:val="000A3FF8"/>
    <w:rsid w:val="000C7A80"/>
    <w:rsid w:val="000D4F46"/>
    <w:rsid w:val="000D5F36"/>
    <w:rsid w:val="000D61DA"/>
    <w:rsid w:val="000E6522"/>
    <w:rsid w:val="000F48CB"/>
    <w:rsid w:val="000F5DEE"/>
    <w:rsid w:val="000F6312"/>
    <w:rsid w:val="0010352C"/>
    <w:rsid w:val="0012122B"/>
    <w:rsid w:val="00126DD0"/>
    <w:rsid w:val="00132C09"/>
    <w:rsid w:val="001354B7"/>
    <w:rsid w:val="00143836"/>
    <w:rsid w:val="00146BB8"/>
    <w:rsid w:val="00165C23"/>
    <w:rsid w:val="00167F16"/>
    <w:rsid w:val="001741EE"/>
    <w:rsid w:val="00174F6B"/>
    <w:rsid w:val="00185C09"/>
    <w:rsid w:val="00196C8F"/>
    <w:rsid w:val="00197F89"/>
    <w:rsid w:val="001B20A6"/>
    <w:rsid w:val="001B363E"/>
    <w:rsid w:val="001C1BD2"/>
    <w:rsid w:val="001C6BA9"/>
    <w:rsid w:val="001F3D44"/>
    <w:rsid w:val="002052E6"/>
    <w:rsid w:val="002148BB"/>
    <w:rsid w:val="002153BA"/>
    <w:rsid w:val="002220CA"/>
    <w:rsid w:val="002230CC"/>
    <w:rsid w:val="00230BFA"/>
    <w:rsid w:val="00235954"/>
    <w:rsid w:val="002361A2"/>
    <w:rsid w:val="0025232B"/>
    <w:rsid w:val="002524A9"/>
    <w:rsid w:val="002559D1"/>
    <w:rsid w:val="002610C6"/>
    <w:rsid w:val="00261469"/>
    <w:rsid w:val="002619F6"/>
    <w:rsid w:val="00265613"/>
    <w:rsid w:val="00281CC6"/>
    <w:rsid w:val="00282C86"/>
    <w:rsid w:val="00285C9F"/>
    <w:rsid w:val="002A03A2"/>
    <w:rsid w:val="002A1E26"/>
    <w:rsid w:val="002A2E3C"/>
    <w:rsid w:val="002B1C01"/>
    <w:rsid w:val="002B3FE7"/>
    <w:rsid w:val="002B7296"/>
    <w:rsid w:val="002D1719"/>
    <w:rsid w:val="002D2B89"/>
    <w:rsid w:val="002F572E"/>
    <w:rsid w:val="003028B7"/>
    <w:rsid w:val="0032086A"/>
    <w:rsid w:val="00335844"/>
    <w:rsid w:val="00340923"/>
    <w:rsid w:val="00350199"/>
    <w:rsid w:val="0035600F"/>
    <w:rsid w:val="003613E3"/>
    <w:rsid w:val="00364F8A"/>
    <w:rsid w:val="00372A15"/>
    <w:rsid w:val="003733BF"/>
    <w:rsid w:val="00374268"/>
    <w:rsid w:val="00374673"/>
    <w:rsid w:val="00387D3D"/>
    <w:rsid w:val="003910AF"/>
    <w:rsid w:val="00396711"/>
    <w:rsid w:val="003A6DA1"/>
    <w:rsid w:val="003B52DF"/>
    <w:rsid w:val="003B6CF7"/>
    <w:rsid w:val="003C2E99"/>
    <w:rsid w:val="003D29EE"/>
    <w:rsid w:val="003D7204"/>
    <w:rsid w:val="003F227B"/>
    <w:rsid w:val="003F5257"/>
    <w:rsid w:val="003F67B2"/>
    <w:rsid w:val="00400095"/>
    <w:rsid w:val="00406BFA"/>
    <w:rsid w:val="004124AD"/>
    <w:rsid w:val="00414A33"/>
    <w:rsid w:val="00415F99"/>
    <w:rsid w:val="004165C8"/>
    <w:rsid w:val="0041685A"/>
    <w:rsid w:val="00437C5E"/>
    <w:rsid w:val="0044462C"/>
    <w:rsid w:val="00445605"/>
    <w:rsid w:val="00460A09"/>
    <w:rsid w:val="004642A8"/>
    <w:rsid w:val="00475A52"/>
    <w:rsid w:val="004839A0"/>
    <w:rsid w:val="004905EE"/>
    <w:rsid w:val="0049074B"/>
    <w:rsid w:val="00494A9C"/>
    <w:rsid w:val="0049581A"/>
    <w:rsid w:val="00495861"/>
    <w:rsid w:val="004971B1"/>
    <w:rsid w:val="004A339A"/>
    <w:rsid w:val="004A34E5"/>
    <w:rsid w:val="004B6788"/>
    <w:rsid w:val="004B6D4D"/>
    <w:rsid w:val="004C5F3F"/>
    <w:rsid w:val="004D0A90"/>
    <w:rsid w:val="004D494D"/>
    <w:rsid w:val="004E5859"/>
    <w:rsid w:val="005018DA"/>
    <w:rsid w:val="00504B0B"/>
    <w:rsid w:val="005074C0"/>
    <w:rsid w:val="00513069"/>
    <w:rsid w:val="005139AE"/>
    <w:rsid w:val="005212CB"/>
    <w:rsid w:val="00546808"/>
    <w:rsid w:val="00552560"/>
    <w:rsid w:val="00557D3D"/>
    <w:rsid w:val="00572688"/>
    <w:rsid w:val="005730B8"/>
    <w:rsid w:val="00573765"/>
    <w:rsid w:val="00574AB2"/>
    <w:rsid w:val="005816F4"/>
    <w:rsid w:val="005838C3"/>
    <w:rsid w:val="00590F6F"/>
    <w:rsid w:val="00592679"/>
    <w:rsid w:val="005927A6"/>
    <w:rsid w:val="00593FEB"/>
    <w:rsid w:val="005A63CA"/>
    <w:rsid w:val="005A6FFC"/>
    <w:rsid w:val="005B1766"/>
    <w:rsid w:val="005B2F7C"/>
    <w:rsid w:val="005B5A6A"/>
    <w:rsid w:val="005B7810"/>
    <w:rsid w:val="005C0F1D"/>
    <w:rsid w:val="005C20B9"/>
    <w:rsid w:val="005C2655"/>
    <w:rsid w:val="005D227B"/>
    <w:rsid w:val="005F1F0E"/>
    <w:rsid w:val="005F519F"/>
    <w:rsid w:val="005F7704"/>
    <w:rsid w:val="00604DAD"/>
    <w:rsid w:val="00623CD1"/>
    <w:rsid w:val="0063092C"/>
    <w:rsid w:val="00634772"/>
    <w:rsid w:val="006356FA"/>
    <w:rsid w:val="006409F0"/>
    <w:rsid w:val="00641EB5"/>
    <w:rsid w:val="00652529"/>
    <w:rsid w:val="006645AD"/>
    <w:rsid w:val="00667003"/>
    <w:rsid w:val="00671C48"/>
    <w:rsid w:val="006808A1"/>
    <w:rsid w:val="00682EED"/>
    <w:rsid w:val="00690DBF"/>
    <w:rsid w:val="006A29F1"/>
    <w:rsid w:val="006A3EF7"/>
    <w:rsid w:val="006B57B4"/>
    <w:rsid w:val="006B78FA"/>
    <w:rsid w:val="006C3634"/>
    <w:rsid w:val="006C5665"/>
    <w:rsid w:val="006C7592"/>
    <w:rsid w:val="006D01C7"/>
    <w:rsid w:val="006D1DEF"/>
    <w:rsid w:val="006D4FCB"/>
    <w:rsid w:val="006D561B"/>
    <w:rsid w:val="006D627A"/>
    <w:rsid w:val="006D713A"/>
    <w:rsid w:val="006E2BBC"/>
    <w:rsid w:val="006F4E1E"/>
    <w:rsid w:val="006F6442"/>
    <w:rsid w:val="00702326"/>
    <w:rsid w:val="00703FA6"/>
    <w:rsid w:val="00704B01"/>
    <w:rsid w:val="0070610E"/>
    <w:rsid w:val="00713422"/>
    <w:rsid w:val="00716471"/>
    <w:rsid w:val="00722024"/>
    <w:rsid w:val="00722D9C"/>
    <w:rsid w:val="0072732C"/>
    <w:rsid w:val="007316BD"/>
    <w:rsid w:val="0073305E"/>
    <w:rsid w:val="00747D66"/>
    <w:rsid w:val="007626AB"/>
    <w:rsid w:val="007745D9"/>
    <w:rsid w:val="00787577"/>
    <w:rsid w:val="00793E36"/>
    <w:rsid w:val="00797085"/>
    <w:rsid w:val="007A2EE2"/>
    <w:rsid w:val="007A78C2"/>
    <w:rsid w:val="007B14B0"/>
    <w:rsid w:val="007C2817"/>
    <w:rsid w:val="007D50AD"/>
    <w:rsid w:val="007E3799"/>
    <w:rsid w:val="007E5212"/>
    <w:rsid w:val="007F5E2C"/>
    <w:rsid w:val="00801378"/>
    <w:rsid w:val="008022A1"/>
    <w:rsid w:val="00804C13"/>
    <w:rsid w:val="00805A58"/>
    <w:rsid w:val="0080737A"/>
    <w:rsid w:val="00822F11"/>
    <w:rsid w:val="00825344"/>
    <w:rsid w:val="00825523"/>
    <w:rsid w:val="00830EBC"/>
    <w:rsid w:val="00832D29"/>
    <w:rsid w:val="00834CD9"/>
    <w:rsid w:val="008423D7"/>
    <w:rsid w:val="0084469B"/>
    <w:rsid w:val="00851087"/>
    <w:rsid w:val="00860F21"/>
    <w:rsid w:val="008623ED"/>
    <w:rsid w:val="00862B36"/>
    <w:rsid w:val="00863F3C"/>
    <w:rsid w:val="00864AD0"/>
    <w:rsid w:val="00866E20"/>
    <w:rsid w:val="00872ACE"/>
    <w:rsid w:val="00875D3B"/>
    <w:rsid w:val="00885F05"/>
    <w:rsid w:val="00887FFD"/>
    <w:rsid w:val="008B3CF2"/>
    <w:rsid w:val="008B4A6C"/>
    <w:rsid w:val="008B5D6A"/>
    <w:rsid w:val="008B5F4B"/>
    <w:rsid w:val="008B783B"/>
    <w:rsid w:val="008C68B8"/>
    <w:rsid w:val="008C68CD"/>
    <w:rsid w:val="008C7AFF"/>
    <w:rsid w:val="008D41F7"/>
    <w:rsid w:val="008D5EC6"/>
    <w:rsid w:val="008D7EE7"/>
    <w:rsid w:val="008E524B"/>
    <w:rsid w:val="008E6A1A"/>
    <w:rsid w:val="008F70F5"/>
    <w:rsid w:val="009002FA"/>
    <w:rsid w:val="00901829"/>
    <w:rsid w:val="00905FE6"/>
    <w:rsid w:val="00921D17"/>
    <w:rsid w:val="00932EF0"/>
    <w:rsid w:val="00935F83"/>
    <w:rsid w:val="00937826"/>
    <w:rsid w:val="00940B2E"/>
    <w:rsid w:val="0094333A"/>
    <w:rsid w:val="00950524"/>
    <w:rsid w:val="00956488"/>
    <w:rsid w:val="009717AC"/>
    <w:rsid w:val="0097216C"/>
    <w:rsid w:val="00982B2E"/>
    <w:rsid w:val="009832EC"/>
    <w:rsid w:val="009843C8"/>
    <w:rsid w:val="009848DD"/>
    <w:rsid w:val="0098695D"/>
    <w:rsid w:val="0099377B"/>
    <w:rsid w:val="009A2013"/>
    <w:rsid w:val="009A4AB2"/>
    <w:rsid w:val="009A50F2"/>
    <w:rsid w:val="009B748A"/>
    <w:rsid w:val="009C01E4"/>
    <w:rsid w:val="009C762B"/>
    <w:rsid w:val="009D2933"/>
    <w:rsid w:val="009E04D6"/>
    <w:rsid w:val="009E1383"/>
    <w:rsid w:val="009E24F5"/>
    <w:rsid w:val="009E380E"/>
    <w:rsid w:val="009E463D"/>
    <w:rsid w:val="00A06803"/>
    <w:rsid w:val="00A218CA"/>
    <w:rsid w:val="00A22BDD"/>
    <w:rsid w:val="00A23F62"/>
    <w:rsid w:val="00A24882"/>
    <w:rsid w:val="00A278C2"/>
    <w:rsid w:val="00A373B1"/>
    <w:rsid w:val="00A471FD"/>
    <w:rsid w:val="00A57742"/>
    <w:rsid w:val="00A61992"/>
    <w:rsid w:val="00A6315E"/>
    <w:rsid w:val="00A73BD0"/>
    <w:rsid w:val="00A75860"/>
    <w:rsid w:val="00A82107"/>
    <w:rsid w:val="00A85EB3"/>
    <w:rsid w:val="00A923D4"/>
    <w:rsid w:val="00A9779C"/>
    <w:rsid w:val="00AB5C6E"/>
    <w:rsid w:val="00AC7A0B"/>
    <w:rsid w:val="00AD364E"/>
    <w:rsid w:val="00AD50BA"/>
    <w:rsid w:val="00AF2A6E"/>
    <w:rsid w:val="00AF3EB2"/>
    <w:rsid w:val="00AF42F2"/>
    <w:rsid w:val="00B0566B"/>
    <w:rsid w:val="00B202D2"/>
    <w:rsid w:val="00B2311D"/>
    <w:rsid w:val="00B24C6D"/>
    <w:rsid w:val="00B255FD"/>
    <w:rsid w:val="00B3408A"/>
    <w:rsid w:val="00B34F82"/>
    <w:rsid w:val="00B47A79"/>
    <w:rsid w:val="00B5001E"/>
    <w:rsid w:val="00B531A1"/>
    <w:rsid w:val="00B54282"/>
    <w:rsid w:val="00B62B2E"/>
    <w:rsid w:val="00B638E6"/>
    <w:rsid w:val="00B666AE"/>
    <w:rsid w:val="00B82901"/>
    <w:rsid w:val="00B82B00"/>
    <w:rsid w:val="00B830EB"/>
    <w:rsid w:val="00B9157B"/>
    <w:rsid w:val="00B953F1"/>
    <w:rsid w:val="00B96ECC"/>
    <w:rsid w:val="00B97A6D"/>
    <w:rsid w:val="00BA4E82"/>
    <w:rsid w:val="00BA765C"/>
    <w:rsid w:val="00BB3679"/>
    <w:rsid w:val="00BB4B8A"/>
    <w:rsid w:val="00BB569E"/>
    <w:rsid w:val="00BC044C"/>
    <w:rsid w:val="00BC7E62"/>
    <w:rsid w:val="00BD60BB"/>
    <w:rsid w:val="00BE10AA"/>
    <w:rsid w:val="00BE10EB"/>
    <w:rsid w:val="00BE3886"/>
    <w:rsid w:val="00C06CDF"/>
    <w:rsid w:val="00C07388"/>
    <w:rsid w:val="00C26FF9"/>
    <w:rsid w:val="00C27E68"/>
    <w:rsid w:val="00C34F7A"/>
    <w:rsid w:val="00C40A42"/>
    <w:rsid w:val="00C412CD"/>
    <w:rsid w:val="00C507D4"/>
    <w:rsid w:val="00C61F2E"/>
    <w:rsid w:val="00C64367"/>
    <w:rsid w:val="00C70D03"/>
    <w:rsid w:val="00C77CA1"/>
    <w:rsid w:val="00C8410D"/>
    <w:rsid w:val="00C84F2A"/>
    <w:rsid w:val="00C85BAC"/>
    <w:rsid w:val="00C92DA9"/>
    <w:rsid w:val="00C94C0B"/>
    <w:rsid w:val="00CA1A34"/>
    <w:rsid w:val="00CB3639"/>
    <w:rsid w:val="00CB4025"/>
    <w:rsid w:val="00CC2D9B"/>
    <w:rsid w:val="00CD1894"/>
    <w:rsid w:val="00CD1B97"/>
    <w:rsid w:val="00CE11FA"/>
    <w:rsid w:val="00CE1DEA"/>
    <w:rsid w:val="00CE326F"/>
    <w:rsid w:val="00CF6691"/>
    <w:rsid w:val="00D16741"/>
    <w:rsid w:val="00D212FF"/>
    <w:rsid w:val="00D25279"/>
    <w:rsid w:val="00D316FB"/>
    <w:rsid w:val="00D32012"/>
    <w:rsid w:val="00D3205E"/>
    <w:rsid w:val="00D33398"/>
    <w:rsid w:val="00D34FAD"/>
    <w:rsid w:val="00D54854"/>
    <w:rsid w:val="00D57ABD"/>
    <w:rsid w:val="00D63A11"/>
    <w:rsid w:val="00D63C57"/>
    <w:rsid w:val="00D73ED0"/>
    <w:rsid w:val="00D75287"/>
    <w:rsid w:val="00D80FCA"/>
    <w:rsid w:val="00DA3514"/>
    <w:rsid w:val="00DA5448"/>
    <w:rsid w:val="00DB2613"/>
    <w:rsid w:val="00DB7F60"/>
    <w:rsid w:val="00DC0B52"/>
    <w:rsid w:val="00DC6DB7"/>
    <w:rsid w:val="00DC788F"/>
    <w:rsid w:val="00DD0B3F"/>
    <w:rsid w:val="00DE06AD"/>
    <w:rsid w:val="00DE0C53"/>
    <w:rsid w:val="00E0387E"/>
    <w:rsid w:val="00E20379"/>
    <w:rsid w:val="00E22893"/>
    <w:rsid w:val="00E24F70"/>
    <w:rsid w:val="00E25E74"/>
    <w:rsid w:val="00E26FAD"/>
    <w:rsid w:val="00E27A44"/>
    <w:rsid w:val="00E32AAA"/>
    <w:rsid w:val="00E45EEC"/>
    <w:rsid w:val="00E546EE"/>
    <w:rsid w:val="00E57013"/>
    <w:rsid w:val="00E66F58"/>
    <w:rsid w:val="00E7353B"/>
    <w:rsid w:val="00E81427"/>
    <w:rsid w:val="00E93A60"/>
    <w:rsid w:val="00E96746"/>
    <w:rsid w:val="00E96CDC"/>
    <w:rsid w:val="00EA4BE3"/>
    <w:rsid w:val="00EE2767"/>
    <w:rsid w:val="00EE27EB"/>
    <w:rsid w:val="00EE2F18"/>
    <w:rsid w:val="00EF1960"/>
    <w:rsid w:val="00EF7D3C"/>
    <w:rsid w:val="00F0148D"/>
    <w:rsid w:val="00F0250D"/>
    <w:rsid w:val="00F05AE5"/>
    <w:rsid w:val="00F05C39"/>
    <w:rsid w:val="00F167DC"/>
    <w:rsid w:val="00F16D29"/>
    <w:rsid w:val="00F1795B"/>
    <w:rsid w:val="00F34FEB"/>
    <w:rsid w:val="00F41E61"/>
    <w:rsid w:val="00F425EE"/>
    <w:rsid w:val="00F45CC9"/>
    <w:rsid w:val="00F52DF4"/>
    <w:rsid w:val="00F600B6"/>
    <w:rsid w:val="00F83CB3"/>
    <w:rsid w:val="00F9060E"/>
    <w:rsid w:val="00F9766D"/>
    <w:rsid w:val="00FA59F9"/>
    <w:rsid w:val="00FA75D8"/>
    <w:rsid w:val="00FB1F46"/>
    <w:rsid w:val="00FB5017"/>
    <w:rsid w:val="00FC3D67"/>
    <w:rsid w:val="00FD446C"/>
    <w:rsid w:val="00FE5049"/>
    <w:rsid w:val="00FF33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844"/>
    <w:rPr>
      <w:rFonts w:ascii="Calibri" w:eastAsia="Times New Roman" w:hAnsi="Calibri" w:cs="Times New Roman"/>
      <w:lang w:eastAsia="ru-RU"/>
    </w:rPr>
  </w:style>
  <w:style w:type="paragraph" w:styleId="1">
    <w:name w:val="heading 1"/>
    <w:basedOn w:val="a"/>
    <w:next w:val="a"/>
    <w:link w:val="10"/>
    <w:uiPriority w:val="99"/>
    <w:qFormat/>
    <w:rsid w:val="00335844"/>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33584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335844"/>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5844"/>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335844"/>
    <w:rPr>
      <w:rFonts w:ascii="Cambria" w:eastAsia="Times New Roman" w:hAnsi="Cambria" w:cs="Times New Roman"/>
      <w:b/>
      <w:bCs/>
      <w:color w:val="4F81BD"/>
    </w:rPr>
  </w:style>
  <w:style w:type="character" w:customStyle="1" w:styleId="40">
    <w:name w:val="Заголовок 4 Знак"/>
    <w:basedOn w:val="a0"/>
    <w:link w:val="4"/>
    <w:uiPriority w:val="99"/>
    <w:rsid w:val="00335844"/>
    <w:rPr>
      <w:rFonts w:ascii="Times New Roman" w:eastAsia="Times New Roman" w:hAnsi="Times New Roman" w:cs="Times New Roman"/>
      <w:b/>
      <w:bCs/>
      <w:sz w:val="28"/>
      <w:szCs w:val="28"/>
    </w:rPr>
  </w:style>
  <w:style w:type="character" w:styleId="a3">
    <w:name w:val="Hyperlink"/>
    <w:uiPriority w:val="99"/>
    <w:rsid w:val="00335844"/>
    <w:rPr>
      <w:rFonts w:cs="Times New Roman"/>
      <w:color w:val="0000FF"/>
      <w:u w:val="single"/>
    </w:rPr>
  </w:style>
  <w:style w:type="paragraph" w:styleId="a4">
    <w:name w:val="No Spacing"/>
    <w:link w:val="a5"/>
    <w:uiPriority w:val="1"/>
    <w:qFormat/>
    <w:rsid w:val="00335844"/>
    <w:pPr>
      <w:spacing w:after="0" w:line="240" w:lineRule="auto"/>
      <w:ind w:firstLine="709"/>
      <w:jc w:val="both"/>
    </w:pPr>
    <w:rPr>
      <w:rFonts w:ascii="Times New Roman" w:eastAsia="Times New Roman" w:hAnsi="Times New Roman" w:cs="Times New Roman"/>
      <w:sz w:val="24"/>
      <w:lang w:eastAsia="ru-RU"/>
    </w:rPr>
  </w:style>
  <w:style w:type="character" w:customStyle="1" w:styleId="a5">
    <w:name w:val="Без интервала Знак"/>
    <w:link w:val="a4"/>
    <w:uiPriority w:val="99"/>
    <w:locked/>
    <w:rsid w:val="00335844"/>
    <w:rPr>
      <w:rFonts w:ascii="Times New Roman" w:eastAsia="Times New Roman" w:hAnsi="Times New Roman" w:cs="Times New Roman"/>
      <w:sz w:val="24"/>
      <w:lang w:eastAsia="ru-RU"/>
    </w:rPr>
  </w:style>
  <w:style w:type="paragraph" w:styleId="a6">
    <w:name w:val="List Paragraph"/>
    <w:basedOn w:val="a"/>
    <w:uiPriority w:val="34"/>
    <w:qFormat/>
    <w:rsid w:val="00335844"/>
    <w:pPr>
      <w:ind w:left="720"/>
      <w:contextualSpacing/>
    </w:pPr>
  </w:style>
  <w:style w:type="paragraph" w:styleId="a7">
    <w:name w:val="Balloon Text"/>
    <w:basedOn w:val="a"/>
    <w:link w:val="a8"/>
    <w:uiPriority w:val="99"/>
    <w:semiHidden/>
    <w:rsid w:val="00335844"/>
    <w:pPr>
      <w:spacing w:after="0" w:line="240" w:lineRule="auto"/>
    </w:pPr>
    <w:rPr>
      <w:rFonts w:ascii="Tahoma" w:hAnsi="Tahoma"/>
      <w:sz w:val="16"/>
      <w:szCs w:val="16"/>
    </w:rPr>
  </w:style>
  <w:style w:type="character" w:customStyle="1" w:styleId="a8">
    <w:name w:val="Текст выноски Знак"/>
    <w:basedOn w:val="a0"/>
    <w:link w:val="a7"/>
    <w:uiPriority w:val="99"/>
    <w:semiHidden/>
    <w:rsid w:val="00335844"/>
    <w:rPr>
      <w:rFonts w:ascii="Tahoma" w:eastAsia="Times New Roman" w:hAnsi="Tahoma" w:cs="Times New Roman"/>
      <w:sz w:val="16"/>
      <w:szCs w:val="16"/>
    </w:rPr>
  </w:style>
  <w:style w:type="paragraph" w:customStyle="1" w:styleId="2">
    <w:name w:val="сновной текст с отступом 2"/>
    <w:basedOn w:val="a"/>
    <w:uiPriority w:val="99"/>
    <w:rsid w:val="00335844"/>
    <w:pPr>
      <w:widowControl w:val="0"/>
      <w:spacing w:after="0" w:line="240" w:lineRule="auto"/>
      <w:ind w:firstLine="720"/>
      <w:jc w:val="both"/>
    </w:pPr>
    <w:rPr>
      <w:rFonts w:ascii="Times New Roman" w:hAnsi="Times New Roman"/>
      <w:sz w:val="26"/>
      <w:szCs w:val="20"/>
    </w:rPr>
  </w:style>
  <w:style w:type="paragraph" w:styleId="20">
    <w:name w:val="Body Text Indent 2"/>
    <w:basedOn w:val="a"/>
    <w:link w:val="21"/>
    <w:uiPriority w:val="99"/>
    <w:semiHidden/>
    <w:rsid w:val="00335844"/>
    <w:pPr>
      <w:spacing w:after="120" w:line="480" w:lineRule="auto"/>
      <w:ind w:left="283"/>
    </w:pPr>
  </w:style>
  <w:style w:type="character" w:customStyle="1" w:styleId="21">
    <w:name w:val="Основной текст с отступом 2 Знак"/>
    <w:basedOn w:val="a0"/>
    <w:link w:val="20"/>
    <w:uiPriority w:val="99"/>
    <w:semiHidden/>
    <w:rsid w:val="00335844"/>
    <w:rPr>
      <w:rFonts w:ascii="Calibri" w:eastAsia="Times New Roman" w:hAnsi="Calibri" w:cs="Times New Roman"/>
    </w:rPr>
  </w:style>
  <w:style w:type="paragraph" w:styleId="31">
    <w:name w:val="Body Text Indent 3"/>
    <w:basedOn w:val="a"/>
    <w:link w:val="32"/>
    <w:uiPriority w:val="99"/>
    <w:semiHidden/>
    <w:rsid w:val="00335844"/>
    <w:pPr>
      <w:spacing w:after="120"/>
      <w:ind w:left="283"/>
    </w:pPr>
    <w:rPr>
      <w:sz w:val="16"/>
      <w:szCs w:val="16"/>
    </w:rPr>
  </w:style>
  <w:style w:type="character" w:customStyle="1" w:styleId="32">
    <w:name w:val="Основной текст с отступом 3 Знак"/>
    <w:basedOn w:val="a0"/>
    <w:link w:val="31"/>
    <w:uiPriority w:val="99"/>
    <w:semiHidden/>
    <w:rsid w:val="00335844"/>
    <w:rPr>
      <w:rFonts w:ascii="Calibri" w:eastAsia="Times New Roman" w:hAnsi="Calibri" w:cs="Times New Roman"/>
      <w:sz w:val="16"/>
      <w:szCs w:val="16"/>
    </w:rPr>
  </w:style>
  <w:style w:type="character" w:customStyle="1" w:styleId="FontStyle186">
    <w:name w:val="Font Style186"/>
    <w:uiPriority w:val="99"/>
    <w:rsid w:val="00335844"/>
    <w:rPr>
      <w:rFonts w:ascii="Sylfaen" w:hAnsi="Sylfaen" w:cs="Sylfaen"/>
      <w:i/>
      <w:iCs/>
      <w:spacing w:val="-10"/>
      <w:sz w:val="22"/>
      <w:szCs w:val="22"/>
    </w:rPr>
  </w:style>
  <w:style w:type="character" w:customStyle="1" w:styleId="FontStyle183">
    <w:name w:val="Font Style183"/>
    <w:rsid w:val="00335844"/>
    <w:rPr>
      <w:rFonts w:ascii="Sylfaen" w:hAnsi="Sylfaen" w:cs="Sylfaen"/>
      <w:sz w:val="20"/>
      <w:szCs w:val="20"/>
    </w:rPr>
  </w:style>
  <w:style w:type="paragraph" w:customStyle="1" w:styleId="Style26">
    <w:name w:val="Style26"/>
    <w:basedOn w:val="a"/>
    <w:rsid w:val="00335844"/>
    <w:pPr>
      <w:widowControl w:val="0"/>
      <w:autoSpaceDE w:val="0"/>
      <w:autoSpaceDN w:val="0"/>
      <w:adjustRightInd w:val="0"/>
      <w:spacing w:after="0" w:line="289" w:lineRule="exact"/>
      <w:ind w:firstLine="432"/>
      <w:jc w:val="both"/>
    </w:pPr>
    <w:rPr>
      <w:rFonts w:ascii="Sylfaen" w:hAnsi="Sylfaen"/>
      <w:sz w:val="24"/>
      <w:szCs w:val="24"/>
    </w:rPr>
  </w:style>
  <w:style w:type="paragraph" w:customStyle="1" w:styleId="11">
    <w:name w:val="Без интервала1"/>
    <w:link w:val="12"/>
    <w:rsid w:val="00335844"/>
    <w:pPr>
      <w:spacing w:after="0" w:line="240" w:lineRule="auto"/>
    </w:pPr>
    <w:rPr>
      <w:rFonts w:ascii="Calibri" w:eastAsia="Times New Roman" w:hAnsi="Calibri" w:cs="Times New Roman"/>
      <w:lang w:eastAsia="ru-RU"/>
    </w:rPr>
  </w:style>
  <w:style w:type="paragraph" w:styleId="22">
    <w:name w:val="Body Text 2"/>
    <w:basedOn w:val="a"/>
    <w:link w:val="23"/>
    <w:rsid w:val="00335844"/>
    <w:pPr>
      <w:spacing w:after="120" w:line="480" w:lineRule="auto"/>
    </w:pPr>
  </w:style>
  <w:style w:type="character" w:customStyle="1" w:styleId="23">
    <w:name w:val="Основной текст 2 Знак"/>
    <w:basedOn w:val="a0"/>
    <w:link w:val="22"/>
    <w:rsid w:val="00335844"/>
    <w:rPr>
      <w:rFonts w:ascii="Calibri" w:eastAsia="Times New Roman" w:hAnsi="Calibri" w:cs="Times New Roman"/>
    </w:rPr>
  </w:style>
  <w:style w:type="paragraph" w:styleId="a9">
    <w:name w:val="caption"/>
    <w:basedOn w:val="a"/>
    <w:next w:val="a"/>
    <w:uiPriority w:val="35"/>
    <w:qFormat/>
    <w:rsid w:val="00335844"/>
    <w:pPr>
      <w:spacing w:line="240" w:lineRule="auto"/>
    </w:pPr>
    <w:rPr>
      <w:b/>
      <w:bCs/>
      <w:color w:val="4F81BD"/>
      <w:sz w:val="18"/>
      <w:szCs w:val="18"/>
    </w:rPr>
  </w:style>
  <w:style w:type="paragraph" w:styleId="aa">
    <w:name w:val="Plain Text"/>
    <w:aliases w:val="Текст Знак1 Знак,Текст Знак Знак Знак,Знак Знак Знак Знак,Знак,Текст Знак1,Знак Знак Знак,Текст Знак2,Знак Знак Знак Знак1,Текст Знак1 Знак1 Знак,Текст Знак Знак Знак1 Знак,Текст Знак Знак1,Текст Знак2 Знак Знак1,Зн,Зна, Знак,Текст Знак Знак"/>
    <w:basedOn w:val="a"/>
    <w:link w:val="33"/>
    <w:rsid w:val="00335844"/>
    <w:pPr>
      <w:spacing w:after="0" w:line="240" w:lineRule="auto"/>
    </w:pPr>
    <w:rPr>
      <w:rFonts w:ascii="Courier New" w:hAnsi="Courier New"/>
      <w:sz w:val="20"/>
      <w:szCs w:val="20"/>
    </w:rPr>
  </w:style>
  <w:style w:type="character" w:customStyle="1" w:styleId="33">
    <w:name w:val="Текст Знак3"/>
    <w:aliases w:val="Текст Знак1 Знак Знак,Текст Знак Знак Знак Знак,Знак Знак Знак Знак Знак,Знак Знак,Текст Знак1 Знак1,Знак Знак Знак Знак2,Текст Знак2 Знак,Знак Знак Знак Знак1 Знак,Текст Знак1 Знак1 Знак Знак,Текст Знак Знак Знак1 Знак Знак,Зн Знак,Зна Знак"/>
    <w:link w:val="aa"/>
    <w:locked/>
    <w:rsid w:val="00335844"/>
    <w:rPr>
      <w:rFonts w:ascii="Courier New" w:eastAsia="Times New Roman" w:hAnsi="Courier New" w:cs="Times New Roman"/>
      <w:sz w:val="20"/>
      <w:szCs w:val="20"/>
    </w:rPr>
  </w:style>
  <w:style w:type="character" w:customStyle="1" w:styleId="ab">
    <w:name w:val="Текст Знак"/>
    <w:basedOn w:val="a0"/>
    <w:rsid w:val="00335844"/>
    <w:rPr>
      <w:rFonts w:ascii="Consolas" w:eastAsia="Times New Roman" w:hAnsi="Consolas" w:cs="Times New Roman"/>
      <w:sz w:val="21"/>
      <w:szCs w:val="21"/>
      <w:lang w:eastAsia="ru-RU"/>
    </w:rPr>
  </w:style>
  <w:style w:type="character" w:customStyle="1" w:styleId="ac">
    <w:name w:val="Основной текст Знак"/>
    <w:aliases w:val="Знак3 Знак"/>
    <w:link w:val="ad"/>
    <w:locked/>
    <w:rsid w:val="00335844"/>
    <w:rPr>
      <w:rFonts w:cs="Times New Roman"/>
    </w:rPr>
  </w:style>
  <w:style w:type="paragraph" w:styleId="ad">
    <w:name w:val="Body Text"/>
    <w:aliases w:val="Знак3"/>
    <w:basedOn w:val="a"/>
    <w:link w:val="ac"/>
    <w:rsid w:val="00335844"/>
    <w:pPr>
      <w:spacing w:after="120" w:line="240" w:lineRule="auto"/>
    </w:pPr>
    <w:rPr>
      <w:rFonts w:asciiTheme="minorHAnsi" w:eastAsiaTheme="minorHAnsi" w:hAnsiTheme="minorHAnsi"/>
      <w:lang w:eastAsia="en-US"/>
    </w:rPr>
  </w:style>
  <w:style w:type="character" w:customStyle="1" w:styleId="13">
    <w:name w:val="Основной текст Знак1"/>
    <w:basedOn w:val="a0"/>
    <w:uiPriority w:val="99"/>
    <w:semiHidden/>
    <w:rsid w:val="00335844"/>
    <w:rPr>
      <w:rFonts w:ascii="Calibri" w:eastAsia="Times New Roman" w:hAnsi="Calibri" w:cs="Times New Roman"/>
      <w:lang w:eastAsia="ru-RU"/>
    </w:rPr>
  </w:style>
  <w:style w:type="character" w:customStyle="1" w:styleId="BodyTextChar1">
    <w:name w:val="Body Text Char1"/>
    <w:aliases w:val="Знак3 Char1"/>
    <w:uiPriority w:val="99"/>
    <w:semiHidden/>
    <w:rsid w:val="00335844"/>
    <w:rPr>
      <w:rFonts w:ascii="Calibri" w:hAnsi="Calibri"/>
    </w:rPr>
  </w:style>
  <w:style w:type="paragraph" w:customStyle="1" w:styleId="14">
    <w:name w:val="Обычный (веб)1"/>
    <w:basedOn w:val="a"/>
    <w:rsid w:val="00335844"/>
    <w:pPr>
      <w:spacing w:after="0" w:line="240" w:lineRule="auto"/>
    </w:pPr>
    <w:rPr>
      <w:rFonts w:ascii="Arial" w:hAnsi="Arial" w:cs="Arial"/>
      <w:sz w:val="24"/>
      <w:szCs w:val="24"/>
    </w:rPr>
  </w:style>
  <w:style w:type="paragraph" w:customStyle="1" w:styleId="ae">
    <w:name w:val="Нормальный"/>
    <w:basedOn w:val="a"/>
    <w:rsid w:val="00335844"/>
    <w:pPr>
      <w:spacing w:after="0" w:line="240" w:lineRule="auto"/>
      <w:jc w:val="both"/>
    </w:pPr>
    <w:rPr>
      <w:rFonts w:ascii="Times New Roman" w:hAnsi="Times New Roman"/>
      <w:sz w:val="28"/>
      <w:szCs w:val="20"/>
    </w:rPr>
  </w:style>
  <w:style w:type="character" w:customStyle="1" w:styleId="af">
    <w:name w:val="Основной текст_"/>
    <w:rsid w:val="00335844"/>
    <w:rPr>
      <w:rFonts w:ascii="Times New Roman" w:hAnsi="Times New Roman" w:cs="Times New Roman"/>
      <w:sz w:val="27"/>
      <w:szCs w:val="27"/>
      <w:u w:val="none"/>
    </w:rPr>
  </w:style>
  <w:style w:type="paragraph" w:styleId="af0">
    <w:name w:val="Normal (Web)"/>
    <w:aliases w:val="Обычный (веб) Знак1,Обычный (веб) Знак Знак,Знак Знак3,Знак4,Знак4 Знак Знак,Знак4 Знак,Обычный (Web)1,Обычный (веб) Знак Знак1,Знак Знак1 Знак,Обычный (веб) Знак Знак Знак,Знак Знак1 Знак Знак"/>
    <w:basedOn w:val="a"/>
    <w:link w:val="af1"/>
    <w:uiPriority w:val="99"/>
    <w:rsid w:val="00335844"/>
    <w:pPr>
      <w:spacing w:before="100" w:beforeAutospacing="1" w:after="100" w:afterAutospacing="1" w:line="240" w:lineRule="auto"/>
    </w:pPr>
    <w:rPr>
      <w:rFonts w:ascii="Times New Roman" w:hAnsi="Times New Roman"/>
      <w:sz w:val="24"/>
      <w:szCs w:val="24"/>
    </w:rPr>
  </w:style>
  <w:style w:type="character" w:customStyle="1" w:styleId="af1">
    <w:name w:val="Обычный (веб) Знак"/>
    <w:aliases w:val="Обычный (веб) Знак1 Знак1,Обычный (веб) Знак Знак Знак2,Знак Знак3 Знак1,Знак4 Знак2,Знак4 Знак Знак Знак1,Знак4 Знак Знак2,Обычный (Web)1 Знак1,Обычный (веб) Знак Знак1 Знак1,Знак Знак1 Знак Знак1,Обычный (веб) Знак Знак Знак Знак"/>
    <w:link w:val="af0"/>
    <w:rsid w:val="00335844"/>
    <w:rPr>
      <w:rFonts w:ascii="Times New Roman" w:eastAsia="Times New Roman" w:hAnsi="Times New Roman" w:cs="Times New Roman"/>
      <w:sz w:val="24"/>
      <w:szCs w:val="24"/>
    </w:rPr>
  </w:style>
  <w:style w:type="paragraph" w:styleId="af2">
    <w:name w:val="footer"/>
    <w:basedOn w:val="a"/>
    <w:link w:val="af3"/>
    <w:rsid w:val="00335844"/>
    <w:pPr>
      <w:tabs>
        <w:tab w:val="center" w:pos="4153"/>
        <w:tab w:val="right" w:pos="8306"/>
      </w:tabs>
      <w:spacing w:after="0" w:line="240" w:lineRule="auto"/>
    </w:pPr>
    <w:rPr>
      <w:rFonts w:ascii="Times New Roman" w:hAnsi="Times New Roman"/>
      <w:sz w:val="20"/>
      <w:szCs w:val="20"/>
    </w:rPr>
  </w:style>
  <w:style w:type="character" w:customStyle="1" w:styleId="af3">
    <w:name w:val="Нижний колонтитул Знак"/>
    <w:basedOn w:val="a0"/>
    <w:link w:val="af2"/>
    <w:rsid w:val="00335844"/>
    <w:rPr>
      <w:rFonts w:ascii="Times New Roman" w:eastAsia="Times New Roman" w:hAnsi="Times New Roman" w:cs="Times New Roman"/>
      <w:sz w:val="20"/>
      <w:szCs w:val="20"/>
    </w:rPr>
  </w:style>
  <w:style w:type="table" w:styleId="af4">
    <w:name w:val="Table Grid"/>
    <w:basedOn w:val="a1"/>
    <w:uiPriority w:val="59"/>
    <w:rsid w:val="0033584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Без интервала2"/>
    <w:rsid w:val="00335844"/>
    <w:pPr>
      <w:spacing w:after="0" w:line="240" w:lineRule="auto"/>
      <w:ind w:firstLine="709"/>
      <w:jc w:val="both"/>
    </w:pPr>
    <w:rPr>
      <w:rFonts w:ascii="Times New Roman" w:eastAsia="Times New Roman" w:hAnsi="Times New Roman" w:cs="Times New Roman"/>
      <w:sz w:val="24"/>
      <w:szCs w:val="24"/>
      <w:lang w:eastAsia="ru-RU"/>
    </w:rPr>
  </w:style>
  <w:style w:type="paragraph" w:styleId="af5">
    <w:name w:val="header"/>
    <w:basedOn w:val="a"/>
    <w:link w:val="af6"/>
    <w:uiPriority w:val="99"/>
    <w:semiHidden/>
    <w:rsid w:val="00335844"/>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335844"/>
    <w:rPr>
      <w:rFonts w:ascii="Calibri" w:eastAsia="Times New Roman" w:hAnsi="Calibri" w:cs="Times New Roman"/>
    </w:rPr>
  </w:style>
  <w:style w:type="character" w:styleId="af7">
    <w:name w:val="page number"/>
    <w:uiPriority w:val="99"/>
    <w:rsid w:val="00335844"/>
    <w:rPr>
      <w:rFonts w:cs="Times New Roman"/>
    </w:rPr>
  </w:style>
  <w:style w:type="paragraph" w:styleId="af8">
    <w:name w:val="Body Text Indent"/>
    <w:basedOn w:val="a"/>
    <w:link w:val="af9"/>
    <w:uiPriority w:val="99"/>
    <w:unhideWhenUsed/>
    <w:rsid w:val="00335844"/>
    <w:pPr>
      <w:spacing w:after="120"/>
      <w:ind w:left="283"/>
    </w:pPr>
    <w:rPr>
      <w:rFonts w:eastAsia="Calibri"/>
    </w:rPr>
  </w:style>
  <w:style w:type="character" w:customStyle="1" w:styleId="af9">
    <w:name w:val="Основной текст с отступом Знак"/>
    <w:basedOn w:val="a0"/>
    <w:link w:val="af8"/>
    <w:uiPriority w:val="99"/>
    <w:rsid w:val="00335844"/>
    <w:rPr>
      <w:rFonts w:ascii="Calibri" w:eastAsia="Calibri" w:hAnsi="Calibri" w:cs="Times New Roman"/>
    </w:rPr>
  </w:style>
  <w:style w:type="character" w:customStyle="1" w:styleId="34">
    <w:name w:val="Основной текст (3)_"/>
    <w:link w:val="35"/>
    <w:rsid w:val="00335844"/>
    <w:rPr>
      <w:b/>
      <w:bCs/>
      <w:sz w:val="27"/>
      <w:szCs w:val="27"/>
      <w:shd w:val="clear" w:color="auto" w:fill="FFFFFF"/>
    </w:rPr>
  </w:style>
  <w:style w:type="paragraph" w:customStyle="1" w:styleId="35">
    <w:name w:val="Основной текст (3)"/>
    <w:basedOn w:val="a"/>
    <w:link w:val="34"/>
    <w:rsid w:val="00335844"/>
    <w:pPr>
      <w:widowControl w:val="0"/>
      <w:shd w:val="clear" w:color="auto" w:fill="FFFFFF"/>
      <w:spacing w:after="0" w:line="322" w:lineRule="exact"/>
      <w:ind w:firstLine="580"/>
      <w:jc w:val="both"/>
    </w:pPr>
    <w:rPr>
      <w:rFonts w:asciiTheme="minorHAnsi" w:eastAsiaTheme="minorHAnsi" w:hAnsiTheme="minorHAnsi" w:cstheme="minorBidi"/>
      <w:b/>
      <w:bCs/>
      <w:sz w:val="27"/>
      <w:szCs w:val="27"/>
      <w:lang w:eastAsia="en-US"/>
    </w:rPr>
  </w:style>
  <w:style w:type="character" w:customStyle="1" w:styleId="afa">
    <w:name w:val="Подпись к таблице_"/>
    <w:link w:val="afb"/>
    <w:rsid w:val="00335844"/>
    <w:rPr>
      <w:b/>
      <w:bCs/>
      <w:sz w:val="27"/>
      <w:szCs w:val="27"/>
      <w:shd w:val="clear" w:color="auto" w:fill="FFFFFF"/>
    </w:rPr>
  </w:style>
  <w:style w:type="paragraph" w:customStyle="1" w:styleId="afb">
    <w:name w:val="Подпись к таблице"/>
    <w:basedOn w:val="a"/>
    <w:link w:val="afa"/>
    <w:rsid w:val="00335844"/>
    <w:pPr>
      <w:widowControl w:val="0"/>
      <w:shd w:val="clear" w:color="auto" w:fill="FFFFFF"/>
      <w:spacing w:after="0" w:line="240" w:lineRule="atLeast"/>
    </w:pPr>
    <w:rPr>
      <w:rFonts w:asciiTheme="minorHAnsi" w:eastAsiaTheme="minorHAnsi" w:hAnsiTheme="minorHAnsi" w:cstheme="minorBidi"/>
      <w:b/>
      <w:bCs/>
      <w:sz w:val="27"/>
      <w:szCs w:val="27"/>
      <w:lang w:eastAsia="en-US"/>
    </w:rPr>
  </w:style>
  <w:style w:type="paragraph" w:styleId="afc">
    <w:name w:val="Block Text"/>
    <w:basedOn w:val="a"/>
    <w:rsid w:val="00335844"/>
    <w:pPr>
      <w:widowControl w:val="0"/>
      <w:suppressAutoHyphens/>
      <w:snapToGrid w:val="0"/>
      <w:spacing w:after="0" w:line="240" w:lineRule="auto"/>
      <w:ind w:left="-32" w:right="-92"/>
      <w:jc w:val="center"/>
    </w:pPr>
    <w:rPr>
      <w:rFonts w:ascii="Times New Roman" w:hAnsi="Times New Roman"/>
      <w:b/>
      <w:sz w:val="20"/>
      <w:szCs w:val="20"/>
    </w:rPr>
  </w:style>
  <w:style w:type="table" w:customStyle="1" w:styleId="15">
    <w:name w:val="Сетка таблицы1"/>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next w:val="af4"/>
    <w:uiPriority w:val="59"/>
    <w:rsid w:val="003358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6">
    <w:name w:val="Обычный (веб) Знак2"/>
    <w:aliases w:val="Обычный (веб)1 Знак,Обычный (веб) Знак Знак2,Обычный (веб) Знак1 Знак,Обычный (веб) Знак Знак Знак1,Знак Знак3 Знак,Знак4 Знак1,Знак4 Знак Знак Знак,Знак4 Знак Знак1,Обычный (Web)1 Знак,Обычный (веб) Знак Знак1 Знак"/>
    <w:locked/>
    <w:rsid w:val="003F67B2"/>
    <w:rPr>
      <w:rFonts w:ascii="Times New Roman" w:eastAsia="Times New Roman" w:hAnsi="Times New Roman" w:cs="Times New Roman"/>
      <w:sz w:val="24"/>
      <w:szCs w:val="24"/>
    </w:rPr>
  </w:style>
  <w:style w:type="paragraph" w:customStyle="1" w:styleId="37">
    <w:name w:val="Без интервала3"/>
    <w:rsid w:val="00F83CB3"/>
    <w:pPr>
      <w:spacing w:after="0" w:line="240" w:lineRule="auto"/>
    </w:pPr>
    <w:rPr>
      <w:rFonts w:ascii="Calibri" w:eastAsia="Times New Roman" w:hAnsi="Calibri" w:cs="Times New Roman"/>
      <w:lang w:eastAsia="ru-RU"/>
    </w:rPr>
  </w:style>
  <w:style w:type="character" w:customStyle="1" w:styleId="FontStyle32">
    <w:name w:val="Font Style32"/>
    <w:basedOn w:val="a0"/>
    <w:rsid w:val="00A82107"/>
    <w:rPr>
      <w:rFonts w:ascii="Times New Roman" w:hAnsi="Times New Roman" w:cs="Times New Roman"/>
      <w:sz w:val="22"/>
      <w:szCs w:val="22"/>
    </w:rPr>
  </w:style>
  <w:style w:type="paragraph" w:styleId="af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fe"/>
    <w:unhideWhenUsed/>
    <w:rsid w:val="002610C6"/>
    <w:pPr>
      <w:spacing w:after="0" w:line="240" w:lineRule="auto"/>
    </w:pPr>
    <w:rPr>
      <w:sz w:val="20"/>
      <w:szCs w:val="20"/>
    </w:rPr>
  </w:style>
  <w:style w:type="character" w:customStyle="1" w:styleId="afe">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d"/>
    <w:semiHidden/>
    <w:rsid w:val="002610C6"/>
    <w:rPr>
      <w:rFonts w:ascii="Calibri" w:eastAsia="Times New Roman" w:hAnsi="Calibri" w:cs="Times New Roman"/>
      <w:sz w:val="20"/>
      <w:szCs w:val="20"/>
      <w:lang w:eastAsia="ru-RU"/>
    </w:rPr>
  </w:style>
  <w:style w:type="character" w:styleId="aff">
    <w:name w:val="footnote reference"/>
    <w:aliases w:val="Знак сноски 1,Знак сноски-FN"/>
    <w:basedOn w:val="a0"/>
    <w:unhideWhenUsed/>
    <w:rsid w:val="002610C6"/>
    <w:rPr>
      <w:vertAlign w:val="superscript"/>
    </w:rPr>
  </w:style>
  <w:style w:type="paragraph" w:customStyle="1" w:styleId="ConsPlusNormal">
    <w:name w:val="ConsPlusNormal"/>
    <w:rsid w:val="003F52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yntaxerr">
    <w:name w:val="syntax_err"/>
    <w:basedOn w:val="a0"/>
    <w:rsid w:val="003F5257"/>
  </w:style>
  <w:style w:type="character" w:customStyle="1" w:styleId="apple-converted-space">
    <w:name w:val="apple-converted-space"/>
    <w:basedOn w:val="a0"/>
    <w:rsid w:val="003F5257"/>
  </w:style>
  <w:style w:type="paragraph" w:customStyle="1" w:styleId="aff0">
    <w:name w:val="Татьяна"/>
    <w:basedOn w:val="ad"/>
    <w:uiPriority w:val="99"/>
    <w:rsid w:val="00CE326F"/>
    <w:pPr>
      <w:spacing w:after="0"/>
      <w:ind w:firstLine="720"/>
      <w:jc w:val="both"/>
    </w:pPr>
    <w:rPr>
      <w:rFonts w:ascii="Times New Roman" w:eastAsia="Times New Roman" w:hAnsi="Times New Roman"/>
      <w:sz w:val="28"/>
      <w:szCs w:val="20"/>
      <w:lang w:eastAsia="ru-RU"/>
    </w:rPr>
  </w:style>
  <w:style w:type="paragraph" w:customStyle="1" w:styleId="justifyfull">
    <w:name w:val="justifyfull"/>
    <w:basedOn w:val="a"/>
    <w:rsid w:val="00CE326F"/>
    <w:pPr>
      <w:spacing w:before="100" w:beforeAutospacing="1" w:after="100" w:afterAutospacing="1" w:line="240" w:lineRule="auto"/>
    </w:pPr>
    <w:rPr>
      <w:rFonts w:ascii="Times New Roman" w:hAnsi="Times New Roman"/>
      <w:sz w:val="24"/>
      <w:szCs w:val="24"/>
    </w:rPr>
  </w:style>
  <w:style w:type="paragraph" w:styleId="aff1">
    <w:name w:val="endnote text"/>
    <w:basedOn w:val="a"/>
    <w:link w:val="aff2"/>
    <w:uiPriority w:val="99"/>
    <w:semiHidden/>
    <w:unhideWhenUsed/>
    <w:rsid w:val="00BB4B8A"/>
    <w:pPr>
      <w:spacing w:after="0" w:line="240" w:lineRule="auto"/>
    </w:pPr>
    <w:rPr>
      <w:sz w:val="20"/>
      <w:szCs w:val="20"/>
    </w:rPr>
  </w:style>
  <w:style w:type="character" w:customStyle="1" w:styleId="aff2">
    <w:name w:val="Текст концевой сноски Знак"/>
    <w:basedOn w:val="a0"/>
    <w:link w:val="aff1"/>
    <w:uiPriority w:val="99"/>
    <w:semiHidden/>
    <w:rsid w:val="00BB4B8A"/>
    <w:rPr>
      <w:rFonts w:ascii="Calibri" w:eastAsia="Times New Roman" w:hAnsi="Calibri" w:cs="Times New Roman"/>
      <w:sz w:val="20"/>
      <w:szCs w:val="20"/>
      <w:lang w:eastAsia="ru-RU"/>
    </w:rPr>
  </w:style>
  <w:style w:type="character" w:styleId="aff3">
    <w:name w:val="endnote reference"/>
    <w:basedOn w:val="a0"/>
    <w:uiPriority w:val="99"/>
    <w:semiHidden/>
    <w:unhideWhenUsed/>
    <w:rsid w:val="00BB4B8A"/>
    <w:rPr>
      <w:vertAlign w:val="superscript"/>
    </w:rPr>
  </w:style>
  <w:style w:type="character" w:customStyle="1" w:styleId="12">
    <w:name w:val="Без интервала1 Знак"/>
    <w:basedOn w:val="a0"/>
    <w:link w:val="11"/>
    <w:uiPriority w:val="99"/>
    <w:locked/>
    <w:rsid w:val="008E6A1A"/>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image" Target="media/image4.gif"/><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chart" Target="charts/chart57.xml"/><Relationship Id="rId7" Type="http://schemas.openxmlformats.org/officeDocument/2006/relationships/endnotes" Target="endnotes.xml"/><Relationship Id="rId71" Type="http://schemas.openxmlformats.org/officeDocument/2006/relationships/chart" Target="charts/chart60.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8.xml"/><Relationship Id="rId11" Type="http://schemas.openxmlformats.org/officeDocument/2006/relationships/chart" Target="charts/chart2.xml"/><Relationship Id="rId24" Type="http://schemas.openxmlformats.org/officeDocument/2006/relationships/image" Target="media/image5.jpeg"/><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61" Type="http://schemas.openxmlformats.org/officeDocument/2006/relationships/chart" Target="charts/chart50.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8" Type="http://schemas.openxmlformats.org/officeDocument/2006/relationships/footer" Target="footer1.xml"/><Relationship Id="rId51" Type="http://schemas.openxmlformats.org/officeDocument/2006/relationships/chart" Target="charts/chart40.xml"/><Relationship Id="rId72" Type="http://schemas.openxmlformats.org/officeDocument/2006/relationships/chart" Target="charts/chart6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11.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Office_Excel12.xlsx"/><Relationship Id="rId2" Type="http://schemas.openxmlformats.org/officeDocument/2006/relationships/image" Target="../media/image1.jpeg"/><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Office_Excel13.xlsx"/><Relationship Id="rId2" Type="http://schemas.openxmlformats.org/officeDocument/2006/relationships/image" Target="../media/image1.jpeg"/><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image" Target="../media/image1.jpeg"/></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image" Target="../media/image1.jpeg"/></Relationships>
</file>

<file path=word/charts/_rels/chart1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image" Target="../media/image1.jpeg"/><Relationship Id="rId4"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oleObject" Target="file:///\\fs\share\&#1043;&#1057;%20&#1084;&#1072;&#1082;&#1088;&#1086;&#1101;&#1082;&#1086;&#1085;&#1086;&#1084;&#1080;&#1095;&#1077;&#1089;&#1082;&#1086;&#1081;%20&#1087;&#1086;&#1083;&#1080;&#1090;&#1080;&#1082;&#1080;%20&#1080;%20&#1086;&#1094;&#1077;&#1085;&#1086;&#1095;&#1085;&#1086;&#1081;%20&#1076;&#1077;&#1103;&#1090;&#1077;&#1083;&#1100;&#1085;&#1086;&#1089;&#1090;&#1080;\&#1059;&#1087;&#1088;&#1072;&#1074;&#1083;&#1077;&#1085;&#1080;&#1077;%20&#1084;&#1072;&#1082;&#1088;&#1086;&#1101;&#1082;&#1086;&#1085;&#1086;&#1084;%20&#1072;&#1085;&#1072;&#1083;&#1080;&#1079;&#1072;%20%20&#1087;&#1088;&#1086;&#1075;&#1085;&#1086;&#1079;&#1072;%20&#1080;%20&#1087;&#1088;&#1086;&#1075;&#1088;&#1072;&#1084;&#1084;%20&#1088;&#1072;&#1079;&#1074;&#1080;%20&#1086;&#1090;&#1088;&#1072;&#1089;&#1083;&#1077;&#1081;%20&#1080;%20&#1090;&#1077;&#1088;&#1088;&#1080;&#1090;&#1086;&#1088;&#1080;&#1081;\&#1040;&#1085;&#1090;&#1086;&#1085;&#1080;&#1085;&#1072;%20&#1052;&#1080;&#1093;&#1072;&#1081;&#1083;&#1086;&#1074;&#1085;&#1072;\&#1048;&#1085;&#1074;&#1077;&#1089;&#1090;&#1080;&#1094;&#1080;&#1080;.xlsx" TargetMode="Externa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Office_Excel29.xlsx"/><Relationship Id="rId2" Type="http://schemas.openxmlformats.org/officeDocument/2006/relationships/image" Target="../media/image1.jpeg"/><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Office_Excel37.xlsx"/><Relationship Id="rId2" Type="http://schemas.openxmlformats.org/officeDocument/2006/relationships/image" Target="../media/image1.jpeg"/><Relationship Id="rId1" Type="http://schemas.openxmlformats.org/officeDocument/2006/relationships/themeOverride" Target="../theme/themeOverride26.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Office_Excel38.xlsx"/><Relationship Id="rId2" Type="http://schemas.openxmlformats.org/officeDocument/2006/relationships/image" Target="../media/image1.jpeg"/><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image" Target="../media/image7.jpeg"/></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3.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4.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5.xml"/></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6.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37.xml"/></Relationships>
</file>

<file path=word/charts/_rels/chart5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themeOverride" Target="../theme/themeOverride38.xml"/><Relationship Id="rId4" Type="http://schemas.openxmlformats.org/officeDocument/2006/relationships/package" Target="../embeddings/_____Microsoft_Office_Excel54.xlsx"/></Relationships>
</file>

<file path=word/charts/_rels/chart56.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6.jpeg"/><Relationship Id="rId1" Type="http://schemas.openxmlformats.org/officeDocument/2006/relationships/image" Target="../media/image1.jpeg"/><Relationship Id="rId4" Type="http://schemas.openxmlformats.org/officeDocument/2006/relationships/package" Target="../embeddings/_____Microsoft_Office_Excel55.xlsx"/></Relationships>
</file>

<file path=word/charts/_rels/chart5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themeOverride" Target="../theme/themeOverride39.xml"/><Relationship Id="rId5" Type="http://schemas.openxmlformats.org/officeDocument/2006/relationships/package" Target="../embeddings/_____Microsoft_Office_Excel56.xlsx"/><Relationship Id="rId4" Type="http://schemas.openxmlformats.org/officeDocument/2006/relationships/image" Target="../media/image10.jpeg"/></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0.xml"/></Relationships>
</file>

<file path=word/charts/_rels/chart59.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themeOverride" Target="../theme/themeOverride41.xml"/><Relationship Id="rId6" Type="http://schemas.openxmlformats.org/officeDocument/2006/relationships/package" Target="../embeddings/_____Microsoft_Office_Excel58.xlsx"/><Relationship Id="rId5" Type="http://schemas.openxmlformats.org/officeDocument/2006/relationships/image" Target="../media/image13.jpeg"/><Relationship Id="rId4" Type="http://schemas.openxmlformats.org/officeDocument/2006/relationships/image" Target="../media/image9.jpeg"/></Relationships>
</file>

<file path=word/charts/_rels/chart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Override" Target="../theme/themeOverride5.xml"/><Relationship Id="rId4"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themeOverride" Target="../theme/themeOverride42.xml"/><Relationship Id="rId6" Type="http://schemas.openxmlformats.org/officeDocument/2006/relationships/package" Target="../embeddings/_____Microsoft_Office_Excel59.xlsx"/><Relationship Id="rId5" Type="http://schemas.openxmlformats.org/officeDocument/2006/relationships/image" Target="../media/image13.jpeg"/><Relationship Id="rId4" Type="http://schemas.openxmlformats.org/officeDocument/2006/relationships/image" Target="../media/image9.jpeg"/></Relationships>
</file>

<file path=word/charts/_rels/chart61.xml.rels><?xml version="1.0" encoding="UTF-8" standalone="yes"?>
<Relationships xmlns="http://schemas.openxmlformats.org/package/2006/relationships"><Relationship Id="rId3" Type="http://schemas.openxmlformats.org/officeDocument/2006/relationships/package" Target="../embeddings/_____Microsoft_Office_Excel60.xlsx"/><Relationship Id="rId2" Type="http://schemas.openxmlformats.org/officeDocument/2006/relationships/image" Target="../media/image2.jpeg"/><Relationship Id="rId1" Type="http://schemas.openxmlformats.org/officeDocument/2006/relationships/themeOverride" Target="../theme/themeOverride43.xml"/></Relationships>
</file>

<file path=word/charts/_rels/chart62.xml.rels><?xml version="1.0" encoding="UTF-8" standalone="yes"?>
<Relationships xmlns="http://schemas.openxmlformats.org/package/2006/relationships"><Relationship Id="rId3" Type="http://schemas.openxmlformats.org/officeDocument/2006/relationships/package" Target="../embeddings/_____Microsoft_Office_Excel61.xlsx"/><Relationship Id="rId2" Type="http://schemas.openxmlformats.org/officeDocument/2006/relationships/image" Target="../media/image2.jpeg"/><Relationship Id="rId1" Type="http://schemas.openxmlformats.org/officeDocument/2006/relationships/themeOverride" Target="../theme/themeOverride44.xml"/></Relationships>
</file>

<file path=word/charts/_rels/chart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Override" Target="../theme/themeOverride6.xml"/><Relationship Id="rId4"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plotArea>
      <c:layout>
        <c:manualLayout>
          <c:layoutTarget val="inner"/>
          <c:xMode val="edge"/>
          <c:yMode val="edge"/>
          <c:x val="0.31760912111419631"/>
          <c:y val="4.5634920634920764E-2"/>
          <c:w val="0.62845508473290546"/>
          <c:h val="0.49323459567554118"/>
        </c:manualLayout>
      </c:layout>
      <c:barChart>
        <c:barDir val="col"/>
        <c:grouping val="clustered"/>
        <c:ser>
          <c:idx val="0"/>
          <c:order val="0"/>
          <c:tx>
            <c:strRef>
              <c:f>Лист1!$B$1</c:f>
              <c:strCache>
                <c:ptCount val="1"/>
                <c:pt idx="0">
                  <c:v>Валовой внутренний продукт (в текущих ценах), млн  руб. </c:v>
                </c:pt>
              </c:strCache>
            </c:strRef>
          </c:tx>
          <c:dPt>
            <c:idx val="0"/>
            <c:spPr>
              <a:solidFill>
                <a:schemeClr val="tx1">
                  <a:lumMod val="65000"/>
                  <a:lumOff val="35000"/>
                </a:schemeClr>
              </a:solidFill>
              <a:ln>
                <a:solidFill>
                  <a:sysClr val="windowText" lastClr="000000"/>
                </a:solidFill>
              </a:ln>
            </c:spPr>
          </c:dPt>
          <c:dPt>
            <c:idx val="1"/>
            <c:spPr>
              <a:solidFill>
                <a:schemeClr val="bg1">
                  <a:lumMod val="85000"/>
                </a:schemeClr>
              </a:solidFill>
              <a:ln>
                <a:solidFill>
                  <a:sysClr val="windowText" lastClr="000000"/>
                </a:solidFill>
              </a:ln>
            </c:spPr>
          </c:dPt>
          <c:dLbls>
            <c:dLbl>
              <c:idx val="0"/>
              <c:layout>
                <c:manualLayout>
                  <c:x val="-7.2234359202342033E-3"/>
                  <c:y val="3.056102546856385E-2"/>
                </c:manualLayout>
              </c:layout>
              <c:tx>
                <c:rich>
                  <a:bodyPr/>
                  <a:lstStyle/>
                  <a:p>
                    <a:r>
                      <a:rPr lang="en-US" sz="800" b="1">
                        <a:latin typeface="Times New Roman" pitchFamily="18" charset="0"/>
                        <a:cs typeface="Times New Roman" pitchFamily="18" charset="0"/>
                      </a:rPr>
                      <a:t>+1</a:t>
                    </a:r>
                    <a:r>
                      <a:rPr lang="ru-RU" sz="800" b="1">
                        <a:latin typeface="Times New Roman" pitchFamily="18" charset="0"/>
                        <a:cs typeface="Times New Roman" pitchFamily="18" charset="0"/>
                      </a:rPr>
                      <a:t>7</a:t>
                    </a:r>
                    <a:r>
                      <a:rPr lang="en-US" sz="800" b="1">
                        <a:latin typeface="Times New Roman" pitchFamily="18" charset="0"/>
                        <a:cs typeface="Times New Roman" pitchFamily="18" charset="0"/>
                      </a:rPr>
                      <a:t>,8%*</a:t>
                    </a:r>
                  </a:p>
                </c:rich>
              </c:tx>
              <c:showVal val="1"/>
              <c:extLst>
                <c:ext xmlns:c15="http://schemas.microsoft.com/office/drawing/2012/chart" uri="{CE6537A1-D6FC-4f65-9D91-7224C49458BB}">
                  <c15:layout/>
                </c:ext>
              </c:extLst>
            </c:dLbl>
            <c:dLbl>
              <c:idx val="1"/>
              <c:layout>
                <c:manualLayout>
                  <c:x val="1.2884711665377132E-2"/>
                  <c:y val="6.15999087070638E-3"/>
                </c:manualLayout>
              </c:layout>
              <c:tx>
                <c:rich>
                  <a:bodyPr/>
                  <a:lstStyle/>
                  <a:p>
                    <a:r>
                      <a:rPr lang="en-US" sz="800" b="1">
                        <a:latin typeface="Times New Roman" pitchFamily="18" charset="0"/>
                        <a:cs typeface="Times New Roman" pitchFamily="18" charset="0"/>
                      </a:rPr>
                      <a:t>-2,</a:t>
                    </a:r>
                    <a:r>
                      <a:rPr lang="ru-RU" sz="800" b="1">
                        <a:latin typeface="Times New Roman" pitchFamily="18" charset="0"/>
                        <a:cs typeface="Times New Roman" pitchFamily="18" charset="0"/>
                      </a:rPr>
                      <a:t>5</a:t>
                    </a:r>
                    <a:r>
                      <a:rPr lang="en-US" sz="800" b="1">
                        <a:latin typeface="Times New Roman" pitchFamily="18" charset="0"/>
                        <a:cs typeface="Times New Roman" pitchFamily="18" charset="0"/>
                      </a:rPr>
                      <a:t>%*</a:t>
                    </a:r>
                  </a:p>
                  <a:p>
                    <a:endParaRPr lang="en-US" sz="800" b="1">
                      <a:latin typeface="Times New Roman" pitchFamily="18" charset="0"/>
                      <a:cs typeface="Times New Roman" pitchFamily="18" charset="0"/>
                    </a:endParaRPr>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январь-декабь 2016 года</c:v>
                </c:pt>
                <c:pt idx="1">
                  <c:v>январь - декабрь 2017 года</c:v>
                </c:pt>
              </c:strCache>
            </c:strRef>
          </c:cat>
          <c:val>
            <c:numRef>
              <c:f>Лист1!$B$2:$B$3</c:f>
              <c:numCache>
                <c:formatCode>#,##0.0</c:formatCode>
                <c:ptCount val="2"/>
                <c:pt idx="0">
                  <c:v>11418.3</c:v>
                </c:pt>
                <c:pt idx="1">
                  <c:v>12298.8</c:v>
                </c:pt>
              </c:numCache>
            </c:numRef>
          </c:val>
        </c:ser>
        <c:dLbls>
          <c:showVal val="1"/>
        </c:dLbls>
        <c:axId val="118921856"/>
        <c:axId val="119091584"/>
      </c:barChart>
      <c:catAx>
        <c:axId val="118921856"/>
        <c:scaling>
          <c:orientation val="minMax"/>
        </c:scaling>
        <c:delete val="1"/>
        <c:axPos val="b"/>
        <c:numFmt formatCode="General" sourceLinked="0"/>
        <c:tickLblPos val="nextTo"/>
        <c:crossAx val="119091584"/>
        <c:crosses val="autoZero"/>
        <c:auto val="1"/>
        <c:lblAlgn val="ctr"/>
        <c:lblOffset val="100"/>
      </c:catAx>
      <c:valAx>
        <c:axId val="119091584"/>
        <c:scaling>
          <c:orientation val="minMax"/>
        </c:scaling>
        <c:axPos val="l"/>
        <c:title>
          <c:tx>
            <c:rich>
              <a:bodyPr rot="0" vert="horz"/>
              <a:lstStyle/>
              <a:p>
                <a:pPr>
                  <a:defRPr>
                    <a:latin typeface="Times New Roman" pitchFamily="18" charset="0"/>
                    <a:cs typeface="Times New Roman" pitchFamily="18" charset="0"/>
                  </a:defRPr>
                </a:pPr>
                <a:r>
                  <a:rPr lang="ru-RU" sz="900">
                    <a:latin typeface="Times New Roman" pitchFamily="18" charset="0"/>
                    <a:cs typeface="Times New Roman" pitchFamily="18" charset="0"/>
                  </a:rPr>
                  <a:t>*- реальный ВВП, % (прирост, падение +,-)</a:t>
                </a:r>
              </a:p>
            </c:rich>
          </c:tx>
          <c:layout>
            <c:manualLayout>
              <c:xMode val="edge"/>
              <c:yMode val="edge"/>
              <c:x val="3.2749064994144282E-2"/>
              <c:y val="0.12593299267780544"/>
            </c:manualLayout>
          </c:layout>
        </c:title>
        <c:numFmt formatCode="#,##0.0" sourceLinked="1"/>
        <c:tickLblPos val="nextTo"/>
        <c:txPr>
          <a:bodyPr/>
          <a:lstStyle/>
          <a:p>
            <a:pPr>
              <a:defRPr b="1">
                <a:latin typeface="Times New Roman" pitchFamily="18" charset="0"/>
                <a:cs typeface="Times New Roman" pitchFamily="18" charset="0"/>
              </a:defRPr>
            </a:pPr>
            <a:endParaRPr lang="ru-RU"/>
          </a:p>
        </c:txPr>
        <c:crossAx val="118921856"/>
        <c:crosses val="autoZero"/>
        <c:crossBetween val="between"/>
        <c:minorUnit val="500"/>
      </c:valAx>
      <c:dTable>
        <c:showHorzBorder val="1"/>
        <c:showVertBorder val="1"/>
        <c:showOutline val="1"/>
        <c:txPr>
          <a:bodyPr/>
          <a:lstStyle/>
          <a:p>
            <a:pPr rtl="0">
              <a:defRPr b="1">
                <a:latin typeface="Times New Roman" pitchFamily="18" charset="0"/>
                <a:cs typeface="Times New Roman" pitchFamily="18" charset="0"/>
              </a:defRPr>
            </a:pPr>
            <a:endParaRPr lang="ru-RU"/>
          </a:p>
        </c:txPr>
      </c:dTable>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15" b="1" i="0" u="none" strike="noStrike" baseline="0">
                <a:solidFill>
                  <a:srgbClr val="000000"/>
                </a:solidFill>
                <a:latin typeface="Times New Roman"/>
                <a:ea typeface="Times New Roman"/>
                <a:cs typeface="Times New Roman"/>
              </a:defRPr>
            </a:pPr>
            <a:r>
              <a:rPr lang="ru-RU" sz="1029"/>
              <a:t>Обьем производства по отрасли легкая промышленность,</a:t>
            </a:r>
            <a:r>
              <a:rPr lang="ru-RU" sz="1029" baseline="0"/>
              <a:t> </a:t>
            </a:r>
            <a:r>
              <a:rPr lang="ru-RU" sz="1029"/>
              <a:t>млн руб.</a:t>
            </a:r>
          </a:p>
        </c:rich>
      </c:tx>
      <c:layout>
        <c:manualLayout>
          <c:xMode val="edge"/>
          <c:yMode val="edge"/>
          <c:x val="0.15336469522779494"/>
          <c:y val="2.2900708839966432E-2"/>
        </c:manualLayout>
      </c:layout>
      <c:spPr>
        <a:noFill/>
        <a:ln w="24887">
          <a:noFill/>
        </a:ln>
      </c:spPr>
    </c:title>
    <c:plotArea>
      <c:layout>
        <c:manualLayout>
          <c:layoutTarget val="inner"/>
          <c:xMode val="edge"/>
          <c:yMode val="edge"/>
          <c:x val="0.3254669206410955"/>
          <c:y val="0.18842026564861211"/>
          <c:w val="0.57282457566460065"/>
          <c:h val="0.59807460431082482"/>
        </c:manualLayout>
      </c:layout>
      <c:barChart>
        <c:barDir val="bar"/>
        <c:grouping val="clustered"/>
        <c:ser>
          <c:idx val="0"/>
          <c:order val="0"/>
          <c:tx>
            <c:strRef>
              <c:f>Лист1!$B$1</c:f>
              <c:strCache>
                <c:ptCount val="1"/>
                <c:pt idx="0">
                  <c:v>2016 год</c:v>
                </c:pt>
              </c:strCache>
            </c:strRef>
          </c:tx>
          <c:spPr>
            <a:gradFill>
              <a:gsLst>
                <a:gs pos="0">
                  <a:srgbClr val="8488C4"/>
                </a:gs>
                <a:gs pos="53000">
                  <a:srgbClr val="D4DEFF"/>
                </a:gs>
                <a:gs pos="83000">
                  <a:srgbClr val="D4DEFF"/>
                </a:gs>
                <a:gs pos="100000">
                  <a:srgbClr val="96AB94"/>
                </a:gs>
              </a:gsLst>
              <a:lin ang="5400000" scaled="0"/>
            </a:gradFill>
            <a:ln w="18828">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dLbls>
            <c:dLbl>
              <c:idx val="0"/>
              <c:layout>
                <c:manualLayout>
                  <c:x val="-1.9671833473646001E-3"/>
                  <c:y val="1.6567457369715793E-2"/>
                </c:manualLayout>
              </c:layout>
              <c:tx>
                <c:rich>
                  <a:bodyPr/>
                  <a:lstStyle/>
                  <a:p>
                    <a:r>
                      <a:rPr lang="ru-RU" sz="800"/>
                      <a:t>116,5%*</a:t>
                    </a:r>
                  </a:p>
                </c:rich>
              </c:tx>
              <c:dLblPos val="outEnd"/>
            </c:dLbl>
            <c:dLbl>
              <c:idx val="1"/>
              <c:layout>
                <c:manualLayout>
                  <c:x val="-8.6468908367586268E-3"/>
                  <c:y val="1.5416563495600787E-2"/>
                </c:manualLayout>
              </c:layout>
              <c:tx>
                <c:rich>
                  <a:bodyPr/>
                  <a:lstStyle/>
                  <a:p>
                    <a:r>
                      <a:rPr lang="ru-RU" sz="800"/>
                      <a:t>121,9%*</a:t>
                    </a:r>
                  </a:p>
                </c:rich>
              </c:tx>
              <c:dLblPos val="outEnd"/>
            </c:dLbl>
            <c:dLbl>
              <c:idx val="2"/>
              <c:layout>
                <c:manualLayout>
                  <c:x val="-6.4136825227152023E-3"/>
                  <c:y val="0"/>
                </c:manualLayout>
              </c:layout>
              <c:tx>
                <c:rich>
                  <a:bodyPr/>
                  <a:lstStyle/>
                  <a:p>
                    <a:r>
                      <a:rPr lang="ru-RU" sz="800"/>
                      <a:t>100,3%*</a:t>
                    </a:r>
                    <a:endParaRPr lang="en-US" sz="800"/>
                  </a:p>
                </c:rich>
              </c:tx>
              <c:dLblPos val="outEnd"/>
            </c:dLbl>
            <c:spPr>
              <a:noFill/>
              <a:ln w="24887">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обьем производства подотрасли</c:v>
                </c:pt>
                <c:pt idx="1">
                  <c:v>объем производства ЗАО "Тиротекс"</c:v>
                </c:pt>
              </c:strCache>
            </c:strRef>
          </c:cat>
          <c:val>
            <c:numRef>
              <c:f>Лист1!$B$2:$B$3</c:f>
              <c:numCache>
                <c:formatCode>0.0</c:formatCode>
                <c:ptCount val="2"/>
                <c:pt idx="0" formatCode="General">
                  <c:v>1192.4000000000001</c:v>
                </c:pt>
                <c:pt idx="1">
                  <c:v>878.8</c:v>
                </c:pt>
              </c:numCache>
            </c:numRef>
          </c:val>
        </c:ser>
        <c:ser>
          <c:idx val="1"/>
          <c:order val="1"/>
          <c:tx>
            <c:strRef>
              <c:f>Лист1!$C$1</c:f>
              <c:strCache>
                <c:ptCount val="1"/>
                <c:pt idx="0">
                  <c:v>2017 год</c:v>
                </c:pt>
              </c:strCache>
            </c:strRef>
          </c:tx>
          <c:spPr>
            <a:gradFill>
              <a:gsLst>
                <a:gs pos="0">
                  <a:srgbClr val="FFEFD1"/>
                </a:gs>
                <a:gs pos="64999">
                  <a:srgbClr val="F0EBD5"/>
                </a:gs>
                <a:gs pos="100000">
                  <a:srgbClr val="D1C39F"/>
                </a:gs>
              </a:gsLst>
              <a:lin ang="5400000" scaled="0"/>
            </a:gradFill>
            <a:ln w="18828">
              <a:noFill/>
            </a:ln>
          </c:spPr>
          <c:dLbls>
            <c:dLbl>
              <c:idx val="0"/>
              <c:layout>
                <c:manualLayout>
                  <c:x val="1.4155565459977881E-2"/>
                  <c:y val="4.8326977995675402E-3"/>
                </c:manualLayout>
              </c:layout>
              <c:tx>
                <c:rich>
                  <a:bodyPr/>
                  <a:lstStyle/>
                  <a:p>
                    <a:pPr>
                      <a:defRPr sz="800" b="0" i="0" u="none" strike="noStrike" baseline="0">
                        <a:solidFill>
                          <a:srgbClr val="000000"/>
                        </a:solidFill>
                        <a:latin typeface="Times New Roman"/>
                        <a:ea typeface="Times New Roman"/>
                        <a:cs typeface="Times New Roman"/>
                      </a:defRPr>
                    </a:pPr>
                    <a:r>
                      <a:rPr lang="ru-RU" sz="800"/>
                      <a:t>113,2% *</a:t>
                    </a:r>
                  </a:p>
                </c:rich>
              </c:tx>
              <c:spPr>
                <a:noFill/>
                <a:ln w="24887">
                  <a:noFill/>
                </a:ln>
              </c:spPr>
              <c:dLblPos val="outEnd"/>
            </c:dLbl>
            <c:dLbl>
              <c:idx val="1"/>
              <c:layout>
                <c:manualLayout>
                  <c:x val="2.3283316000594419E-2"/>
                  <c:y val="1.1257366414103897E-2"/>
                </c:manualLayout>
              </c:layout>
              <c:tx>
                <c:rich>
                  <a:bodyPr/>
                  <a:lstStyle/>
                  <a:p>
                    <a:pPr>
                      <a:defRPr sz="800" b="0" i="0" u="none" strike="noStrike" baseline="0">
                        <a:solidFill>
                          <a:srgbClr val="000000"/>
                        </a:solidFill>
                        <a:latin typeface="Times New Roman"/>
                        <a:ea typeface="Times New Roman"/>
                        <a:cs typeface="Times New Roman"/>
                      </a:defRPr>
                    </a:pPr>
                    <a:r>
                      <a:rPr lang="ru-RU" sz="800"/>
                      <a:t>104,5% *</a:t>
                    </a:r>
                  </a:p>
                </c:rich>
              </c:tx>
              <c:spPr>
                <a:noFill/>
                <a:ln w="24887">
                  <a:noFill/>
                </a:ln>
              </c:spPr>
              <c:dLblPos val="outEnd"/>
            </c:dLbl>
            <c:dLbl>
              <c:idx val="2"/>
              <c:layout>
                <c:manualLayout>
                  <c:x val="-1.6055863387446961E-4"/>
                  <c:y val="-6.3642532488316734E-3"/>
                </c:manualLayout>
              </c:layout>
              <c:tx>
                <c:rich>
                  <a:bodyPr/>
                  <a:lstStyle/>
                  <a:p>
                    <a:r>
                      <a:rPr lang="ru-RU" sz="882"/>
                      <a:t>89,3%*</a:t>
                    </a:r>
                    <a:endParaRPr lang="en-US" sz="900"/>
                  </a:p>
                </c:rich>
              </c:tx>
              <c:dLblPos val="outEnd"/>
            </c:dLbl>
            <c:spPr>
              <a:noFill/>
              <a:ln w="24887">
                <a:noFill/>
              </a:ln>
            </c:spPr>
            <c:txPr>
              <a:bodyPr/>
              <a:lstStyle/>
              <a:p>
                <a:pPr>
                  <a:defRPr sz="882"/>
                </a:pPr>
                <a:endParaRPr lang="ru-RU"/>
              </a:p>
            </c:txPr>
            <c:showVal val="1"/>
          </c:dLbls>
          <c:cat>
            <c:strRef>
              <c:f>Лист1!$A$2:$A$3</c:f>
              <c:strCache>
                <c:ptCount val="2"/>
                <c:pt idx="0">
                  <c:v>обьем производства подотрасли</c:v>
                </c:pt>
                <c:pt idx="1">
                  <c:v>объем производства ЗАО "Тиротекс"</c:v>
                </c:pt>
              </c:strCache>
            </c:strRef>
          </c:cat>
          <c:val>
            <c:numRef>
              <c:f>Лист1!$C$2:$C$3</c:f>
              <c:numCache>
                <c:formatCode>General</c:formatCode>
                <c:ptCount val="2"/>
                <c:pt idx="0">
                  <c:v>1349.5</c:v>
                </c:pt>
                <c:pt idx="1">
                  <c:v>918.2</c:v>
                </c:pt>
              </c:numCache>
            </c:numRef>
          </c:val>
        </c:ser>
        <c:dLbls>
          <c:showVal val="1"/>
        </c:dLbls>
        <c:axId val="64883712"/>
        <c:axId val="64893696"/>
      </c:barChart>
      <c:catAx>
        <c:axId val="64883712"/>
        <c:scaling>
          <c:orientation val="minMax"/>
        </c:scaling>
        <c:axPos val="l"/>
        <c:numFmt formatCode="General" sourceLinked="1"/>
        <c:tickLblPos val="nextTo"/>
        <c:txPr>
          <a:bodyPr/>
          <a:lstStyle/>
          <a:p>
            <a:pPr>
              <a:defRPr sz="882" kern="0" baseline="0"/>
            </a:pPr>
            <a:endParaRPr lang="ru-RU"/>
          </a:p>
        </c:txPr>
        <c:crossAx val="64893696"/>
        <c:crosses val="autoZero"/>
        <c:auto val="1"/>
        <c:lblAlgn val="ctr"/>
        <c:lblOffset val="100"/>
      </c:catAx>
      <c:valAx>
        <c:axId val="64893696"/>
        <c:scaling>
          <c:orientation val="minMax"/>
        </c:scaling>
        <c:axPos val="b"/>
        <c:majorGridlines/>
        <c:title>
          <c:tx>
            <c:rich>
              <a:bodyPr/>
              <a:lstStyle/>
              <a:p>
                <a:pPr>
                  <a:defRPr sz="735" b="1" i="0" u="none" strike="noStrike" baseline="0">
                    <a:solidFill>
                      <a:srgbClr val="000000"/>
                    </a:solidFill>
                    <a:latin typeface="Times New Roman"/>
                    <a:ea typeface="Times New Roman"/>
                    <a:cs typeface="Times New Roman"/>
                  </a:defRPr>
                </a:pPr>
                <a:r>
                  <a:rPr lang="ru-RU"/>
                  <a:t>* - темп роста 
к предыдущему году</a:t>
                </a:r>
              </a:p>
            </c:rich>
          </c:tx>
          <c:layout>
            <c:manualLayout>
              <c:xMode val="edge"/>
              <c:yMode val="edge"/>
              <c:x val="0"/>
              <c:y val="0.78966763985962429"/>
            </c:manualLayout>
          </c:layout>
          <c:spPr>
            <a:noFill/>
            <a:ln w="24887">
              <a:noFill/>
            </a:ln>
          </c:spPr>
        </c:title>
        <c:numFmt formatCode="General" sourceLinked="1"/>
        <c:tickLblPos val="nextTo"/>
        <c:txPr>
          <a:bodyPr/>
          <a:lstStyle/>
          <a:p>
            <a:pPr>
              <a:defRPr sz="882"/>
            </a:pPr>
            <a:endParaRPr lang="ru-RU"/>
          </a:p>
        </c:txPr>
        <c:crossAx val="64883712"/>
        <c:crosses val="autoZero"/>
        <c:crossBetween val="between"/>
      </c:valAx>
    </c:plotArea>
    <c:legend>
      <c:legendPos val="r"/>
      <c:layout>
        <c:manualLayout>
          <c:xMode val="edge"/>
          <c:yMode val="edge"/>
          <c:x val="0.89827861772870365"/>
          <c:y val="0.22900780259610812"/>
          <c:w val="9.8591565830633554E-2"/>
          <c:h val="0.33587801524810906"/>
        </c:manualLayout>
      </c:layout>
      <c:txPr>
        <a:bodyPr/>
        <a:lstStyle/>
        <a:p>
          <a:pPr>
            <a:defRPr sz="882"/>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198"/>
            </a:pPr>
            <a:r>
              <a:rPr lang="ru-RU" sz="1050"/>
              <a:t>Валовая продукция сельского хозяйства в хозяйствах </a:t>
            </a:r>
          </a:p>
          <a:p>
            <a:pPr>
              <a:defRPr sz="1198"/>
            </a:pPr>
            <a:r>
              <a:rPr lang="ru-RU" sz="1050"/>
              <a:t>всех категорий за 2016-2017 годы, млн.руб.</a:t>
            </a:r>
          </a:p>
        </c:rich>
      </c:tx>
      <c:layout>
        <c:manualLayout>
          <c:xMode val="edge"/>
          <c:yMode val="edge"/>
          <c:x val="0.26449392191503551"/>
          <c:y val="2.2247219097612865E-3"/>
        </c:manualLayout>
      </c:layout>
    </c:title>
    <c:plotArea>
      <c:layout>
        <c:manualLayout>
          <c:layoutTarget val="inner"/>
          <c:xMode val="edge"/>
          <c:yMode val="edge"/>
          <c:x val="0.35102601588483578"/>
          <c:y val="0.17118008897536471"/>
          <c:w val="0.6294300101738266"/>
          <c:h val="0.41698071524844477"/>
        </c:manualLayout>
      </c:layout>
      <c:barChart>
        <c:barDir val="col"/>
        <c:grouping val="clustered"/>
        <c:ser>
          <c:idx val="0"/>
          <c:order val="0"/>
          <c:tx>
            <c:strRef>
              <c:f>Лист1!$B$1</c:f>
              <c:strCache>
                <c:ptCount val="1"/>
                <c:pt idx="0">
                  <c:v>Валовая продукция сельского хозяйства</c:v>
                </c:pt>
              </c:strCache>
            </c:strRef>
          </c:tx>
          <c:spPr>
            <a:gradFill>
              <a:gsLst>
                <a:gs pos="0">
                  <a:srgbClr val="FFEFD1"/>
                </a:gs>
                <a:gs pos="64999">
                  <a:srgbClr val="F0EBD5"/>
                </a:gs>
                <a:gs pos="100000">
                  <a:srgbClr val="D1C39F"/>
                </a:gs>
              </a:gsLst>
              <a:lin ang="5400000" scaled="0"/>
            </a:gradFill>
            <a:ln>
              <a:solidFill>
                <a:sysClr val="windowText" lastClr="000000"/>
              </a:solidFill>
            </a:ln>
          </c:spPr>
          <c:dLbls>
            <c:dLbl>
              <c:idx val="0"/>
              <c:layout>
                <c:manualLayout>
                  <c:x val="-1.3200304359349481E-4"/>
                  <c:y val="1.7444846421224382E-2"/>
                </c:manualLayout>
              </c:layout>
              <c:tx>
                <c:rich>
                  <a:bodyPr/>
                  <a:lstStyle/>
                  <a:p>
                    <a:r>
                      <a:rPr lang="ru-RU" sz="900" b="1">
                        <a:latin typeface="Times New Roman" pitchFamily="18" charset="0"/>
                        <a:cs typeface="Times New Roman" pitchFamily="18" charset="0"/>
                      </a:rPr>
                      <a:t>108,6*</a:t>
                    </a:r>
                    <a:endParaRPr lang="en-US" sz="900" b="1">
                      <a:latin typeface="Times New Roman" pitchFamily="18" charset="0"/>
                      <a:cs typeface="Times New Roman" pitchFamily="18" charset="0"/>
                    </a:endParaRPr>
                  </a:p>
                </c:rich>
              </c:tx>
              <c:dLblPos val="outEnd"/>
            </c:dLbl>
            <c:dLbl>
              <c:idx val="1"/>
              <c:layout>
                <c:manualLayout>
                  <c:x val="2.6564955754973529E-3"/>
                  <c:y val="1.4877016594424038E-2"/>
                </c:manualLayout>
              </c:layout>
              <c:tx>
                <c:rich>
                  <a:bodyPr/>
                  <a:lstStyle/>
                  <a:p>
                    <a:r>
                      <a:rPr lang="ru-RU" sz="900" b="1">
                        <a:latin typeface="Times New Roman" pitchFamily="18" charset="0"/>
                        <a:cs typeface="Times New Roman" pitchFamily="18" charset="0"/>
                      </a:rPr>
                      <a:t>127,2*</a:t>
                    </a:r>
                    <a:endParaRPr lang="en-US" sz="900" b="1">
                      <a:latin typeface="Times New Roman" pitchFamily="18" charset="0"/>
                      <a:cs typeface="Times New Roman" pitchFamily="18" charset="0"/>
                    </a:endParaRPr>
                  </a:p>
                </c:rich>
              </c:tx>
              <c:dLblPos val="outEnd"/>
            </c:dLbl>
            <c:dLbl>
              <c:idx val="2"/>
              <c:layout>
                <c:manualLayout>
                  <c:x val="8.4875562720162323E-17"/>
                  <c:y val="1.1904761904762863E-2"/>
                </c:manualLayout>
              </c:layout>
              <c:tx>
                <c:rich>
                  <a:bodyPr/>
                  <a:lstStyle/>
                  <a:p>
                    <a:r>
                      <a:rPr lang="ru-RU" sz="900" b="1">
                        <a:latin typeface="Times New Roman" pitchFamily="18" charset="0"/>
                        <a:cs typeface="Times New Roman" pitchFamily="18" charset="0"/>
                      </a:rPr>
                      <a:t>35,6*</a:t>
                    </a:r>
                    <a:endParaRPr lang="en-US" sz="900" b="1">
                      <a:latin typeface="Times New Roman" pitchFamily="18" charset="0"/>
                      <a:cs typeface="Times New Roman" pitchFamily="18" charset="0"/>
                    </a:endParaRPr>
                  </a:p>
                </c:rich>
              </c:tx>
              <c:dLblPos val="outEnd"/>
            </c:dLbl>
            <c:txPr>
              <a:bodyPr/>
              <a:lstStyle/>
              <a:p>
                <a:pPr>
                  <a:defRPr sz="900"/>
                </a:pPr>
                <a:endParaRPr lang="ru-RU"/>
              </a:p>
            </c:txPr>
            <c:dLblPos val="outEnd"/>
            <c:showVal val="1"/>
          </c:dLbls>
          <c:cat>
            <c:strRef>
              <c:f>Лист1!$A$2:$A$4</c:f>
              <c:strCache>
                <c:ptCount val="2"/>
                <c:pt idx="0">
                  <c:v>2016 год</c:v>
                </c:pt>
                <c:pt idx="1">
                  <c:v>2017 год</c:v>
                </c:pt>
              </c:strCache>
            </c:strRef>
          </c:cat>
          <c:val>
            <c:numRef>
              <c:f>Лист1!$B$2:$B$4</c:f>
              <c:numCache>
                <c:formatCode>#,##0.0</c:formatCode>
                <c:ptCount val="2"/>
                <c:pt idx="0">
                  <c:v>2209.1</c:v>
                </c:pt>
                <c:pt idx="1">
                  <c:v>2783.7</c:v>
                </c:pt>
              </c:numCache>
            </c:numRef>
          </c:val>
        </c:ser>
        <c:ser>
          <c:idx val="1"/>
          <c:order val="1"/>
          <c:tx>
            <c:strRef>
              <c:f>Лист1!$C$1</c:f>
              <c:strCache>
                <c:ptCount val="1"/>
                <c:pt idx="0">
                  <c:v>продукция растениеводства</c:v>
                </c:pt>
              </c:strCache>
            </c:strRef>
          </c:tx>
          <c:spPr>
            <a:solidFill>
              <a:sysClr val="window" lastClr="FFFFFF">
                <a:lumMod val="65000"/>
              </a:sysClr>
            </a:solidFill>
            <a:ln>
              <a:solidFill>
                <a:sysClr val="windowText" lastClr="000000"/>
              </a:solidFill>
            </a:ln>
          </c:spPr>
          <c:dLbls>
            <c:dLbl>
              <c:idx val="0"/>
              <c:layout>
                <c:manualLayout>
                  <c:x val="-2.0226217651132402E-3"/>
                  <c:y val="1.8732253062961723E-2"/>
                </c:manualLayout>
              </c:layout>
              <c:tx>
                <c:rich>
                  <a:bodyPr/>
                  <a:lstStyle/>
                  <a:p>
                    <a:r>
                      <a:rPr lang="ru-RU" sz="900" b="1">
                        <a:latin typeface="Times New Roman" pitchFamily="18" charset="0"/>
                        <a:cs typeface="Times New Roman" pitchFamily="18" charset="0"/>
                      </a:rPr>
                      <a:t>113,4*</a:t>
                    </a:r>
                    <a:endParaRPr lang="en-US" sz="900" b="1">
                      <a:latin typeface="Times New Roman" pitchFamily="18" charset="0"/>
                      <a:cs typeface="Times New Roman" pitchFamily="18" charset="0"/>
                    </a:endParaRPr>
                  </a:p>
                </c:rich>
              </c:tx>
              <c:dLblPos val="outEnd"/>
            </c:dLbl>
            <c:dLbl>
              <c:idx val="1"/>
              <c:layout>
                <c:manualLayout>
                  <c:x val="2.6084480896054417E-3"/>
                  <c:y val="1.8114852907230243E-2"/>
                </c:manualLayout>
              </c:layout>
              <c:tx>
                <c:rich>
                  <a:bodyPr/>
                  <a:lstStyle/>
                  <a:p>
                    <a:r>
                      <a:rPr lang="ru-RU" sz="900" b="1">
                        <a:latin typeface="Times New Roman" pitchFamily="18" charset="0"/>
                        <a:cs typeface="Times New Roman" pitchFamily="18" charset="0"/>
                      </a:rPr>
                      <a:t>125,8*</a:t>
                    </a:r>
                    <a:endParaRPr lang="en-US" sz="900" b="1">
                      <a:latin typeface="Times New Roman" pitchFamily="18" charset="0"/>
                      <a:cs typeface="Times New Roman" pitchFamily="18" charset="0"/>
                    </a:endParaRPr>
                  </a:p>
                </c:rich>
              </c:tx>
              <c:dLblPos val="outEnd"/>
            </c:dLbl>
            <c:dLbl>
              <c:idx val="2"/>
              <c:layout>
                <c:manualLayout>
                  <c:x val="2.3148148148148147E-3"/>
                  <c:y val="1.1904761904762863E-2"/>
                </c:manualLayout>
              </c:layout>
              <c:tx>
                <c:rich>
                  <a:bodyPr/>
                  <a:lstStyle/>
                  <a:p>
                    <a:r>
                      <a:rPr lang="ru-RU" sz="900" b="1">
                        <a:latin typeface="Times New Roman" pitchFamily="18" charset="0"/>
                        <a:cs typeface="Times New Roman" pitchFamily="18" charset="0"/>
                      </a:rPr>
                      <a:t>29,7*</a:t>
                    </a:r>
                    <a:endParaRPr lang="en-US" sz="900" b="1">
                      <a:latin typeface="Times New Roman" pitchFamily="18" charset="0"/>
                      <a:cs typeface="Times New Roman" pitchFamily="18" charset="0"/>
                    </a:endParaRPr>
                  </a:p>
                </c:rich>
              </c:tx>
              <c:dLblPos val="outEnd"/>
            </c:dLbl>
            <c:txPr>
              <a:bodyPr/>
              <a:lstStyle/>
              <a:p>
                <a:pPr>
                  <a:defRPr sz="900"/>
                </a:pPr>
                <a:endParaRPr lang="ru-RU"/>
              </a:p>
            </c:txPr>
            <c:dLblPos val="outEnd"/>
            <c:showVal val="1"/>
          </c:dLbls>
          <c:cat>
            <c:strRef>
              <c:f>Лист1!$A$2:$A$4</c:f>
              <c:strCache>
                <c:ptCount val="2"/>
                <c:pt idx="0">
                  <c:v>2016 год</c:v>
                </c:pt>
                <c:pt idx="1">
                  <c:v>2017 год</c:v>
                </c:pt>
              </c:strCache>
            </c:strRef>
          </c:cat>
          <c:val>
            <c:numRef>
              <c:f>Лист1!$C$2:$C$4</c:f>
              <c:numCache>
                <c:formatCode>#,##0.0</c:formatCode>
                <c:ptCount val="2"/>
                <c:pt idx="0">
                  <c:v>1805.7</c:v>
                </c:pt>
                <c:pt idx="1">
                  <c:v>2259.6999999999998</c:v>
                </c:pt>
              </c:numCache>
            </c:numRef>
          </c:val>
        </c:ser>
        <c:ser>
          <c:idx val="2"/>
          <c:order val="2"/>
          <c:tx>
            <c:strRef>
              <c:f>Лист1!$D$1</c:f>
              <c:strCache>
                <c:ptCount val="1"/>
                <c:pt idx="0">
                  <c:v>продукция животноводства</c:v>
                </c:pt>
              </c:strCache>
            </c:strRef>
          </c:tx>
          <c:spPr>
            <a:solidFill>
              <a:sysClr val="windowText" lastClr="000000">
                <a:lumMod val="65000"/>
                <a:lumOff val="35000"/>
              </a:sysClr>
            </a:solidFill>
            <a:ln>
              <a:solidFill>
                <a:sysClr val="windowText" lastClr="000000"/>
              </a:solidFill>
            </a:ln>
          </c:spPr>
          <c:dLbls>
            <c:dLbl>
              <c:idx val="0"/>
              <c:layout>
                <c:manualLayout>
                  <c:x val="4.3537066010071492E-3"/>
                  <c:y val="1.780601749105689E-2"/>
                </c:manualLayout>
              </c:layout>
              <c:tx>
                <c:rich>
                  <a:bodyPr/>
                  <a:lstStyle/>
                  <a:p>
                    <a:r>
                      <a:rPr lang="ru-RU" sz="900"/>
                      <a:t>91,4*</a:t>
                    </a:r>
                    <a:endParaRPr lang="en-US" sz="900"/>
                  </a:p>
                </c:rich>
              </c:tx>
              <c:dLblPos val="outEnd"/>
            </c:dLbl>
            <c:dLbl>
              <c:idx val="1"/>
              <c:layout>
                <c:manualLayout>
                  <c:x val="4.9261152905663895E-3"/>
                  <c:y val="1.3178417844349258E-2"/>
                </c:manualLayout>
              </c:layout>
              <c:tx>
                <c:rich>
                  <a:bodyPr/>
                  <a:lstStyle/>
                  <a:p>
                    <a:r>
                      <a:rPr lang="ru-RU" sz="900"/>
                      <a:t>133,8*</a:t>
                    </a:r>
                    <a:endParaRPr lang="en-US" sz="900"/>
                  </a:p>
                </c:rich>
              </c:tx>
              <c:dLblPos val="outEnd"/>
            </c:dLbl>
            <c:txPr>
              <a:bodyPr/>
              <a:lstStyle/>
              <a:p>
                <a:pPr>
                  <a:defRPr sz="900"/>
                </a:pPr>
                <a:endParaRPr lang="ru-RU"/>
              </a:p>
            </c:txPr>
            <c:showVal val="1"/>
          </c:dLbls>
          <c:cat>
            <c:strRef>
              <c:f>Лист1!$A$2:$A$4</c:f>
              <c:strCache>
                <c:ptCount val="2"/>
                <c:pt idx="0">
                  <c:v>2016 год</c:v>
                </c:pt>
                <c:pt idx="1">
                  <c:v>2017 год</c:v>
                </c:pt>
              </c:strCache>
            </c:strRef>
          </c:cat>
          <c:val>
            <c:numRef>
              <c:f>Лист1!$D$2:$D$4</c:f>
              <c:numCache>
                <c:formatCode>0.0</c:formatCode>
                <c:ptCount val="2"/>
                <c:pt idx="0" formatCode="General">
                  <c:v>403.4</c:v>
                </c:pt>
                <c:pt idx="1">
                  <c:v>524</c:v>
                </c:pt>
              </c:numCache>
            </c:numRef>
          </c:val>
        </c:ser>
        <c:dLbls>
          <c:showVal val="1"/>
        </c:dLbls>
        <c:axId val="64961920"/>
        <c:axId val="65000576"/>
      </c:barChart>
      <c:catAx>
        <c:axId val="64961920"/>
        <c:scaling>
          <c:orientation val="minMax"/>
        </c:scaling>
        <c:axPos val="b"/>
        <c:numFmt formatCode="General" sourceLinked="1"/>
        <c:tickLblPos val="nextTo"/>
        <c:crossAx val="65000576"/>
        <c:crosses val="autoZero"/>
        <c:auto val="1"/>
        <c:lblAlgn val="ctr"/>
        <c:lblOffset val="100"/>
      </c:catAx>
      <c:valAx>
        <c:axId val="65000576"/>
        <c:scaling>
          <c:orientation val="minMax"/>
        </c:scaling>
        <c:axPos val="l"/>
        <c:numFmt formatCode="#,##0.0" sourceLinked="1"/>
        <c:tickLblPos val="nextTo"/>
        <c:crossAx val="64961920"/>
        <c:crosses val="autoZero"/>
        <c:crossBetween val="between"/>
      </c:valAx>
      <c:dTable>
        <c:showHorzBorder val="1"/>
        <c:showVertBorder val="1"/>
        <c:showOutline val="1"/>
        <c:showKeys val="1"/>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Times New Roman"/>
                <a:ea typeface="Times New Roman"/>
                <a:cs typeface="Times New Roman"/>
              </a:defRPr>
            </a:pPr>
            <a:r>
              <a:rPr lang="ru-RU" sz="1000"/>
              <a:t>2016 год</a:t>
            </a:r>
          </a:p>
        </c:rich>
      </c:tx>
      <c:layout>
        <c:manualLayout>
          <c:xMode val="edge"/>
          <c:yMode val="edge"/>
          <c:x val="0.49412414193418275"/>
          <c:y val="3.4904013961605591E-2"/>
        </c:manualLayout>
      </c:layout>
      <c:spPr>
        <a:noFill/>
        <a:ln w="25297">
          <a:noFill/>
        </a:ln>
      </c:spPr>
    </c:title>
    <c:view3D>
      <c:perspective val="0"/>
    </c:view3D>
    <c:plotArea>
      <c:layout>
        <c:manualLayout>
          <c:layoutTarget val="inner"/>
          <c:xMode val="edge"/>
          <c:yMode val="edge"/>
          <c:x val="0.17628205128205129"/>
          <c:y val="0.31763545918016795"/>
          <c:w val="0.66209872804361236"/>
          <c:h val="0.48765923238652759"/>
        </c:manualLayout>
      </c:layout>
      <c:pie3DChart>
        <c:varyColors val="1"/>
        <c:ser>
          <c:idx val="0"/>
          <c:order val="0"/>
          <c:tx>
            <c:strRef>
              <c:f>Sheet1!$A$2</c:f>
              <c:strCache>
                <c:ptCount val="1"/>
                <c:pt idx="0">
                  <c:v>Восток</c:v>
                </c:pt>
              </c:strCache>
            </c:strRef>
          </c:tx>
          <c:spPr>
            <a:pattFill prst="wdUpDiag">
              <a:fgClr>
                <a:srgbClr val="00FFFF"/>
              </a:fgClr>
              <a:bgClr>
                <a:srgbClr val="FFFFFF"/>
              </a:bgClr>
            </a:pattFill>
            <a:ln w="12649">
              <a:solidFill>
                <a:srgbClr val="000000"/>
              </a:solidFill>
              <a:prstDash val="solid"/>
            </a:ln>
          </c:spPr>
          <c:explosion val="16"/>
          <c:dPt>
            <c:idx val="0"/>
            <c:explosion val="26"/>
          </c:dPt>
          <c:dPt>
            <c:idx val="1"/>
            <c:spPr>
              <a:blipFill dpi="0" rotWithShape="0">
                <a:blip xmlns:r="http://schemas.openxmlformats.org/officeDocument/2006/relationships" r:embed="rId2"/>
                <a:srcRect/>
                <a:tile tx="0" ty="0" sx="100000" sy="100000" flip="none" algn="tl"/>
              </a:blipFill>
              <a:ln w="12649">
                <a:solidFill>
                  <a:srgbClr val="000000"/>
                </a:solidFill>
                <a:prstDash val="solid"/>
              </a:ln>
            </c:spPr>
          </c:dPt>
          <c:dPt>
            <c:idx val="2"/>
            <c:spPr>
              <a:solidFill>
                <a:srgbClr val="800000"/>
              </a:solidFill>
              <a:ln w="12649">
                <a:solidFill>
                  <a:srgbClr val="000000"/>
                </a:solidFill>
                <a:prstDash val="solid"/>
              </a:ln>
            </c:spPr>
          </c:dPt>
          <c:dPt>
            <c:idx val="3"/>
            <c:spPr>
              <a:pattFill prst="dkDnDiag">
                <a:fgClr>
                  <a:srgbClr val="993366"/>
                </a:fgClr>
                <a:bgClr>
                  <a:srgbClr val="FFFFFF"/>
                </a:bgClr>
              </a:pattFill>
              <a:ln w="12649">
                <a:solidFill>
                  <a:srgbClr val="000000"/>
                </a:solidFill>
                <a:prstDash val="solid"/>
              </a:ln>
            </c:spPr>
          </c:dPt>
          <c:dLbls>
            <c:dLbl>
              <c:idx val="0"/>
              <c:layout>
                <c:manualLayout>
                  <c:x val="3.2051282051282055E-2"/>
                  <c:y val="0.13091272622335817"/>
                </c:manualLayout>
              </c:layout>
              <c:tx>
                <c:rich>
                  <a:bodyPr/>
                  <a:lstStyle/>
                  <a:p>
                    <a:r>
                      <a:rPr lang="ru-RU" sz="899"/>
                      <a:t>54,9%</a:t>
                    </a:r>
                  </a:p>
                </c:rich>
              </c:tx>
              <c:dLblPos val="bestFit"/>
            </c:dLbl>
            <c:dLbl>
              <c:idx val="1"/>
              <c:layout>
                <c:manualLayout>
                  <c:x val="-7.927739501312342E-2"/>
                  <c:y val="0.14015674716638091"/>
                </c:manualLayout>
              </c:layout>
              <c:tx>
                <c:rich>
                  <a:bodyPr/>
                  <a:lstStyle/>
                  <a:p>
                    <a:r>
                      <a:rPr lang="en-US"/>
                      <a:t>3</a:t>
                    </a:r>
                    <a:r>
                      <a:rPr lang="ru-RU"/>
                      <a:t>6,6%</a:t>
                    </a:r>
                    <a:endParaRPr lang="en-US"/>
                  </a:p>
                </c:rich>
              </c:tx>
              <c:dLblPos val="bestFit"/>
              <c:showVal val="1"/>
            </c:dLbl>
            <c:dLbl>
              <c:idx val="2"/>
              <c:layout>
                <c:manualLayout>
                  <c:x val="-0.11260694276196283"/>
                  <c:y val="-9.331464456995274E-2"/>
                </c:manualLayout>
              </c:layout>
              <c:tx>
                <c:rich>
                  <a:bodyPr/>
                  <a:lstStyle/>
                  <a:p>
                    <a:r>
                      <a:rPr lang="ru-RU" sz="899"/>
                      <a:t>8,5%</a:t>
                    </a:r>
                  </a:p>
                </c:rich>
              </c:tx>
              <c:dLblPos val="bestFit"/>
            </c:dLbl>
            <c:dLbl>
              <c:idx val="3"/>
              <c:delete val="1"/>
            </c:dLbl>
            <c:spPr>
              <a:noFill/>
              <a:ln w="25297">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showLeaderLines val="1"/>
          </c:dLbls>
          <c:cat>
            <c:strRef>
              <c:f>Sheet1!$B$1:$E$1</c:f>
              <c:strCache>
                <c:ptCount val="3"/>
                <c:pt idx="0">
                  <c:v>Сельскохозяйственные организацииние государства</c:v>
                </c:pt>
                <c:pt idx="1">
                  <c:v>Хозяйства населения</c:v>
                </c:pt>
                <c:pt idx="2">
                  <c:v>Крестьянские (фермерские) хозяйства и арендаторы</c:v>
                </c:pt>
              </c:strCache>
            </c:strRef>
          </c:cat>
          <c:val>
            <c:numRef>
              <c:f>Sheet1!$B$2:$E$2</c:f>
              <c:numCache>
                <c:formatCode>0.0%</c:formatCode>
                <c:ptCount val="4"/>
                <c:pt idx="0">
                  <c:v>0.54900000000000004</c:v>
                </c:pt>
                <c:pt idx="1">
                  <c:v>0.36600000000000038</c:v>
                </c:pt>
                <c:pt idx="2">
                  <c:v>8.5000000000000006E-2</c:v>
                </c:pt>
              </c:numCache>
            </c:numRef>
          </c:val>
        </c:ser>
      </c:pie3DChart>
      <c:spPr>
        <a:solidFill>
          <a:srgbClr val="FFFFFF"/>
        </a:solidFill>
        <a:ln w="12649">
          <a:solidFill>
            <a:srgbClr val="FFFFFF"/>
          </a:solidFill>
          <a:prstDash val="solid"/>
        </a:ln>
      </c:spPr>
    </c:plotArea>
    <c:plotVisOnly val="1"/>
    <c:dispBlanksAs val="zero"/>
  </c:chart>
  <c:spPr>
    <a:noFill/>
    <a:ln>
      <a:noFill/>
    </a:ln>
  </c:spPr>
  <c:txPr>
    <a:bodyPr/>
    <a:lstStyle/>
    <a:p>
      <a:pPr>
        <a:defRPr sz="794" b="1" i="0" u="none" strike="noStrike" baseline="0">
          <a:solidFill>
            <a:srgbClr val="000000"/>
          </a:solidFill>
          <a:latin typeface="Times New Roman"/>
          <a:ea typeface="Times New Roman"/>
          <a:cs typeface="Times New Roman"/>
        </a:defRPr>
      </a:pPr>
      <a:endParaRPr lang="ru-RU"/>
    </a:p>
  </c:txPr>
  <c:externalData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Times New Roman"/>
                <a:ea typeface="Times New Roman"/>
                <a:cs typeface="Times New Roman"/>
              </a:defRPr>
            </a:pPr>
            <a:r>
              <a:rPr lang="ru-RU" sz="1000"/>
              <a:t>2017 год</a:t>
            </a:r>
          </a:p>
        </c:rich>
      </c:tx>
      <c:layout>
        <c:manualLayout>
          <c:xMode val="edge"/>
          <c:yMode val="edge"/>
          <c:x val="0.54075165855524365"/>
          <c:y val="3.407401299968401E-2"/>
        </c:manualLayout>
      </c:layout>
      <c:spPr>
        <a:noFill/>
        <a:ln w="25313">
          <a:noFill/>
        </a:ln>
      </c:spPr>
    </c:title>
    <c:view3D>
      <c:perspective val="0"/>
    </c:view3D>
    <c:plotArea>
      <c:layout>
        <c:manualLayout>
          <c:layoutTarget val="inner"/>
          <c:xMode val="edge"/>
          <c:yMode val="edge"/>
          <c:x val="0.12694410372070344"/>
          <c:y val="0.32571422682112378"/>
          <c:w val="0.8177788549044458"/>
          <c:h val="0.46422407277624428"/>
        </c:manualLayout>
      </c:layout>
      <c:pie3DChart>
        <c:varyColors val="1"/>
        <c:ser>
          <c:idx val="0"/>
          <c:order val="0"/>
          <c:tx>
            <c:strRef>
              <c:f>Sheet1!$A$2</c:f>
              <c:strCache>
                <c:ptCount val="1"/>
                <c:pt idx="0">
                  <c:v>Восток</c:v>
                </c:pt>
              </c:strCache>
            </c:strRef>
          </c:tx>
          <c:spPr>
            <a:solidFill>
              <a:srgbClr val="9999FF"/>
            </a:solidFill>
            <a:ln w="12657">
              <a:solidFill>
                <a:srgbClr val="000000"/>
              </a:solidFill>
              <a:prstDash val="solid"/>
            </a:ln>
          </c:spPr>
          <c:explosion val="20"/>
          <c:dPt>
            <c:idx val="0"/>
            <c:spPr>
              <a:pattFill prst="wdUpDiag">
                <a:fgClr>
                  <a:srgbClr val="00FFFF"/>
                </a:fgClr>
                <a:bgClr>
                  <a:srgbClr val="FFFFFF"/>
                </a:bgClr>
              </a:pattFill>
              <a:ln w="12657">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2657">
                <a:solidFill>
                  <a:srgbClr val="000000"/>
                </a:solidFill>
                <a:prstDash val="solid"/>
              </a:ln>
            </c:spPr>
          </c:dPt>
          <c:dPt>
            <c:idx val="2"/>
            <c:spPr>
              <a:solidFill>
                <a:srgbClr val="800000"/>
              </a:solidFill>
              <a:ln w="12657">
                <a:solidFill>
                  <a:srgbClr val="000000"/>
                </a:solidFill>
                <a:prstDash val="solid"/>
              </a:ln>
            </c:spPr>
          </c:dPt>
          <c:dLbls>
            <c:dLbl>
              <c:idx val="0"/>
              <c:layout>
                <c:manualLayout>
                  <c:x val="6.4195650166846601E-3"/>
                  <c:y val="0.17438059116955917"/>
                </c:manualLayout>
              </c:layout>
              <c:tx>
                <c:rich>
                  <a:bodyPr/>
                  <a:lstStyle/>
                  <a:p>
                    <a:pPr>
                      <a:defRPr sz="900"/>
                    </a:pPr>
                    <a:r>
                      <a:rPr lang="ru-RU"/>
                      <a:t>54,8</a:t>
                    </a:r>
                    <a:r>
                      <a:rPr lang="en-US"/>
                      <a:t>%</a:t>
                    </a:r>
                  </a:p>
                </c:rich>
              </c:tx>
              <c:spPr/>
              <c:dLblPos val="bestFit"/>
              <c:showVal val="1"/>
            </c:dLbl>
            <c:dLbl>
              <c:idx val="1"/>
              <c:layout>
                <c:manualLayout>
                  <c:x val="-7.4320091269999014E-2"/>
                  <c:y val="0.13836624479532197"/>
                </c:manualLayout>
              </c:layout>
              <c:tx>
                <c:rich>
                  <a:bodyPr/>
                  <a:lstStyle/>
                  <a:p>
                    <a:pPr>
                      <a:defRPr sz="900"/>
                    </a:pPr>
                    <a:r>
                      <a:rPr lang="ru-RU"/>
                      <a:t>35,3</a:t>
                    </a:r>
                    <a:r>
                      <a:rPr lang="en-US"/>
                      <a:t>%</a:t>
                    </a:r>
                  </a:p>
                </c:rich>
              </c:tx>
              <c:spPr/>
              <c:dLblPos val="bestFit"/>
              <c:showVal val="1"/>
            </c:dLbl>
            <c:dLbl>
              <c:idx val="2"/>
              <c:layout>
                <c:manualLayout>
                  <c:x val="-0.12441934079848059"/>
                  <c:y val="-7.0306165917742122E-2"/>
                </c:manualLayout>
              </c:layout>
              <c:tx>
                <c:rich>
                  <a:bodyPr/>
                  <a:lstStyle/>
                  <a:p>
                    <a:pPr>
                      <a:defRPr sz="900"/>
                    </a:pPr>
                    <a:r>
                      <a:rPr lang="ru-RU"/>
                      <a:t>9,9</a:t>
                    </a:r>
                    <a:r>
                      <a:rPr lang="en-US"/>
                      <a:t>%</a:t>
                    </a:r>
                  </a:p>
                </c:rich>
              </c:tx>
              <c:spPr/>
              <c:dLblPos val="bestFit"/>
              <c:showVal val="1"/>
            </c:dLbl>
            <c:dLblPos val="inEnd"/>
            <c:showVal val="1"/>
            <c:showLeaderLines val="1"/>
          </c:dLbls>
          <c:cat>
            <c:strRef>
              <c:f>Sheet1!$B$1:$D$1</c:f>
              <c:strCache>
                <c:ptCount val="3"/>
                <c:pt idx="0">
                  <c:v>Сельскохозяйственные организации</c:v>
                </c:pt>
                <c:pt idx="1">
                  <c:v>Хозяйства населения</c:v>
                </c:pt>
                <c:pt idx="2">
                  <c:v>Крестьянские (фермерские) хозяйства</c:v>
                </c:pt>
              </c:strCache>
            </c:strRef>
          </c:cat>
          <c:val>
            <c:numRef>
              <c:f>Sheet1!$B$2:$D$2</c:f>
              <c:numCache>
                <c:formatCode>0.0%</c:formatCode>
                <c:ptCount val="3"/>
                <c:pt idx="0">
                  <c:v>0.54800000000000004</c:v>
                </c:pt>
                <c:pt idx="1">
                  <c:v>0.35300000000000031</c:v>
                </c:pt>
                <c:pt idx="2">
                  <c:v>9.9000000000000046E-2</c:v>
                </c:pt>
              </c:numCache>
            </c:numRef>
          </c:val>
        </c:ser>
      </c:pie3DChart>
      <c:spPr>
        <a:solidFill>
          <a:srgbClr val="FFFFFF"/>
        </a:solidFill>
        <a:ln w="12657">
          <a:solidFill>
            <a:srgbClr val="FFFFFF"/>
          </a:solidFill>
          <a:prstDash val="solid"/>
        </a:ln>
      </c:spPr>
    </c:plotArea>
    <c:plotVisOnly val="1"/>
    <c:dispBlanksAs val="zero"/>
  </c:chart>
  <c:spPr>
    <a:noFill/>
    <a:ln>
      <a:noFill/>
    </a:ln>
  </c:spPr>
  <c:txPr>
    <a:bodyPr/>
    <a:lstStyle/>
    <a:p>
      <a:pPr>
        <a:defRPr sz="870" b="1" i="0" u="none" strike="noStrike" baseline="0">
          <a:solidFill>
            <a:srgbClr val="000000"/>
          </a:solidFill>
          <a:latin typeface="Times New Roman"/>
          <a:ea typeface="Times New Roman"/>
          <a:cs typeface="Times New Roman"/>
        </a:defRPr>
      </a:pPr>
      <a:endParaRPr lang="ru-RU"/>
    </a:p>
  </c:txPr>
  <c:externalData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98">
                <a:latin typeface="Times New Roman" pitchFamily="18" charset="0"/>
                <a:cs typeface="Times New Roman" pitchFamily="18" charset="0"/>
              </a:defRPr>
            </a:pPr>
            <a:r>
              <a:rPr lang="ru-RU" sz="1050">
                <a:latin typeface="Times New Roman" pitchFamily="18" charset="0"/>
                <a:cs typeface="Times New Roman" pitchFamily="18" charset="0"/>
              </a:rPr>
              <a:t>Структура поголовья основных видов скота и птицы по всем категориям хозяйств (по состоянию на 1 января 2018 года)*, в % </a:t>
            </a:r>
          </a:p>
        </c:rich>
      </c:tx>
      <c:layout>
        <c:manualLayout>
          <c:xMode val="edge"/>
          <c:yMode val="edge"/>
          <c:x val="0.16043844519435194"/>
          <c:y val="4.4940746043108434E-3"/>
        </c:manualLayout>
      </c:layout>
      <c:spPr>
        <a:noFill/>
      </c:spPr>
    </c:title>
    <c:plotArea>
      <c:layout>
        <c:manualLayout>
          <c:layoutTarget val="inner"/>
          <c:xMode val="edge"/>
          <c:yMode val="edge"/>
          <c:x val="0.17356163812856726"/>
          <c:y val="0.26871391076115475"/>
          <c:w val="0.78804599425071864"/>
          <c:h val="0.44464775236428777"/>
        </c:manualLayout>
      </c:layout>
      <c:barChart>
        <c:barDir val="col"/>
        <c:grouping val="percentStacked"/>
        <c:ser>
          <c:idx val="0"/>
          <c:order val="0"/>
          <c:tx>
            <c:strRef>
              <c:f>Лист1!$B$1</c:f>
              <c:strCache>
                <c:ptCount val="1"/>
                <c:pt idx="0">
                  <c:v>Сельскохозяйственные организации</c:v>
                </c:pt>
              </c:strCache>
            </c:strRef>
          </c:tx>
          <c:spPr>
            <a:solidFill>
              <a:sysClr val="window" lastClr="FFFFFF">
                <a:lumMod val="50000"/>
              </a:sysClr>
            </a:solidFill>
            <a:ln>
              <a:solidFill>
                <a:sysClr val="windowText" lastClr="000000"/>
              </a:solidFill>
            </a:ln>
          </c:spPr>
          <c:dLbls>
            <c:dLbl>
              <c:idx val="0"/>
              <c:layout>
                <c:manualLayout>
                  <c:x val="5.5455568053993439E-4"/>
                  <c:y val="-6.2170735852263934E-3"/>
                </c:manualLayout>
              </c:layout>
              <c:tx>
                <c:rich>
                  <a:bodyPr/>
                  <a:lstStyle/>
                  <a:p>
                    <a:r>
                      <a:rPr lang="ru-RU"/>
                      <a:t>39,0%</a:t>
                    </a:r>
                    <a:endParaRPr lang="en-US"/>
                  </a:p>
                </c:rich>
              </c:tx>
              <c:dLblPos val="ctr"/>
              <c:showVal val="1"/>
            </c:dLbl>
            <c:dLbl>
              <c:idx val="1"/>
              <c:layout>
                <c:manualLayout>
                  <c:x val="2.4533563611152391E-3"/>
                  <c:y val="-1.0050410365370995E-2"/>
                </c:manualLayout>
              </c:layout>
              <c:tx>
                <c:rich>
                  <a:bodyPr/>
                  <a:lstStyle/>
                  <a:p>
                    <a:r>
                      <a:rPr lang="en-US"/>
                      <a:t>5</a:t>
                    </a:r>
                    <a:r>
                      <a:rPr lang="ru-RU"/>
                      <a:t>9,6%</a:t>
                    </a:r>
                    <a:endParaRPr lang="en-US"/>
                  </a:p>
                </c:rich>
              </c:tx>
              <c:dLblPos val="ctr"/>
              <c:showVal val="1"/>
            </c:dLbl>
            <c:dLbl>
              <c:idx val="2"/>
              <c:layout>
                <c:manualLayout>
                  <c:x val="2.1885678205318692E-3"/>
                  <c:y val="5.2285131025288833E-4"/>
                </c:manualLayout>
              </c:layout>
              <c:tx>
                <c:rich>
                  <a:bodyPr/>
                  <a:lstStyle/>
                  <a:p>
                    <a:r>
                      <a:rPr lang="ru-RU"/>
                      <a:t>35,8%</a:t>
                    </a:r>
                    <a:endParaRPr lang="en-US"/>
                  </a:p>
                </c:rich>
              </c:tx>
              <c:dLblPos val="ctr"/>
              <c:showVal val="1"/>
            </c:dLbl>
            <c:dLbl>
              <c:idx val="3"/>
              <c:layout>
                <c:manualLayout>
                  <c:x val="2.4822958450948346E-3"/>
                  <c:y val="-5.5863850352041401E-3"/>
                </c:manualLayout>
              </c:layout>
              <c:tx>
                <c:rich>
                  <a:bodyPr/>
                  <a:lstStyle/>
                  <a:p>
                    <a:r>
                      <a:rPr lang="ru-RU"/>
                      <a:t>70,9%</a:t>
                    </a:r>
                    <a:endParaRPr lang="en-US"/>
                  </a:p>
                </c:rich>
              </c:tx>
              <c:dLblPos val="ctr"/>
              <c:showVal val="1"/>
            </c:dLbl>
            <c:txPr>
              <a:bodyPr/>
              <a:lstStyle/>
              <a:p>
                <a:pPr>
                  <a:defRPr sz="898" b="1">
                    <a:latin typeface="Times New Roman" pitchFamily="18" charset="0"/>
                    <a:cs typeface="Times New Roman" pitchFamily="18" charset="0"/>
                  </a:defRPr>
                </a:pPr>
                <a:endParaRPr lang="ru-RU"/>
              </a:p>
            </c:txPr>
            <c:showVal val="1"/>
          </c:dLbls>
          <c:cat>
            <c:strRef>
              <c:f>Лист1!$A$2:$A$5</c:f>
              <c:strCache>
                <c:ptCount val="4"/>
                <c:pt idx="0">
                  <c:v>КРС</c:v>
                </c:pt>
                <c:pt idx="1">
                  <c:v>Свиньи</c:v>
                </c:pt>
                <c:pt idx="2">
                  <c:v>Овцы и козы</c:v>
                </c:pt>
                <c:pt idx="3">
                  <c:v>Птица</c:v>
                </c:pt>
              </c:strCache>
            </c:strRef>
          </c:cat>
          <c:val>
            <c:numRef>
              <c:f>Лист1!$B$2:$B$5</c:f>
              <c:numCache>
                <c:formatCode>General</c:formatCode>
                <c:ptCount val="4"/>
                <c:pt idx="0" formatCode="0.0">
                  <c:v>39</c:v>
                </c:pt>
                <c:pt idx="1">
                  <c:v>59.6</c:v>
                </c:pt>
                <c:pt idx="2" formatCode="0.0">
                  <c:v>35.800000000000004</c:v>
                </c:pt>
                <c:pt idx="3">
                  <c:v>70.900000000000006</c:v>
                </c:pt>
              </c:numCache>
            </c:numRef>
          </c:val>
        </c:ser>
        <c:ser>
          <c:idx val="1"/>
          <c:order val="1"/>
          <c:tx>
            <c:strRef>
              <c:f>Лист1!$C$1</c:f>
              <c:strCache>
                <c:ptCount val="1"/>
                <c:pt idx="0">
                  <c:v>Хозяйства населения</c:v>
                </c:pt>
              </c:strCache>
            </c:strRef>
          </c:tx>
          <c:spPr>
            <a:solidFill>
              <a:srgbClr val="C0504D">
                <a:lumMod val="40000"/>
                <a:lumOff val="60000"/>
              </a:srgbClr>
            </a:solidFill>
            <a:ln>
              <a:solidFill>
                <a:sysClr val="windowText" lastClr="000000"/>
              </a:solidFill>
            </a:ln>
          </c:spPr>
          <c:dLbls>
            <c:dLbl>
              <c:idx val="0"/>
              <c:layout>
                <c:manualLayout>
                  <c:x val="2.1042254741742189E-3"/>
                  <c:y val="-1.4756488772236804E-3"/>
                </c:manualLayout>
              </c:layout>
              <c:tx>
                <c:rich>
                  <a:bodyPr/>
                  <a:lstStyle/>
                  <a:p>
                    <a:r>
                      <a:rPr lang="ru-RU"/>
                      <a:t>61,0%</a:t>
                    </a:r>
                    <a:endParaRPr lang="en-US"/>
                  </a:p>
                </c:rich>
              </c:tx>
              <c:dLblPos val="ctr"/>
              <c:showVal val="1"/>
            </c:dLbl>
            <c:dLbl>
              <c:idx val="1"/>
              <c:layout>
                <c:manualLayout>
                  <c:x val="5.9022619224485947E-3"/>
                  <c:y val="3.3454151564388268E-3"/>
                </c:manualLayout>
              </c:layout>
              <c:tx>
                <c:rich>
                  <a:bodyPr/>
                  <a:lstStyle/>
                  <a:p>
                    <a:r>
                      <a:rPr lang="en-US"/>
                      <a:t>4</a:t>
                    </a:r>
                    <a:r>
                      <a:rPr lang="ru-RU"/>
                      <a:t>0,4%</a:t>
                    </a:r>
                    <a:endParaRPr lang="en-US"/>
                  </a:p>
                </c:rich>
              </c:tx>
              <c:dLblPos val="ctr"/>
              <c:showVal val="1"/>
            </c:dLbl>
            <c:dLbl>
              <c:idx val="2"/>
              <c:layout>
                <c:manualLayout>
                  <c:x val="3.888723815183581E-3"/>
                  <c:y val="7.9752530933638651E-3"/>
                </c:manualLayout>
              </c:layout>
              <c:tx>
                <c:rich>
                  <a:bodyPr/>
                  <a:lstStyle/>
                  <a:p>
                    <a:r>
                      <a:rPr lang="ru-RU"/>
                      <a:t>64,2%</a:t>
                    </a:r>
                    <a:endParaRPr lang="en-US"/>
                  </a:p>
                </c:rich>
              </c:tx>
              <c:dLblPos val="ctr"/>
              <c:showVal val="1"/>
            </c:dLbl>
            <c:dLbl>
              <c:idx val="3"/>
              <c:layout>
                <c:manualLayout>
                  <c:x val="1.8290682414698221E-3"/>
                  <c:y val="1.6810398700162581E-2"/>
                </c:manualLayout>
              </c:layout>
              <c:tx>
                <c:rich>
                  <a:bodyPr/>
                  <a:lstStyle/>
                  <a:p>
                    <a:r>
                      <a:rPr lang="ru-RU"/>
                      <a:t>29,1%</a:t>
                    </a:r>
                    <a:endParaRPr lang="en-US"/>
                  </a:p>
                </c:rich>
              </c:tx>
              <c:dLblPos val="ctr"/>
              <c:showVal val="1"/>
            </c:dLbl>
            <c:txPr>
              <a:bodyPr/>
              <a:lstStyle/>
              <a:p>
                <a:pPr>
                  <a:defRPr sz="898" b="1">
                    <a:latin typeface="Times New Roman" pitchFamily="18" charset="0"/>
                    <a:cs typeface="Times New Roman" pitchFamily="18" charset="0"/>
                  </a:defRPr>
                </a:pPr>
                <a:endParaRPr lang="ru-RU"/>
              </a:p>
            </c:txPr>
            <c:showVal val="1"/>
          </c:dLbls>
          <c:cat>
            <c:strRef>
              <c:f>Лист1!$A$2:$A$5</c:f>
              <c:strCache>
                <c:ptCount val="4"/>
                <c:pt idx="0">
                  <c:v>КРС</c:v>
                </c:pt>
                <c:pt idx="1">
                  <c:v>Свиньи</c:v>
                </c:pt>
                <c:pt idx="2">
                  <c:v>Овцы и козы</c:v>
                </c:pt>
                <c:pt idx="3">
                  <c:v>Птица</c:v>
                </c:pt>
              </c:strCache>
            </c:strRef>
          </c:cat>
          <c:val>
            <c:numRef>
              <c:f>Лист1!$C$2:$C$5</c:f>
              <c:numCache>
                <c:formatCode>0.0</c:formatCode>
                <c:ptCount val="4"/>
                <c:pt idx="0">
                  <c:v>61</c:v>
                </c:pt>
                <c:pt idx="1">
                  <c:v>40.4</c:v>
                </c:pt>
                <c:pt idx="2">
                  <c:v>64.2</c:v>
                </c:pt>
                <c:pt idx="3" formatCode="General">
                  <c:v>29.1</c:v>
                </c:pt>
              </c:numCache>
            </c:numRef>
          </c:val>
        </c:ser>
        <c:overlap val="100"/>
        <c:axId val="65335680"/>
        <c:axId val="65337216"/>
      </c:barChart>
      <c:catAx>
        <c:axId val="65335680"/>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65337216"/>
        <c:crosses val="autoZero"/>
        <c:auto val="1"/>
        <c:lblAlgn val="ctr"/>
        <c:lblOffset val="100"/>
      </c:catAx>
      <c:valAx>
        <c:axId val="65337216"/>
        <c:scaling>
          <c:orientation val="minMax"/>
        </c:scaling>
        <c:axPos val="l"/>
        <c:title>
          <c:tx>
            <c:rich>
              <a:bodyPr rot="0" vert="horz"/>
              <a:lstStyle/>
              <a:p>
                <a:pPr>
                  <a:defRPr b="0" i="1"/>
                </a:pPr>
                <a:r>
                  <a:rPr lang="ru-RU" sz="800" b="0" i="1">
                    <a:latin typeface="Times New Roman" pitchFamily="18" charset="0"/>
                    <a:cs typeface="Times New Roman" pitchFamily="18" charset="0"/>
                  </a:rPr>
                  <a:t>* - по данным ветеринарной</a:t>
                </a:r>
                <a:r>
                  <a:rPr lang="ru-RU" sz="800" b="0" i="1" baseline="0">
                    <a:latin typeface="Times New Roman" pitchFamily="18" charset="0"/>
                    <a:cs typeface="Times New Roman" pitchFamily="18" charset="0"/>
                  </a:rPr>
                  <a:t> службы</a:t>
                </a:r>
                <a:endParaRPr lang="ru-RU" sz="800" b="0" i="1"/>
              </a:p>
            </c:rich>
          </c:tx>
          <c:layout>
            <c:manualLayout>
              <c:xMode val="edge"/>
              <c:yMode val="edge"/>
              <c:x val="3.5978835978835992E-2"/>
              <c:y val="0.77491403462208153"/>
            </c:manualLayout>
          </c:layout>
        </c:title>
        <c:numFmt formatCode="0%" sourceLinked="1"/>
        <c:tickLblPos val="nextTo"/>
        <c:txPr>
          <a:bodyPr/>
          <a:lstStyle/>
          <a:p>
            <a:pPr>
              <a:defRPr sz="898" b="1">
                <a:latin typeface="Times New Roman" pitchFamily="18" charset="0"/>
                <a:cs typeface="Times New Roman" pitchFamily="18" charset="0"/>
              </a:defRPr>
            </a:pPr>
            <a:endParaRPr lang="ru-RU"/>
          </a:p>
        </c:txPr>
        <c:crossAx val="65335680"/>
        <c:crosses val="autoZero"/>
        <c:crossBetween val="between"/>
      </c:valAx>
    </c:plotArea>
    <c:legend>
      <c:legendPos val="r"/>
      <c:layout>
        <c:manualLayout>
          <c:xMode val="edge"/>
          <c:yMode val="edge"/>
          <c:x val="0.19380594092405115"/>
          <c:y val="0.85509274823793058"/>
          <c:w val="0.67754443194601865"/>
          <c:h val="0.13922925499697344"/>
        </c:manualLayout>
      </c:layout>
      <c:txPr>
        <a:bodyPr/>
        <a:lstStyle/>
        <a:p>
          <a:pPr>
            <a:defRPr sz="900" b="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198"/>
            </a:pPr>
            <a:r>
              <a:rPr lang="ru-RU" sz="1100"/>
              <a:t>Производство продукции животноводства </a:t>
            </a:r>
          </a:p>
          <a:p>
            <a:pPr>
              <a:defRPr sz="1198"/>
            </a:pPr>
            <a:r>
              <a:rPr lang="ru-RU" sz="1100"/>
              <a:t>(без  учёта хозяйств населения) за 2015-2016 годы</a:t>
            </a:r>
          </a:p>
        </c:rich>
      </c:tx>
      <c:layout>
        <c:manualLayout>
          <c:xMode val="edge"/>
          <c:yMode val="edge"/>
          <c:x val="0.24698136613521124"/>
          <c:y val="0"/>
        </c:manualLayout>
      </c:layout>
      <c:spPr>
        <a:noFill/>
      </c:spPr>
    </c:title>
    <c:plotArea>
      <c:layout>
        <c:manualLayout>
          <c:layoutTarget val="inner"/>
          <c:xMode val="edge"/>
          <c:yMode val="edge"/>
          <c:x val="0.11879808127432349"/>
          <c:y val="0.15177113613486576"/>
          <c:w val="0.84985395634323468"/>
          <c:h val="0.37642190075077903"/>
        </c:manualLayout>
      </c:layout>
      <c:barChart>
        <c:barDir val="col"/>
        <c:grouping val="clustered"/>
        <c:ser>
          <c:idx val="0"/>
          <c:order val="0"/>
          <c:tx>
            <c:strRef>
              <c:f>Лист1!$B$1</c:f>
              <c:strCache>
                <c:ptCount val="1"/>
                <c:pt idx="0">
                  <c:v>2016 год</c:v>
                </c:pt>
              </c:strCache>
            </c:strRef>
          </c:tx>
          <c:spPr>
            <a:solidFill>
              <a:sysClr val="window" lastClr="FFFFFF">
                <a:lumMod val="85000"/>
              </a:sysClr>
            </a:solidFill>
            <a:ln>
              <a:solidFill>
                <a:sysClr val="windowText" lastClr="000000"/>
              </a:solidFill>
            </a:ln>
          </c:spPr>
          <c:dLbls>
            <c:dLbl>
              <c:idx val="0"/>
              <c:layout>
                <c:manualLayout>
                  <c:x val="0"/>
                  <c:y val="1.4084507042253521E-2"/>
                </c:manualLayout>
              </c:layout>
              <c:tx>
                <c:rich>
                  <a:bodyPr/>
                  <a:lstStyle/>
                  <a:p>
                    <a:r>
                      <a:rPr lang="ru-RU" b="0"/>
                      <a:t>134,8*</a:t>
                    </a:r>
                    <a:endParaRPr lang="en-US" b="0"/>
                  </a:p>
                </c:rich>
              </c:tx>
              <c:showVal val="1"/>
            </c:dLbl>
            <c:dLbl>
              <c:idx val="1"/>
              <c:layout>
                <c:manualLayout>
                  <c:x val="2.0898641588296802E-3"/>
                  <c:y val="1.4084507042253521E-2"/>
                </c:manualLayout>
              </c:layout>
              <c:tx>
                <c:rich>
                  <a:bodyPr/>
                  <a:lstStyle/>
                  <a:p>
                    <a:r>
                      <a:rPr lang="ru-RU" b="0"/>
                      <a:t>91,8*</a:t>
                    </a:r>
                    <a:endParaRPr lang="en-US" b="0"/>
                  </a:p>
                </c:rich>
              </c:tx>
              <c:showVal val="1"/>
            </c:dLbl>
            <c:dLbl>
              <c:idx val="2"/>
              <c:layout>
                <c:manualLayout>
                  <c:x val="2.0898641588296802E-3"/>
                  <c:y val="1.8779342723004692E-2"/>
                </c:manualLayout>
              </c:layout>
              <c:tx>
                <c:rich>
                  <a:bodyPr/>
                  <a:lstStyle/>
                  <a:p>
                    <a:r>
                      <a:rPr lang="ru-RU" b="0"/>
                      <a:t>74,0*</a:t>
                    </a:r>
                    <a:endParaRPr lang="en-US" b="0"/>
                  </a:p>
                </c:rich>
              </c:tx>
              <c:showVal val="1"/>
            </c:dLbl>
            <c:txPr>
              <a:bodyPr/>
              <a:lstStyle/>
              <a:p>
                <a:pPr>
                  <a:defRPr b="0"/>
                </a:pPr>
                <a:endParaRPr lang="ru-RU"/>
              </a:p>
            </c:txPr>
            <c:showVal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Лист1!$B$2:$B$4</c:f>
              <c:numCache>
                <c:formatCode>#,##0</c:formatCode>
                <c:ptCount val="3"/>
                <c:pt idx="0">
                  <c:v>6816</c:v>
                </c:pt>
                <c:pt idx="1">
                  <c:v>7640</c:v>
                </c:pt>
                <c:pt idx="2">
                  <c:v>7318</c:v>
                </c:pt>
              </c:numCache>
            </c:numRef>
          </c:val>
        </c:ser>
        <c:ser>
          <c:idx val="1"/>
          <c:order val="1"/>
          <c:tx>
            <c:strRef>
              <c:f>Лист1!$C$1</c:f>
              <c:strCache>
                <c:ptCount val="1"/>
                <c:pt idx="0">
                  <c:v>2017 год</c:v>
                </c:pt>
              </c:strCache>
            </c:strRef>
          </c:tx>
          <c:spPr>
            <a:solidFill>
              <a:sysClr val="window" lastClr="FFFFFF">
                <a:lumMod val="65000"/>
              </a:sysClr>
            </a:solidFill>
            <a:ln>
              <a:solidFill>
                <a:sysClr val="windowText" lastClr="000000"/>
              </a:solidFill>
            </a:ln>
          </c:spPr>
          <c:dLbls>
            <c:dLbl>
              <c:idx val="0"/>
              <c:layout>
                <c:manualLayout>
                  <c:x val="2.5081661030615801E-3"/>
                  <c:y val="1.8794499279139443E-2"/>
                </c:manualLayout>
              </c:layout>
              <c:tx>
                <c:rich>
                  <a:bodyPr/>
                  <a:lstStyle/>
                  <a:p>
                    <a:r>
                      <a:rPr lang="ru-RU" sz="900" b="1">
                        <a:latin typeface="Times New Roman" pitchFamily="18" charset="0"/>
                        <a:cs typeface="Times New Roman" pitchFamily="18" charset="0"/>
                      </a:rPr>
                      <a:t>101,4*</a:t>
                    </a:r>
                    <a:endParaRPr lang="en-US" sz="900" b="1">
                      <a:latin typeface="Times New Roman" pitchFamily="18" charset="0"/>
                      <a:cs typeface="Times New Roman" pitchFamily="18" charset="0"/>
                    </a:endParaRPr>
                  </a:p>
                </c:rich>
              </c:tx>
              <c:dLblPos val="outEnd"/>
            </c:dLbl>
            <c:dLbl>
              <c:idx val="1"/>
              <c:layout>
                <c:manualLayout>
                  <c:x val="2.2720279087371309E-3"/>
                  <c:y val="2.2617648146094557E-2"/>
                </c:manualLayout>
              </c:layout>
              <c:tx>
                <c:rich>
                  <a:bodyPr/>
                  <a:lstStyle/>
                  <a:p>
                    <a:r>
                      <a:rPr lang="ru-RU" sz="900" b="1">
                        <a:latin typeface="Times New Roman" pitchFamily="18" charset="0"/>
                        <a:cs typeface="Times New Roman" pitchFamily="18" charset="0"/>
                      </a:rPr>
                      <a:t>109,3*</a:t>
                    </a:r>
                    <a:endParaRPr lang="en-US" sz="900" b="1">
                      <a:latin typeface="Times New Roman" pitchFamily="18" charset="0"/>
                      <a:cs typeface="Times New Roman" pitchFamily="18" charset="0"/>
                    </a:endParaRPr>
                  </a:p>
                </c:rich>
              </c:tx>
              <c:dLblPos val="outEnd"/>
            </c:dLbl>
            <c:dLbl>
              <c:idx val="2"/>
              <c:layout>
                <c:manualLayout>
                  <c:x val="6.7452750965729027E-3"/>
                  <c:y val="2.2005090272807056E-2"/>
                </c:manualLayout>
              </c:layout>
              <c:tx>
                <c:rich>
                  <a:bodyPr/>
                  <a:lstStyle/>
                  <a:p>
                    <a:r>
                      <a:rPr lang="ru-RU" sz="900" b="1">
                        <a:latin typeface="Times New Roman" pitchFamily="18" charset="0"/>
                        <a:cs typeface="Times New Roman" pitchFamily="18" charset="0"/>
                      </a:rPr>
                      <a:t>69,5**</a:t>
                    </a:r>
                    <a:endParaRPr lang="en-US" sz="900" b="1">
                      <a:latin typeface="Times New Roman" pitchFamily="18" charset="0"/>
                      <a:cs typeface="Times New Roman" pitchFamily="18" charset="0"/>
                    </a:endParaRPr>
                  </a:p>
                </c:rich>
              </c:tx>
              <c:dLblPos val="outEnd"/>
            </c:dLbl>
            <c:txPr>
              <a:bodyPr/>
              <a:lstStyle/>
              <a:p>
                <a:pPr>
                  <a:defRPr sz="900"/>
                </a:pPr>
                <a:endParaRPr lang="ru-RU"/>
              </a:p>
            </c:txPr>
            <c:dLblPos val="outEnd"/>
            <c:showVal val="1"/>
          </c:dLbls>
          <c:cat>
            <c:strRef>
              <c:f>Лист1!$A$2:$A$4</c:f>
              <c:strCache>
                <c:ptCount val="3"/>
                <c:pt idx="0">
                  <c:v>Реализация скота и птицы на убой (в живом весе), тонн</c:v>
                </c:pt>
                <c:pt idx="1">
                  <c:v>Производство молока коровьего, тонн</c:v>
                </c:pt>
                <c:pt idx="2">
                  <c:v>Производство яиц куриных, тыс. шт.</c:v>
                </c:pt>
              </c:strCache>
            </c:strRef>
          </c:cat>
          <c:val>
            <c:numRef>
              <c:f>Лист1!$C$2:$C$4</c:f>
              <c:numCache>
                <c:formatCode>#,##0</c:formatCode>
                <c:ptCount val="3"/>
                <c:pt idx="0">
                  <c:v>6909</c:v>
                </c:pt>
                <c:pt idx="1">
                  <c:v>8349</c:v>
                </c:pt>
                <c:pt idx="2">
                  <c:v>5084</c:v>
                </c:pt>
              </c:numCache>
            </c:numRef>
          </c:val>
        </c:ser>
        <c:dLbls>
          <c:showVal val="1"/>
        </c:dLbls>
        <c:axId val="65441152"/>
        <c:axId val="65451136"/>
      </c:barChart>
      <c:catAx>
        <c:axId val="65441152"/>
        <c:scaling>
          <c:orientation val="minMax"/>
        </c:scaling>
        <c:axPos val="b"/>
        <c:numFmt formatCode="General" sourceLinked="1"/>
        <c:tickLblPos val="nextTo"/>
        <c:crossAx val="65451136"/>
        <c:crosses val="autoZero"/>
        <c:auto val="1"/>
        <c:lblAlgn val="ctr"/>
        <c:lblOffset val="100"/>
      </c:catAx>
      <c:valAx>
        <c:axId val="65451136"/>
        <c:scaling>
          <c:orientation val="minMax"/>
        </c:scaling>
        <c:axPos val="l"/>
        <c:numFmt formatCode="#,##0" sourceLinked="1"/>
        <c:tickLblPos val="nextTo"/>
        <c:crossAx val="65441152"/>
        <c:crosses val="autoZero"/>
        <c:crossBetween val="between"/>
      </c:valAx>
      <c:dTable>
        <c:showHorzBorder val="1"/>
        <c:showVertBorder val="1"/>
        <c:showOutline val="1"/>
      </c:dTable>
      <c:spPr>
        <a:noFill/>
        <a:ln w="25400">
          <a:noFill/>
        </a:ln>
      </c:spPr>
    </c:plotArea>
    <c:legend>
      <c:legendPos val="r"/>
      <c:layout>
        <c:manualLayout>
          <c:xMode val="edge"/>
          <c:yMode val="edge"/>
          <c:x val="0.27807255284312027"/>
          <c:y val="0.93826221160557466"/>
          <c:w val="0.4703604604283399"/>
          <c:h val="6.1737788394428506E-2"/>
        </c:manualLayout>
      </c:layout>
    </c:legend>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Анализ основных доходов от предоставления услуг электросвязи (млн руб.)</a:t>
            </a:r>
          </a:p>
        </c:rich>
      </c:tx>
      <c:layout>
        <c:manualLayout>
          <c:xMode val="edge"/>
          <c:yMode val="edge"/>
          <c:x val="0.14733610087230753"/>
          <c:y val="1.0531116042927101E-3"/>
        </c:manualLayout>
      </c:layout>
    </c:title>
    <c:view3D>
      <c:rotX val="5"/>
      <c:rotY val="0"/>
      <c:depthPercent val="90"/>
      <c:perspective val="10"/>
    </c:view3D>
    <c:plotArea>
      <c:layout>
        <c:manualLayout>
          <c:layoutTarget val="inner"/>
          <c:xMode val="edge"/>
          <c:yMode val="edge"/>
          <c:x val="7.757763975155281E-2"/>
          <c:y val="0.18741816847362219"/>
          <c:w val="0.92242236024844726"/>
          <c:h val="0.25652403646912553"/>
        </c:manualLayout>
      </c:layout>
      <c:bar3DChart>
        <c:barDir val="col"/>
        <c:grouping val="clustered"/>
        <c:ser>
          <c:idx val="0"/>
          <c:order val="0"/>
          <c:tx>
            <c:strRef>
              <c:f>Лист1!$B$1</c:f>
              <c:strCache>
                <c:ptCount val="1"/>
                <c:pt idx="0">
                  <c:v> 2016г.</c:v>
                </c:pt>
              </c:strCache>
            </c:strRef>
          </c:tx>
          <c:spPr>
            <a:solidFill>
              <a:schemeClr val="bg1">
                <a:lumMod val="75000"/>
              </a:schemeClr>
            </a:solidFill>
            <a:ln w="6350">
              <a:solidFill>
                <a:schemeClr val="tx1">
                  <a:lumMod val="65000"/>
                  <a:lumOff val="35000"/>
                </a:schemeClr>
              </a:solidFill>
            </a:ln>
          </c:spPr>
          <c:cat>
            <c:strRef>
              <c:f>Лист1!$A$2:$A$7</c:f>
              <c:strCache>
                <c:ptCount val="6"/>
                <c:pt idx="0">
                  <c:v>Фиксированная связь</c:v>
                </c:pt>
                <c:pt idx="1">
                  <c:v>Услуги для целей радиовещания</c:v>
                </c:pt>
                <c:pt idx="2">
                  <c:v>Мобильная связь</c:v>
                </c:pt>
                <c:pt idx="3">
                  <c:v>Услуги по передаче данных и доступа к глобальной сети Интернет </c:v>
                </c:pt>
                <c:pt idx="4">
                  <c:v>Услуги для целей телевизионного вещания</c:v>
                </c:pt>
                <c:pt idx="5">
                  <c:v>Прочие услуги </c:v>
                </c:pt>
              </c:strCache>
            </c:strRef>
          </c:cat>
          <c:val>
            <c:numRef>
              <c:f>Лист1!$B$2:$B$7</c:f>
              <c:numCache>
                <c:formatCode>#,##0.0</c:formatCode>
                <c:ptCount val="6"/>
                <c:pt idx="0">
                  <c:v>162.01999999999998</c:v>
                </c:pt>
                <c:pt idx="1">
                  <c:v>29.567999999999987</c:v>
                </c:pt>
                <c:pt idx="2">
                  <c:v>265.08</c:v>
                </c:pt>
                <c:pt idx="3">
                  <c:v>189.69200000000001</c:v>
                </c:pt>
                <c:pt idx="4">
                  <c:v>63.233000000000011</c:v>
                </c:pt>
                <c:pt idx="5">
                  <c:v>1.8607</c:v>
                </c:pt>
              </c:numCache>
            </c:numRef>
          </c:val>
        </c:ser>
        <c:ser>
          <c:idx val="1"/>
          <c:order val="1"/>
          <c:tx>
            <c:strRef>
              <c:f>Лист1!$C$1</c:f>
              <c:strCache>
                <c:ptCount val="1"/>
                <c:pt idx="0">
                  <c:v>2017г.</c:v>
                </c:pt>
              </c:strCache>
            </c:strRef>
          </c:tx>
          <c:spPr>
            <a:solidFill>
              <a:schemeClr val="tx1">
                <a:lumMod val="75000"/>
                <a:lumOff val="25000"/>
              </a:schemeClr>
            </a:solidFill>
            <a:ln w="6350">
              <a:solidFill>
                <a:schemeClr val="tx1">
                  <a:lumMod val="75000"/>
                  <a:lumOff val="25000"/>
                </a:schemeClr>
              </a:solidFill>
            </a:ln>
          </c:spPr>
          <c:cat>
            <c:strRef>
              <c:f>Лист1!$A$2:$A$7</c:f>
              <c:strCache>
                <c:ptCount val="6"/>
                <c:pt idx="0">
                  <c:v>Фиксированная связь</c:v>
                </c:pt>
                <c:pt idx="1">
                  <c:v>Услуги для целей радиовещания</c:v>
                </c:pt>
                <c:pt idx="2">
                  <c:v>Мобильная связь</c:v>
                </c:pt>
                <c:pt idx="3">
                  <c:v>Услуги по передаче данных и доступа к глобальной сети Интернет </c:v>
                </c:pt>
                <c:pt idx="4">
                  <c:v>Услуги для целей телевизионного вещания</c:v>
                </c:pt>
                <c:pt idx="5">
                  <c:v>Прочие услуги </c:v>
                </c:pt>
              </c:strCache>
            </c:strRef>
          </c:cat>
          <c:val>
            <c:numRef>
              <c:f>Лист1!$C$2:$C$7</c:f>
              <c:numCache>
                <c:formatCode>#,##0.0</c:formatCode>
                <c:ptCount val="6"/>
                <c:pt idx="0">
                  <c:v>150.541</c:v>
                </c:pt>
                <c:pt idx="1">
                  <c:v>38.617000000000004</c:v>
                </c:pt>
                <c:pt idx="2">
                  <c:v>238.78399999999999</c:v>
                </c:pt>
                <c:pt idx="3">
                  <c:v>220.99600000000001</c:v>
                </c:pt>
                <c:pt idx="4">
                  <c:v>67.627999999999986</c:v>
                </c:pt>
                <c:pt idx="5">
                  <c:v>1.8359999999999956</c:v>
                </c:pt>
              </c:numCache>
            </c:numRef>
          </c:val>
        </c:ser>
        <c:gapWidth val="115"/>
        <c:gapDepth val="212"/>
        <c:shape val="box"/>
        <c:axId val="103418496"/>
        <c:axId val="103424384"/>
        <c:axId val="0"/>
      </c:bar3DChart>
      <c:catAx>
        <c:axId val="103418496"/>
        <c:scaling>
          <c:orientation val="minMax"/>
        </c:scaling>
        <c:delete val="1"/>
        <c:axPos val="b"/>
        <c:majorTickMark val="none"/>
        <c:tickLblPos val="nextTo"/>
        <c:crossAx val="103424384"/>
        <c:crosses val="autoZero"/>
        <c:auto val="1"/>
        <c:lblAlgn val="ctr"/>
        <c:lblOffset val="100"/>
      </c:catAx>
      <c:valAx>
        <c:axId val="103424384"/>
        <c:scaling>
          <c:orientation val="minMax"/>
        </c:scaling>
        <c:axPos val="l"/>
        <c:majorGridlines/>
        <c:numFmt formatCode="#,##0.0" sourceLinked="1"/>
        <c:majorTickMark val="none"/>
        <c:tickLblPos val="nextTo"/>
        <c:spPr>
          <a:ln w="9525">
            <a:noFill/>
          </a:ln>
        </c:spPr>
        <c:txPr>
          <a:bodyPr/>
          <a:lstStyle/>
          <a:p>
            <a:pPr>
              <a:defRPr sz="900" b="1">
                <a:latin typeface="Times New Roman" pitchFamily="18" charset="0"/>
                <a:cs typeface="Times New Roman" pitchFamily="18" charset="0"/>
              </a:defRPr>
            </a:pPr>
            <a:endParaRPr lang="ru-RU"/>
          </a:p>
        </c:txPr>
        <c:crossAx val="103418496"/>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noFill/>
    <a:ln>
      <a:noFill/>
    </a:ln>
    <a:effectLst>
      <a:outerShdw blurRad="50800" dist="38100" algn="l" rotWithShape="0">
        <a:prstClr val="black">
          <a:alpha val="40000"/>
        </a:prstClr>
      </a:outerShdw>
    </a:effectLst>
    <a:scene3d>
      <a:camera prst="orthographicFront"/>
      <a:lightRig rig="threePt" dir="t"/>
    </a:scene3d>
    <a:sp3d prstMaterial="powder"/>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30"/>
      <c:depthPercent val="120"/>
      <c:perspective val="0"/>
    </c:view3D>
    <c:plotArea>
      <c:layout>
        <c:manualLayout>
          <c:layoutTarget val="inner"/>
          <c:xMode val="edge"/>
          <c:yMode val="edge"/>
          <c:x val="0.1961628716963057"/>
          <c:y val="2.7344309234073012E-2"/>
          <c:w val="0.59880050464824353"/>
          <c:h val="0.64047684057160725"/>
        </c:manualLayout>
      </c:layout>
      <c:pie3DChart>
        <c:varyColors val="1"/>
        <c:ser>
          <c:idx val="0"/>
          <c:order val="0"/>
          <c:tx>
            <c:strRef>
              <c:f>Sheet1!$A$2</c:f>
              <c:strCache>
                <c:ptCount val="1"/>
                <c:pt idx="0">
                  <c:v>2016 год</c:v>
                </c:pt>
              </c:strCache>
            </c:strRef>
          </c:tx>
          <c:spPr>
            <a:solidFill>
              <a:srgbClr val="FFFFFF"/>
            </a:solidFill>
            <a:ln w="12720">
              <a:solidFill>
                <a:srgbClr val="000000"/>
              </a:solidFill>
              <a:prstDash val="solid"/>
            </a:ln>
          </c:spPr>
          <c:explosion val="24"/>
          <c:dPt>
            <c:idx val="0"/>
            <c:explosion val="32"/>
            <c:spPr>
              <a:pattFill prst="diagBrick">
                <a:fgClr>
                  <a:srgbClr val="000000"/>
                </a:fgClr>
                <a:bgClr>
                  <a:srgbClr val="FFFFFF"/>
                </a:bgClr>
              </a:pattFill>
              <a:ln w="12720">
                <a:solidFill>
                  <a:srgbClr val="000000"/>
                </a:solidFill>
                <a:prstDash val="solid"/>
              </a:ln>
            </c:spPr>
          </c:dPt>
          <c:dPt>
            <c:idx val="1"/>
            <c:spPr>
              <a:pattFill prst="divot">
                <a:fgClr>
                  <a:srgbClr val="000000"/>
                </a:fgClr>
                <a:bgClr>
                  <a:srgbClr val="FFFFFF"/>
                </a:bgClr>
              </a:pattFill>
              <a:ln w="12720">
                <a:solidFill>
                  <a:srgbClr val="000000"/>
                </a:solidFill>
                <a:prstDash val="solid"/>
              </a:ln>
            </c:spPr>
          </c:dPt>
          <c:dPt>
            <c:idx val="2"/>
            <c:spPr>
              <a:pattFill prst="ltVert">
                <a:fgClr>
                  <a:srgbClr val="000000"/>
                </a:fgClr>
                <a:bgClr>
                  <a:srgbClr val="FFFFFF"/>
                </a:bgClr>
              </a:pattFill>
              <a:ln w="12720">
                <a:solidFill>
                  <a:srgbClr val="000000"/>
                </a:solidFill>
                <a:prstDash val="solid"/>
              </a:ln>
            </c:spPr>
          </c:dPt>
          <c:dPt>
            <c:idx val="3"/>
            <c:spPr>
              <a:pattFill prst="zigZag">
                <a:fgClr>
                  <a:srgbClr val="000000"/>
                </a:fgClr>
                <a:bgClr>
                  <a:srgbClr val="FFFFFF"/>
                </a:bgClr>
              </a:pattFill>
              <a:ln w="12720">
                <a:solidFill>
                  <a:srgbClr val="000000"/>
                </a:solidFill>
                <a:prstDash val="solid"/>
              </a:ln>
            </c:spPr>
          </c:dPt>
          <c:dPt>
            <c:idx val="4"/>
            <c:spPr>
              <a:pattFill prst="solidDmnd">
                <a:fgClr>
                  <a:srgbClr val="000000"/>
                </a:fgClr>
                <a:bgClr>
                  <a:srgbClr val="FFFFFF"/>
                </a:bgClr>
              </a:pattFill>
              <a:ln w="12720">
                <a:solidFill>
                  <a:srgbClr val="000000"/>
                </a:solidFill>
                <a:prstDash val="solid"/>
              </a:ln>
            </c:spPr>
          </c:dPt>
          <c:dPt>
            <c:idx val="5"/>
            <c:spPr>
              <a:pattFill prst="dotGrid">
                <a:fgClr>
                  <a:srgbClr val="000000"/>
                </a:fgClr>
                <a:bgClr>
                  <a:srgbClr val="FFFFFF"/>
                </a:bgClr>
              </a:pattFill>
              <a:ln w="12720">
                <a:solidFill>
                  <a:srgbClr val="000000"/>
                </a:solidFill>
                <a:prstDash val="solid"/>
              </a:ln>
            </c:spPr>
          </c:dPt>
          <c:dPt>
            <c:idx val="6"/>
            <c:spPr>
              <a:pattFill prst="dkHorz">
                <a:fgClr>
                  <a:srgbClr val="000000"/>
                </a:fgClr>
                <a:bgClr>
                  <a:srgbClr val="FFFFFF"/>
                </a:bgClr>
              </a:pattFill>
              <a:ln w="12720">
                <a:solidFill>
                  <a:srgbClr val="000000"/>
                </a:solidFill>
                <a:prstDash val="solid"/>
              </a:ln>
            </c:spPr>
          </c:dPt>
          <c:dPt>
            <c:idx val="8"/>
            <c:spPr>
              <a:solidFill>
                <a:schemeClr val="tx1">
                  <a:lumMod val="95000"/>
                  <a:lumOff val="5000"/>
                </a:schemeClr>
              </a:solidFill>
              <a:ln w="12720">
                <a:solidFill>
                  <a:srgbClr val="000000"/>
                </a:solidFill>
                <a:prstDash val="solid"/>
              </a:ln>
            </c:spPr>
          </c:dPt>
          <c:dPt>
            <c:idx val="9"/>
            <c:spPr>
              <a:blipFill>
                <a:blip xmlns:r="http://schemas.openxmlformats.org/officeDocument/2006/relationships" r:embed="rId1"/>
                <a:tile tx="0" ty="0" sx="100000" sy="100000" flip="none" algn="tl"/>
              </a:blipFill>
              <a:ln w="12720">
                <a:solidFill>
                  <a:srgbClr val="000000"/>
                </a:solidFill>
                <a:prstDash val="solid"/>
              </a:ln>
            </c:spPr>
          </c:dPt>
          <c:dLbls>
            <c:dLbl>
              <c:idx val="0"/>
              <c:layout>
                <c:manualLayout>
                  <c:x val="2.6324542343938138E-2"/>
                  <c:y val="8.0366531079543196E-2"/>
                </c:manualLayout>
              </c:layout>
              <c:dLblPos val="bestFit"/>
              <c:showPercent val="1"/>
            </c:dLbl>
            <c:dLbl>
              <c:idx val="1"/>
              <c:layout>
                <c:manualLayout>
                  <c:x val="-1.4541371331094021E-2"/>
                  <c:y val="4.6403577612238539E-2"/>
                </c:manualLayout>
              </c:layout>
              <c:dLblPos val="bestFit"/>
              <c:showPercent val="1"/>
            </c:dLbl>
            <c:dLbl>
              <c:idx val="2"/>
              <c:layout>
                <c:manualLayout>
                  <c:x val="-2.0674256091399498E-2"/>
                  <c:y val="3.0267874386158411E-2"/>
                </c:manualLayout>
              </c:layout>
              <c:dLblPos val="bestFit"/>
              <c:showPercent val="1"/>
            </c:dLbl>
            <c:dLbl>
              <c:idx val="3"/>
              <c:layout>
                <c:manualLayout>
                  <c:x val="-2.7400110014567516E-2"/>
                  <c:y val="4.5618798092862886E-2"/>
                </c:manualLayout>
              </c:layout>
              <c:dLblPos val="bestFit"/>
              <c:showPercent val="1"/>
            </c:dLbl>
            <c:dLbl>
              <c:idx val="4"/>
              <c:layout>
                <c:manualLayout>
                  <c:x val="-4.0610888861903977E-2"/>
                  <c:y val="-2.4412447965099091E-2"/>
                </c:manualLayout>
              </c:layout>
              <c:dLblPos val="bestFit"/>
              <c:showPercent val="1"/>
            </c:dLbl>
            <c:dLbl>
              <c:idx val="5"/>
              <c:layout>
                <c:manualLayout>
                  <c:x val="-3.3725383192412438E-2"/>
                  <c:y val="-7.1510661503271414E-2"/>
                </c:manualLayout>
              </c:layout>
              <c:dLblPos val="bestFit"/>
              <c:showPercent val="1"/>
            </c:dLbl>
            <c:dLbl>
              <c:idx val="6"/>
              <c:layout>
                <c:manualLayout>
                  <c:x val="-1.7785204540495664E-2"/>
                  <c:y val="-9.018266496835764E-2"/>
                </c:manualLayout>
              </c:layout>
              <c:dLblPos val="bestFit"/>
              <c:showPercent val="1"/>
            </c:dLbl>
            <c:dLbl>
              <c:idx val="7"/>
              <c:layout>
                <c:manualLayout>
                  <c:x val="-5.1641515449601605E-2"/>
                  <c:y val="-2.8329186124461708E-2"/>
                </c:manualLayout>
              </c:layout>
              <c:showPercent val="1"/>
            </c:dLbl>
            <c:dLbl>
              <c:idx val="8"/>
              <c:layout>
                <c:manualLayout>
                  <c:x val="-0.1064353570656872"/>
                  <c:y val="-4.2212450716387732E-2"/>
                </c:manualLayout>
              </c:layout>
              <c:showPercent val="1"/>
            </c:dLbl>
            <c:dLbl>
              <c:idx val="9"/>
              <c:layout>
                <c:manualLayout>
                  <c:x val="5.0060213710884982E-2"/>
                  <c:y val="-4.3896643104078523E-2"/>
                </c:manualLayout>
              </c:layout>
              <c:showPercent val="1"/>
            </c:dLbl>
            <c:dLbl>
              <c:idx val="10"/>
              <c:layout>
                <c:manualLayout>
                  <c:x val="0.1107648734237716"/>
                  <c:y val="5.6166523854884076E-2"/>
                </c:manualLayout>
              </c:layout>
              <c:showPercent val="1"/>
            </c:dLbl>
            <c:numFmt formatCode="0.0%" sourceLinked="0"/>
            <c:spPr>
              <a:noFill/>
              <a:ln w="25441">
                <a:noFill/>
              </a:ln>
            </c:spPr>
            <c:txPr>
              <a:bodyPr/>
              <a:lstStyle/>
              <a:p>
                <a:pPr>
                  <a:defRPr sz="850" b="0" i="0" u="none" strike="noStrike" baseline="0">
                    <a:solidFill>
                      <a:srgbClr val="000000"/>
                    </a:solidFill>
                    <a:latin typeface="Times New Roman"/>
                    <a:ea typeface="Times New Roman"/>
                    <a:cs typeface="Times New Roman"/>
                  </a:defRPr>
                </a:pPr>
                <a:endParaRPr lang="ru-RU"/>
              </a:p>
            </c:txPr>
            <c:showPercent val="1"/>
            <c:showLeaderLines val="1"/>
          </c:dLbls>
          <c:cat>
            <c:strRef>
              <c:f>Sheet1!$B$1:$L$1</c:f>
              <c:strCache>
                <c:ptCount val="11"/>
                <c:pt idx="0">
                  <c:v>ГУП "Почта Приднестровья"</c:v>
                </c:pt>
                <c:pt idx="1">
                  <c:v>ДГУП "Бендерская почта"</c:v>
                </c:pt>
                <c:pt idx="2">
                  <c:v>ДГУП "Слободзейская почта"</c:v>
                </c:pt>
                <c:pt idx="3">
                  <c:v>ДГУП "Григориопольская почта"</c:v>
                </c:pt>
                <c:pt idx="4">
                  <c:v>ДГУП "Дубоссарская почта"</c:v>
                </c:pt>
                <c:pt idx="5">
                  <c:v>ДГУП "Рыбницкая почта"</c:v>
                </c:pt>
                <c:pt idx="6">
                  <c:v>ДГУП "Каменская почта"</c:v>
                </c:pt>
                <c:pt idx="7">
                  <c:v>ООО "СНП"</c:v>
                </c:pt>
                <c:pt idx="8">
                  <c:v>ООО "Авиаэкспресс"</c:v>
                </c:pt>
                <c:pt idx="9">
                  <c:v>ООО "Экспресс-Курьер и Компания"</c:v>
                </c:pt>
                <c:pt idx="10">
                  <c:v>ООО "Деливири Интернешнл Персел"</c:v>
                </c:pt>
              </c:strCache>
            </c:strRef>
          </c:cat>
          <c:val>
            <c:numRef>
              <c:f>Sheet1!$B$2:$L$2</c:f>
              <c:numCache>
                <c:formatCode>0.0</c:formatCode>
                <c:ptCount val="11"/>
                <c:pt idx="0">
                  <c:v>2979</c:v>
                </c:pt>
                <c:pt idx="1">
                  <c:v>808.6</c:v>
                </c:pt>
                <c:pt idx="2">
                  <c:v>416.6</c:v>
                </c:pt>
                <c:pt idx="3">
                  <c:v>205.5</c:v>
                </c:pt>
                <c:pt idx="4">
                  <c:v>227.3</c:v>
                </c:pt>
                <c:pt idx="5">
                  <c:v>478.7</c:v>
                </c:pt>
                <c:pt idx="6">
                  <c:v>223.8</c:v>
                </c:pt>
                <c:pt idx="7">
                  <c:v>887.9</c:v>
                </c:pt>
                <c:pt idx="8">
                  <c:v>144.5</c:v>
                </c:pt>
                <c:pt idx="9">
                  <c:v>20.5</c:v>
                </c:pt>
                <c:pt idx="10">
                  <c:v>21.4</c:v>
                </c:pt>
              </c:numCache>
            </c:numRef>
          </c:val>
        </c:ser>
        <c:dLbls>
          <c:showVal val="1"/>
          <c:showPercent val="1"/>
        </c:dLbls>
      </c:pie3DChart>
      <c:spPr>
        <a:noFill/>
        <a:ln w="25441">
          <a:noFill/>
        </a:ln>
      </c:spPr>
    </c:plotArea>
    <c:legend>
      <c:legendPos val="b"/>
      <c:layout>
        <c:manualLayout>
          <c:xMode val="edge"/>
          <c:yMode val="edge"/>
          <c:x val="0"/>
          <c:y val="0.65513487654623026"/>
          <c:w val="1"/>
          <c:h val="0.34486512345377685"/>
        </c:manualLayout>
      </c:layout>
      <c:spPr>
        <a:solidFill>
          <a:srgbClr val="FFFFFF"/>
        </a:solidFill>
        <a:ln w="25441">
          <a:noFill/>
        </a:ln>
      </c:spPr>
      <c:txPr>
        <a:bodyPr/>
        <a:lstStyle/>
        <a:p>
          <a:pPr algn="l">
            <a:lnSpc>
              <a:spcPct val="100000"/>
            </a:lnSpc>
            <a:defRPr sz="7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30"/>
      <c:depthPercent val="120"/>
      <c:perspective val="0"/>
    </c:view3D>
    <c:plotArea>
      <c:layout>
        <c:manualLayout>
          <c:layoutTarget val="inner"/>
          <c:xMode val="edge"/>
          <c:yMode val="edge"/>
          <c:x val="9.4533027121610727E-2"/>
          <c:y val="1.5345581802274741E-3"/>
          <c:w val="0.84096967045785964"/>
          <c:h val="0.86887409514841396"/>
        </c:manualLayout>
      </c:layout>
      <c:pie3DChart>
        <c:varyColors val="1"/>
        <c:ser>
          <c:idx val="0"/>
          <c:order val="0"/>
          <c:tx>
            <c:strRef>
              <c:f>Sheet1!$A$2</c:f>
              <c:strCache>
                <c:ptCount val="1"/>
                <c:pt idx="0">
                  <c:v>2017  год</c:v>
                </c:pt>
              </c:strCache>
            </c:strRef>
          </c:tx>
          <c:spPr>
            <a:solidFill>
              <a:srgbClr val="FFFFFF"/>
            </a:solidFill>
            <a:ln w="12720">
              <a:solidFill>
                <a:srgbClr val="000000"/>
              </a:solidFill>
              <a:prstDash val="solid"/>
            </a:ln>
          </c:spPr>
          <c:explosion val="39"/>
          <c:dPt>
            <c:idx val="0"/>
            <c:explosion val="26"/>
            <c:spPr>
              <a:pattFill prst="diagBrick">
                <a:fgClr>
                  <a:srgbClr val="000000"/>
                </a:fgClr>
                <a:bgClr>
                  <a:srgbClr val="FFFFFF"/>
                </a:bgClr>
              </a:pattFill>
              <a:ln w="12720">
                <a:solidFill>
                  <a:srgbClr val="000000"/>
                </a:solidFill>
                <a:prstDash val="solid"/>
              </a:ln>
            </c:spPr>
          </c:dPt>
          <c:dPt>
            <c:idx val="1"/>
            <c:explosion val="24"/>
            <c:spPr>
              <a:pattFill prst="divot">
                <a:fgClr>
                  <a:srgbClr val="000000"/>
                </a:fgClr>
                <a:bgClr>
                  <a:srgbClr val="FFFFFF"/>
                </a:bgClr>
              </a:pattFill>
              <a:ln w="12720">
                <a:solidFill>
                  <a:srgbClr val="000000"/>
                </a:solidFill>
                <a:prstDash val="solid"/>
              </a:ln>
            </c:spPr>
          </c:dPt>
          <c:dPt>
            <c:idx val="2"/>
            <c:spPr>
              <a:pattFill prst="ltVert">
                <a:fgClr>
                  <a:srgbClr val="000000"/>
                </a:fgClr>
                <a:bgClr>
                  <a:srgbClr val="FFFFFF"/>
                </a:bgClr>
              </a:pattFill>
              <a:ln w="12720">
                <a:solidFill>
                  <a:srgbClr val="000000"/>
                </a:solidFill>
                <a:prstDash val="solid"/>
              </a:ln>
            </c:spPr>
          </c:dPt>
          <c:dPt>
            <c:idx val="3"/>
            <c:spPr>
              <a:pattFill prst="zigZag">
                <a:fgClr>
                  <a:srgbClr val="000000"/>
                </a:fgClr>
                <a:bgClr>
                  <a:srgbClr val="FFFFFF"/>
                </a:bgClr>
              </a:pattFill>
              <a:ln w="12720">
                <a:solidFill>
                  <a:srgbClr val="000000"/>
                </a:solidFill>
                <a:prstDash val="solid"/>
              </a:ln>
            </c:spPr>
          </c:dPt>
          <c:dPt>
            <c:idx val="4"/>
            <c:spPr>
              <a:pattFill prst="solidDmnd">
                <a:fgClr>
                  <a:srgbClr val="000000"/>
                </a:fgClr>
                <a:bgClr>
                  <a:srgbClr val="FFFFFF"/>
                </a:bgClr>
              </a:pattFill>
              <a:ln w="12720">
                <a:solidFill>
                  <a:srgbClr val="000000"/>
                </a:solidFill>
                <a:prstDash val="solid"/>
              </a:ln>
            </c:spPr>
          </c:dPt>
          <c:dPt>
            <c:idx val="5"/>
            <c:spPr>
              <a:pattFill prst="dotGrid">
                <a:fgClr>
                  <a:srgbClr val="000000"/>
                </a:fgClr>
                <a:bgClr>
                  <a:srgbClr val="FFFFFF"/>
                </a:bgClr>
              </a:pattFill>
              <a:ln w="12720">
                <a:solidFill>
                  <a:srgbClr val="000000"/>
                </a:solidFill>
                <a:prstDash val="solid"/>
              </a:ln>
            </c:spPr>
          </c:dPt>
          <c:dPt>
            <c:idx val="6"/>
            <c:explosion val="41"/>
            <c:spPr>
              <a:pattFill prst="dkHorz">
                <a:fgClr>
                  <a:srgbClr val="000000"/>
                </a:fgClr>
                <a:bgClr>
                  <a:srgbClr val="FFFFFF"/>
                </a:bgClr>
              </a:pattFill>
              <a:ln w="12720">
                <a:solidFill>
                  <a:srgbClr val="000000"/>
                </a:solidFill>
                <a:prstDash val="solid"/>
              </a:ln>
            </c:spPr>
          </c:dPt>
          <c:dPt>
            <c:idx val="7"/>
            <c:explosion val="44"/>
          </c:dPt>
          <c:dPt>
            <c:idx val="8"/>
            <c:explosion val="61"/>
            <c:spPr>
              <a:solidFill>
                <a:schemeClr val="tx1">
                  <a:lumMod val="95000"/>
                  <a:lumOff val="5000"/>
                </a:schemeClr>
              </a:solidFill>
              <a:ln w="12720">
                <a:solidFill>
                  <a:srgbClr val="000000"/>
                </a:solidFill>
                <a:prstDash val="solid"/>
              </a:ln>
            </c:spPr>
          </c:dPt>
          <c:dPt>
            <c:idx val="9"/>
            <c:explosion val="57"/>
            <c:spPr>
              <a:blipFill>
                <a:blip xmlns:r="http://schemas.openxmlformats.org/officeDocument/2006/relationships" r:embed="rId1"/>
                <a:tile tx="0" ty="0" sx="100000" sy="100000" flip="none" algn="tl"/>
              </a:blipFill>
              <a:ln w="12720">
                <a:solidFill>
                  <a:srgbClr val="000000"/>
                </a:solidFill>
                <a:prstDash val="solid"/>
              </a:ln>
            </c:spPr>
          </c:dPt>
          <c:dLbls>
            <c:dLbl>
              <c:idx val="0"/>
              <c:layout>
                <c:manualLayout>
                  <c:x val="3.4455380577428224E-2"/>
                  <c:y val="7.2508166016870976E-2"/>
                </c:manualLayout>
              </c:layout>
              <c:dLblPos val="bestFit"/>
              <c:showPercent val="1"/>
            </c:dLbl>
            <c:dLbl>
              <c:idx val="1"/>
              <c:layout>
                <c:manualLayout>
                  <c:x val="-1.4541371331094021E-2"/>
                  <c:y val="4.6403577612238539E-2"/>
                </c:manualLayout>
              </c:layout>
              <c:dLblPos val="bestFit"/>
              <c:showPercent val="1"/>
            </c:dLbl>
            <c:dLbl>
              <c:idx val="2"/>
              <c:layout>
                <c:manualLayout>
                  <c:x val="-2.0674256091399498E-2"/>
                  <c:y val="3.0267874386158411E-2"/>
                </c:manualLayout>
              </c:layout>
              <c:dLblPos val="bestFit"/>
              <c:showPercent val="1"/>
            </c:dLbl>
            <c:dLbl>
              <c:idx val="3"/>
              <c:layout>
                <c:manualLayout>
                  <c:x val="-2.7400110014567498E-2"/>
                  <c:y val="4.5618798092862886E-2"/>
                </c:manualLayout>
              </c:layout>
              <c:dLblPos val="bestFit"/>
              <c:showPercent val="1"/>
            </c:dLbl>
            <c:dLbl>
              <c:idx val="4"/>
              <c:layout>
                <c:manualLayout>
                  <c:x val="-4.0610888861903977E-2"/>
                  <c:y val="-2.4412447965099091E-2"/>
                </c:manualLayout>
              </c:layout>
              <c:dLblPos val="bestFit"/>
              <c:showPercent val="1"/>
            </c:dLbl>
            <c:dLbl>
              <c:idx val="5"/>
              <c:layout>
                <c:manualLayout>
                  <c:x val="-3.3725383192412438E-2"/>
                  <c:y val="-7.1510661503271414E-2"/>
                </c:manualLayout>
              </c:layout>
              <c:dLblPos val="bestFit"/>
              <c:showPercent val="1"/>
            </c:dLbl>
            <c:dLbl>
              <c:idx val="6"/>
              <c:layout>
                <c:manualLayout>
                  <c:x val="-1.7785204540495664E-2"/>
                  <c:y val="-9.018266496835764E-2"/>
                </c:manualLayout>
              </c:layout>
              <c:dLblPos val="bestFit"/>
              <c:showPercent val="1"/>
            </c:dLbl>
            <c:dLbl>
              <c:idx val="7"/>
              <c:layout>
                <c:manualLayout>
                  <c:x val="-4.4085374744823824E-2"/>
                  <c:y val="-7.7129027088467708E-2"/>
                </c:manualLayout>
              </c:layout>
              <c:showPercent val="1"/>
            </c:dLbl>
            <c:dLbl>
              <c:idx val="8"/>
              <c:layout>
                <c:manualLayout>
                  <c:x val="-0.16369386118401866"/>
                  <c:y val="-6.6124472434162945E-2"/>
                </c:manualLayout>
              </c:layout>
              <c:showPercent val="1"/>
            </c:dLbl>
            <c:dLbl>
              <c:idx val="9"/>
              <c:layout>
                <c:manualLayout>
                  <c:x val="6.1069918343540412E-2"/>
                  <c:y val="-3.0273508197573816E-2"/>
                </c:manualLayout>
              </c:layout>
              <c:showPercent val="1"/>
            </c:dLbl>
            <c:dLbl>
              <c:idx val="10"/>
              <c:layout>
                <c:manualLayout>
                  <c:x val="9.1739938757655293E-2"/>
                  <c:y val="4.4379262060614461E-2"/>
                </c:manualLayout>
              </c:layout>
              <c:showPercent val="1"/>
            </c:dLbl>
            <c:numFmt formatCode="0.0%" sourceLinked="0"/>
            <c:spPr>
              <a:noFill/>
              <a:ln w="25441">
                <a:noFill/>
              </a:ln>
            </c:spPr>
            <c:txPr>
              <a:bodyPr/>
              <a:lstStyle/>
              <a:p>
                <a:pPr>
                  <a:defRPr sz="850" b="0" i="0" u="none" strike="noStrike" baseline="0">
                    <a:solidFill>
                      <a:srgbClr val="000000"/>
                    </a:solidFill>
                    <a:latin typeface="Times New Roman"/>
                    <a:ea typeface="Times New Roman"/>
                    <a:cs typeface="Times New Roman"/>
                  </a:defRPr>
                </a:pPr>
                <a:endParaRPr lang="ru-RU"/>
              </a:p>
            </c:txPr>
            <c:showPercent val="1"/>
            <c:showLeaderLines val="1"/>
          </c:dLbls>
          <c:cat>
            <c:strRef>
              <c:f>Sheet1!$B$1:$L$1</c:f>
              <c:strCache>
                <c:ptCount val="11"/>
                <c:pt idx="0">
                  <c:v>ГУП "Почта Приднестровья"</c:v>
                </c:pt>
                <c:pt idx="1">
                  <c:v>ДГУП "Бендерская почта"</c:v>
                </c:pt>
                <c:pt idx="2">
                  <c:v>ДГУП "Слободзейская почта"</c:v>
                </c:pt>
                <c:pt idx="3">
                  <c:v>ДГУП "Григориопольская почта"</c:v>
                </c:pt>
                <c:pt idx="4">
                  <c:v>ДГУП "Дубоссарская почта"</c:v>
                </c:pt>
                <c:pt idx="5">
                  <c:v>ДГУП "Рыбницкая почта"</c:v>
                </c:pt>
                <c:pt idx="6">
                  <c:v>ДГУП "Каменская почта"</c:v>
                </c:pt>
                <c:pt idx="7">
                  <c:v>ООО "СНП"</c:v>
                </c:pt>
                <c:pt idx="8">
                  <c:v>ООО "Авиаэкспресс"</c:v>
                </c:pt>
                <c:pt idx="9">
                  <c:v>ООО "Экспресс-Курьер и Компания"</c:v>
                </c:pt>
                <c:pt idx="10">
                  <c:v>ООО "Деливири Интернешнл Персел"</c:v>
                </c:pt>
              </c:strCache>
            </c:strRef>
          </c:cat>
          <c:val>
            <c:numRef>
              <c:f>Sheet1!$B$2:$L$2</c:f>
              <c:numCache>
                <c:formatCode>0.0</c:formatCode>
                <c:ptCount val="11"/>
                <c:pt idx="0">
                  <c:v>3033.1</c:v>
                </c:pt>
                <c:pt idx="1">
                  <c:v>774.8</c:v>
                </c:pt>
                <c:pt idx="2">
                  <c:v>439.7</c:v>
                </c:pt>
                <c:pt idx="3">
                  <c:v>215.6</c:v>
                </c:pt>
                <c:pt idx="4">
                  <c:v>241.9</c:v>
                </c:pt>
                <c:pt idx="5">
                  <c:v>492.8</c:v>
                </c:pt>
                <c:pt idx="6">
                  <c:v>224.3</c:v>
                </c:pt>
                <c:pt idx="7">
                  <c:v>1121.7</c:v>
                </c:pt>
                <c:pt idx="8">
                  <c:v>266.60000000000002</c:v>
                </c:pt>
                <c:pt idx="9">
                  <c:v>0</c:v>
                </c:pt>
                <c:pt idx="10">
                  <c:v>58.5</c:v>
                </c:pt>
              </c:numCache>
            </c:numRef>
          </c:val>
        </c:ser>
        <c:dLbls>
          <c:showVal val="1"/>
          <c:showPercent val="1"/>
        </c:dLbls>
      </c:pie3DChart>
      <c:spPr>
        <a:noFill/>
        <a:ln w="25441">
          <a:noFill/>
        </a:ln>
      </c:spPr>
    </c:plotArea>
    <c:plotVisOnly val="1"/>
    <c:dispBlanksAs val="zero"/>
  </c:chart>
  <c:spPr>
    <a:no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 доходов от основной деятельности государственных предприятий почтовой связи по видам отправлений,</a:t>
            </a:r>
            <a:r>
              <a:rPr lang="ru-RU" baseline="0"/>
              <a:t> %</a:t>
            </a:r>
            <a:endParaRPr lang="ru-RU"/>
          </a:p>
        </c:rich>
      </c:tx>
      <c:layout>
        <c:manualLayout>
          <c:xMode val="edge"/>
          <c:yMode val="edge"/>
          <c:x val="0.12473885859435946"/>
          <c:y val="0"/>
        </c:manualLayout>
      </c:layout>
    </c:title>
    <c:view3D>
      <c:rotX val="10"/>
      <c:rAngAx val="1"/>
    </c:view3D>
    <c:plotArea>
      <c:layout>
        <c:manualLayout>
          <c:layoutTarget val="inner"/>
          <c:xMode val="edge"/>
          <c:yMode val="edge"/>
          <c:x val="7.9391445029839913E-2"/>
          <c:y val="0.14814814814814894"/>
          <c:w val="0.91279986780569566"/>
          <c:h val="0.49641621463984237"/>
        </c:manualLayout>
      </c:layout>
      <c:bar3DChart>
        <c:barDir val="bar"/>
        <c:grouping val="stacked"/>
        <c:ser>
          <c:idx val="0"/>
          <c:order val="0"/>
          <c:tx>
            <c:strRef>
              <c:f>Лист1!$B$1</c:f>
              <c:strCache>
                <c:ptCount val="1"/>
                <c:pt idx="0">
                  <c:v>Реализация знаков почтовой отправки</c:v>
                </c:pt>
              </c:strCache>
            </c:strRef>
          </c:tx>
          <c:spPr>
            <a:solidFill>
              <a:schemeClr val="bg1">
                <a:lumMod val="65000"/>
              </a:schemeClr>
            </a:solidFill>
            <a:ln>
              <a:solidFill>
                <a:schemeClr val="bg1">
                  <a:lumMod val="65000"/>
                </a:schemeClr>
              </a:solidFill>
            </a:ln>
          </c:spPr>
          <c:dLbls>
            <c:txPr>
              <a:bodyPr/>
              <a:lstStyle/>
              <a:p>
                <a:pPr>
                  <a:defRPr sz="800" b="1"/>
                </a:pPr>
                <a:endParaRPr lang="ru-RU"/>
              </a:p>
            </c:txPr>
            <c:showVal val="1"/>
          </c:dLbls>
          <c:cat>
            <c:strRef>
              <c:f>Лист1!$A$2:$A$3</c:f>
              <c:strCache>
                <c:ptCount val="2"/>
                <c:pt idx="0">
                  <c:v>2016 г.</c:v>
                </c:pt>
                <c:pt idx="1">
                  <c:v>2017 г.</c:v>
                </c:pt>
              </c:strCache>
            </c:strRef>
          </c:cat>
          <c:val>
            <c:numRef>
              <c:f>Лист1!$B$5:$B$6</c:f>
              <c:numCache>
                <c:formatCode>0.0</c:formatCode>
                <c:ptCount val="2"/>
                <c:pt idx="0">
                  <c:v>41.75750084279133</c:v>
                </c:pt>
                <c:pt idx="1">
                  <c:v>50.211165003780572</c:v>
                </c:pt>
              </c:numCache>
            </c:numRef>
          </c:val>
        </c:ser>
        <c:ser>
          <c:idx val="1"/>
          <c:order val="1"/>
          <c:tx>
            <c:strRef>
              <c:f>Лист1!$C$1</c:f>
              <c:strCache>
                <c:ptCount val="1"/>
                <c:pt idx="0">
                  <c:v>Писменная корреспонденция</c:v>
                </c:pt>
              </c:strCache>
            </c:strRef>
          </c:tx>
          <c:spPr>
            <a:blipFill>
              <a:blip xmlns:r="http://schemas.openxmlformats.org/officeDocument/2006/relationships" r:embed="rId1"/>
              <a:tile tx="0" ty="0" sx="100000" sy="100000" flip="none" algn="tl"/>
            </a:blipFill>
          </c:spPr>
          <c:dLbls>
            <c:spPr>
              <a:blipFill>
                <a:blip xmlns:r="http://schemas.openxmlformats.org/officeDocument/2006/relationships" r:embed="rId1"/>
                <a:tile tx="0" ty="0" sx="100000" sy="100000" flip="none" algn="tl"/>
              </a:blipFill>
              <a:ln>
                <a:solidFill>
                  <a:schemeClr val="bg1">
                    <a:lumMod val="50000"/>
                  </a:schemeClr>
                </a:solidFill>
              </a:ln>
            </c:spPr>
            <c:txPr>
              <a:bodyPr/>
              <a:lstStyle/>
              <a:p>
                <a:pPr>
                  <a:defRPr sz="800" b="1"/>
                </a:pPr>
                <a:endParaRPr lang="ru-RU"/>
              </a:p>
            </c:txPr>
            <c:showVal val="1"/>
          </c:dLbls>
          <c:cat>
            <c:strRef>
              <c:f>Лист1!$A$2:$A$3</c:f>
              <c:strCache>
                <c:ptCount val="2"/>
                <c:pt idx="0">
                  <c:v>2016 г.</c:v>
                </c:pt>
                <c:pt idx="1">
                  <c:v>2017 г.</c:v>
                </c:pt>
              </c:strCache>
            </c:strRef>
          </c:cat>
          <c:val>
            <c:numRef>
              <c:f>Лист1!$C$5:$C$6</c:f>
              <c:numCache>
                <c:formatCode>0.0</c:formatCode>
                <c:ptCount val="2"/>
                <c:pt idx="0">
                  <c:v>3.8506199198411726</c:v>
                </c:pt>
                <c:pt idx="1">
                  <c:v>4.5202220459952418</c:v>
                </c:pt>
              </c:numCache>
            </c:numRef>
          </c:val>
        </c:ser>
        <c:ser>
          <c:idx val="2"/>
          <c:order val="2"/>
          <c:tx>
            <c:strRef>
              <c:f>Лист1!$D$1</c:f>
              <c:strCache>
                <c:ptCount val="1"/>
                <c:pt idx="0">
                  <c:v>Денежные переводы</c:v>
                </c:pt>
              </c:strCache>
            </c:strRef>
          </c:tx>
          <c:spPr>
            <a:blipFill>
              <a:blip xmlns:r="http://schemas.openxmlformats.org/officeDocument/2006/relationships" r:embed="rId2"/>
              <a:tile tx="0" ty="0" sx="100000" sy="100000" flip="none" algn="tl"/>
            </a:blipFill>
            <a:ln>
              <a:solidFill>
                <a:sysClr val="window" lastClr="FFFFFF">
                  <a:lumMod val="65000"/>
                </a:sysClr>
              </a:solidFill>
            </a:ln>
          </c:spPr>
          <c:dLbls>
            <c:spPr>
              <a:noFill/>
            </c:spPr>
            <c:txPr>
              <a:bodyPr/>
              <a:lstStyle/>
              <a:p>
                <a:pPr>
                  <a:defRPr sz="800" b="1"/>
                </a:pPr>
                <a:endParaRPr lang="ru-RU"/>
              </a:p>
            </c:txPr>
            <c:showVal val="1"/>
          </c:dLbls>
          <c:cat>
            <c:strRef>
              <c:f>Лист1!$A$2:$A$3</c:f>
              <c:strCache>
                <c:ptCount val="2"/>
                <c:pt idx="0">
                  <c:v>2016 г.</c:v>
                </c:pt>
                <c:pt idx="1">
                  <c:v>2017 г.</c:v>
                </c:pt>
              </c:strCache>
            </c:strRef>
          </c:cat>
          <c:val>
            <c:numRef>
              <c:f>Лист1!$D$5:$D$6</c:f>
              <c:numCache>
                <c:formatCode>0.0</c:formatCode>
                <c:ptCount val="2"/>
                <c:pt idx="0">
                  <c:v>5.7590740532644125</c:v>
                </c:pt>
                <c:pt idx="1">
                  <c:v>4.9019788650572638</c:v>
                </c:pt>
              </c:numCache>
            </c:numRef>
          </c:val>
        </c:ser>
        <c:ser>
          <c:idx val="3"/>
          <c:order val="3"/>
          <c:tx>
            <c:strRef>
              <c:f>Лист1!$E$1</c:f>
              <c:strCache>
                <c:ptCount val="1"/>
                <c:pt idx="0">
                  <c:v>Посылки</c:v>
                </c:pt>
              </c:strCache>
            </c:strRef>
          </c:tx>
          <c:spPr>
            <a:solidFill>
              <a:schemeClr val="tx1">
                <a:lumMod val="65000"/>
                <a:lumOff val="35000"/>
              </a:schemeClr>
            </a:solidFill>
            <a:ln>
              <a:solidFill>
                <a:sysClr val="window" lastClr="FFFFFF">
                  <a:lumMod val="50000"/>
                </a:sysClr>
              </a:solidFill>
            </a:ln>
          </c:spPr>
          <c:dLbls>
            <c:txPr>
              <a:bodyPr/>
              <a:lstStyle/>
              <a:p>
                <a:pPr>
                  <a:defRPr sz="800" b="1"/>
                </a:pPr>
                <a:endParaRPr lang="ru-RU"/>
              </a:p>
            </c:txPr>
            <c:showVal val="1"/>
          </c:dLbls>
          <c:cat>
            <c:strRef>
              <c:f>Лист1!$A$2:$A$3</c:f>
              <c:strCache>
                <c:ptCount val="2"/>
                <c:pt idx="0">
                  <c:v>2016 г.</c:v>
                </c:pt>
                <c:pt idx="1">
                  <c:v>2017 г.</c:v>
                </c:pt>
              </c:strCache>
            </c:strRef>
          </c:cat>
          <c:val>
            <c:numRef>
              <c:f>Лист1!$E$5:$E$6</c:f>
              <c:numCache>
                <c:formatCode>0.0</c:formatCode>
                <c:ptCount val="2"/>
                <c:pt idx="0">
                  <c:v>7.0251339101771695</c:v>
                </c:pt>
                <c:pt idx="1">
                  <c:v>7.825092672851004</c:v>
                </c:pt>
              </c:numCache>
            </c:numRef>
          </c:val>
        </c:ser>
        <c:ser>
          <c:idx val="4"/>
          <c:order val="4"/>
          <c:tx>
            <c:strRef>
              <c:f>Лист1!$F$1</c:f>
              <c:strCache>
                <c:ptCount val="1"/>
                <c:pt idx="0">
                  <c:v>Периодические издания</c:v>
                </c:pt>
              </c:strCache>
            </c:strRef>
          </c:tx>
          <c:spPr>
            <a:solidFill>
              <a:schemeClr val="bg1">
                <a:lumMod val="85000"/>
              </a:schemeClr>
            </a:solidFill>
            <a:ln>
              <a:solidFill>
                <a:schemeClr val="tx1">
                  <a:lumMod val="50000"/>
                  <a:lumOff val="50000"/>
                </a:schemeClr>
              </a:solidFill>
            </a:ln>
          </c:spPr>
          <c:dLbls>
            <c:txPr>
              <a:bodyPr/>
              <a:lstStyle/>
              <a:p>
                <a:pPr>
                  <a:defRPr sz="800" b="1"/>
                </a:pPr>
                <a:endParaRPr lang="ru-RU"/>
              </a:p>
            </c:txPr>
            <c:showVal val="1"/>
          </c:dLbls>
          <c:cat>
            <c:strRef>
              <c:f>Лист1!$A$2:$A$3</c:f>
              <c:strCache>
                <c:ptCount val="2"/>
                <c:pt idx="0">
                  <c:v>2016 г.</c:v>
                </c:pt>
                <c:pt idx="1">
                  <c:v>2017 г.</c:v>
                </c:pt>
              </c:strCache>
            </c:strRef>
          </c:cat>
          <c:val>
            <c:numRef>
              <c:f>Лист1!$F$5:$F$6</c:f>
              <c:numCache>
                <c:formatCode>0.0</c:formatCode>
                <c:ptCount val="2"/>
                <c:pt idx="0">
                  <c:v>29.93969359853158</c:v>
                </c:pt>
                <c:pt idx="1">
                  <c:v>25.54451063201962</c:v>
                </c:pt>
              </c:numCache>
            </c:numRef>
          </c:val>
        </c:ser>
        <c:ser>
          <c:idx val="5"/>
          <c:order val="5"/>
          <c:tx>
            <c:strRef>
              <c:f>Лист1!$G$1</c:f>
              <c:strCache>
                <c:ptCount val="1"/>
                <c:pt idx="0">
                  <c:v>Спецсвязь</c:v>
                </c:pt>
              </c:strCache>
            </c:strRef>
          </c:tx>
          <c:spPr>
            <a:solidFill>
              <a:schemeClr val="bg1"/>
            </a:solidFill>
            <a:ln>
              <a:solidFill>
                <a:schemeClr val="bg1">
                  <a:lumMod val="65000"/>
                </a:schemeClr>
              </a:solidFill>
            </a:ln>
          </c:spPr>
          <c:dLbls>
            <c:spPr>
              <a:noFill/>
            </c:spPr>
            <c:txPr>
              <a:bodyPr/>
              <a:lstStyle/>
              <a:p>
                <a:pPr>
                  <a:defRPr sz="800" b="1"/>
                </a:pPr>
                <a:endParaRPr lang="ru-RU"/>
              </a:p>
            </c:txPr>
            <c:showVal val="1"/>
          </c:dLbls>
          <c:cat>
            <c:strRef>
              <c:f>Лист1!$A$2:$A$3</c:f>
              <c:strCache>
                <c:ptCount val="2"/>
                <c:pt idx="0">
                  <c:v>2016 г.</c:v>
                </c:pt>
                <c:pt idx="1">
                  <c:v>2017 г.</c:v>
                </c:pt>
              </c:strCache>
            </c:strRef>
          </c:cat>
          <c:val>
            <c:numRef>
              <c:f>Лист1!$G$5:$G$6</c:f>
              <c:numCache>
                <c:formatCode>0.0</c:formatCode>
                <c:ptCount val="2"/>
                <c:pt idx="0">
                  <c:v>2.0526650934561799</c:v>
                </c:pt>
                <c:pt idx="1">
                  <c:v>1.7520240488353638</c:v>
                </c:pt>
              </c:numCache>
            </c:numRef>
          </c:val>
        </c:ser>
        <c:ser>
          <c:idx val="6"/>
          <c:order val="6"/>
          <c:tx>
            <c:strRef>
              <c:f>Лист1!$H$1</c:f>
              <c:strCache>
                <c:ptCount val="1"/>
                <c:pt idx="0">
                  <c:v>Прочие доходы</c:v>
                </c:pt>
              </c:strCache>
            </c:strRef>
          </c:tx>
          <c:spPr>
            <a:blipFill>
              <a:blip xmlns:r="http://schemas.openxmlformats.org/officeDocument/2006/relationships" r:embed="rId3"/>
              <a:tile tx="0" ty="0" sx="100000" sy="100000" flip="none" algn="tl"/>
            </a:blipFill>
            <a:ln>
              <a:solidFill>
                <a:sysClr val="window" lastClr="FFFFFF">
                  <a:lumMod val="65000"/>
                </a:sysClr>
              </a:solidFill>
            </a:ln>
          </c:spPr>
          <c:dLbls>
            <c:txPr>
              <a:bodyPr/>
              <a:lstStyle/>
              <a:p>
                <a:pPr>
                  <a:defRPr sz="800" b="1"/>
                </a:pPr>
                <a:endParaRPr lang="ru-RU"/>
              </a:p>
            </c:txPr>
            <c:showVal val="1"/>
          </c:dLbls>
          <c:cat>
            <c:strRef>
              <c:f>Лист1!$A$2:$A$3</c:f>
              <c:strCache>
                <c:ptCount val="2"/>
                <c:pt idx="0">
                  <c:v>2016 г.</c:v>
                </c:pt>
                <c:pt idx="1">
                  <c:v>2017 г.</c:v>
                </c:pt>
              </c:strCache>
            </c:strRef>
          </c:cat>
          <c:val>
            <c:numRef>
              <c:f>Лист1!$H$5:$H$6</c:f>
              <c:numCache>
                <c:formatCode>0.0</c:formatCode>
                <c:ptCount val="2"/>
                <c:pt idx="0">
                  <c:v>9.1676967449526163</c:v>
                </c:pt>
                <c:pt idx="1">
                  <c:v>4.6862032716743824</c:v>
                </c:pt>
              </c:numCache>
            </c:numRef>
          </c:val>
        </c:ser>
        <c:ser>
          <c:idx val="7"/>
          <c:order val="7"/>
          <c:tx>
            <c:strRef>
              <c:f>Лист1!$I$1</c:f>
              <c:strCache>
                <c:ptCount val="1"/>
                <c:pt idx="0">
                  <c:v>Ускоренная почта EMS</c:v>
                </c:pt>
              </c:strCache>
            </c:strRef>
          </c:tx>
          <c:spPr>
            <a:solidFill>
              <a:schemeClr val="tx1">
                <a:lumMod val="85000"/>
                <a:lumOff val="15000"/>
              </a:schemeClr>
            </a:solidFill>
            <a:ln>
              <a:solidFill>
                <a:schemeClr val="tx1">
                  <a:lumMod val="75000"/>
                  <a:lumOff val="25000"/>
                </a:schemeClr>
              </a:solidFill>
            </a:ln>
          </c:spPr>
          <c:dLbls>
            <c:dLbl>
              <c:idx val="0"/>
              <c:layout>
                <c:manualLayout>
                  <c:x val="2.1722982825345041E-2"/>
                  <c:y val="-1.1852093617831481E-2"/>
                </c:manualLayout>
              </c:layout>
              <c:showVal val="1"/>
            </c:dLbl>
            <c:dLbl>
              <c:idx val="1"/>
              <c:layout>
                <c:manualLayout>
                  <c:x val="2.5776800422469905E-2"/>
                  <c:y val="-5.926046808915693E-3"/>
                </c:manualLayout>
              </c:layout>
              <c:showVal val="1"/>
            </c:dLbl>
            <c:txPr>
              <a:bodyPr/>
              <a:lstStyle/>
              <a:p>
                <a:pPr>
                  <a:defRPr sz="800" b="1"/>
                </a:pPr>
                <a:endParaRPr lang="ru-RU"/>
              </a:p>
            </c:txPr>
            <c:showVal val="1"/>
          </c:dLbls>
          <c:cat>
            <c:strRef>
              <c:f>Лист1!$A$2:$A$3</c:f>
              <c:strCache>
                <c:ptCount val="2"/>
                <c:pt idx="0">
                  <c:v>2016 г.</c:v>
                </c:pt>
                <c:pt idx="1">
                  <c:v>2017 г.</c:v>
                </c:pt>
              </c:strCache>
            </c:strRef>
          </c:cat>
          <c:val>
            <c:numRef>
              <c:f>Лист1!$I$5:$I$6</c:f>
              <c:numCache>
                <c:formatCode>0.0</c:formatCode>
                <c:ptCount val="2"/>
                <c:pt idx="0">
                  <c:v>0.44761583698542906</c:v>
                </c:pt>
                <c:pt idx="1">
                  <c:v>0.55880345978643753</c:v>
                </c:pt>
              </c:numCache>
            </c:numRef>
          </c:val>
        </c:ser>
        <c:dLbls>
          <c:showVal val="1"/>
        </c:dLbls>
        <c:shape val="box"/>
        <c:axId val="105521920"/>
        <c:axId val="105523456"/>
        <c:axId val="0"/>
      </c:bar3DChart>
      <c:catAx>
        <c:axId val="105521920"/>
        <c:scaling>
          <c:orientation val="minMax"/>
        </c:scaling>
        <c:axPos val="l"/>
        <c:tickLblPos val="nextTo"/>
        <c:txPr>
          <a:bodyPr/>
          <a:lstStyle/>
          <a:p>
            <a:pPr>
              <a:defRPr b="1"/>
            </a:pPr>
            <a:endParaRPr lang="ru-RU"/>
          </a:p>
        </c:txPr>
        <c:crossAx val="105523456"/>
        <c:crosses val="autoZero"/>
        <c:auto val="1"/>
        <c:lblAlgn val="ctr"/>
        <c:lblOffset val="100"/>
      </c:catAx>
      <c:valAx>
        <c:axId val="105523456"/>
        <c:scaling>
          <c:orientation val="minMax"/>
        </c:scaling>
        <c:axPos val="b"/>
        <c:majorGridlines/>
        <c:numFmt formatCode="0.0" sourceLinked="1"/>
        <c:tickLblPos val="nextTo"/>
        <c:txPr>
          <a:bodyPr/>
          <a:lstStyle/>
          <a:p>
            <a:pPr>
              <a:defRPr b="1"/>
            </a:pPr>
            <a:endParaRPr lang="ru-RU"/>
          </a:p>
        </c:txPr>
        <c:crossAx val="105521920"/>
        <c:crosses val="autoZero"/>
        <c:crossBetween val="between"/>
      </c:valAx>
    </c:plotArea>
    <c:legend>
      <c:legendPos val="b"/>
      <c:layout>
        <c:manualLayout>
          <c:xMode val="edge"/>
          <c:yMode val="edge"/>
          <c:x val="6.4951522348139862E-2"/>
          <c:y val="0.7631916010498796"/>
          <c:w val="0.93256629890516296"/>
          <c:h val="0.23680839895013275"/>
        </c:manualLayout>
      </c:layout>
    </c:legend>
    <c:plotVisOnly val="1"/>
  </c:chart>
  <c:spPr>
    <a:ln>
      <a:noFill/>
    </a:ln>
  </c:spPr>
  <c:txPr>
    <a:bodyPr/>
    <a:lstStyle/>
    <a:p>
      <a:pPr>
        <a:defRPr sz="900">
          <a:latin typeface="Times New Roman" pitchFamily="18" charset="0"/>
          <a:cs typeface="Times New Roman" pitchFamily="18" charset="0"/>
        </a:defRPr>
      </a:pPr>
      <a:endParaRPr lang="ru-RU"/>
    </a:p>
  </c:txPr>
  <c:externalData r:id="rId4"/>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05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Структура производста ВВП, %</a:t>
            </a:r>
          </a:p>
        </c:rich>
      </c:tx>
      <c:layout>
        <c:manualLayout>
          <c:xMode val="edge"/>
          <c:yMode val="edge"/>
          <c:x val="0.28104162460461685"/>
          <c:y val="2.6357406431207171E-2"/>
        </c:manualLayout>
      </c:layout>
    </c:title>
    <c:plotArea>
      <c:layout>
        <c:manualLayout>
          <c:layoutTarget val="inner"/>
          <c:xMode val="edge"/>
          <c:yMode val="edge"/>
          <c:x val="6.7009375615890682E-2"/>
          <c:y val="0.10728546145501607"/>
          <c:w val="0.8992202628425916"/>
          <c:h val="0.62891557975366852"/>
        </c:manualLayout>
      </c:layout>
      <c:barChart>
        <c:barDir val="col"/>
        <c:grouping val="clustered"/>
        <c:ser>
          <c:idx val="0"/>
          <c:order val="0"/>
          <c:tx>
            <c:strRef>
              <c:f>Лист1!$B$1</c:f>
              <c:strCache>
                <c:ptCount val="1"/>
                <c:pt idx="0">
                  <c:v>январь-декабрь 2016 года</c:v>
                </c:pt>
              </c:strCache>
            </c:strRef>
          </c:tx>
          <c:spPr>
            <a:solidFill>
              <a:sysClr val="windowText" lastClr="000000">
                <a:lumMod val="65000"/>
                <a:lumOff val="35000"/>
              </a:sysClr>
            </a:solidFill>
            <a:ln>
              <a:solidFill>
                <a:sysClr val="windowText" lastClr="000000"/>
              </a:solidFill>
            </a:ln>
          </c:spPr>
          <c:dLbls>
            <c:dLbl>
              <c:idx val="0"/>
              <c:tx>
                <c:rich>
                  <a:bodyPr/>
                  <a:lstStyle/>
                  <a:p>
                    <a:r>
                      <a:rPr lang="ru-RU" sz="800" b="1">
                        <a:latin typeface="Times New Roman" pitchFamily="18" charset="0"/>
                        <a:cs typeface="Times New Roman" pitchFamily="18" charset="0"/>
                      </a:rPr>
                      <a:t>38,5</a:t>
                    </a:r>
                    <a:endParaRPr lang="en-US" sz="800" b="1">
                      <a:latin typeface="Times New Roman" pitchFamily="18" charset="0"/>
                      <a:cs typeface="Times New Roman" pitchFamily="18" charset="0"/>
                    </a:endParaRPr>
                  </a:p>
                </c:rich>
              </c:tx>
              <c:dLblPos val="outEnd"/>
              <c:showVal val="1"/>
            </c:dLbl>
            <c:dLbl>
              <c:idx val="1"/>
              <c:layout>
                <c:manualLayout>
                  <c:x val="-4.6296857123628923E-3"/>
                  <c:y val="1.5814443858724297E-2"/>
                </c:manualLayout>
              </c:layout>
              <c:tx>
                <c:rich>
                  <a:bodyPr/>
                  <a:lstStyle/>
                  <a:p>
                    <a:r>
                      <a:rPr lang="en-US" sz="800" b="1">
                        <a:latin typeface="Times New Roman" pitchFamily="18" charset="0"/>
                        <a:cs typeface="Times New Roman" pitchFamily="18" charset="0"/>
                      </a:rPr>
                      <a:t>61,</a:t>
                    </a:r>
                    <a:r>
                      <a:rPr lang="ru-RU" sz="800" b="1">
                        <a:latin typeface="Times New Roman" pitchFamily="18" charset="0"/>
                        <a:cs typeface="Times New Roman" pitchFamily="18" charset="0"/>
                      </a:rPr>
                      <a:t>5</a:t>
                    </a:r>
                    <a:endParaRPr lang="en-US" sz="800" b="1">
                      <a:latin typeface="Times New Roman" pitchFamily="18" charset="0"/>
                      <a:cs typeface="Times New Roman" pitchFamily="18" charset="0"/>
                    </a:endParaRPr>
                  </a:p>
                </c:rich>
              </c:tx>
              <c:dLblPos val="outEnd"/>
              <c:showVal val="1"/>
              <c:extLst>
                <c:ext xmlns:c15="http://schemas.microsoft.com/office/drawing/2012/chart" uri="{CE6537A1-D6FC-4f65-9D91-7224C49458BB}">
                  <c15:layout/>
                </c:ext>
              </c:extLst>
            </c:dLbl>
            <c:dLbl>
              <c:idx val="2"/>
              <c:layout>
                <c:manualLayout>
                  <c:x val="0"/>
                  <c:y val="8.9612276325237966E-2"/>
                </c:manualLayout>
              </c:layout>
              <c:tx>
                <c:rich>
                  <a:bodyPr/>
                  <a:lstStyle/>
                  <a:p>
                    <a:r>
                      <a:rPr lang="en-US" sz="800" b="1">
                        <a:latin typeface="Times New Roman" pitchFamily="18" charset="0"/>
                        <a:cs typeface="Times New Roman" pitchFamily="18" charset="0"/>
                      </a:rPr>
                      <a:t>-0,</a:t>
                    </a:r>
                    <a:r>
                      <a:rPr lang="ru-RU" sz="800" b="1">
                        <a:latin typeface="Times New Roman" pitchFamily="18" charset="0"/>
                        <a:cs typeface="Times New Roman" pitchFamily="18" charset="0"/>
                      </a:rPr>
                      <a:t>04</a:t>
                    </a:r>
                    <a:endParaRPr lang="en-US" sz="800" b="1">
                      <a:latin typeface="Times New Roman" pitchFamily="18" charset="0"/>
                      <a:cs typeface="Times New Roman" pitchFamily="18" charset="0"/>
                    </a:endParaRPr>
                  </a:p>
                </c:rich>
              </c:tx>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showLeaderLines val="0"/>
              </c:ext>
            </c:extLst>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Лист1!$B$2:$B$4</c:f>
              <c:numCache>
                <c:formatCode>#,##0.0</c:formatCode>
                <c:ptCount val="3"/>
                <c:pt idx="0" formatCode="0.0">
                  <c:v>38.51</c:v>
                </c:pt>
                <c:pt idx="1">
                  <c:v>61.53</c:v>
                </c:pt>
                <c:pt idx="2" formatCode="0.0">
                  <c:v>-4.0000000000000022E-2</c:v>
                </c:pt>
              </c:numCache>
            </c:numRef>
          </c:val>
        </c:ser>
        <c:ser>
          <c:idx val="1"/>
          <c:order val="1"/>
          <c:tx>
            <c:strRef>
              <c:f>Лист1!$C$1</c:f>
              <c:strCache>
                <c:ptCount val="1"/>
                <c:pt idx="0">
                  <c:v>январь-декабрь 2017 года</c:v>
                </c:pt>
              </c:strCache>
            </c:strRef>
          </c:tx>
          <c:spPr>
            <a:solidFill>
              <a:sysClr val="window" lastClr="FFFFFF">
                <a:lumMod val="85000"/>
              </a:sysClr>
            </a:solidFill>
            <a:ln>
              <a:solidFill>
                <a:sysClr val="windowText" lastClr="000000"/>
              </a:solidFill>
            </a:ln>
          </c:spPr>
          <c:dLbls>
            <c:dLbl>
              <c:idx val="0"/>
              <c:layout>
                <c:manualLayout>
                  <c:x val="-2.0671834625323694E-3"/>
                  <c:y val="2.3964864768038373E-17"/>
                </c:manualLayout>
              </c:layout>
              <c:tx>
                <c:rich>
                  <a:bodyPr/>
                  <a:lstStyle/>
                  <a:p>
                    <a:r>
                      <a:rPr lang="en-US" sz="800" b="1">
                        <a:latin typeface="Times New Roman" pitchFamily="18" charset="0"/>
                        <a:cs typeface="Times New Roman" pitchFamily="18" charset="0"/>
                      </a:rPr>
                      <a:t>4</a:t>
                    </a:r>
                    <a:r>
                      <a:rPr lang="ru-RU" sz="800" b="1">
                        <a:latin typeface="Times New Roman" pitchFamily="18" charset="0"/>
                        <a:cs typeface="Times New Roman" pitchFamily="18" charset="0"/>
                      </a:rPr>
                      <a:t>0,9</a:t>
                    </a:r>
                    <a:endParaRPr lang="en-US" sz="800" b="1">
                      <a:latin typeface="Times New Roman" pitchFamily="18" charset="0"/>
                      <a:cs typeface="Times New Roman" pitchFamily="18" charset="0"/>
                    </a:endParaRPr>
                  </a:p>
                </c:rich>
              </c:tx>
              <c:dLblPos val="outEnd"/>
              <c:showVal val="1"/>
              <c:extLst>
                <c:ext xmlns:c15="http://schemas.microsoft.com/office/drawing/2012/chart" uri="{CE6537A1-D6FC-4f65-9D91-7224C49458BB}">
                  <c15:layout/>
                </c:ext>
              </c:extLst>
            </c:dLbl>
            <c:dLbl>
              <c:idx val="1"/>
              <c:layout>
                <c:manualLayout>
                  <c:x val="6.4102564102564534E-3"/>
                  <c:y val="1.5814443858724297E-2"/>
                </c:manualLayout>
              </c:layout>
              <c:tx>
                <c:rich>
                  <a:bodyPr/>
                  <a:lstStyle/>
                  <a:p>
                    <a:r>
                      <a:rPr lang="en-US" sz="800" b="1">
                        <a:latin typeface="Times New Roman" pitchFamily="18" charset="0"/>
                        <a:cs typeface="Times New Roman" pitchFamily="18" charset="0"/>
                      </a:rPr>
                      <a:t>5</a:t>
                    </a:r>
                    <a:r>
                      <a:rPr lang="ru-RU" sz="800" b="1">
                        <a:latin typeface="Times New Roman" pitchFamily="18" charset="0"/>
                        <a:cs typeface="Times New Roman" pitchFamily="18" charset="0"/>
                      </a:rPr>
                      <a:t>8</a:t>
                    </a:r>
                    <a:r>
                      <a:rPr lang="en-US" sz="800" b="1">
                        <a:latin typeface="Times New Roman" pitchFamily="18" charset="0"/>
                        <a:cs typeface="Times New Roman" pitchFamily="18" charset="0"/>
                      </a:rPr>
                      <a:t>,</a:t>
                    </a:r>
                    <a:r>
                      <a:rPr lang="ru-RU" sz="800" b="1">
                        <a:latin typeface="Times New Roman" pitchFamily="18" charset="0"/>
                        <a:cs typeface="Times New Roman" pitchFamily="18" charset="0"/>
                      </a:rPr>
                      <a:t>8</a:t>
                    </a:r>
                    <a:endParaRPr lang="en-US" sz="800" b="1">
                      <a:latin typeface="Times New Roman" pitchFamily="18" charset="0"/>
                      <a:cs typeface="Times New Roman" pitchFamily="18" charset="0"/>
                    </a:endParaRPr>
                  </a:p>
                </c:rich>
              </c:tx>
              <c:dLblPos val="outEnd"/>
              <c:showVal val="1"/>
              <c:extLst>
                <c:ext xmlns:c15="http://schemas.microsoft.com/office/drawing/2012/chart" uri="{CE6537A1-D6FC-4f65-9D91-7224C49458BB}">
                  <c15:layout/>
                </c:ext>
              </c:extLst>
            </c:dLbl>
            <c:dLbl>
              <c:idx val="2"/>
              <c:layout>
                <c:manualLayout>
                  <c:x val="6.4126118850529506E-3"/>
                  <c:y val="2.6327520868009581E-2"/>
                </c:manualLayout>
              </c:layout>
              <c:tx>
                <c:rich>
                  <a:bodyPr/>
                  <a:lstStyle/>
                  <a:p>
                    <a:pPr>
                      <a:defRPr>
                        <a:solidFill>
                          <a:sysClr val="windowText" lastClr="000000"/>
                        </a:solidFill>
                      </a:defRPr>
                    </a:pPr>
                    <a:r>
                      <a:rPr lang="en-US" sz="800" b="1">
                        <a:solidFill>
                          <a:sysClr val="windowText" lastClr="000000"/>
                        </a:solidFill>
                        <a:latin typeface="Times New Roman" pitchFamily="18" charset="0"/>
                        <a:cs typeface="Times New Roman" pitchFamily="18" charset="0"/>
                      </a:rPr>
                      <a:t>0,</a:t>
                    </a:r>
                    <a:r>
                      <a:rPr lang="ru-RU" sz="800" b="1">
                        <a:solidFill>
                          <a:sysClr val="windowText" lastClr="000000"/>
                        </a:solidFill>
                        <a:latin typeface="Times New Roman" pitchFamily="18" charset="0"/>
                        <a:cs typeface="Times New Roman" pitchFamily="18" charset="0"/>
                      </a:rPr>
                      <a:t>24</a:t>
                    </a:r>
                    <a:endParaRPr lang="en-US" sz="800" b="1">
                      <a:solidFill>
                        <a:sysClr val="windowText" lastClr="000000"/>
                      </a:solidFill>
                      <a:latin typeface="Times New Roman" pitchFamily="18" charset="0"/>
                      <a:cs typeface="Times New Roman" pitchFamily="18" charset="0"/>
                    </a:endParaRPr>
                  </a:p>
                </c:rich>
              </c:tx>
              <c:spPr/>
              <c:dLblPos val="outEnd"/>
              <c:showVal val="1"/>
              <c:extLst>
                <c:ext xmlns:c15="http://schemas.microsoft.com/office/drawing/2012/chart" uri="{CE6537A1-D6FC-4f65-9D91-7224C49458BB}">
                  <c15:layout/>
                </c:ext>
              </c:extLst>
            </c:dLbl>
            <c:spPr>
              <a:noFill/>
              <a:ln>
                <a:noFill/>
              </a:ln>
              <a:effectLst/>
            </c:spPr>
            <c:dLblPos val="outEnd"/>
            <c:showVal val="1"/>
            <c:extLst>
              <c:ext xmlns:c15="http://schemas.microsoft.com/office/drawing/2012/chart" uri="{CE6537A1-D6FC-4f65-9D91-7224C49458BB}">
                <c15:showLeaderLines val="0"/>
              </c:ext>
            </c:extLst>
          </c:dLbls>
          <c:cat>
            <c:strRef>
              <c:f>Лист1!$A$2:$A$4</c:f>
              <c:strCache>
                <c:ptCount val="3"/>
                <c:pt idx="0">
                  <c:v>Производство товаров</c:v>
                </c:pt>
                <c:pt idx="1">
                  <c:v>Производство  услуг</c:v>
                </c:pt>
                <c:pt idx="2">
                  <c:v>Чистые налоги на продукты и на импорт (за минусом субсидий)</c:v>
                </c:pt>
              </c:strCache>
            </c:strRef>
          </c:cat>
          <c:val>
            <c:numRef>
              <c:f>Лист1!$C$2:$C$4</c:f>
              <c:numCache>
                <c:formatCode>#,##0.0</c:formatCode>
                <c:ptCount val="3"/>
                <c:pt idx="0" formatCode="0.0">
                  <c:v>40.93</c:v>
                </c:pt>
                <c:pt idx="1">
                  <c:v>58.83</c:v>
                </c:pt>
                <c:pt idx="2" formatCode="0.0">
                  <c:v>0.24000000000000021</c:v>
                </c:pt>
              </c:numCache>
            </c:numRef>
          </c:val>
        </c:ser>
        <c:dLbls>
          <c:showVal val="1"/>
        </c:dLbls>
        <c:axId val="143992704"/>
        <c:axId val="143994240"/>
      </c:barChart>
      <c:catAx>
        <c:axId val="143992704"/>
        <c:scaling>
          <c:orientation val="minMax"/>
        </c:scaling>
        <c:axPos val="b"/>
        <c:numFmt formatCode="General" sourceLinked="0"/>
        <c:tickLblPos val="nextTo"/>
        <c:txPr>
          <a:bodyPr/>
          <a:lstStyle/>
          <a:p>
            <a:pPr>
              <a:defRPr b="1">
                <a:latin typeface="Times New Roman" pitchFamily="18" charset="0"/>
                <a:cs typeface="Times New Roman" pitchFamily="18" charset="0"/>
              </a:defRPr>
            </a:pPr>
            <a:endParaRPr lang="ru-RU"/>
          </a:p>
        </c:txPr>
        <c:crossAx val="143994240"/>
        <c:crosses val="autoZero"/>
        <c:auto val="1"/>
        <c:lblAlgn val="ctr"/>
        <c:lblOffset val="100"/>
      </c:catAx>
      <c:valAx>
        <c:axId val="143994240"/>
        <c:scaling>
          <c:orientation val="minMax"/>
        </c:scaling>
        <c:axPos val="l"/>
        <c:numFmt formatCode="0.0" sourceLinked="1"/>
        <c:tickLblPos val="nextTo"/>
        <c:txPr>
          <a:bodyPr/>
          <a:lstStyle/>
          <a:p>
            <a:pPr>
              <a:defRPr sz="900" b="1">
                <a:latin typeface="Times New Roman" pitchFamily="18" charset="0"/>
                <a:cs typeface="Times New Roman" pitchFamily="18" charset="0"/>
              </a:defRPr>
            </a:pPr>
            <a:endParaRPr lang="ru-RU"/>
          </a:p>
        </c:txPr>
        <c:crossAx val="143992704"/>
        <c:crosses val="autoZero"/>
        <c:crossBetween val="between"/>
      </c:valAx>
    </c:plotArea>
    <c:legend>
      <c:legendPos val="b"/>
      <c:layout>
        <c:manualLayout>
          <c:xMode val="edge"/>
          <c:yMode val="edge"/>
          <c:x val="7.113032950738131E-2"/>
          <c:y val="0.83403225173126161"/>
          <c:w val="0.59353576780255834"/>
          <c:h val="0.12260426726245051"/>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106"/>
            </a:pPr>
            <a:r>
              <a:rPr lang="ru-RU" sz="1152"/>
              <a:t>Динамика внешнеторгового оборота </a:t>
            </a:r>
          </a:p>
          <a:p>
            <a:pPr>
              <a:defRPr sz="1106"/>
            </a:pPr>
            <a:r>
              <a:rPr lang="ru-RU" sz="1152"/>
              <a:t>в январе-декабре 2016 - 2017 г.г., млн долл. США</a:t>
            </a:r>
          </a:p>
        </c:rich>
      </c:tx>
      <c:layout>
        <c:manualLayout>
          <c:xMode val="edge"/>
          <c:yMode val="edge"/>
          <c:x val="0.28553277639076025"/>
          <c:y val="2.2699435297860496E-3"/>
        </c:manualLayout>
      </c:layout>
      <c:spPr>
        <a:noFill/>
        <a:ln w="24387">
          <a:noFill/>
        </a:ln>
      </c:spPr>
    </c:title>
    <c:plotArea>
      <c:layout>
        <c:manualLayout>
          <c:layoutTarget val="inner"/>
          <c:xMode val="edge"/>
          <c:yMode val="edge"/>
          <c:x val="0.23831808737749535"/>
          <c:y val="0.26516866970576314"/>
          <c:w val="0.74851471278700132"/>
          <c:h val="0.40652244785191338"/>
        </c:manualLayout>
      </c:layout>
      <c:barChart>
        <c:barDir val="col"/>
        <c:grouping val="clustered"/>
        <c:ser>
          <c:idx val="0"/>
          <c:order val="0"/>
          <c:tx>
            <c:strRef>
              <c:f>Sheet1!$B$1</c:f>
              <c:strCache>
                <c:ptCount val="1"/>
                <c:pt idx="0">
                  <c:v>январь - декабрь 2016 г.</c:v>
                </c:pt>
              </c:strCache>
            </c:strRef>
          </c:tx>
          <c:spPr>
            <a:solidFill>
              <a:sysClr val="window" lastClr="FFFFFF">
                <a:lumMod val="75000"/>
              </a:sysClr>
            </a:solidFill>
          </c:spPr>
          <c:dLbls>
            <c:dLbl>
              <c:idx val="0"/>
              <c:layout>
                <c:manualLayout>
                  <c:x val="-5.499438171511376E-3"/>
                  <c:y val="2.8054410092518807E-2"/>
                </c:manualLayout>
              </c:layout>
              <c:tx>
                <c:rich>
                  <a:bodyPr/>
                  <a:lstStyle/>
                  <a:p>
                    <a:r>
                      <a:rPr lang="en-US" sz="864"/>
                      <a:t>-</a:t>
                    </a:r>
                    <a:r>
                      <a:rPr lang="ru-RU" sz="864"/>
                      <a:t>20,6</a:t>
                    </a:r>
                    <a:r>
                      <a:rPr lang="en-US" sz="864"/>
                      <a:t>*</a:t>
                    </a:r>
                  </a:p>
                </c:rich>
              </c:tx>
              <c:dLblPos val="outEnd"/>
            </c:dLbl>
            <c:dLbl>
              <c:idx val="1"/>
              <c:layout>
                <c:manualLayout>
                  <c:x val="-6.7129877071084977E-3"/>
                  <c:y val="3.2162613964137839E-2"/>
                </c:manualLayout>
              </c:layout>
              <c:tx>
                <c:rich>
                  <a:bodyPr/>
                  <a:lstStyle/>
                  <a:p>
                    <a:r>
                      <a:rPr lang="en-US" sz="864"/>
                      <a:t>-</a:t>
                    </a:r>
                    <a:r>
                      <a:rPr lang="ru-RU" sz="864"/>
                      <a:t>13,2</a:t>
                    </a:r>
                    <a:r>
                      <a:rPr lang="en-US" sz="864"/>
                      <a:t>*</a:t>
                    </a:r>
                  </a:p>
                </c:rich>
              </c:tx>
              <c:dLblPos val="outEnd"/>
            </c:dLbl>
            <c:dLbl>
              <c:idx val="2"/>
              <c:layout>
                <c:manualLayout>
                  <c:x val="-7.8388547504220362E-17"/>
                  <c:y val="2.8054410092518807E-2"/>
                </c:manualLayout>
              </c:layout>
              <c:tx>
                <c:rich>
                  <a:bodyPr/>
                  <a:lstStyle/>
                  <a:p>
                    <a:r>
                      <a:rPr lang="en-US" sz="864"/>
                      <a:t>-</a:t>
                    </a:r>
                    <a:r>
                      <a:rPr lang="ru-RU" sz="864"/>
                      <a:t>24,6</a:t>
                    </a:r>
                    <a:r>
                      <a:rPr lang="en-US" sz="864"/>
                      <a:t>*</a:t>
                    </a:r>
                  </a:p>
                </c:rich>
              </c:tx>
            </c:dLbl>
            <c:dLbl>
              <c:idx val="3"/>
              <c:delete val="1"/>
            </c:dLbl>
            <c:spPr>
              <a:noFill/>
              <a:ln w="24387">
                <a:noFill/>
              </a:ln>
            </c:spPr>
            <c:txPr>
              <a:bodyPr/>
              <a:lstStyle/>
              <a:p>
                <a:pPr>
                  <a:defRPr sz="864"/>
                </a:pPr>
                <a:endParaRPr lang="ru-RU"/>
              </a:p>
            </c:txPr>
            <c:showVal val="1"/>
          </c:dLbls>
          <c:cat>
            <c:strRef>
              <c:f>Sheet1!$A$2:$A$5</c:f>
              <c:strCache>
                <c:ptCount val="4"/>
                <c:pt idx="0">
                  <c:v>ВТО</c:v>
                </c:pt>
                <c:pt idx="1">
                  <c:v>Экспорт</c:v>
                </c:pt>
                <c:pt idx="2">
                  <c:v>Импорт</c:v>
                </c:pt>
                <c:pt idx="3">
                  <c:v>Сальдо</c:v>
                </c:pt>
              </c:strCache>
            </c:strRef>
          </c:cat>
          <c:val>
            <c:numRef>
              <c:f>Sheet1!$B$2:$B$5</c:f>
              <c:numCache>
                <c:formatCode>#,##0.0</c:formatCode>
                <c:ptCount val="4"/>
                <c:pt idx="0">
                  <c:v>1465.4</c:v>
                </c:pt>
                <c:pt idx="1">
                  <c:v>542.20000000000005</c:v>
                </c:pt>
                <c:pt idx="2">
                  <c:v>923.2</c:v>
                </c:pt>
                <c:pt idx="3">
                  <c:v>-381</c:v>
                </c:pt>
              </c:numCache>
            </c:numRef>
          </c:val>
        </c:ser>
        <c:ser>
          <c:idx val="1"/>
          <c:order val="1"/>
          <c:tx>
            <c:strRef>
              <c:f>Sheet1!$C$1</c:f>
              <c:strCache>
                <c:ptCount val="1"/>
                <c:pt idx="0">
                  <c:v>январь -декабрь 2017 г.</c:v>
                </c:pt>
              </c:strCache>
            </c:strRef>
          </c:tx>
          <c:spPr>
            <a:solidFill>
              <a:sysClr val="windowText" lastClr="000000">
                <a:lumMod val="75000"/>
                <a:lumOff val="25000"/>
              </a:sysClr>
            </a:solidFill>
            <a:effectLst>
              <a:outerShdw blurRad="40000" dist="12700" dir="5400000" rotWithShape="0">
                <a:srgbClr val="000000">
                  <a:alpha val="35000"/>
                </a:srgbClr>
              </a:outerShdw>
            </a:effectLst>
          </c:spPr>
          <c:dLbls>
            <c:dLbl>
              <c:idx val="0"/>
              <c:layout>
                <c:manualLayout>
                  <c:x val="-2.0683705290446405E-3"/>
                  <c:y val="1.7371644170674484E-2"/>
                </c:manualLayout>
              </c:layout>
              <c:tx>
                <c:rich>
                  <a:bodyPr/>
                  <a:lstStyle/>
                  <a:p>
                    <a:r>
                      <a:rPr lang="en-US" sz="864"/>
                      <a:t>+</a:t>
                    </a:r>
                    <a:r>
                      <a:rPr lang="ru-RU" sz="864"/>
                      <a:t>15,0</a:t>
                    </a:r>
                    <a:r>
                      <a:rPr lang="en-US" sz="864"/>
                      <a:t>*</a:t>
                    </a:r>
                  </a:p>
                </c:rich>
              </c:tx>
              <c:dLblPos val="outEnd"/>
            </c:dLbl>
            <c:dLbl>
              <c:idx val="1"/>
              <c:layout>
                <c:manualLayout>
                  <c:x val="2.4114436256665139E-3"/>
                  <c:y val="2.378163507508145E-2"/>
                </c:manualLayout>
              </c:layout>
              <c:tx>
                <c:rich>
                  <a:bodyPr/>
                  <a:lstStyle/>
                  <a:p>
                    <a:r>
                      <a:rPr lang="en-US" sz="864"/>
                      <a:t>+</a:t>
                    </a:r>
                    <a:r>
                      <a:rPr lang="ru-RU" sz="864"/>
                      <a:t>19,3</a:t>
                    </a:r>
                    <a:r>
                      <a:rPr lang="en-US" sz="864"/>
                      <a:t>*</a:t>
                    </a:r>
                  </a:p>
                </c:rich>
              </c:tx>
              <c:dLblPos val="outEnd"/>
            </c:dLbl>
            <c:dLbl>
              <c:idx val="2"/>
              <c:layout>
                <c:manualLayout>
                  <c:x val="3.9535891792254214E-3"/>
                  <c:y val="1.7604694585222735E-2"/>
                </c:manualLayout>
              </c:layout>
              <c:tx>
                <c:rich>
                  <a:bodyPr/>
                  <a:lstStyle/>
                  <a:p>
                    <a:r>
                      <a:rPr lang="en-US" sz="864"/>
                      <a:t>+</a:t>
                    </a:r>
                    <a:r>
                      <a:rPr lang="ru-RU" sz="864"/>
                      <a:t>12,5</a:t>
                    </a:r>
                    <a:r>
                      <a:rPr lang="en-US" sz="864"/>
                      <a:t>*</a:t>
                    </a:r>
                  </a:p>
                </c:rich>
              </c:tx>
              <c:dLblPos val="outEnd"/>
            </c:dLbl>
            <c:dLbl>
              <c:idx val="3"/>
              <c:delete val="1"/>
            </c:dLbl>
            <c:spPr>
              <a:noFill/>
              <a:ln w="24387">
                <a:noFill/>
              </a:ln>
            </c:spPr>
            <c:txPr>
              <a:bodyPr/>
              <a:lstStyle/>
              <a:p>
                <a:pPr>
                  <a:defRPr sz="864"/>
                </a:pPr>
                <a:endParaRPr lang="ru-RU"/>
              </a:p>
            </c:txPr>
            <c:showVal val="1"/>
          </c:dLbls>
          <c:cat>
            <c:strRef>
              <c:f>Sheet1!$A$2:$A$5</c:f>
              <c:strCache>
                <c:ptCount val="4"/>
                <c:pt idx="0">
                  <c:v>ВТО</c:v>
                </c:pt>
                <c:pt idx="1">
                  <c:v>Экспорт</c:v>
                </c:pt>
                <c:pt idx="2">
                  <c:v>Импорт</c:v>
                </c:pt>
                <c:pt idx="3">
                  <c:v>Сальдо</c:v>
                </c:pt>
              </c:strCache>
            </c:strRef>
          </c:cat>
          <c:val>
            <c:numRef>
              <c:f>Sheet1!$C$2:$C$5</c:f>
              <c:numCache>
                <c:formatCode>#,##0.0</c:formatCode>
                <c:ptCount val="4"/>
                <c:pt idx="0">
                  <c:v>1685.7</c:v>
                </c:pt>
                <c:pt idx="1">
                  <c:v>646.79999999999995</c:v>
                </c:pt>
                <c:pt idx="2">
                  <c:v>1038.9000000000001</c:v>
                </c:pt>
                <c:pt idx="3">
                  <c:v>-392.10000000000031</c:v>
                </c:pt>
              </c:numCache>
            </c:numRef>
          </c:val>
        </c:ser>
        <c:gapWidth val="76"/>
        <c:overlap val="-6"/>
        <c:axId val="105557376"/>
        <c:axId val="105567360"/>
      </c:barChart>
      <c:catAx>
        <c:axId val="105557376"/>
        <c:scaling>
          <c:orientation val="minMax"/>
        </c:scaling>
        <c:axPos val="b"/>
        <c:numFmt formatCode="General" sourceLinked="1"/>
        <c:majorTickMark val="cross"/>
        <c:tickLblPos val="nextTo"/>
        <c:txPr>
          <a:bodyPr rot="0" vert="horz"/>
          <a:lstStyle/>
          <a:p>
            <a:pPr>
              <a:defRPr/>
            </a:pPr>
            <a:endParaRPr lang="ru-RU"/>
          </a:p>
        </c:txPr>
        <c:crossAx val="105567360"/>
        <c:crosses val="autoZero"/>
        <c:lblAlgn val="ctr"/>
        <c:lblOffset val="20"/>
        <c:tickMarkSkip val="1"/>
      </c:catAx>
      <c:valAx>
        <c:axId val="105567360"/>
        <c:scaling>
          <c:orientation val="minMax"/>
        </c:scaling>
        <c:axPos val="l"/>
        <c:title>
          <c:tx>
            <c:rich>
              <a:bodyPr rot="0" vert="horz"/>
              <a:lstStyle/>
              <a:p>
                <a:pPr algn="ctr">
                  <a:defRPr sz="850" b="1" i="0" u="none" strike="noStrike" baseline="0">
                    <a:solidFill>
                      <a:srgbClr val="000000"/>
                    </a:solidFill>
                    <a:latin typeface="Arial Cyr"/>
                    <a:ea typeface="Arial Cyr"/>
                    <a:cs typeface="Arial Cyr"/>
                  </a:defRPr>
                </a:pPr>
                <a:r>
                  <a:rPr lang="ru-RU" sz="850" b="1" i="0" strike="noStrike">
                    <a:solidFill>
                      <a:srgbClr val="000000"/>
                    </a:solidFill>
                    <a:latin typeface="Times New Roman"/>
                    <a:cs typeface="Times New Roman"/>
                  </a:rPr>
                  <a:t>* - темп прироста (спада) в % к </a:t>
                </a:r>
              </a:p>
              <a:p>
                <a:pPr algn="ctr">
                  <a:defRPr sz="850" b="1" i="0" u="none" strike="noStrike" baseline="0">
                    <a:solidFill>
                      <a:srgbClr val="000000"/>
                    </a:solidFill>
                    <a:latin typeface="Arial Cyr"/>
                    <a:ea typeface="Arial Cyr"/>
                    <a:cs typeface="Arial Cyr"/>
                  </a:defRPr>
                </a:pPr>
                <a:r>
                  <a:rPr lang="ru-RU" sz="850" b="1" i="0" strike="noStrike">
                    <a:solidFill>
                      <a:srgbClr val="000000"/>
                    </a:solidFill>
                    <a:latin typeface="Times New Roman"/>
                    <a:cs typeface="Times New Roman"/>
                  </a:rPr>
                  <a:t>предыдущему году</a:t>
                </a:r>
              </a:p>
            </c:rich>
          </c:tx>
          <c:layout>
            <c:manualLayout>
              <c:xMode val="edge"/>
              <c:yMode val="edge"/>
              <c:x val="1.5441819772528652E-3"/>
              <c:y val="0.33583894796656355"/>
            </c:manualLayout>
          </c:layout>
          <c:spPr>
            <a:noFill/>
            <a:ln w="24387">
              <a:noFill/>
            </a:ln>
          </c:spPr>
        </c:title>
        <c:numFmt formatCode="#,##0.0" sourceLinked="1"/>
        <c:majorTickMark val="cross"/>
        <c:tickLblPos val="nextTo"/>
        <c:txPr>
          <a:bodyPr rot="0" vert="horz"/>
          <a:lstStyle/>
          <a:p>
            <a:pPr>
              <a:defRPr sz="864"/>
            </a:pPr>
            <a:endParaRPr lang="ru-RU"/>
          </a:p>
        </c:txPr>
        <c:crossAx val="105557376"/>
        <c:crosses val="autoZero"/>
        <c:crossBetween val="between"/>
      </c:valAx>
      <c:dTable>
        <c:showHorzBorder val="1"/>
        <c:showVertBorder val="1"/>
        <c:showOutline val="1"/>
        <c:showKeys val="1"/>
        <c:txPr>
          <a:bodyPr/>
          <a:lstStyle/>
          <a:p>
            <a:pPr rtl="0">
              <a:defRPr sz="864"/>
            </a:pPr>
            <a:endParaRPr lang="ru-RU"/>
          </a:p>
        </c:txPr>
      </c:dTable>
    </c:plotArea>
    <c:plotVisOnly val="1"/>
    <c:dispBlanksAs val="gap"/>
  </c:chart>
  <c:spPr>
    <a:ln>
      <a:noFill/>
    </a:ln>
  </c:spPr>
  <c:txPr>
    <a:bodyPr/>
    <a:lstStyle/>
    <a:p>
      <a:pPr>
        <a:defRPr b="1">
          <a:latin typeface="Times New Roman" pitchFamily="18" charset="0"/>
          <a:cs typeface="Times New Roman"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a:pPr>
            <a:r>
              <a:rPr lang="ru-RU" sz="1152">
                <a:latin typeface="Times New Roman" pitchFamily="18" charset="0"/>
                <a:cs typeface="Times New Roman" pitchFamily="18" charset="0"/>
              </a:rPr>
              <a:t>Товарная структура экспорта, млн долл. США</a:t>
            </a:r>
          </a:p>
        </c:rich>
      </c:tx>
      <c:layout>
        <c:manualLayout>
          <c:xMode val="edge"/>
          <c:yMode val="edge"/>
          <c:x val="0.28168056312548984"/>
          <c:y val="8.9605932125618826E-4"/>
        </c:manualLayout>
      </c:layout>
      <c:spPr>
        <a:noFill/>
        <a:ln w="24386">
          <a:noFill/>
        </a:ln>
      </c:spPr>
    </c:title>
    <c:plotArea>
      <c:layout>
        <c:manualLayout>
          <c:layoutTarget val="inner"/>
          <c:xMode val="edge"/>
          <c:yMode val="edge"/>
          <c:x val="7.163181174256103E-2"/>
          <c:y val="7.4904834346741639E-2"/>
          <c:w val="0.92836811128945951"/>
          <c:h val="0.37462103644811379"/>
        </c:manualLayout>
      </c:layout>
      <c:barChart>
        <c:barDir val="col"/>
        <c:grouping val="clustered"/>
        <c:ser>
          <c:idx val="0"/>
          <c:order val="0"/>
          <c:tx>
            <c:strRef>
              <c:f>Sheet1!$A$2</c:f>
              <c:strCache>
                <c:ptCount val="1"/>
                <c:pt idx="0">
                  <c:v>январь - декабрь 2016 г.</c:v>
                </c:pt>
              </c:strCache>
            </c:strRef>
          </c:tx>
          <c:spPr>
            <a:solidFill>
              <a:sysClr val="window" lastClr="FFFFFF">
                <a:lumMod val="75000"/>
              </a:sysClr>
            </a:solidFill>
          </c:spPr>
          <c:dLbls>
            <c:dLbl>
              <c:idx val="0"/>
              <c:layout>
                <c:manualLayout>
                  <c:x val="-4.3723566812214013E-3"/>
                  <c:y val="2.9912765758649202E-3"/>
                </c:manualLayout>
              </c:layout>
              <c:tx>
                <c:rich>
                  <a:bodyPr/>
                  <a:lstStyle/>
                  <a:p>
                    <a:r>
                      <a:rPr lang="ru-RU" sz="864"/>
                      <a:t>15,8</a:t>
                    </a:r>
                    <a:r>
                      <a:rPr lang="en-US" sz="864"/>
                      <a:t>*</a:t>
                    </a:r>
                  </a:p>
                </c:rich>
              </c:tx>
              <c:dLblPos val="outEnd"/>
            </c:dLbl>
            <c:dLbl>
              <c:idx val="1"/>
              <c:layout>
                <c:manualLayout>
                  <c:x val="-6.4204877616104439E-3"/>
                  <c:y val="1.3320082562495223E-2"/>
                </c:manualLayout>
              </c:layout>
              <c:tx>
                <c:rich>
                  <a:bodyPr/>
                  <a:lstStyle/>
                  <a:p>
                    <a:r>
                      <a:rPr lang="ru-RU" sz="864"/>
                      <a:t>34,6</a:t>
                    </a:r>
                    <a:r>
                      <a:rPr lang="en-US" sz="864"/>
                      <a:t>*</a:t>
                    </a:r>
                  </a:p>
                </c:rich>
              </c:tx>
              <c:dLblPos val="outEnd"/>
            </c:dLbl>
            <c:dLbl>
              <c:idx val="2"/>
              <c:layout>
                <c:manualLayout>
                  <c:x val="-8.5607276618512567E-3"/>
                  <c:y val="1.1693046843720804E-2"/>
                </c:manualLayout>
              </c:layout>
              <c:tx>
                <c:rich>
                  <a:bodyPr/>
                  <a:lstStyle/>
                  <a:p>
                    <a:r>
                      <a:rPr lang="en-US" sz="864"/>
                      <a:t>2</a:t>
                    </a:r>
                    <a:r>
                      <a:rPr lang="ru-RU" sz="864"/>
                      <a:t>0,6</a:t>
                    </a:r>
                    <a:r>
                      <a:rPr lang="en-US" sz="864"/>
                      <a:t>*</a:t>
                    </a:r>
                  </a:p>
                </c:rich>
              </c:tx>
              <c:dLblPos val="outEnd"/>
            </c:dLbl>
            <c:dLbl>
              <c:idx val="3"/>
              <c:layout>
                <c:manualLayout>
                  <c:x val="-6.1443932411674364E-3"/>
                  <c:y val="1.2944983818770227E-2"/>
                </c:manualLayout>
              </c:layout>
              <c:tx>
                <c:rich>
                  <a:bodyPr/>
                  <a:lstStyle/>
                  <a:p>
                    <a:r>
                      <a:rPr lang="ru-RU" sz="864"/>
                      <a:t>16,5</a:t>
                    </a:r>
                    <a:r>
                      <a:rPr lang="en-US" sz="864"/>
                      <a:t>*</a:t>
                    </a:r>
                  </a:p>
                </c:rich>
              </c:tx>
              <c:dLblPos val="outEnd"/>
            </c:dLbl>
            <c:dLbl>
              <c:idx val="4"/>
              <c:layout>
                <c:manualLayout>
                  <c:x val="2.1401819154630184E-3"/>
                  <c:y val="5.0505050505050475E-3"/>
                </c:manualLayout>
              </c:layout>
              <c:tx>
                <c:rich>
                  <a:bodyPr/>
                  <a:lstStyle/>
                  <a:p>
                    <a:r>
                      <a:rPr lang="en-US" sz="864"/>
                      <a:t>4,</a:t>
                    </a:r>
                    <a:r>
                      <a:rPr lang="ru-RU" sz="864"/>
                      <a:t>1</a:t>
                    </a:r>
                    <a:r>
                      <a:rPr lang="en-US" sz="864"/>
                      <a:t>*</a:t>
                    </a:r>
                  </a:p>
                </c:rich>
              </c:tx>
              <c:dLblPos val="outEnd"/>
            </c:dLbl>
            <c:dLbl>
              <c:idx val="5"/>
              <c:layout>
                <c:manualLayout>
                  <c:x val="-6.1443932411674364E-3"/>
                  <c:y val="8.6299892125135027E-3"/>
                </c:manualLayout>
              </c:layout>
              <c:tx>
                <c:rich>
                  <a:bodyPr/>
                  <a:lstStyle/>
                  <a:p>
                    <a:r>
                      <a:rPr lang="en-US" sz="864"/>
                      <a:t>5,</a:t>
                    </a:r>
                    <a:r>
                      <a:rPr lang="ru-RU" sz="864"/>
                      <a:t>2</a:t>
                    </a:r>
                    <a:r>
                      <a:rPr lang="en-US" sz="864"/>
                      <a:t>*</a:t>
                    </a:r>
                  </a:p>
                </c:rich>
              </c:tx>
              <c:dLblPos val="outEnd"/>
            </c:dLbl>
            <c:dLbl>
              <c:idx val="6"/>
              <c:layout>
                <c:manualLayout>
                  <c:x val="-1.0424825929017447E-2"/>
                  <c:y val="1.7259978425026964E-2"/>
                </c:manualLayout>
              </c:layout>
              <c:tx>
                <c:rich>
                  <a:bodyPr/>
                  <a:lstStyle/>
                  <a:p>
                    <a:r>
                      <a:rPr lang="ru-RU" sz="864"/>
                      <a:t>3,0</a:t>
                    </a:r>
                    <a:r>
                      <a:rPr lang="en-US" sz="864"/>
                      <a:t>*</a:t>
                    </a:r>
                  </a:p>
                </c:rich>
              </c:tx>
              <c:dLblPos val="outEnd"/>
            </c:dLbl>
            <c:spPr>
              <a:noFill/>
              <a:ln w="24386">
                <a:noFill/>
              </a:ln>
            </c:spPr>
            <c:txPr>
              <a:bodyPr rot="0" vert="horz"/>
              <a:lstStyle/>
              <a:p>
                <a:pPr>
                  <a:defRPr sz="864"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85.8</c:v>
                </c:pt>
                <c:pt idx="1">
                  <c:v>187.6</c:v>
                </c:pt>
                <c:pt idx="2">
                  <c:v>111.9</c:v>
                </c:pt>
                <c:pt idx="3">
                  <c:v>89.7</c:v>
                </c:pt>
                <c:pt idx="4">
                  <c:v>22.5</c:v>
                </c:pt>
                <c:pt idx="5">
                  <c:v>28.3</c:v>
                </c:pt>
                <c:pt idx="6">
                  <c:v>16.400000000000059</c:v>
                </c:pt>
              </c:numCache>
            </c:numRef>
          </c:val>
        </c:ser>
        <c:ser>
          <c:idx val="1"/>
          <c:order val="1"/>
          <c:tx>
            <c:strRef>
              <c:f>Sheet1!$A$3</c:f>
              <c:strCache>
                <c:ptCount val="1"/>
                <c:pt idx="0">
                  <c:v>январь - декабрь 2017 г.</c:v>
                </c:pt>
              </c:strCache>
            </c:strRef>
          </c:tx>
          <c:spPr>
            <a:solidFill>
              <a:sysClr val="windowText" lastClr="000000">
                <a:lumMod val="75000"/>
                <a:lumOff val="25000"/>
              </a:sysClr>
            </a:solidFill>
            <a:scene3d>
              <a:camera prst="orthographicFront"/>
              <a:lightRig rig="threePt" dir="t">
                <a:rot lat="0" lon="0" rev="1800000"/>
              </a:lightRig>
            </a:scene3d>
            <a:sp3d>
              <a:bevelT w="63500" h="25400"/>
            </a:sp3d>
          </c:spPr>
          <c:dLbls>
            <c:dLbl>
              <c:idx val="0"/>
              <c:layout>
                <c:manualLayout>
                  <c:x val="8.5607276618512567E-3"/>
                  <c:y val="4.0041409166483672E-3"/>
                </c:manualLayout>
              </c:layout>
              <c:tx>
                <c:rich>
                  <a:bodyPr/>
                  <a:lstStyle/>
                  <a:p>
                    <a:r>
                      <a:rPr lang="en-US" sz="864"/>
                      <a:t>3</a:t>
                    </a:r>
                    <a:r>
                      <a:rPr lang="ru-RU" sz="864"/>
                      <a:t>6,2</a:t>
                    </a:r>
                    <a:r>
                      <a:rPr lang="en-US" sz="864"/>
                      <a:t>*</a:t>
                    </a:r>
                  </a:p>
                </c:rich>
              </c:tx>
              <c:dLblPos val="outEnd"/>
            </c:dLbl>
            <c:dLbl>
              <c:idx val="1"/>
              <c:layout>
                <c:manualLayout>
                  <c:x val="6.4205457463884395E-3"/>
                  <c:y val="5.0505050505050475E-3"/>
                </c:manualLayout>
              </c:layout>
              <c:tx>
                <c:rich>
                  <a:bodyPr/>
                  <a:lstStyle/>
                  <a:p>
                    <a:r>
                      <a:rPr lang="ru-RU" sz="864"/>
                      <a:t>16,6</a:t>
                    </a:r>
                    <a:r>
                      <a:rPr lang="en-US" sz="864"/>
                      <a:t>*</a:t>
                    </a:r>
                  </a:p>
                </c:rich>
              </c:tx>
              <c:dLblPos val="outEnd"/>
            </c:dLbl>
            <c:dLbl>
              <c:idx val="2"/>
              <c:layout>
                <c:manualLayout>
                  <c:x val="8.5607276618512567E-3"/>
                  <c:y val="6.0606060606060629E-2"/>
                </c:manualLayout>
              </c:layout>
              <c:tx>
                <c:rich>
                  <a:bodyPr/>
                  <a:lstStyle/>
                  <a:p>
                    <a:r>
                      <a:rPr lang="ru-RU" sz="864"/>
                      <a:t>18,2</a:t>
                    </a:r>
                    <a:r>
                      <a:rPr lang="en-US" sz="864"/>
                      <a:t>*</a:t>
                    </a:r>
                  </a:p>
                  <a:p>
                    <a:endParaRPr lang="en-US" sz="900"/>
                  </a:p>
                </c:rich>
              </c:tx>
              <c:dLblPos val="outEnd"/>
            </c:dLbl>
            <c:dLbl>
              <c:idx val="3"/>
              <c:layout>
                <c:manualLayout>
                  <c:x val="8.5607276618512567E-3"/>
                  <c:y val="1.0101010101010105E-2"/>
                </c:manualLayout>
              </c:layout>
              <c:tx>
                <c:rich>
                  <a:bodyPr/>
                  <a:lstStyle/>
                  <a:p>
                    <a:r>
                      <a:rPr lang="en-US" sz="864"/>
                      <a:t>15,</a:t>
                    </a:r>
                    <a:r>
                      <a:rPr lang="ru-RU" sz="864"/>
                      <a:t>4</a:t>
                    </a:r>
                    <a:r>
                      <a:rPr lang="en-US" sz="864"/>
                      <a:t>*</a:t>
                    </a:r>
                  </a:p>
                </c:rich>
              </c:tx>
              <c:dLblPos val="outEnd"/>
            </c:dLbl>
            <c:dLbl>
              <c:idx val="4"/>
              <c:layout>
                <c:manualLayout>
                  <c:x val="1.0694016000538759E-2"/>
                  <c:y val="1.5984487076269503E-2"/>
                </c:manualLayout>
              </c:layout>
              <c:tx>
                <c:rich>
                  <a:bodyPr/>
                  <a:lstStyle/>
                  <a:p>
                    <a:r>
                      <a:rPr lang="en-US" sz="864"/>
                      <a:t>5,</a:t>
                    </a:r>
                    <a:r>
                      <a:rPr lang="ru-RU" sz="864"/>
                      <a:t>2</a:t>
                    </a:r>
                    <a:r>
                      <a:rPr lang="en-US" sz="864"/>
                      <a:t>*</a:t>
                    </a:r>
                  </a:p>
                </c:rich>
              </c:tx>
              <c:dLblPos val="outEnd"/>
            </c:dLbl>
            <c:dLbl>
              <c:idx val="5"/>
              <c:layout>
                <c:manualLayout>
                  <c:x val="1.0700917863620868E-2"/>
                  <c:y val="1.5984487076269503E-2"/>
                </c:manualLayout>
              </c:layout>
              <c:tx>
                <c:rich>
                  <a:bodyPr/>
                  <a:lstStyle/>
                  <a:p>
                    <a:r>
                      <a:rPr lang="en-US" sz="864"/>
                      <a:t>5,</a:t>
                    </a:r>
                    <a:r>
                      <a:rPr lang="ru-RU" sz="864"/>
                      <a:t>2</a:t>
                    </a:r>
                    <a:r>
                      <a:rPr lang="en-US" sz="864"/>
                      <a:t>*</a:t>
                    </a:r>
                  </a:p>
                </c:rich>
              </c:tx>
              <c:dLblPos val="outEnd"/>
            </c:dLbl>
            <c:dLbl>
              <c:idx val="6"/>
              <c:layout>
                <c:manualLayout>
                  <c:x val="4.2803638309256934E-3"/>
                  <c:y val="1.5936254980079678E-2"/>
                </c:manualLayout>
              </c:layout>
              <c:tx>
                <c:rich>
                  <a:bodyPr/>
                  <a:lstStyle/>
                  <a:p>
                    <a:r>
                      <a:rPr lang="en-US" sz="864"/>
                      <a:t>3,</a:t>
                    </a:r>
                    <a:r>
                      <a:rPr lang="ru-RU" sz="864"/>
                      <a:t>4</a:t>
                    </a:r>
                    <a:r>
                      <a:rPr lang="en-US" sz="864"/>
                      <a:t>*</a:t>
                    </a:r>
                  </a:p>
                </c:rich>
              </c:tx>
              <c:dLblPos val="outEnd"/>
            </c:dLbl>
            <c:spPr>
              <a:noFill/>
              <a:ln w="24386">
                <a:noFill/>
              </a:ln>
            </c:spPr>
            <c:txPr>
              <a:bodyPr rot="0" vert="horz"/>
              <a:lstStyle/>
              <a:p>
                <a:pPr>
                  <a:defRPr sz="864" b="1">
                    <a:latin typeface="Times New Roman" pitchFamily="18" charset="0"/>
                    <a:cs typeface="Times New Roman" pitchFamily="18" charset="0"/>
                  </a:defRPr>
                </a:pPr>
                <a:endParaRPr lang="ru-RU"/>
              </a:p>
            </c:txPr>
            <c:dLblPos val="outEnd"/>
            <c:showVal val="1"/>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233.9</c:v>
                </c:pt>
                <c:pt idx="1">
                  <c:v>107.1</c:v>
                </c:pt>
                <c:pt idx="2">
                  <c:v>117.44900000000032</c:v>
                </c:pt>
                <c:pt idx="3">
                  <c:v>99.409000000000006</c:v>
                </c:pt>
                <c:pt idx="4">
                  <c:v>33.703000000000003</c:v>
                </c:pt>
                <c:pt idx="5">
                  <c:v>33.350999999999999</c:v>
                </c:pt>
                <c:pt idx="6">
                  <c:v>21.871999999999971</c:v>
                </c:pt>
              </c:numCache>
            </c:numRef>
          </c:val>
        </c:ser>
        <c:dLbls>
          <c:showVal val="1"/>
        </c:dLbls>
        <c:gapWidth val="160"/>
        <c:overlap val="-7"/>
        <c:axId val="106995712"/>
        <c:axId val="106997248"/>
      </c:barChart>
      <c:catAx>
        <c:axId val="106995712"/>
        <c:scaling>
          <c:orientation val="minMax"/>
        </c:scaling>
        <c:axPos val="b"/>
        <c:numFmt formatCode="General" sourceLinked="1"/>
        <c:tickLblPos val="low"/>
        <c:txPr>
          <a:bodyPr rot="-5400000" vert="horz" anchor="ctr" anchorCtr="1"/>
          <a:lstStyle/>
          <a:p>
            <a:pPr>
              <a:defRPr sz="864" b="1" i="0">
                <a:latin typeface="Times New Roman" pitchFamily="18" charset="0"/>
                <a:cs typeface="Times New Roman" pitchFamily="18" charset="0"/>
              </a:defRPr>
            </a:pPr>
            <a:endParaRPr lang="ru-RU"/>
          </a:p>
        </c:txPr>
        <c:crossAx val="106997248"/>
        <c:crosses val="autoZero"/>
        <c:lblAlgn val="ctr"/>
        <c:lblOffset val="160"/>
        <c:tickLblSkip val="1"/>
        <c:tickMarkSkip val="1"/>
      </c:catAx>
      <c:valAx>
        <c:axId val="106997248"/>
        <c:scaling>
          <c:orientation val="minMax"/>
        </c:scaling>
        <c:axPos val="l"/>
        <c:title>
          <c:tx>
            <c:rich>
              <a:bodyPr rot="0" vert="horz"/>
              <a:lstStyle/>
              <a:p>
                <a:pPr algn="ctr">
                  <a:defRPr sz="864" b="1" i="0" u="none" strike="noStrike" baseline="0">
                    <a:solidFill>
                      <a:srgbClr val="000000"/>
                    </a:solidFill>
                    <a:latin typeface="Times New Roman"/>
                    <a:ea typeface="Times New Roman"/>
                    <a:cs typeface="Times New Roman"/>
                  </a:defRPr>
                </a:pPr>
                <a:r>
                  <a:rPr lang="ru-RU"/>
                  <a:t>*- удельный вес в общем объеме экспорта,%</a:t>
                </a:r>
              </a:p>
            </c:rich>
          </c:tx>
          <c:layout>
            <c:manualLayout>
              <c:xMode val="edge"/>
              <c:yMode val="edge"/>
              <c:x val="0.79959952335334961"/>
              <c:y val="9.8918440148543868E-2"/>
            </c:manualLayout>
          </c:layout>
          <c:spPr>
            <a:noFill/>
            <a:ln w="24386">
              <a:noFill/>
            </a:ln>
          </c:spPr>
        </c:title>
        <c:numFmt formatCode="0.0" sourceLinked="1"/>
        <c:tickLblPos val="nextTo"/>
        <c:txPr>
          <a:bodyPr rot="0" vert="horz"/>
          <a:lstStyle/>
          <a:p>
            <a:pPr>
              <a:defRPr sz="864" b="1">
                <a:latin typeface="Times New Roman" pitchFamily="18" charset="0"/>
                <a:cs typeface="Times New Roman" pitchFamily="18" charset="0"/>
              </a:defRPr>
            </a:pPr>
            <a:endParaRPr lang="ru-RU"/>
          </a:p>
        </c:txPr>
        <c:crossAx val="106995712"/>
        <c:crosses val="autoZero"/>
        <c:crossBetween val="between"/>
      </c:valAx>
    </c:plotArea>
    <c:legend>
      <c:legendPos val="r"/>
      <c:legendEntry>
        <c:idx val="1"/>
        <c:txPr>
          <a:bodyPr/>
          <a:lstStyle/>
          <a:p>
            <a:pPr>
              <a:defRPr b="1">
                <a:latin typeface="Times New Roman" pitchFamily="18" charset="0"/>
                <a:cs typeface="Times New Roman" pitchFamily="18" charset="0"/>
              </a:defRPr>
            </a:pPr>
            <a:endParaRPr lang="ru-RU"/>
          </a:p>
        </c:txPr>
      </c:legendEntry>
      <c:layout>
        <c:manualLayout>
          <c:xMode val="edge"/>
          <c:yMode val="edge"/>
          <c:x val="9.6439169139465875E-2"/>
          <c:y val="0.94213762572727056"/>
          <c:w val="0.79970326409495551"/>
          <c:h val="5.7862374272727134E-2"/>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a:pPr>
            <a:r>
              <a:rPr lang="ru-RU" sz="1163">
                <a:latin typeface="Times New Roman" pitchFamily="18" charset="0"/>
                <a:cs typeface="Times New Roman" pitchFamily="18" charset="0"/>
              </a:rPr>
              <a:t>Экспорт товаров в разрезе основных стран, млн долл. США</a:t>
            </a:r>
          </a:p>
        </c:rich>
      </c:tx>
      <c:layout>
        <c:manualLayout>
          <c:xMode val="edge"/>
          <c:yMode val="edge"/>
          <c:x val="0.22827789060304113"/>
          <c:y val="3.6354959762261211E-4"/>
        </c:manualLayout>
      </c:layout>
      <c:spPr>
        <a:solidFill>
          <a:sysClr val="window" lastClr="FFFFFF"/>
        </a:solidFill>
        <a:ln w="24619">
          <a:noFill/>
        </a:ln>
      </c:spPr>
    </c:title>
    <c:plotArea>
      <c:layout>
        <c:manualLayout>
          <c:layoutTarget val="inner"/>
          <c:xMode val="edge"/>
          <c:yMode val="edge"/>
          <c:x val="0.23051269112970421"/>
          <c:y val="0.11755804992461052"/>
          <c:w val="0.75774672310105384"/>
          <c:h val="0.54438599430390355"/>
        </c:manualLayout>
      </c:layout>
      <c:barChart>
        <c:barDir val="col"/>
        <c:grouping val="clustered"/>
        <c:ser>
          <c:idx val="0"/>
          <c:order val="0"/>
          <c:tx>
            <c:strRef>
              <c:f>Лист1!$B$1</c:f>
              <c:strCache>
                <c:ptCount val="1"/>
                <c:pt idx="0">
                  <c:v>январь - декабрь 2016 г.</c:v>
                </c:pt>
              </c:strCache>
            </c:strRef>
          </c:tx>
          <c:spPr>
            <a:solidFill>
              <a:sysClr val="window" lastClr="FFFFFF">
                <a:lumMod val="75000"/>
              </a:sysClr>
            </a:solidFill>
          </c:spPr>
          <c:dLbls>
            <c:dLbl>
              <c:idx val="0"/>
              <c:layout>
                <c:manualLayout>
                  <c:x val="-2.113048071843615E-3"/>
                  <c:y val="1.8115942028985508E-2"/>
                </c:manualLayout>
              </c:layout>
              <c:tx>
                <c:rich>
                  <a:bodyPr/>
                  <a:lstStyle/>
                  <a:p>
                    <a:r>
                      <a:rPr lang="ru-RU" sz="890" b="1">
                        <a:latin typeface="Times New Roman" pitchFamily="18" charset="0"/>
                        <a:cs typeface="Times New Roman" pitchFamily="18" charset="0"/>
                      </a:rPr>
                      <a:t>46,3</a:t>
                    </a:r>
                    <a:r>
                      <a:rPr lang="en-US" sz="890" b="1">
                        <a:latin typeface="Times New Roman" pitchFamily="18" charset="0"/>
                        <a:cs typeface="Times New Roman" pitchFamily="18" charset="0"/>
                      </a:rPr>
                      <a:t>*</a:t>
                    </a:r>
                  </a:p>
                </c:rich>
              </c:tx>
              <c:dLblPos val="outEnd"/>
            </c:dLbl>
            <c:dLbl>
              <c:idx val="1"/>
              <c:layout>
                <c:manualLayout>
                  <c:x val="-4.2906021033852233E-3"/>
                  <c:y val="1.3442448764611961E-2"/>
                </c:manualLayout>
              </c:layout>
              <c:tx>
                <c:rich>
                  <a:bodyPr/>
                  <a:lstStyle/>
                  <a:p>
                    <a:r>
                      <a:rPr lang="ru-RU" sz="890" b="1">
                        <a:latin typeface="Times New Roman" pitchFamily="18" charset="0"/>
                        <a:cs typeface="Times New Roman" pitchFamily="18" charset="0"/>
                      </a:rPr>
                      <a:t>8,5</a:t>
                    </a:r>
                    <a:r>
                      <a:rPr lang="en-US" sz="890" b="1">
                        <a:latin typeface="Times New Roman" pitchFamily="18" charset="0"/>
                        <a:cs typeface="Times New Roman" pitchFamily="18" charset="0"/>
                      </a:rPr>
                      <a:t>*</a:t>
                    </a:r>
                  </a:p>
                </c:rich>
              </c:tx>
              <c:dLblPos val="outEnd"/>
            </c:dLbl>
            <c:dLbl>
              <c:idx val="2"/>
              <c:layout>
                <c:manualLayout>
                  <c:x val="-8.3951497013100267E-3"/>
                  <c:y val="1.1839640446282025E-2"/>
                </c:manualLayout>
              </c:layout>
              <c:tx>
                <c:rich>
                  <a:bodyPr/>
                  <a:lstStyle/>
                  <a:p>
                    <a:r>
                      <a:rPr lang="en-US" sz="890" b="1">
                        <a:latin typeface="Times New Roman" pitchFamily="18" charset="0"/>
                        <a:cs typeface="Times New Roman" pitchFamily="18" charset="0"/>
                      </a:rPr>
                      <a:t>1</a:t>
                    </a:r>
                    <a:r>
                      <a:rPr lang="ru-RU" sz="890" b="1">
                        <a:latin typeface="Times New Roman" pitchFamily="18" charset="0"/>
                        <a:cs typeface="Times New Roman" pitchFamily="18" charset="0"/>
                      </a:rPr>
                      <a:t>2,3</a:t>
                    </a:r>
                    <a:r>
                      <a:rPr lang="en-US" sz="890" b="1">
                        <a:latin typeface="Times New Roman" pitchFamily="18" charset="0"/>
                        <a:cs typeface="Times New Roman" pitchFamily="18" charset="0"/>
                      </a:rPr>
                      <a:t>*</a:t>
                    </a:r>
                  </a:p>
                </c:rich>
              </c:tx>
              <c:dLblPos val="outEnd"/>
            </c:dLbl>
            <c:dLbl>
              <c:idx val="3"/>
              <c:layout>
                <c:manualLayout>
                  <c:x val="-7.5040394725434103E-3"/>
                  <c:y val="1.0085739282589701E-2"/>
                </c:manualLayout>
              </c:layout>
              <c:tx>
                <c:rich>
                  <a:bodyPr/>
                  <a:lstStyle/>
                  <a:p>
                    <a:r>
                      <a:rPr lang="en-US" sz="890" b="1">
                        <a:latin typeface="Times New Roman" pitchFamily="18" charset="0"/>
                        <a:cs typeface="Times New Roman" pitchFamily="18" charset="0"/>
                      </a:rPr>
                      <a:t>7,</a:t>
                    </a:r>
                    <a:r>
                      <a:rPr lang="ru-RU" sz="890" b="1">
                        <a:latin typeface="Times New Roman" pitchFamily="18" charset="0"/>
                        <a:cs typeface="Times New Roman" pitchFamily="18" charset="0"/>
                      </a:rPr>
                      <a:t>4</a:t>
                    </a:r>
                    <a:r>
                      <a:rPr lang="en-US" sz="890" b="1">
                        <a:latin typeface="Times New Roman" pitchFamily="18" charset="0"/>
                        <a:cs typeface="Times New Roman" pitchFamily="18" charset="0"/>
                      </a:rPr>
                      <a:t>*</a:t>
                    </a:r>
                  </a:p>
                </c:rich>
              </c:tx>
              <c:dLblPos val="outEnd"/>
            </c:dLbl>
            <c:dLbl>
              <c:idx val="4"/>
              <c:layout>
                <c:manualLayout>
                  <c:x val="-1.0091052406087941E-3"/>
                  <c:y val="9.9600593404085766E-3"/>
                </c:manualLayout>
              </c:layout>
              <c:tx>
                <c:rich>
                  <a:bodyPr/>
                  <a:lstStyle/>
                  <a:p>
                    <a:r>
                      <a:rPr lang="ru-RU" sz="890" b="1">
                        <a:latin typeface="Times New Roman" pitchFamily="18" charset="0"/>
                        <a:cs typeface="Times New Roman" pitchFamily="18" charset="0"/>
                      </a:rPr>
                      <a:t>5,4</a:t>
                    </a:r>
                    <a:r>
                      <a:rPr lang="en-US" sz="890" b="1">
                        <a:latin typeface="Times New Roman" pitchFamily="18" charset="0"/>
                        <a:cs typeface="Times New Roman" pitchFamily="18" charset="0"/>
                      </a:rPr>
                      <a:t>*</a:t>
                    </a:r>
                  </a:p>
                </c:rich>
              </c:tx>
              <c:dLblPos val="outEnd"/>
            </c:dLbl>
            <c:dLbl>
              <c:idx val="5"/>
              <c:layout>
                <c:manualLayout>
                  <c:x val="-8.4156597542425268E-3"/>
                  <c:y val="1.2211951766898703E-2"/>
                </c:manualLayout>
              </c:layout>
              <c:tx>
                <c:rich>
                  <a:bodyPr/>
                  <a:lstStyle/>
                  <a:p>
                    <a:r>
                      <a:rPr lang="en-US" sz="890" b="1">
                        <a:latin typeface="Times New Roman" pitchFamily="18" charset="0"/>
                        <a:cs typeface="Times New Roman" pitchFamily="18" charset="0"/>
                      </a:rPr>
                      <a:t>1</a:t>
                    </a:r>
                    <a:r>
                      <a:rPr lang="ru-RU" sz="890" b="1">
                        <a:latin typeface="Times New Roman" pitchFamily="18" charset="0"/>
                        <a:cs typeface="Times New Roman" pitchFamily="18" charset="0"/>
                      </a:rPr>
                      <a:t>1,2</a:t>
                    </a:r>
                    <a:r>
                      <a:rPr lang="en-US" sz="890" b="1">
                        <a:latin typeface="Times New Roman" pitchFamily="18" charset="0"/>
                        <a:cs typeface="Times New Roman" pitchFamily="18" charset="0"/>
                      </a:rPr>
                      <a:t>*</a:t>
                    </a:r>
                  </a:p>
                </c:rich>
              </c:tx>
              <c:dLblPos val="outEnd"/>
            </c:dLbl>
            <c:dLbl>
              <c:idx val="6"/>
              <c:layout>
                <c:manualLayout>
                  <c:x val="-3.3236415970983252E-3"/>
                  <c:y val="1.5872988702499143E-2"/>
                </c:manualLayout>
              </c:layout>
              <c:tx>
                <c:rich>
                  <a:bodyPr/>
                  <a:lstStyle/>
                  <a:p>
                    <a:r>
                      <a:rPr lang="en-US" sz="890" b="1">
                        <a:latin typeface="Times New Roman" pitchFamily="18" charset="0"/>
                        <a:cs typeface="Times New Roman" pitchFamily="18" charset="0"/>
                      </a:rPr>
                      <a:t>8,</a:t>
                    </a:r>
                    <a:r>
                      <a:rPr lang="ru-RU" sz="890" b="1">
                        <a:latin typeface="Times New Roman" pitchFamily="18" charset="0"/>
                        <a:cs typeface="Times New Roman" pitchFamily="18" charset="0"/>
                      </a:rPr>
                      <a:t>9</a:t>
                    </a:r>
                    <a:r>
                      <a:rPr lang="en-US" sz="890" b="1">
                        <a:latin typeface="Times New Roman" pitchFamily="18" charset="0"/>
                        <a:cs typeface="Times New Roman" pitchFamily="18" charset="0"/>
                      </a:rPr>
                      <a:t>*</a:t>
                    </a:r>
                  </a:p>
                </c:rich>
              </c:tx>
              <c:dLblPos val="outEnd"/>
            </c:dLbl>
            <c:dLbl>
              <c:idx val="7"/>
              <c:layout>
                <c:manualLayout>
                  <c:x val="1.6173653968929561E-4"/>
                  <c:y val="3.1051770702577269E-3"/>
                </c:manualLayout>
              </c:layout>
              <c:tx>
                <c:rich>
                  <a:bodyPr/>
                  <a:lstStyle/>
                  <a:p>
                    <a:r>
                      <a:rPr lang="ru-RU" sz="890" b="1">
                        <a:latin typeface="Times New Roman" pitchFamily="18" charset="0"/>
                        <a:cs typeface="Times New Roman" pitchFamily="18" charset="0"/>
                      </a:rPr>
                      <a:t>7,9*</a:t>
                    </a:r>
                    <a:endParaRPr lang="en-US" sz="900" b="1">
                      <a:latin typeface="Times New Roman" pitchFamily="18" charset="0"/>
                      <a:cs typeface="Times New Roman" pitchFamily="18" charset="0"/>
                    </a:endParaRPr>
                  </a:p>
                </c:rich>
              </c:tx>
              <c:dLblPos val="outEnd"/>
            </c:dLbl>
            <c:spPr>
              <a:noFill/>
              <a:ln w="25124">
                <a:noFill/>
              </a:ln>
            </c:spPr>
            <c:txPr>
              <a:bodyPr/>
              <a:lstStyle/>
              <a:p>
                <a:pPr>
                  <a:defRPr sz="890" b="1">
                    <a:latin typeface="Times New Roman" pitchFamily="18" charset="0"/>
                    <a:cs typeface="Times New Roman" pitchFamily="18" charset="0"/>
                  </a:defRPr>
                </a:pPr>
                <a:endParaRPr lang="ru-RU"/>
              </a:p>
            </c:txPr>
            <c:dLblPos val="outEnd"/>
            <c:showVal val="1"/>
          </c:dLbls>
          <c:cat>
            <c:strRef>
              <c:f>Лист1!$A$2:$A$8</c:f>
              <c:strCache>
                <c:ptCount val="7"/>
                <c:pt idx="0">
                  <c:v>Молдова</c:v>
                </c:pt>
                <c:pt idx="1">
                  <c:v>Россия</c:v>
                </c:pt>
                <c:pt idx="2">
                  <c:v>Украина</c:v>
                </c:pt>
                <c:pt idx="3">
                  <c:v>Италия</c:v>
                </c:pt>
                <c:pt idx="4">
                  <c:v>Германия</c:v>
                </c:pt>
                <c:pt idx="5">
                  <c:v>Румыния</c:v>
                </c:pt>
                <c:pt idx="6">
                  <c:v>Прочие страны</c:v>
                </c:pt>
              </c:strCache>
            </c:strRef>
          </c:cat>
          <c:val>
            <c:numRef>
              <c:f>Лист1!$B$2:$B$8</c:f>
              <c:numCache>
                <c:formatCode>0.0</c:formatCode>
                <c:ptCount val="7"/>
                <c:pt idx="0">
                  <c:v>251.24299999999999</c:v>
                </c:pt>
                <c:pt idx="1">
                  <c:v>45.989000000000004</c:v>
                </c:pt>
                <c:pt idx="2">
                  <c:v>66.778999999999982</c:v>
                </c:pt>
                <c:pt idx="3">
                  <c:v>40.364000000000004</c:v>
                </c:pt>
                <c:pt idx="4">
                  <c:v>29.103999999999999</c:v>
                </c:pt>
                <c:pt idx="5">
                  <c:v>60.496000000000002</c:v>
                </c:pt>
                <c:pt idx="6">
                  <c:v>48.195000000000213</c:v>
                </c:pt>
              </c:numCache>
            </c:numRef>
          </c:val>
        </c:ser>
        <c:ser>
          <c:idx val="1"/>
          <c:order val="1"/>
          <c:tx>
            <c:strRef>
              <c:f>Лист1!$C$1</c:f>
              <c:strCache>
                <c:ptCount val="1"/>
                <c:pt idx="0">
                  <c:v>январь - декабрь 2017 г.</c:v>
                </c:pt>
              </c:strCache>
            </c:strRef>
          </c:tx>
          <c:spPr>
            <a:solidFill>
              <a:sysClr val="windowText" lastClr="000000">
                <a:lumMod val="75000"/>
                <a:lumOff val="25000"/>
              </a:sysClr>
            </a:solidFill>
          </c:spPr>
          <c:dLbls>
            <c:dLbl>
              <c:idx val="0"/>
              <c:layout>
                <c:manualLayout>
                  <c:x val="1.6700320263281727E-2"/>
                  <c:y val="1.6605101897898451E-2"/>
                </c:manualLayout>
              </c:layout>
              <c:tx>
                <c:rich>
                  <a:bodyPr/>
                  <a:lstStyle/>
                  <a:p>
                    <a:r>
                      <a:rPr lang="ru-RU" sz="890" b="1">
                        <a:latin typeface="Times New Roman" pitchFamily="18" charset="0"/>
                        <a:cs typeface="Times New Roman" pitchFamily="18" charset="0"/>
                      </a:rPr>
                      <a:t>30,4</a:t>
                    </a:r>
                    <a:r>
                      <a:rPr lang="en-US" sz="890" b="1">
                        <a:latin typeface="Times New Roman" pitchFamily="18" charset="0"/>
                        <a:cs typeface="Times New Roman" pitchFamily="18" charset="0"/>
                      </a:rPr>
                      <a:t>*</a:t>
                    </a:r>
                  </a:p>
                </c:rich>
              </c:tx>
              <c:dLblPos val="outEnd"/>
            </c:dLbl>
            <c:dLbl>
              <c:idx val="1"/>
              <c:layout>
                <c:manualLayout>
                  <c:x val="1.3888888888889873E-2"/>
                  <c:y val="1.1904761904761921E-2"/>
                </c:manualLayout>
              </c:layout>
              <c:tx>
                <c:rich>
                  <a:bodyPr/>
                  <a:lstStyle/>
                  <a:p>
                    <a:r>
                      <a:rPr lang="ru-RU" sz="890" b="1">
                        <a:latin typeface="Times New Roman" pitchFamily="18" charset="0"/>
                        <a:cs typeface="Times New Roman" pitchFamily="18" charset="0"/>
                      </a:rPr>
                      <a:t>10,2*</a:t>
                    </a:r>
                    <a:endParaRPr lang="en-US" sz="890" b="1">
                      <a:latin typeface="Times New Roman" pitchFamily="18" charset="0"/>
                      <a:cs typeface="Times New Roman" pitchFamily="18" charset="0"/>
                    </a:endParaRPr>
                  </a:p>
                </c:rich>
              </c:tx>
              <c:dLblPos val="outEnd"/>
            </c:dLbl>
            <c:dLbl>
              <c:idx val="2"/>
              <c:layout>
                <c:manualLayout>
                  <c:x val="6.7986522148579124E-3"/>
                  <c:y val="6.6061942257217843E-2"/>
                </c:manualLayout>
              </c:layout>
              <c:tx>
                <c:rich>
                  <a:bodyPr/>
                  <a:lstStyle/>
                  <a:p>
                    <a:r>
                      <a:rPr lang="en-US" sz="890" b="1">
                        <a:latin typeface="Times New Roman" pitchFamily="18" charset="0"/>
                        <a:cs typeface="Times New Roman" pitchFamily="18" charset="0"/>
                      </a:rPr>
                      <a:t>1</a:t>
                    </a:r>
                    <a:r>
                      <a:rPr lang="ru-RU" sz="890" b="1">
                        <a:latin typeface="Times New Roman" pitchFamily="18" charset="0"/>
                        <a:cs typeface="Times New Roman" pitchFamily="18" charset="0"/>
                      </a:rPr>
                      <a:t>9,0</a:t>
                    </a:r>
                    <a:r>
                      <a:rPr lang="en-US" sz="890" b="1">
                        <a:latin typeface="Times New Roman" pitchFamily="18" charset="0"/>
                        <a:cs typeface="Times New Roman" pitchFamily="18" charset="0"/>
                      </a:rPr>
                      <a:t>*</a:t>
                    </a:r>
                  </a:p>
                  <a:p>
                    <a:endParaRPr lang="en-US" sz="900" b="1">
                      <a:latin typeface="Times New Roman" pitchFamily="18" charset="0"/>
                      <a:cs typeface="Times New Roman" pitchFamily="18" charset="0"/>
                    </a:endParaRPr>
                  </a:p>
                </c:rich>
              </c:tx>
              <c:dLblPos val="outEnd"/>
            </c:dLbl>
            <c:dLbl>
              <c:idx val="3"/>
              <c:layout>
                <c:manualLayout>
                  <c:x val="7.6435608563360374E-3"/>
                  <c:y val="1.0963299889331866E-2"/>
                </c:manualLayout>
              </c:layout>
              <c:tx>
                <c:rich>
                  <a:bodyPr/>
                  <a:lstStyle/>
                  <a:p>
                    <a:r>
                      <a:rPr lang="ru-RU" sz="890" b="1">
                        <a:latin typeface="Times New Roman" pitchFamily="18" charset="0"/>
                        <a:cs typeface="Times New Roman" pitchFamily="18" charset="0"/>
                      </a:rPr>
                      <a:t>6,0</a:t>
                    </a:r>
                    <a:r>
                      <a:rPr lang="en-US" sz="890" b="1">
                        <a:latin typeface="Times New Roman" pitchFamily="18" charset="0"/>
                        <a:cs typeface="Times New Roman" pitchFamily="18" charset="0"/>
                      </a:rPr>
                      <a:t>*</a:t>
                    </a:r>
                  </a:p>
                </c:rich>
              </c:tx>
              <c:dLblPos val="outEnd"/>
            </c:dLbl>
            <c:dLbl>
              <c:idx val="4"/>
              <c:layout>
                <c:manualLayout>
                  <c:x val="1.3888888888889873E-2"/>
                  <c:y val="7.9365079365078823E-3"/>
                </c:manualLayout>
              </c:layout>
              <c:tx>
                <c:rich>
                  <a:bodyPr/>
                  <a:lstStyle/>
                  <a:p>
                    <a:r>
                      <a:rPr lang="ru-RU" sz="890" b="1">
                        <a:latin typeface="Times New Roman" pitchFamily="18" charset="0"/>
                        <a:cs typeface="Times New Roman" pitchFamily="18" charset="0"/>
                      </a:rPr>
                      <a:t>5,6</a:t>
                    </a:r>
                    <a:r>
                      <a:rPr lang="en-US" sz="890" b="1">
                        <a:latin typeface="Times New Roman" pitchFamily="18" charset="0"/>
                        <a:cs typeface="Times New Roman" pitchFamily="18" charset="0"/>
                      </a:rPr>
                      <a:t>*</a:t>
                    </a:r>
                  </a:p>
                </c:rich>
              </c:tx>
              <c:dLblPos val="outEnd"/>
            </c:dLbl>
            <c:dLbl>
              <c:idx val="5"/>
              <c:layout>
                <c:manualLayout>
                  <c:x val="1.19843102021134E-2"/>
                  <c:y val="3.9444254250827352E-3"/>
                </c:manualLayout>
              </c:layout>
              <c:tx>
                <c:rich>
                  <a:bodyPr/>
                  <a:lstStyle/>
                  <a:p>
                    <a:r>
                      <a:rPr lang="en-US" sz="890" b="1">
                        <a:latin typeface="Times New Roman" pitchFamily="18" charset="0"/>
                        <a:cs typeface="Times New Roman" pitchFamily="18" charset="0"/>
                      </a:rPr>
                      <a:t>1</a:t>
                    </a:r>
                    <a:r>
                      <a:rPr lang="ru-RU" sz="890" b="1">
                        <a:latin typeface="Times New Roman" pitchFamily="18" charset="0"/>
                        <a:cs typeface="Times New Roman" pitchFamily="18" charset="0"/>
                      </a:rPr>
                      <a:t>5,9</a:t>
                    </a:r>
                    <a:r>
                      <a:rPr lang="en-US" sz="890" b="1">
                        <a:latin typeface="Times New Roman" pitchFamily="18" charset="0"/>
                        <a:cs typeface="Times New Roman" pitchFamily="18" charset="0"/>
                      </a:rPr>
                      <a:t>*</a:t>
                    </a:r>
                  </a:p>
                </c:rich>
              </c:tx>
              <c:dLblPos val="outEnd"/>
            </c:dLbl>
            <c:dLbl>
              <c:idx val="6"/>
              <c:layout>
                <c:manualLayout>
                  <c:x val="6.4095591654650891E-3"/>
                  <c:y val="1.4009509680855644E-2"/>
                </c:manualLayout>
              </c:layout>
              <c:tx>
                <c:rich>
                  <a:bodyPr/>
                  <a:lstStyle/>
                  <a:p>
                    <a:r>
                      <a:rPr lang="en-US" sz="890" b="1">
                        <a:latin typeface="Times New Roman" pitchFamily="18" charset="0"/>
                        <a:cs typeface="Times New Roman" pitchFamily="18" charset="0"/>
                      </a:rPr>
                      <a:t>1</a:t>
                    </a:r>
                    <a:r>
                      <a:rPr lang="ru-RU" sz="890" b="1">
                        <a:latin typeface="Times New Roman" pitchFamily="18" charset="0"/>
                        <a:cs typeface="Times New Roman" pitchFamily="18" charset="0"/>
                      </a:rPr>
                      <a:t>2,9</a:t>
                    </a:r>
                    <a:r>
                      <a:rPr lang="en-US" sz="890" b="1">
                        <a:latin typeface="Times New Roman" pitchFamily="18" charset="0"/>
                        <a:cs typeface="Times New Roman" pitchFamily="18" charset="0"/>
                      </a:rPr>
                      <a:t>*</a:t>
                    </a:r>
                  </a:p>
                </c:rich>
              </c:tx>
              <c:dLblPos val="outEnd"/>
            </c:dLbl>
            <c:dLbl>
              <c:idx val="7"/>
              <c:layout>
                <c:manualLayout>
                  <c:x val="1.415226249871919E-2"/>
                  <c:y val="7.8058503556620914E-3"/>
                </c:manualLayout>
              </c:layout>
              <c:tx>
                <c:rich>
                  <a:bodyPr/>
                  <a:lstStyle/>
                  <a:p>
                    <a:r>
                      <a:rPr lang="ru-RU" sz="890" b="1">
                        <a:latin typeface="Times New Roman" pitchFamily="18" charset="0"/>
                        <a:cs typeface="Times New Roman" pitchFamily="18" charset="0"/>
                      </a:rPr>
                      <a:t>8,1*</a:t>
                    </a:r>
                    <a:endParaRPr lang="en-US" sz="900" b="1">
                      <a:latin typeface="Times New Roman" pitchFamily="18" charset="0"/>
                      <a:cs typeface="Times New Roman" pitchFamily="18" charset="0"/>
                    </a:endParaRPr>
                  </a:p>
                </c:rich>
              </c:tx>
              <c:dLblPos val="outEnd"/>
            </c:dLbl>
            <c:spPr>
              <a:noFill/>
              <a:ln w="25124">
                <a:noFill/>
              </a:ln>
            </c:spPr>
            <c:txPr>
              <a:bodyPr/>
              <a:lstStyle/>
              <a:p>
                <a:pPr>
                  <a:defRPr sz="890" b="1">
                    <a:latin typeface="Times New Roman" pitchFamily="18" charset="0"/>
                    <a:cs typeface="Times New Roman" pitchFamily="18" charset="0"/>
                  </a:defRPr>
                </a:pPr>
                <a:endParaRPr lang="ru-RU"/>
              </a:p>
            </c:txPr>
            <c:dLblPos val="outEnd"/>
            <c:showVal val="1"/>
          </c:dLbls>
          <c:cat>
            <c:strRef>
              <c:f>Лист1!$A$2:$A$8</c:f>
              <c:strCache>
                <c:ptCount val="7"/>
                <c:pt idx="0">
                  <c:v>Молдова</c:v>
                </c:pt>
                <c:pt idx="1">
                  <c:v>Россия</c:v>
                </c:pt>
                <c:pt idx="2">
                  <c:v>Украина</c:v>
                </c:pt>
                <c:pt idx="3">
                  <c:v>Италия</c:v>
                </c:pt>
                <c:pt idx="4">
                  <c:v>Германия</c:v>
                </c:pt>
                <c:pt idx="5">
                  <c:v>Румыния</c:v>
                </c:pt>
                <c:pt idx="6">
                  <c:v>Прочие страны</c:v>
                </c:pt>
              </c:strCache>
            </c:strRef>
          </c:cat>
          <c:val>
            <c:numRef>
              <c:f>Лист1!$C$2:$C$8</c:f>
              <c:numCache>
                <c:formatCode>0.0</c:formatCode>
                <c:ptCount val="7"/>
                <c:pt idx="0">
                  <c:v>196.67899999999997</c:v>
                </c:pt>
                <c:pt idx="1">
                  <c:v>66.268000000000001</c:v>
                </c:pt>
                <c:pt idx="2">
                  <c:v>122.889</c:v>
                </c:pt>
                <c:pt idx="3">
                  <c:v>38.690000000000012</c:v>
                </c:pt>
                <c:pt idx="4">
                  <c:v>36.168000000000013</c:v>
                </c:pt>
                <c:pt idx="5">
                  <c:v>102.601</c:v>
                </c:pt>
                <c:pt idx="6">
                  <c:v>83.488999999999976</c:v>
                </c:pt>
              </c:numCache>
            </c:numRef>
          </c:val>
        </c:ser>
        <c:dLbls>
          <c:showVal val="1"/>
        </c:dLbls>
        <c:overlap val="-7"/>
        <c:axId val="107056512"/>
        <c:axId val="107070592"/>
      </c:barChart>
      <c:catAx>
        <c:axId val="107056512"/>
        <c:scaling>
          <c:orientation val="minMax"/>
        </c:scaling>
        <c:axPos val="b"/>
        <c:numFmt formatCode="General" sourceLinked="1"/>
        <c:tickLblPos val="nextTo"/>
        <c:crossAx val="107070592"/>
        <c:crosses val="autoZero"/>
        <c:auto val="1"/>
        <c:lblAlgn val="ctr"/>
        <c:lblOffset val="100"/>
      </c:catAx>
      <c:valAx>
        <c:axId val="107070592"/>
        <c:scaling>
          <c:orientation val="minMax"/>
        </c:scaling>
        <c:axPos val="l"/>
        <c:title>
          <c:tx>
            <c:rich>
              <a:bodyPr rot="0" vert="horz"/>
              <a:lstStyle/>
              <a:p>
                <a:pPr algn="ctr">
                  <a:defRPr sz="870" b="1" i="0" u="none" strike="noStrike" baseline="0">
                    <a:solidFill>
                      <a:srgbClr val="000000"/>
                    </a:solidFill>
                    <a:latin typeface="Times New Roman"/>
                    <a:ea typeface="Times New Roman"/>
                    <a:cs typeface="Times New Roman"/>
                  </a:defRPr>
                </a:pPr>
                <a:r>
                  <a:rPr lang="ru-RU"/>
                  <a:t>*- удельный вес в общем объеме экспорта, %</a:t>
                </a:r>
              </a:p>
            </c:rich>
          </c:tx>
          <c:layout>
            <c:manualLayout>
              <c:xMode val="edge"/>
              <c:yMode val="edge"/>
              <c:x val="4.046209552273174E-4"/>
              <c:y val="0.45857847769029136"/>
            </c:manualLayout>
          </c:layout>
          <c:spPr>
            <a:noFill/>
            <a:ln w="25124">
              <a:noFill/>
            </a:ln>
          </c:spPr>
        </c:title>
        <c:numFmt formatCode="0.0" sourceLinked="1"/>
        <c:tickLblPos val="nextTo"/>
        <c:txPr>
          <a:bodyPr/>
          <a:lstStyle/>
          <a:p>
            <a:pPr>
              <a:defRPr b="1">
                <a:latin typeface="Times New Roman" pitchFamily="18" charset="0"/>
                <a:cs typeface="Times New Roman" pitchFamily="18" charset="0"/>
              </a:defRPr>
            </a:pPr>
            <a:endParaRPr lang="ru-RU"/>
          </a:p>
        </c:txPr>
        <c:crossAx val="107056512"/>
        <c:crosses val="autoZero"/>
        <c:crossBetween val="midCat"/>
      </c:valAx>
      <c:dTable>
        <c:showHorzBorder val="1"/>
        <c:showVertBorder val="1"/>
        <c:showOutline val="1"/>
        <c:showKeys val="1"/>
        <c:txPr>
          <a:bodyPr/>
          <a:lstStyle/>
          <a:p>
            <a:pPr rtl="0">
              <a:defRPr sz="88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152"/>
            </a:pPr>
            <a:r>
              <a:rPr lang="ru-RU" sz="1152"/>
              <a:t>Товарная структура импорта ПМР, млн долл. США</a:t>
            </a:r>
          </a:p>
        </c:rich>
      </c:tx>
      <c:layout>
        <c:manualLayout>
          <c:xMode val="edge"/>
          <c:yMode val="edge"/>
          <c:x val="0.21116138763197814"/>
          <c:y val="1.9531250000000003E-2"/>
        </c:manualLayout>
      </c:layout>
      <c:spPr>
        <a:solidFill>
          <a:sysClr val="window" lastClr="FFFFFF"/>
        </a:solidFill>
        <a:ln w="22422">
          <a:noFill/>
        </a:ln>
      </c:spPr>
    </c:title>
    <c:plotArea>
      <c:layout>
        <c:manualLayout>
          <c:layoutTarget val="inner"/>
          <c:xMode val="edge"/>
          <c:yMode val="edge"/>
          <c:x val="7.4622451039774024E-2"/>
          <c:y val="0.10524970093024288"/>
          <c:w val="0.93596153846153862"/>
          <c:h val="0.35641294838146437"/>
        </c:manualLayout>
      </c:layout>
      <c:barChart>
        <c:barDir val="col"/>
        <c:grouping val="clustered"/>
        <c:ser>
          <c:idx val="0"/>
          <c:order val="0"/>
          <c:tx>
            <c:strRef>
              <c:f>Sheet1!$A$2</c:f>
              <c:strCache>
                <c:ptCount val="1"/>
                <c:pt idx="0">
                  <c:v>январь - декабрь 2016 г.</c:v>
                </c:pt>
              </c:strCache>
            </c:strRef>
          </c:tx>
          <c:spPr>
            <a:solidFill>
              <a:sysClr val="window" lastClr="FFFFFF">
                <a:lumMod val="75000"/>
              </a:sysClr>
            </a:solidFill>
          </c:spPr>
          <c:dLbls>
            <c:dLbl>
              <c:idx val="0"/>
              <c:layout>
                <c:manualLayout>
                  <c:x val="3.4046705700250045E-3"/>
                  <c:y val="1.925373748344153E-2"/>
                </c:manualLayout>
              </c:layout>
              <c:tx>
                <c:rich>
                  <a:bodyPr/>
                  <a:lstStyle/>
                  <a:p>
                    <a:r>
                      <a:rPr lang="en-US" sz="864"/>
                      <a:t>4</a:t>
                    </a:r>
                    <a:r>
                      <a:rPr lang="ru-RU" sz="864"/>
                      <a:t>4,3</a:t>
                    </a:r>
                    <a:r>
                      <a:rPr lang="en-US" sz="864"/>
                      <a:t>*</a:t>
                    </a:r>
                  </a:p>
                </c:rich>
              </c:tx>
              <c:dLblPos val="outEnd"/>
            </c:dLbl>
            <c:dLbl>
              <c:idx val="1"/>
              <c:layout>
                <c:manualLayout>
                  <c:x val="-1.5731287177619545E-3"/>
                  <c:y val="2.0290865281184192E-2"/>
                </c:manualLayout>
              </c:layout>
              <c:tx>
                <c:rich>
                  <a:bodyPr/>
                  <a:lstStyle/>
                  <a:p>
                    <a:r>
                      <a:rPr lang="en-US" sz="864"/>
                      <a:t>6,</a:t>
                    </a:r>
                    <a:r>
                      <a:rPr lang="ru-RU" sz="864"/>
                      <a:t>6</a:t>
                    </a:r>
                    <a:r>
                      <a:rPr lang="en-US" sz="864"/>
                      <a:t>*</a:t>
                    </a:r>
                  </a:p>
                </c:rich>
              </c:tx>
              <c:dLblPos val="outEnd"/>
            </c:dLbl>
            <c:dLbl>
              <c:idx val="2"/>
              <c:layout>
                <c:manualLayout>
                  <c:x val="-1.3042837844093721E-3"/>
                  <c:y val="1.0836278480812983E-2"/>
                </c:manualLayout>
              </c:layout>
              <c:tx>
                <c:rich>
                  <a:bodyPr/>
                  <a:lstStyle/>
                  <a:p>
                    <a:r>
                      <a:rPr lang="ru-RU" sz="864"/>
                      <a:t>12,4</a:t>
                    </a:r>
                    <a:r>
                      <a:rPr lang="en-US" sz="864"/>
                      <a:t>*</a:t>
                    </a:r>
                  </a:p>
                </c:rich>
              </c:tx>
              <c:dLblPos val="outEnd"/>
            </c:dLbl>
            <c:dLbl>
              <c:idx val="3"/>
              <c:layout>
                <c:manualLayout>
                  <c:x val="-6.2825471241539314E-3"/>
                  <c:y val="9.9798016300668268E-3"/>
                </c:manualLayout>
              </c:layout>
              <c:tx>
                <c:rich>
                  <a:bodyPr/>
                  <a:lstStyle/>
                  <a:p>
                    <a:r>
                      <a:rPr lang="en-US" sz="864"/>
                      <a:t>9,</a:t>
                    </a:r>
                    <a:r>
                      <a:rPr lang="ru-RU" sz="864"/>
                      <a:t>9</a:t>
                    </a:r>
                    <a:r>
                      <a:rPr lang="en-US" sz="864"/>
                      <a:t>*</a:t>
                    </a:r>
                  </a:p>
                </c:rich>
              </c:tx>
              <c:dLblPos val="outEnd"/>
            </c:dLbl>
            <c:dLbl>
              <c:idx val="4"/>
              <c:layout>
                <c:manualLayout>
                  <c:x val="1.2039404165388417E-3"/>
                  <c:y val="3.9873514104252416E-3"/>
                </c:manualLayout>
              </c:layout>
              <c:tx>
                <c:rich>
                  <a:bodyPr/>
                  <a:lstStyle/>
                  <a:p>
                    <a:r>
                      <a:rPr lang="en-US" sz="864"/>
                      <a:t>7,</a:t>
                    </a:r>
                    <a:r>
                      <a:rPr lang="ru-RU" sz="864"/>
                      <a:t>1</a:t>
                    </a:r>
                    <a:r>
                      <a:rPr lang="en-US" sz="864"/>
                      <a:t>*</a:t>
                    </a:r>
                  </a:p>
                </c:rich>
              </c:tx>
              <c:dLblPos val="outEnd"/>
            </c:dLbl>
            <c:dLbl>
              <c:idx val="5"/>
              <c:layout>
                <c:manualLayout>
                  <c:x val="-1.5628511428054401E-3"/>
                  <c:y val="1.6254776229738769E-3"/>
                </c:manualLayout>
              </c:layout>
              <c:tx>
                <c:rich>
                  <a:bodyPr/>
                  <a:lstStyle/>
                  <a:p>
                    <a:r>
                      <a:rPr lang="en-US" sz="864" b="1"/>
                      <a:t>5,</a:t>
                    </a:r>
                    <a:r>
                      <a:rPr lang="ru-RU" sz="864" b="1"/>
                      <a:t>1</a:t>
                    </a:r>
                    <a:r>
                      <a:rPr lang="en-US" sz="864" b="1"/>
                      <a:t>*</a:t>
                    </a:r>
                  </a:p>
                </c:rich>
              </c:tx>
              <c:dLblPos val="outEnd"/>
            </c:dLbl>
            <c:dLbl>
              <c:idx val="6"/>
              <c:layout>
                <c:manualLayout>
                  <c:x val="-1.3576620230163762E-2"/>
                  <c:y val="2.8500008927455495E-3"/>
                </c:manualLayout>
              </c:layout>
              <c:tx>
                <c:rich>
                  <a:bodyPr/>
                  <a:lstStyle/>
                  <a:p>
                    <a:r>
                      <a:rPr lang="en-US" sz="864" b="1"/>
                      <a:t>1</a:t>
                    </a:r>
                    <a:r>
                      <a:rPr lang="ru-RU" sz="864" b="1"/>
                      <a:t>4,5</a:t>
                    </a:r>
                    <a:r>
                      <a:rPr lang="en-US" sz="864" b="1"/>
                      <a:t>*</a:t>
                    </a:r>
                  </a:p>
                </c:rich>
              </c:tx>
              <c:dLblPos val="outEnd"/>
            </c:dLbl>
            <c:dLbl>
              <c:idx val="7"/>
              <c:layout>
                <c:manualLayout>
                  <c:xMode val="edge"/>
                  <c:yMode val="edge"/>
                  <c:x val="0.72802197802197965"/>
                  <c:y val="0.43750000000000488"/>
                </c:manualLayout>
              </c:layout>
              <c:dLblPos val="outEnd"/>
              <c:showVal val="1"/>
            </c:dLbl>
            <c:spPr>
              <a:noFill/>
              <a:ln w="24375">
                <a:noFill/>
              </a:ln>
            </c:spPr>
            <c:txPr>
              <a:bodyPr rot="0" vert="horz" anchor="ctr" anchorCtr="0"/>
              <a:lstStyle/>
              <a:p>
                <a:pPr>
                  <a:defRPr sz="864" b="1"/>
                </a:pPr>
                <a:endParaRPr lang="ru-RU"/>
              </a:p>
            </c:txPr>
            <c:showVal val="1"/>
          </c:dLbls>
          <c:cat>
            <c:strRef>
              <c:f>Sheet1!$B$1:$H$1</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Sheet1!$B$2:$H$2</c:f>
              <c:numCache>
                <c:formatCode>0.0</c:formatCode>
                <c:ptCount val="7"/>
                <c:pt idx="0">
                  <c:v>408.88799999999969</c:v>
                </c:pt>
                <c:pt idx="1">
                  <c:v>61.114000000000004</c:v>
                </c:pt>
                <c:pt idx="2">
                  <c:v>114.651</c:v>
                </c:pt>
                <c:pt idx="3">
                  <c:v>91.367000000000004</c:v>
                </c:pt>
                <c:pt idx="4">
                  <c:v>66</c:v>
                </c:pt>
                <c:pt idx="5">
                  <c:v>46.924000000000007</c:v>
                </c:pt>
                <c:pt idx="6">
                  <c:v>134.24800000000008</c:v>
                </c:pt>
              </c:numCache>
            </c:numRef>
          </c:val>
        </c:ser>
        <c:ser>
          <c:idx val="1"/>
          <c:order val="1"/>
          <c:tx>
            <c:strRef>
              <c:f>Sheet1!$A$3</c:f>
              <c:strCache>
                <c:ptCount val="1"/>
                <c:pt idx="0">
                  <c:v>январь - декабрь 2017 г.</c:v>
                </c:pt>
              </c:strCache>
            </c:strRef>
          </c:tx>
          <c:spPr>
            <a:solidFill>
              <a:sysClr val="windowText" lastClr="000000">
                <a:lumMod val="75000"/>
                <a:lumOff val="25000"/>
              </a:sysClr>
            </a:solidFill>
          </c:spPr>
          <c:dLbls>
            <c:dLbl>
              <c:idx val="0"/>
              <c:layout>
                <c:manualLayout>
                  <c:x val="5.2558529061472684E-3"/>
                  <c:y val="6.0188774629529422E-3"/>
                </c:manualLayout>
              </c:layout>
              <c:tx>
                <c:rich>
                  <a:bodyPr/>
                  <a:lstStyle/>
                  <a:p>
                    <a:r>
                      <a:rPr lang="en-US" sz="864"/>
                      <a:t>3</a:t>
                    </a:r>
                    <a:r>
                      <a:rPr lang="ru-RU" sz="864"/>
                      <a:t>2,1</a:t>
                    </a:r>
                    <a:r>
                      <a:rPr lang="en-US" sz="864"/>
                      <a:t>*</a:t>
                    </a:r>
                  </a:p>
                </c:rich>
              </c:tx>
              <c:dLblPos val="outEnd"/>
            </c:dLbl>
            <c:dLbl>
              <c:idx val="1"/>
              <c:layout>
                <c:manualLayout>
                  <c:x val="9.1876075299207615E-4"/>
                  <c:y val="1.6703670237941701E-2"/>
                </c:manualLayout>
              </c:layout>
              <c:tx>
                <c:rich>
                  <a:bodyPr/>
                  <a:lstStyle/>
                  <a:p>
                    <a:r>
                      <a:rPr lang="en-US" sz="864"/>
                      <a:t>1</a:t>
                    </a:r>
                    <a:r>
                      <a:rPr lang="ru-RU" sz="864"/>
                      <a:t>8,3</a:t>
                    </a:r>
                    <a:r>
                      <a:rPr lang="en-US" sz="864"/>
                      <a:t>*</a:t>
                    </a:r>
                  </a:p>
                </c:rich>
              </c:tx>
              <c:dLblPos val="outEnd"/>
            </c:dLbl>
            <c:dLbl>
              <c:idx val="2"/>
              <c:layout>
                <c:manualLayout>
                  <c:x val="7.8852944023365523E-3"/>
                  <c:y val="8.9476556052448357E-3"/>
                </c:manualLayout>
              </c:layout>
              <c:tx>
                <c:rich>
                  <a:bodyPr/>
                  <a:lstStyle/>
                  <a:p>
                    <a:r>
                      <a:rPr lang="ru-RU" sz="864" b="1"/>
                      <a:t>13,0</a:t>
                    </a:r>
                    <a:r>
                      <a:rPr lang="en-US" sz="864" b="1"/>
                      <a:t>*</a:t>
                    </a:r>
                  </a:p>
                </c:rich>
              </c:tx>
              <c:dLblPos val="outEnd"/>
            </c:dLbl>
            <c:dLbl>
              <c:idx val="3"/>
              <c:layout>
                <c:manualLayout>
                  <c:x val="3.4041335426337796E-3"/>
                  <c:y val="8.1943841589768637E-3"/>
                </c:manualLayout>
              </c:layout>
              <c:tx>
                <c:rich>
                  <a:bodyPr/>
                  <a:lstStyle/>
                  <a:p>
                    <a:r>
                      <a:rPr lang="en-US" sz="864"/>
                      <a:t>10,</a:t>
                    </a:r>
                    <a:r>
                      <a:rPr lang="ru-RU" sz="864"/>
                      <a:t>3</a:t>
                    </a:r>
                    <a:r>
                      <a:rPr lang="en-US" sz="864"/>
                      <a:t>*</a:t>
                    </a:r>
                  </a:p>
                </c:rich>
              </c:tx>
              <c:dLblPos val="outEnd"/>
            </c:dLbl>
            <c:dLbl>
              <c:idx val="4"/>
              <c:layout>
                <c:manualLayout>
                  <c:x val="1.0924639230358744E-2"/>
                  <c:y val="4.8544624769320784E-3"/>
                </c:manualLayout>
              </c:layout>
              <c:tx>
                <c:rich>
                  <a:bodyPr/>
                  <a:lstStyle/>
                  <a:p>
                    <a:r>
                      <a:rPr lang="ru-RU" sz="864"/>
                      <a:t>7,3</a:t>
                    </a:r>
                    <a:r>
                      <a:rPr lang="en-US" sz="864"/>
                      <a:t>*</a:t>
                    </a:r>
                  </a:p>
                </c:rich>
              </c:tx>
              <c:dLblPos val="outEnd"/>
            </c:dLbl>
            <c:dLbl>
              <c:idx val="5"/>
              <c:layout>
                <c:manualLayout>
                  <c:x val="9.9121744397335024E-3"/>
                  <c:y val="4.6497759208670364E-3"/>
                </c:manualLayout>
              </c:layout>
              <c:tx>
                <c:rich>
                  <a:bodyPr/>
                  <a:lstStyle/>
                  <a:p>
                    <a:r>
                      <a:rPr lang="ru-RU" sz="864"/>
                      <a:t>6,4</a:t>
                    </a:r>
                    <a:r>
                      <a:rPr lang="en-US" sz="864"/>
                      <a:t>*</a:t>
                    </a:r>
                  </a:p>
                </c:rich>
              </c:tx>
              <c:dLblPos val="outEnd"/>
            </c:dLbl>
            <c:dLbl>
              <c:idx val="6"/>
              <c:layout>
                <c:manualLayout>
                  <c:x val="1.8982434887946705E-2"/>
                  <c:y val="1.0088381809416683E-2"/>
                </c:manualLayout>
              </c:layout>
              <c:tx>
                <c:rich>
                  <a:bodyPr/>
                  <a:lstStyle/>
                  <a:p>
                    <a:r>
                      <a:rPr lang="en-US" sz="864" b="1"/>
                      <a:t>12,</a:t>
                    </a:r>
                    <a:r>
                      <a:rPr lang="ru-RU" sz="864" b="1"/>
                      <a:t>5</a:t>
                    </a:r>
                    <a:r>
                      <a:rPr lang="en-US" sz="864" b="1"/>
                      <a:t>*</a:t>
                    </a:r>
                  </a:p>
                </c:rich>
              </c:tx>
              <c:dLblPos val="outEnd"/>
            </c:dLbl>
            <c:dLbl>
              <c:idx val="7"/>
              <c:layout>
                <c:manualLayout>
                  <c:xMode val="edge"/>
                  <c:yMode val="edge"/>
                  <c:x val="0.75274725274725274"/>
                  <c:y val="0.48214285714289645"/>
                </c:manualLayout>
              </c:layout>
              <c:dLblPos val="outEnd"/>
              <c:showVal val="1"/>
            </c:dLbl>
            <c:spPr>
              <a:noFill/>
              <a:ln w="24375">
                <a:noFill/>
              </a:ln>
            </c:spPr>
            <c:txPr>
              <a:bodyPr rot="0" vert="horz"/>
              <a:lstStyle/>
              <a:p>
                <a:pPr>
                  <a:defRPr sz="864" b="1"/>
                </a:pPr>
                <a:endParaRPr lang="ru-RU"/>
              </a:p>
            </c:txPr>
            <c:showVal val="1"/>
          </c:dLbls>
          <c:cat>
            <c:strRef>
              <c:f>Sheet1!$B$1:$H$1</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Sheet1!$B$3:$H$3</c:f>
              <c:numCache>
                <c:formatCode>0.0</c:formatCode>
                <c:ptCount val="7"/>
                <c:pt idx="0">
                  <c:v>333.72799999999899</c:v>
                </c:pt>
                <c:pt idx="1">
                  <c:v>190.624</c:v>
                </c:pt>
                <c:pt idx="2">
                  <c:v>134.68100000000001</c:v>
                </c:pt>
                <c:pt idx="3">
                  <c:v>106.56</c:v>
                </c:pt>
                <c:pt idx="4">
                  <c:v>76.185000000000002</c:v>
                </c:pt>
                <c:pt idx="5">
                  <c:v>67.006</c:v>
                </c:pt>
                <c:pt idx="6">
                  <c:v>130.09999999999988</c:v>
                </c:pt>
              </c:numCache>
            </c:numRef>
          </c:val>
        </c:ser>
        <c:gapWidth val="160"/>
        <c:overlap val="-7"/>
        <c:axId val="112381952"/>
        <c:axId val="112383488"/>
      </c:barChart>
      <c:catAx>
        <c:axId val="112381952"/>
        <c:scaling>
          <c:orientation val="minMax"/>
        </c:scaling>
        <c:axPos val="b"/>
        <c:numFmt formatCode="General" sourceLinked="1"/>
        <c:tickLblPos val="low"/>
        <c:txPr>
          <a:bodyPr rot="-5400000" vert="horz"/>
          <a:lstStyle/>
          <a:p>
            <a:pPr>
              <a:defRPr sz="864" b="1"/>
            </a:pPr>
            <a:endParaRPr lang="ru-RU"/>
          </a:p>
        </c:txPr>
        <c:crossAx val="112383488"/>
        <c:crosses val="autoZero"/>
        <c:lblAlgn val="ctr"/>
        <c:lblOffset val="160"/>
        <c:tickLblSkip val="1"/>
        <c:tickMarkSkip val="1"/>
      </c:catAx>
      <c:valAx>
        <c:axId val="112383488"/>
        <c:scaling>
          <c:orientation val="minMax"/>
        </c:scaling>
        <c:axPos val="l"/>
        <c:title>
          <c:tx>
            <c:rich>
              <a:bodyPr rot="0" vert="horz"/>
              <a:lstStyle/>
              <a:p>
                <a:pPr algn="ctr">
                  <a:defRPr sz="884" b="1" i="0" u="none" strike="noStrike" baseline="0">
                    <a:solidFill>
                      <a:srgbClr val="000000"/>
                    </a:solidFill>
                    <a:latin typeface="Arial Cyr"/>
                    <a:ea typeface="Arial Cyr"/>
                    <a:cs typeface="Arial Cyr"/>
                  </a:defRPr>
                </a:pPr>
                <a:r>
                  <a:rPr lang="ru-RU" sz="864" b="1" i="0" strike="noStrike">
                    <a:solidFill>
                      <a:srgbClr val="000000"/>
                    </a:solidFill>
                    <a:latin typeface="Times New Roman"/>
                    <a:cs typeface="Times New Roman"/>
                  </a:rPr>
                  <a:t>*-удельный</a:t>
                </a:r>
              </a:p>
              <a:p>
                <a:pPr algn="ctr">
                  <a:defRPr sz="884" b="1" i="0" u="none" strike="noStrike" baseline="0">
                    <a:solidFill>
                      <a:srgbClr val="000000"/>
                    </a:solidFill>
                    <a:latin typeface="Arial Cyr"/>
                    <a:ea typeface="Arial Cyr"/>
                    <a:cs typeface="Arial Cyr"/>
                  </a:defRPr>
                </a:pPr>
                <a:r>
                  <a:rPr lang="ru-RU" sz="864" b="1" i="0" strike="noStrike">
                    <a:solidFill>
                      <a:srgbClr val="000000"/>
                    </a:solidFill>
                    <a:latin typeface="Times New Roman"/>
                    <a:cs typeface="Times New Roman"/>
                  </a:rPr>
                  <a:t> вес в общем </a:t>
                </a:r>
              </a:p>
              <a:p>
                <a:pPr algn="ctr">
                  <a:defRPr sz="884" b="1" i="0" u="none" strike="noStrike" baseline="0">
                    <a:solidFill>
                      <a:srgbClr val="000000"/>
                    </a:solidFill>
                    <a:latin typeface="Arial Cyr"/>
                    <a:ea typeface="Arial Cyr"/>
                    <a:cs typeface="Arial Cyr"/>
                  </a:defRPr>
                </a:pPr>
                <a:r>
                  <a:rPr lang="ru-RU" sz="864" b="1" i="0" strike="noStrike">
                    <a:solidFill>
                      <a:srgbClr val="000000"/>
                    </a:solidFill>
                    <a:latin typeface="Times New Roman"/>
                    <a:cs typeface="Times New Roman"/>
                  </a:rPr>
                  <a:t>объеме импорта,%</a:t>
                </a:r>
              </a:p>
            </c:rich>
          </c:tx>
          <c:layout>
            <c:manualLayout>
              <c:xMode val="edge"/>
              <c:yMode val="edge"/>
              <c:x val="0.80836142088573759"/>
              <c:y val="8.7301605681642733E-2"/>
            </c:manualLayout>
          </c:layout>
          <c:spPr>
            <a:noFill/>
            <a:ln w="24375">
              <a:noFill/>
            </a:ln>
          </c:spPr>
        </c:title>
        <c:numFmt formatCode="0.0" sourceLinked="1"/>
        <c:tickLblPos val="nextTo"/>
        <c:txPr>
          <a:bodyPr rot="0" vert="horz"/>
          <a:lstStyle/>
          <a:p>
            <a:pPr>
              <a:defRPr sz="864" b="1"/>
            </a:pPr>
            <a:endParaRPr lang="ru-RU"/>
          </a:p>
        </c:txPr>
        <c:crossAx val="112381952"/>
        <c:crosses val="autoZero"/>
        <c:crossBetween val="between"/>
      </c:valAx>
    </c:plotArea>
    <c:legend>
      <c:legendPos val="r"/>
      <c:layout>
        <c:manualLayout>
          <c:xMode val="edge"/>
          <c:yMode val="edge"/>
          <c:x val="0"/>
          <c:y val="0.92578125000000788"/>
          <c:w val="0.93363499245853676"/>
          <c:h val="7.8125E-2"/>
        </c:manualLayout>
      </c:layout>
      <c:txPr>
        <a:bodyPr/>
        <a:lstStyle/>
        <a:p>
          <a:pPr>
            <a:defRPr sz="960"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defRPr sz="1149">
                <a:latin typeface="Times New Roman" pitchFamily="18" charset="0"/>
                <a:cs typeface="Times New Roman" pitchFamily="18" charset="0"/>
              </a:defRPr>
            </a:pPr>
            <a:r>
              <a:rPr lang="ru-RU" sz="1149">
                <a:latin typeface="Times New Roman" pitchFamily="18" charset="0"/>
                <a:cs typeface="Times New Roman" pitchFamily="18" charset="0"/>
              </a:rPr>
              <a:t>Импорт товаров в разрезе стран, млн долл. США</a:t>
            </a:r>
          </a:p>
        </c:rich>
      </c:tx>
      <c:layout>
        <c:manualLayout>
          <c:xMode val="edge"/>
          <c:yMode val="edge"/>
          <c:x val="0.3093214927081519"/>
          <c:y val="4.1523476232137833E-3"/>
        </c:manualLayout>
      </c:layout>
      <c:spPr>
        <a:solidFill>
          <a:sysClr val="window" lastClr="FFFFFF"/>
        </a:solidFill>
        <a:ln w="24320">
          <a:noFill/>
        </a:ln>
      </c:spPr>
    </c:title>
    <c:plotArea>
      <c:layout>
        <c:manualLayout>
          <c:layoutTarget val="inner"/>
          <c:xMode val="edge"/>
          <c:yMode val="edge"/>
          <c:x val="0.24830229809060156"/>
          <c:y val="5.5975145963897251E-2"/>
          <c:w val="0.73307657705230955"/>
          <c:h val="0.55312679801487763"/>
        </c:manualLayout>
      </c:layout>
      <c:barChart>
        <c:barDir val="col"/>
        <c:grouping val="clustered"/>
        <c:ser>
          <c:idx val="0"/>
          <c:order val="0"/>
          <c:tx>
            <c:strRef>
              <c:f>Лист1!$B$1</c:f>
              <c:strCache>
                <c:ptCount val="1"/>
                <c:pt idx="0">
                  <c:v>январь - декабрь 2016 г.</c:v>
                </c:pt>
              </c:strCache>
            </c:strRef>
          </c:tx>
          <c:spPr>
            <a:solidFill>
              <a:sysClr val="window" lastClr="FFFFFF">
                <a:lumMod val="75000"/>
              </a:sysClr>
            </a:solidFill>
          </c:spPr>
          <c:dLbls>
            <c:dLbl>
              <c:idx val="0"/>
              <c:layout>
                <c:manualLayout>
                  <c:x val="-6.9443883617112132E-3"/>
                  <c:y val="1.6468920613410737E-2"/>
                </c:manualLayout>
              </c:layout>
              <c:tx>
                <c:rich>
                  <a:bodyPr/>
                  <a:lstStyle/>
                  <a:p>
                    <a:r>
                      <a:rPr lang="ru-RU" sz="890" b="1">
                        <a:latin typeface="Times New Roman" pitchFamily="18" charset="0"/>
                        <a:cs typeface="Times New Roman" pitchFamily="18" charset="0"/>
                      </a:rPr>
                      <a:t>45,4</a:t>
                    </a:r>
                    <a:r>
                      <a:rPr lang="en-US" sz="890" b="1">
                        <a:latin typeface="Times New Roman" pitchFamily="18" charset="0"/>
                        <a:cs typeface="Times New Roman" pitchFamily="18" charset="0"/>
                      </a:rPr>
                      <a:t>*</a:t>
                    </a:r>
                  </a:p>
                </c:rich>
              </c:tx>
              <c:dLblPos val="outEnd"/>
            </c:dLbl>
            <c:dLbl>
              <c:idx val="1"/>
              <c:layout>
                <c:manualLayout>
                  <c:x val="-6.9444444444449445E-3"/>
                  <c:y val="1.3773866501981374E-2"/>
                </c:manualLayout>
              </c:layout>
              <c:tx>
                <c:rich>
                  <a:bodyPr/>
                  <a:lstStyle/>
                  <a:p>
                    <a:r>
                      <a:rPr lang="en-US" sz="890" b="1">
                        <a:latin typeface="Times New Roman" pitchFamily="18" charset="0"/>
                        <a:cs typeface="Times New Roman" pitchFamily="18" charset="0"/>
                      </a:rPr>
                      <a:t>1</a:t>
                    </a:r>
                    <a:r>
                      <a:rPr lang="ru-RU" sz="890" b="1">
                        <a:latin typeface="Times New Roman" pitchFamily="18" charset="0"/>
                        <a:cs typeface="Times New Roman" pitchFamily="18" charset="0"/>
                      </a:rPr>
                      <a:t>3,2</a:t>
                    </a:r>
                    <a:r>
                      <a:rPr lang="en-US" sz="890" b="1">
                        <a:latin typeface="Times New Roman" pitchFamily="18" charset="0"/>
                        <a:cs typeface="Times New Roman" pitchFamily="18" charset="0"/>
                      </a:rPr>
                      <a:t>*</a:t>
                    </a:r>
                  </a:p>
                </c:rich>
              </c:tx>
              <c:dLblPos val="outEnd"/>
            </c:dLbl>
            <c:dLbl>
              <c:idx val="2"/>
              <c:layout>
                <c:manualLayout>
                  <c:x val="-2.1241315423810034E-3"/>
                  <c:y val="1.3422676470077003E-2"/>
                </c:manualLayout>
              </c:layout>
              <c:tx>
                <c:rich>
                  <a:bodyPr/>
                  <a:lstStyle/>
                  <a:p>
                    <a:r>
                      <a:rPr lang="ru-RU" sz="890" b="1">
                        <a:latin typeface="Times New Roman" pitchFamily="18" charset="0"/>
                        <a:cs typeface="Times New Roman" pitchFamily="18" charset="0"/>
                      </a:rPr>
                      <a:t>11,1</a:t>
                    </a:r>
                    <a:r>
                      <a:rPr lang="en-US" sz="890" b="1">
                        <a:latin typeface="Times New Roman" pitchFamily="18" charset="0"/>
                        <a:cs typeface="Times New Roman" pitchFamily="18" charset="0"/>
                      </a:rPr>
                      <a:t>*</a:t>
                    </a:r>
                  </a:p>
                </c:rich>
              </c:tx>
              <c:dLblPos val="outEnd"/>
            </c:dLbl>
            <c:dLbl>
              <c:idx val="3"/>
              <c:layout>
                <c:manualLayout>
                  <c:x val="-1.2527404662653113E-3"/>
                  <c:y val="1.8752672472232369E-2"/>
                </c:manualLayout>
              </c:layout>
              <c:tx>
                <c:rich>
                  <a:bodyPr/>
                  <a:lstStyle/>
                  <a:p>
                    <a:r>
                      <a:rPr lang="en-US" sz="890" b="1">
                        <a:latin typeface="Times New Roman" pitchFamily="18" charset="0"/>
                        <a:cs typeface="Times New Roman" pitchFamily="18" charset="0"/>
                      </a:rPr>
                      <a:t>2,</a:t>
                    </a:r>
                    <a:r>
                      <a:rPr lang="ru-RU" sz="890" b="1">
                        <a:latin typeface="Times New Roman" pitchFamily="18" charset="0"/>
                        <a:cs typeface="Times New Roman" pitchFamily="18" charset="0"/>
                      </a:rPr>
                      <a:t>3</a:t>
                    </a:r>
                    <a:r>
                      <a:rPr lang="en-US" sz="890" b="1">
                        <a:latin typeface="Times New Roman" pitchFamily="18" charset="0"/>
                        <a:cs typeface="Times New Roman" pitchFamily="18" charset="0"/>
                      </a:rPr>
                      <a:t>*</a:t>
                    </a:r>
                  </a:p>
                </c:rich>
              </c:tx>
              <c:dLblPos val="outEnd"/>
            </c:dLbl>
            <c:dLbl>
              <c:idx val="4"/>
              <c:layout>
                <c:manualLayout>
                  <c:x val="-3.5208973683889446E-3"/>
                  <c:y val="1.3422708778503201E-2"/>
                </c:manualLayout>
              </c:layout>
              <c:tx>
                <c:rich>
                  <a:bodyPr/>
                  <a:lstStyle/>
                  <a:p>
                    <a:r>
                      <a:rPr lang="en-US" sz="890" b="1">
                        <a:latin typeface="Times New Roman" pitchFamily="18" charset="0"/>
                        <a:cs typeface="Times New Roman" pitchFamily="18" charset="0"/>
                      </a:rPr>
                      <a:t>3,</a:t>
                    </a:r>
                    <a:r>
                      <a:rPr lang="ru-RU" sz="890" b="1">
                        <a:latin typeface="Times New Roman" pitchFamily="18" charset="0"/>
                        <a:cs typeface="Times New Roman" pitchFamily="18" charset="0"/>
                      </a:rPr>
                      <a:t>8</a:t>
                    </a:r>
                    <a:r>
                      <a:rPr lang="en-US" sz="890" b="1">
                        <a:latin typeface="Times New Roman" pitchFamily="18" charset="0"/>
                        <a:cs typeface="Times New Roman" pitchFamily="18" charset="0"/>
                      </a:rPr>
                      <a:t>*</a:t>
                    </a:r>
                  </a:p>
                </c:rich>
              </c:tx>
              <c:dLblPos val="outEnd"/>
            </c:dLbl>
            <c:dLbl>
              <c:idx val="5"/>
              <c:layout>
                <c:manualLayout>
                  <c:x val="-6.9444444444449506E-3"/>
                  <c:y val="0"/>
                </c:manualLayout>
              </c:layout>
              <c:tx>
                <c:rich>
                  <a:bodyPr/>
                  <a:lstStyle/>
                  <a:p>
                    <a:r>
                      <a:rPr lang="en-US" sz="890" b="1">
                        <a:latin typeface="Times New Roman" pitchFamily="18" charset="0"/>
                        <a:cs typeface="Times New Roman" pitchFamily="18" charset="0"/>
                      </a:rPr>
                      <a:t>2,</a:t>
                    </a:r>
                    <a:r>
                      <a:rPr lang="ru-RU" sz="890" b="1">
                        <a:latin typeface="Times New Roman" pitchFamily="18" charset="0"/>
                        <a:cs typeface="Times New Roman" pitchFamily="18" charset="0"/>
                      </a:rPr>
                      <a:t>3</a:t>
                    </a:r>
                    <a:r>
                      <a:rPr lang="en-US" sz="890" b="1">
                        <a:latin typeface="Times New Roman" pitchFamily="18" charset="0"/>
                        <a:cs typeface="Times New Roman" pitchFamily="18" charset="0"/>
                      </a:rPr>
                      <a:t>*</a:t>
                    </a:r>
                  </a:p>
                </c:rich>
              </c:tx>
              <c:dLblPos val="outEnd"/>
            </c:dLbl>
            <c:dLbl>
              <c:idx val="6"/>
              <c:layout>
                <c:manualLayout>
                  <c:x val="-1.0165556228548403E-3"/>
                  <c:y val="1.0853808936533541E-2"/>
                </c:manualLayout>
              </c:layout>
              <c:tx>
                <c:rich>
                  <a:bodyPr/>
                  <a:lstStyle/>
                  <a:p>
                    <a:r>
                      <a:rPr lang="en-US" sz="890" b="1">
                        <a:latin typeface="Times New Roman" pitchFamily="18" charset="0"/>
                        <a:cs typeface="Times New Roman" pitchFamily="18" charset="0"/>
                      </a:rPr>
                      <a:t>21,</a:t>
                    </a:r>
                    <a:r>
                      <a:rPr lang="ru-RU" sz="890" b="1">
                        <a:latin typeface="Times New Roman" pitchFamily="18" charset="0"/>
                        <a:cs typeface="Times New Roman" pitchFamily="18" charset="0"/>
                      </a:rPr>
                      <a:t>9</a:t>
                    </a:r>
                    <a:r>
                      <a:rPr lang="en-US" sz="890" b="1">
                        <a:latin typeface="Times New Roman" pitchFamily="18" charset="0"/>
                        <a:cs typeface="Times New Roman" pitchFamily="18" charset="0"/>
                      </a:rPr>
                      <a:t>*</a:t>
                    </a:r>
                  </a:p>
                </c:rich>
              </c:tx>
              <c:dLblPos val="outEnd"/>
            </c:dLbl>
            <c:dLbl>
              <c:idx val="7"/>
              <c:layout>
                <c:manualLayout>
                  <c:x val="-1.2636096958468426E-2"/>
                  <c:y val="8.9485668596065767E-3"/>
                </c:manualLayout>
              </c:layout>
              <c:tx>
                <c:rich>
                  <a:bodyPr/>
                  <a:lstStyle/>
                  <a:p>
                    <a:r>
                      <a:rPr lang="ru-RU" sz="890" b="1">
                        <a:latin typeface="Times New Roman" pitchFamily="18" charset="0"/>
                        <a:cs typeface="Times New Roman" pitchFamily="18" charset="0"/>
                      </a:rPr>
                      <a:t>16,9*</a:t>
                    </a:r>
                    <a:endParaRPr lang="en-US" sz="890" b="1">
                      <a:latin typeface="Times New Roman" pitchFamily="18" charset="0"/>
                      <a:cs typeface="Times New Roman" pitchFamily="18" charset="0"/>
                    </a:endParaRPr>
                  </a:p>
                </c:rich>
              </c:tx>
              <c:dLblPos val="outEnd"/>
            </c:dLbl>
            <c:spPr>
              <a:noFill/>
              <a:ln w="24383">
                <a:noFill/>
              </a:ln>
            </c:spPr>
            <c:txPr>
              <a:bodyPr/>
              <a:lstStyle/>
              <a:p>
                <a:pPr>
                  <a:defRPr sz="890">
                    <a:latin typeface="Times New Roman" pitchFamily="18" charset="0"/>
                    <a:cs typeface="Times New Roman" pitchFamily="18" charset="0"/>
                  </a:defRPr>
                </a:pPr>
                <a:endParaRPr lang="ru-RU"/>
              </a:p>
            </c:txPr>
            <c:dLblPos val="outEnd"/>
            <c:showVal val="1"/>
          </c:dLbls>
          <c:cat>
            <c:strRef>
              <c:f>Лист1!$A$2:$A$8</c:f>
              <c:strCache>
                <c:ptCount val="7"/>
                <c:pt idx="0">
                  <c:v>Россия</c:v>
                </c:pt>
                <c:pt idx="1">
                  <c:v>Украина</c:v>
                </c:pt>
                <c:pt idx="2">
                  <c:v> Молдова</c:v>
                </c:pt>
                <c:pt idx="3">
                  <c:v>Италия</c:v>
                </c:pt>
                <c:pt idx="4">
                  <c:v>Германия</c:v>
                </c:pt>
                <c:pt idx="5">
                  <c:v>Румыния</c:v>
                </c:pt>
                <c:pt idx="6">
                  <c:v>Прочие страны</c:v>
                </c:pt>
              </c:strCache>
            </c:strRef>
          </c:cat>
          <c:val>
            <c:numRef>
              <c:f>Лист1!$B$2:$B$8</c:f>
              <c:numCache>
                <c:formatCode>0.0</c:formatCode>
                <c:ptCount val="7"/>
                <c:pt idx="0">
                  <c:v>419.34300000000002</c:v>
                </c:pt>
                <c:pt idx="1">
                  <c:v>122.077</c:v>
                </c:pt>
                <c:pt idx="2">
                  <c:v>102.381</c:v>
                </c:pt>
                <c:pt idx="3">
                  <c:v>20.800999999999988</c:v>
                </c:pt>
                <c:pt idx="4">
                  <c:v>35.174000000000007</c:v>
                </c:pt>
                <c:pt idx="5">
                  <c:v>21.286999999999889</c:v>
                </c:pt>
                <c:pt idx="6">
                  <c:v>202.12900000000002</c:v>
                </c:pt>
              </c:numCache>
            </c:numRef>
          </c:val>
        </c:ser>
        <c:ser>
          <c:idx val="1"/>
          <c:order val="1"/>
          <c:tx>
            <c:strRef>
              <c:f>Лист1!$C$1</c:f>
              <c:strCache>
                <c:ptCount val="1"/>
                <c:pt idx="0">
                  <c:v>январь - декабрь 2017 г.</c:v>
                </c:pt>
              </c:strCache>
            </c:strRef>
          </c:tx>
          <c:spPr>
            <a:solidFill>
              <a:sysClr val="windowText" lastClr="000000">
                <a:lumMod val="75000"/>
                <a:lumOff val="25000"/>
              </a:sysClr>
            </a:solidFill>
          </c:spPr>
          <c:dLbls>
            <c:dLbl>
              <c:idx val="0"/>
              <c:layout>
                <c:manualLayout>
                  <c:x val="1.0580978848233016E-2"/>
                  <c:y val="0"/>
                </c:manualLayout>
              </c:layout>
              <c:tx>
                <c:rich>
                  <a:bodyPr/>
                  <a:lstStyle/>
                  <a:p>
                    <a:r>
                      <a:rPr lang="ru-RU" sz="890" b="1">
                        <a:latin typeface="Times New Roman" pitchFamily="18" charset="0"/>
                        <a:cs typeface="Times New Roman" pitchFamily="18" charset="0"/>
                      </a:rPr>
                      <a:t>34,1</a:t>
                    </a:r>
                    <a:r>
                      <a:rPr lang="en-US" sz="890" b="1">
                        <a:latin typeface="Times New Roman" pitchFamily="18" charset="0"/>
                        <a:cs typeface="Times New Roman" pitchFamily="18" charset="0"/>
                      </a:rPr>
                      <a:t>*</a:t>
                    </a:r>
                  </a:p>
                </c:rich>
              </c:tx>
              <c:dLblPos val="outEnd"/>
            </c:dLbl>
            <c:dLbl>
              <c:idx val="1"/>
              <c:layout>
                <c:manualLayout>
                  <c:x val="1.1864597807627213E-2"/>
                  <c:y val="6.5359545288627002E-3"/>
                </c:manualLayout>
              </c:layout>
              <c:tx>
                <c:rich>
                  <a:bodyPr/>
                  <a:lstStyle/>
                  <a:p>
                    <a:r>
                      <a:rPr lang="ru-RU" sz="890" b="1">
                        <a:latin typeface="Times New Roman" pitchFamily="18" charset="0"/>
                        <a:cs typeface="Times New Roman" pitchFamily="18" charset="0"/>
                      </a:rPr>
                      <a:t>22,7</a:t>
                    </a:r>
                    <a:r>
                      <a:rPr lang="en-US" sz="890" b="1">
                        <a:latin typeface="Times New Roman" pitchFamily="18" charset="0"/>
                        <a:cs typeface="Times New Roman" pitchFamily="18" charset="0"/>
                      </a:rPr>
                      <a:t>*</a:t>
                    </a:r>
                  </a:p>
                </c:rich>
              </c:tx>
              <c:dLblPos val="outEnd"/>
            </c:dLbl>
            <c:dLbl>
              <c:idx val="2"/>
              <c:layout>
                <c:manualLayout>
                  <c:x val="1.1029488960938723E-2"/>
                  <c:y val="1.3131007630668741E-2"/>
                </c:manualLayout>
              </c:layout>
              <c:tx>
                <c:rich>
                  <a:bodyPr/>
                  <a:lstStyle/>
                  <a:p>
                    <a:r>
                      <a:rPr lang="en-US" sz="890" b="1">
                        <a:latin typeface="Times New Roman" pitchFamily="18" charset="0"/>
                        <a:cs typeface="Times New Roman" pitchFamily="18" charset="0"/>
                      </a:rPr>
                      <a:t>1</a:t>
                    </a:r>
                    <a:r>
                      <a:rPr lang="ru-RU" sz="890" b="1">
                        <a:latin typeface="Times New Roman" pitchFamily="18" charset="0"/>
                        <a:cs typeface="Times New Roman" pitchFamily="18" charset="0"/>
                      </a:rPr>
                      <a:t>1,5</a:t>
                    </a:r>
                    <a:r>
                      <a:rPr lang="en-US" sz="890" b="1">
                        <a:latin typeface="Times New Roman" pitchFamily="18" charset="0"/>
                        <a:cs typeface="Times New Roman" pitchFamily="18" charset="0"/>
                      </a:rPr>
                      <a:t>*</a:t>
                    </a:r>
                  </a:p>
                </c:rich>
              </c:tx>
              <c:dLblPos val="outEnd"/>
            </c:dLbl>
            <c:dLbl>
              <c:idx val="3"/>
              <c:layout>
                <c:manualLayout>
                  <c:x val="7.8794406018398502E-3"/>
                  <c:y val="-4.4744572491352465E-3"/>
                </c:manualLayout>
              </c:layout>
              <c:tx>
                <c:rich>
                  <a:bodyPr/>
                  <a:lstStyle/>
                  <a:p>
                    <a:r>
                      <a:rPr lang="en-US" sz="890" b="1">
                        <a:latin typeface="Times New Roman" pitchFamily="18" charset="0"/>
                        <a:cs typeface="Times New Roman" pitchFamily="18" charset="0"/>
                      </a:rPr>
                      <a:t>2,</a:t>
                    </a:r>
                    <a:r>
                      <a:rPr lang="ru-RU" sz="890" b="1">
                        <a:latin typeface="Times New Roman" pitchFamily="18" charset="0"/>
                        <a:cs typeface="Times New Roman" pitchFamily="18" charset="0"/>
                      </a:rPr>
                      <a:t>4</a:t>
                    </a:r>
                    <a:r>
                      <a:rPr lang="en-US" sz="890" b="1">
                        <a:latin typeface="Times New Roman" pitchFamily="18" charset="0"/>
                        <a:cs typeface="Times New Roman" pitchFamily="18" charset="0"/>
                      </a:rPr>
                      <a:t>*</a:t>
                    </a:r>
                  </a:p>
                </c:rich>
              </c:tx>
              <c:dLblPos val="outEnd"/>
            </c:dLbl>
            <c:dLbl>
              <c:idx val="4"/>
              <c:layout>
                <c:manualLayout>
                  <c:x val="1.0321290721012821E-2"/>
                  <c:y val="8.8296744363908202E-3"/>
                </c:manualLayout>
              </c:layout>
              <c:tx>
                <c:rich>
                  <a:bodyPr/>
                  <a:lstStyle/>
                  <a:p>
                    <a:r>
                      <a:rPr lang="ru-RU" sz="890" b="1">
                        <a:latin typeface="Times New Roman" pitchFamily="18" charset="0"/>
                        <a:cs typeface="Times New Roman" pitchFamily="18" charset="0"/>
                      </a:rPr>
                      <a:t>3,7</a:t>
                    </a:r>
                    <a:r>
                      <a:rPr lang="en-US" sz="890" b="1">
                        <a:latin typeface="Times New Roman" pitchFamily="18" charset="0"/>
                        <a:cs typeface="Times New Roman" pitchFamily="18" charset="0"/>
                      </a:rPr>
                      <a:t>*</a:t>
                    </a:r>
                  </a:p>
                </c:rich>
              </c:tx>
              <c:dLblPos val="outEnd"/>
            </c:dLbl>
            <c:dLbl>
              <c:idx val="5"/>
              <c:layout>
                <c:manualLayout>
                  <c:x val="9.9672687972827047E-3"/>
                  <c:y val="-1.7764335749423184E-4"/>
                </c:manualLayout>
              </c:layout>
              <c:tx>
                <c:rich>
                  <a:bodyPr/>
                  <a:lstStyle/>
                  <a:p>
                    <a:r>
                      <a:rPr lang="en-US" sz="890" b="1">
                        <a:latin typeface="Times New Roman" pitchFamily="18" charset="0"/>
                        <a:cs typeface="Times New Roman" pitchFamily="18" charset="0"/>
                      </a:rPr>
                      <a:t>3,</a:t>
                    </a:r>
                    <a:r>
                      <a:rPr lang="ru-RU" sz="890" b="1">
                        <a:latin typeface="Times New Roman" pitchFamily="18" charset="0"/>
                        <a:cs typeface="Times New Roman" pitchFamily="18" charset="0"/>
                      </a:rPr>
                      <a:t>7</a:t>
                    </a:r>
                    <a:r>
                      <a:rPr lang="en-US" sz="890" b="1">
                        <a:latin typeface="Times New Roman" pitchFamily="18" charset="0"/>
                        <a:cs typeface="Times New Roman" pitchFamily="18" charset="0"/>
                      </a:rPr>
                      <a:t>*</a:t>
                    </a:r>
                  </a:p>
                </c:rich>
              </c:tx>
              <c:dLblPos val="outEnd"/>
            </c:dLbl>
            <c:dLbl>
              <c:idx val="6"/>
              <c:layout>
                <c:manualLayout>
                  <c:x val="9.4373780200551639E-3"/>
                  <c:y val="0"/>
                </c:manualLayout>
              </c:layout>
              <c:tx>
                <c:rich>
                  <a:bodyPr/>
                  <a:lstStyle/>
                  <a:p>
                    <a:r>
                      <a:rPr lang="en-US" sz="890" b="1">
                        <a:latin typeface="Times New Roman" pitchFamily="18" charset="0"/>
                        <a:cs typeface="Times New Roman" pitchFamily="18" charset="0"/>
                      </a:rPr>
                      <a:t>2</a:t>
                    </a:r>
                    <a:r>
                      <a:rPr lang="ru-RU" sz="890" b="1">
                        <a:latin typeface="Times New Roman" pitchFamily="18" charset="0"/>
                        <a:cs typeface="Times New Roman" pitchFamily="18" charset="0"/>
                      </a:rPr>
                      <a:t>1</a:t>
                    </a:r>
                    <a:r>
                      <a:rPr lang="en-US" sz="890" b="1">
                        <a:latin typeface="Times New Roman" pitchFamily="18" charset="0"/>
                        <a:cs typeface="Times New Roman" pitchFamily="18" charset="0"/>
                      </a:rPr>
                      <a:t>,</a:t>
                    </a:r>
                    <a:r>
                      <a:rPr lang="ru-RU" sz="890" b="1">
                        <a:latin typeface="Times New Roman" pitchFamily="18" charset="0"/>
                        <a:cs typeface="Times New Roman" pitchFamily="18" charset="0"/>
                      </a:rPr>
                      <a:t>9</a:t>
                    </a:r>
                    <a:r>
                      <a:rPr lang="en-US" sz="890" b="1">
                        <a:latin typeface="Times New Roman" pitchFamily="18" charset="0"/>
                        <a:cs typeface="Times New Roman" pitchFamily="18" charset="0"/>
                      </a:rPr>
                      <a:t>*</a:t>
                    </a:r>
                  </a:p>
                </c:rich>
              </c:tx>
              <c:dLblPos val="outEnd"/>
            </c:dLbl>
            <c:dLbl>
              <c:idx val="7"/>
              <c:layout>
                <c:manualLayout>
                  <c:x val="1.0951829550718524E-2"/>
                  <c:y val="-8.2143540004519303E-3"/>
                </c:manualLayout>
              </c:layout>
              <c:tx>
                <c:rich>
                  <a:bodyPr/>
                  <a:lstStyle/>
                  <a:p>
                    <a:r>
                      <a:rPr lang="ru-RU" sz="890" b="1">
                        <a:latin typeface="Times New Roman" pitchFamily="18" charset="0"/>
                        <a:cs typeface="Times New Roman" pitchFamily="18" charset="0"/>
                      </a:rPr>
                      <a:t>17,6*</a:t>
                    </a:r>
                    <a:endParaRPr lang="en-US" sz="890" b="1">
                      <a:latin typeface="Times New Roman" pitchFamily="18" charset="0"/>
                      <a:cs typeface="Times New Roman" pitchFamily="18" charset="0"/>
                    </a:endParaRPr>
                  </a:p>
                </c:rich>
              </c:tx>
              <c:dLblPos val="outEnd"/>
            </c:dLbl>
            <c:spPr>
              <a:noFill/>
              <a:ln w="24383">
                <a:noFill/>
              </a:ln>
            </c:spPr>
            <c:txPr>
              <a:bodyPr/>
              <a:lstStyle/>
              <a:p>
                <a:pPr>
                  <a:defRPr sz="890">
                    <a:latin typeface="Times New Roman" pitchFamily="18" charset="0"/>
                    <a:cs typeface="Times New Roman" pitchFamily="18" charset="0"/>
                  </a:defRPr>
                </a:pPr>
                <a:endParaRPr lang="ru-RU"/>
              </a:p>
            </c:txPr>
            <c:dLblPos val="outEnd"/>
            <c:showVal val="1"/>
          </c:dLbls>
          <c:cat>
            <c:strRef>
              <c:f>Лист1!$A$2:$A$8</c:f>
              <c:strCache>
                <c:ptCount val="7"/>
                <c:pt idx="0">
                  <c:v>Россия</c:v>
                </c:pt>
                <c:pt idx="1">
                  <c:v>Украина</c:v>
                </c:pt>
                <c:pt idx="2">
                  <c:v> Молдова</c:v>
                </c:pt>
                <c:pt idx="3">
                  <c:v>Италия</c:v>
                </c:pt>
                <c:pt idx="4">
                  <c:v>Германия</c:v>
                </c:pt>
                <c:pt idx="5">
                  <c:v>Румыния</c:v>
                </c:pt>
                <c:pt idx="6">
                  <c:v>Прочие страны</c:v>
                </c:pt>
              </c:strCache>
            </c:strRef>
          </c:cat>
          <c:val>
            <c:numRef>
              <c:f>Лист1!$C$2:$C$8</c:f>
              <c:numCache>
                <c:formatCode>0.0</c:formatCode>
                <c:ptCount val="7"/>
                <c:pt idx="0">
                  <c:v>353.79700000000003</c:v>
                </c:pt>
                <c:pt idx="1">
                  <c:v>235.93900000000002</c:v>
                </c:pt>
                <c:pt idx="2">
                  <c:v>119.908</c:v>
                </c:pt>
                <c:pt idx="3">
                  <c:v>24.492999999999842</c:v>
                </c:pt>
                <c:pt idx="4">
                  <c:v>38.035000000000011</c:v>
                </c:pt>
                <c:pt idx="5">
                  <c:v>38.7220000000003</c:v>
                </c:pt>
                <c:pt idx="6">
                  <c:v>227.99</c:v>
                </c:pt>
              </c:numCache>
            </c:numRef>
          </c:val>
        </c:ser>
        <c:dLbls>
          <c:showVal val="1"/>
        </c:dLbls>
        <c:overlap val="-7"/>
        <c:axId val="117808128"/>
        <c:axId val="117854976"/>
      </c:barChart>
      <c:catAx>
        <c:axId val="117808128"/>
        <c:scaling>
          <c:orientation val="minMax"/>
        </c:scaling>
        <c:axPos val="b"/>
        <c:numFmt formatCode="General" sourceLinked="1"/>
        <c:tickLblPos val="nextTo"/>
        <c:crossAx val="117854976"/>
        <c:crosses val="autoZero"/>
        <c:auto val="1"/>
        <c:lblAlgn val="ctr"/>
        <c:lblOffset val="100"/>
        <c:tickLblSkip val="1"/>
      </c:catAx>
      <c:valAx>
        <c:axId val="117854976"/>
        <c:scaling>
          <c:orientation val="minMax"/>
        </c:scaling>
        <c:axPos val="l"/>
        <c:title>
          <c:tx>
            <c:rich>
              <a:bodyPr rot="0" vert="horz"/>
              <a:lstStyle/>
              <a:p>
                <a:pPr algn="ctr">
                  <a:defRPr sz="850" b="1" i="0" u="none" strike="noStrike" baseline="0">
                    <a:solidFill>
                      <a:srgbClr val="000000"/>
                    </a:solidFill>
                    <a:latin typeface="Times New Roman"/>
                    <a:ea typeface="Times New Roman"/>
                    <a:cs typeface="Times New Roman"/>
                  </a:defRPr>
                </a:pPr>
                <a:r>
                  <a:rPr lang="ru-RU" sz="850"/>
                  <a:t>*- удельный вес страны в общем импорте,%</a:t>
                </a:r>
              </a:p>
            </c:rich>
          </c:tx>
          <c:layout>
            <c:manualLayout>
              <c:xMode val="edge"/>
              <c:yMode val="edge"/>
              <c:x val="1.7537971687965385E-3"/>
              <c:y val="0.59428165741577565"/>
            </c:manualLayout>
          </c:layout>
          <c:spPr>
            <a:noFill/>
            <a:ln w="24383">
              <a:noFill/>
            </a:ln>
          </c:spPr>
        </c:title>
        <c:numFmt formatCode="0.0" sourceLinked="1"/>
        <c:tickLblPos val="nextTo"/>
        <c:txPr>
          <a:bodyPr/>
          <a:lstStyle/>
          <a:p>
            <a:pPr>
              <a:defRPr b="1">
                <a:latin typeface="Times New Roman" pitchFamily="18" charset="0"/>
                <a:cs typeface="Times New Roman" pitchFamily="18" charset="0"/>
              </a:defRPr>
            </a:pPr>
            <a:endParaRPr lang="ru-RU"/>
          </a:p>
        </c:txPr>
        <c:crossAx val="117808128"/>
        <c:crosses val="autoZero"/>
        <c:crossBetween val="between"/>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5"/>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Инвестиции в основной капитал</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(в части новых и преобретенных по импорту основных средств)</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 (без субъектов малого предпринимательства) (в текущих ценах), млн руб.</a:t>
            </a:r>
          </a:p>
        </c:rich>
      </c:tx>
      <c:layout>
        <c:manualLayout>
          <c:xMode val="edge"/>
          <c:yMode val="edge"/>
          <c:x val="0.17978927045277979"/>
          <c:y val="3.3294884000933996E-3"/>
        </c:manualLayout>
      </c:layout>
    </c:title>
    <c:plotArea>
      <c:layout>
        <c:manualLayout>
          <c:layoutTarget val="inner"/>
          <c:xMode val="edge"/>
          <c:yMode val="edge"/>
          <c:x val="0.35529349647620573"/>
          <c:y val="0.24256642577212131"/>
          <c:w val="0.63906935102499962"/>
          <c:h val="0.37993420343005108"/>
        </c:manualLayout>
      </c:layout>
      <c:barChart>
        <c:barDir val="col"/>
        <c:grouping val="clustered"/>
        <c:ser>
          <c:idx val="0"/>
          <c:order val="0"/>
          <c:tx>
            <c:strRef>
              <c:f>Лист1!$B$1</c:f>
              <c:strCache>
                <c:ptCount val="1"/>
                <c:pt idx="0">
                  <c:v>прочие</c:v>
                </c:pt>
              </c:strCache>
            </c:strRef>
          </c:tx>
          <c:dLbls>
            <c:dLbl>
              <c:idx val="0"/>
              <c:layout>
                <c:manualLayout>
                  <c:x val="-5.2424639580603534E-3"/>
                  <c:y val="-1.6511867905056765E-2"/>
                </c:manualLayout>
              </c:layout>
              <c:tx>
                <c:rich>
                  <a:bodyPr/>
                  <a:lstStyle/>
                  <a:p>
                    <a:r>
                      <a:rPr lang="ru-RU" sz="950" b="1">
                        <a:latin typeface="Times New Roman" pitchFamily="18" charset="0"/>
                        <a:cs typeface="Times New Roman" pitchFamily="18" charset="0"/>
                      </a:rPr>
                      <a:t>3,9*</a:t>
                    </a:r>
                    <a:endParaRPr lang="en-US" sz="950" b="1">
                      <a:latin typeface="Times New Roman" pitchFamily="18" charset="0"/>
                      <a:cs typeface="Times New Roman" pitchFamily="18" charset="0"/>
                    </a:endParaRPr>
                  </a:p>
                </c:rich>
              </c:tx>
              <c:showVal val="1"/>
              <c:extLst>
                <c:ext xmlns:c15="http://schemas.microsoft.com/office/drawing/2012/chart" uri="{CE6537A1-D6FC-4f65-9D91-7224C49458BB}">
                  <c15:layout/>
                </c:ext>
              </c:extLst>
            </c:dLbl>
            <c:dLbl>
              <c:idx val="1"/>
              <c:layout>
                <c:manualLayout>
                  <c:x val="-3.4949759720402092E-3"/>
                  <c:y val="-8.2559339525285994E-3"/>
                </c:manualLayout>
              </c:layout>
              <c:tx>
                <c:rich>
                  <a:bodyPr/>
                  <a:lstStyle/>
                  <a:p>
                    <a:r>
                      <a:rPr lang="ru-RU" sz="950" b="1">
                        <a:latin typeface="Times New Roman" pitchFamily="18" charset="0"/>
                        <a:cs typeface="Times New Roman" pitchFamily="18" charset="0"/>
                      </a:rPr>
                      <a:t>2,8*</a:t>
                    </a:r>
                    <a:endParaRPr lang="en-US" sz="950" b="1">
                      <a:latin typeface="Times New Roman" pitchFamily="18" charset="0"/>
                      <a:cs typeface="Times New Roman" pitchFamily="18" charset="0"/>
                    </a:endParaRPr>
                  </a:p>
                </c:rich>
              </c:tx>
              <c:showVal val="1"/>
              <c:extLst>
                <c:ext xmlns:c15="http://schemas.microsoft.com/office/drawing/2012/chart" uri="{CE6537A1-D6FC-4f65-9D91-7224C49458BB}">
                  <c15:layout/>
                </c:ext>
              </c:extLst>
            </c:dLbl>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январь-декабрь 2016 года</c:v>
                </c:pt>
                <c:pt idx="1">
                  <c:v>январь-декабрь 2017 года</c:v>
                </c:pt>
              </c:strCache>
            </c:strRef>
          </c:cat>
          <c:val>
            <c:numRef>
              <c:f>Лист1!$B$2:$B$3</c:f>
              <c:numCache>
                <c:formatCode>0.0</c:formatCode>
                <c:ptCount val="2"/>
                <c:pt idx="0">
                  <c:v>41.900000000000091</c:v>
                </c:pt>
                <c:pt idx="1">
                  <c:v>22.200000000000042</c:v>
                </c:pt>
              </c:numCache>
            </c:numRef>
          </c:val>
        </c:ser>
        <c:ser>
          <c:idx val="1"/>
          <c:order val="1"/>
          <c:tx>
            <c:strRef>
              <c:f>Лист1!$C$1</c:f>
              <c:strCache>
                <c:ptCount val="1"/>
                <c:pt idx="0">
                  <c:v>строительно-монтажные работы</c:v>
                </c:pt>
              </c:strCache>
            </c:strRef>
          </c:tx>
          <c:dLbls>
            <c:dLbl>
              <c:idx val="0"/>
              <c:layout>
                <c:manualLayout>
                  <c:x val="2.7484205298204203E-3"/>
                  <c:y val="1.4557095263795922E-2"/>
                </c:manualLayout>
              </c:layout>
              <c:tx>
                <c:rich>
                  <a:bodyPr/>
                  <a:lstStyle/>
                  <a:p>
                    <a:r>
                      <a:rPr lang="ru-RU" b="1">
                        <a:latin typeface="Times New Roman" pitchFamily="18" charset="0"/>
                        <a:cs typeface="Times New Roman" pitchFamily="18" charset="0"/>
                      </a:rPr>
                      <a:t>41,3*</a:t>
                    </a:r>
                    <a:endParaRPr lang="en-US" b="1">
                      <a:latin typeface="Times New Roman" pitchFamily="18" charset="0"/>
                      <a:cs typeface="Times New Roman" pitchFamily="18" charset="0"/>
                    </a:endParaRPr>
                  </a:p>
                </c:rich>
              </c:tx>
              <c:showVal val="1"/>
            </c:dLbl>
            <c:dLbl>
              <c:idx val="1"/>
              <c:layout>
                <c:manualLayout>
                  <c:x val="-5.2425286097352334E-3"/>
                  <c:y val="1.0979606930576756E-2"/>
                </c:manualLayout>
              </c:layout>
              <c:tx>
                <c:rich>
                  <a:bodyPr/>
                  <a:lstStyle/>
                  <a:p>
                    <a:r>
                      <a:rPr lang="ru-RU" sz="950" b="1">
                        <a:latin typeface="Times New Roman" pitchFamily="18" charset="0"/>
                        <a:cs typeface="Times New Roman" pitchFamily="18" charset="0"/>
                      </a:rPr>
                      <a:t>40,6*</a:t>
                    </a:r>
                    <a:endParaRPr lang="en-US" sz="950" b="1">
                      <a:latin typeface="Times New Roman" pitchFamily="18" charset="0"/>
                      <a:cs typeface="Times New Roman" pitchFamily="18" charset="0"/>
                    </a:endParaRPr>
                  </a:p>
                </c:rich>
              </c:tx>
              <c:showVal val="1"/>
              <c:extLst>
                <c:ext xmlns:c15="http://schemas.microsoft.com/office/drawing/2012/chart" uri="{CE6537A1-D6FC-4f65-9D91-7224C49458BB}">
                  <c15:layout/>
                </c:ext>
              </c:extLst>
            </c:dLbl>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январь-декабрь 2016 года</c:v>
                </c:pt>
                <c:pt idx="1">
                  <c:v>январь-декабрь 2017 года</c:v>
                </c:pt>
              </c:strCache>
            </c:strRef>
          </c:cat>
          <c:val>
            <c:numRef>
              <c:f>Лист1!$C$2:$C$3</c:f>
              <c:numCache>
                <c:formatCode>0.0</c:formatCode>
                <c:ptCount val="2"/>
                <c:pt idx="0">
                  <c:v>447.8</c:v>
                </c:pt>
                <c:pt idx="1">
                  <c:v>332.4</c:v>
                </c:pt>
              </c:numCache>
            </c:numRef>
          </c:val>
        </c:ser>
        <c:ser>
          <c:idx val="2"/>
          <c:order val="2"/>
          <c:tx>
            <c:strRef>
              <c:f>Лист1!$D$1</c:f>
              <c:strCache>
                <c:ptCount val="1"/>
                <c:pt idx="0">
                  <c:v>машины, оборудование, транспортные средства, инструмент, инвентарь</c:v>
                </c:pt>
              </c:strCache>
            </c:strRef>
          </c:tx>
          <c:dLbls>
            <c:dLbl>
              <c:idx val="0"/>
              <c:layout>
                <c:manualLayout>
                  <c:x val="1.9436345966958243E-3"/>
                  <c:y val="1.3698630136986301E-2"/>
                </c:manualLayout>
              </c:layout>
              <c:tx>
                <c:rich>
                  <a:bodyPr/>
                  <a:lstStyle/>
                  <a:p>
                    <a:r>
                      <a:rPr lang="ru-RU" b="1">
                        <a:latin typeface="Times New Roman" pitchFamily="18" charset="0"/>
                        <a:cs typeface="Times New Roman" pitchFamily="18" charset="0"/>
                      </a:rPr>
                      <a:t>54,9*</a:t>
                    </a:r>
                    <a:endParaRPr lang="en-US" b="1">
                      <a:latin typeface="Times New Roman" pitchFamily="18" charset="0"/>
                      <a:cs typeface="Times New Roman" pitchFamily="18" charset="0"/>
                    </a:endParaRPr>
                  </a:p>
                </c:rich>
              </c:tx>
              <c:showVal val="1"/>
              <c:extLst>
                <c:ext xmlns:c15="http://schemas.microsoft.com/office/drawing/2012/chart" uri="{CE6537A1-D6FC-4f65-9D91-7224C49458BB}">
                  <c15:layout/>
                </c:ext>
              </c:extLst>
            </c:dLbl>
            <c:dLbl>
              <c:idx val="1"/>
              <c:tx>
                <c:rich>
                  <a:bodyPr/>
                  <a:lstStyle/>
                  <a:p>
                    <a:r>
                      <a:rPr lang="ru-RU" sz="950" b="1">
                        <a:latin typeface="Times New Roman" pitchFamily="18" charset="0"/>
                        <a:cs typeface="Times New Roman" pitchFamily="18" charset="0"/>
                      </a:rPr>
                      <a:t>56,6*</a:t>
                    </a:r>
                    <a:endParaRPr lang="en-US" sz="950" b="1">
                      <a:latin typeface="Times New Roman" pitchFamily="18" charset="0"/>
                      <a:cs typeface="Times New Roman" pitchFamily="18" charset="0"/>
                    </a:endParaRPr>
                  </a:p>
                </c:rich>
              </c:tx>
              <c:showVal val="1"/>
              <c:extLst>
                <c:ext xmlns:c15="http://schemas.microsoft.com/office/drawing/2012/chart" uri="{CE6537A1-D6FC-4f65-9D91-7224C49458BB}">
                  <c15:layout/>
                </c:ext>
              </c:extLst>
            </c:dLbl>
            <c:showVal val="1"/>
            <c:extLst>
              <c:ext xmlns:c15="http://schemas.microsoft.com/office/drawing/2012/chart" uri="{CE6537A1-D6FC-4f65-9D91-7224C49458BB}">
                <c15:showLeaderLines val="0"/>
              </c:ext>
            </c:extLst>
          </c:dLbls>
          <c:cat>
            <c:strRef>
              <c:f>Лист1!$A$2:$A$3</c:f>
              <c:strCache>
                <c:ptCount val="2"/>
                <c:pt idx="0">
                  <c:v>январь-декабрь 2016 года</c:v>
                </c:pt>
                <c:pt idx="1">
                  <c:v>январь-декабрь 2017 года</c:v>
                </c:pt>
              </c:strCache>
            </c:strRef>
          </c:cat>
          <c:val>
            <c:numRef>
              <c:f>Лист1!$D$2:$D$3</c:f>
              <c:numCache>
                <c:formatCode>0.0</c:formatCode>
                <c:ptCount val="2"/>
                <c:pt idx="0">
                  <c:v>595.70000000000005</c:v>
                </c:pt>
                <c:pt idx="1">
                  <c:v>463.4</c:v>
                </c:pt>
              </c:numCache>
            </c:numRef>
          </c:val>
        </c:ser>
        <c:dLbls>
          <c:showVal val="1"/>
        </c:dLbls>
        <c:gapWidth val="199"/>
        <c:overlap val="-5"/>
        <c:axId val="118264576"/>
        <c:axId val="118266112"/>
      </c:barChart>
      <c:catAx>
        <c:axId val="118264576"/>
        <c:scaling>
          <c:orientation val="minMax"/>
        </c:scaling>
        <c:delete val="1"/>
        <c:axPos val="b"/>
        <c:numFmt formatCode="General" sourceLinked="0"/>
        <c:tickLblPos val="nextTo"/>
        <c:crossAx val="118266112"/>
        <c:crossesAt val="0"/>
        <c:auto val="1"/>
        <c:lblAlgn val="ctr"/>
        <c:lblOffset val="100"/>
      </c:catAx>
      <c:valAx>
        <c:axId val="118266112"/>
        <c:scaling>
          <c:orientation val="minMax"/>
          <c:max val="600"/>
        </c:scaling>
        <c:axPos val="l"/>
        <c:numFmt formatCode="0.0" sourceLinked="1"/>
        <c:majorTickMark val="in"/>
        <c:tickLblPos val="nextTo"/>
        <c:txPr>
          <a:bodyPr/>
          <a:lstStyle/>
          <a:p>
            <a:pPr>
              <a:defRPr sz="900">
                <a:latin typeface="Times New Roman" pitchFamily="18" charset="0"/>
                <a:cs typeface="Times New Roman" pitchFamily="18" charset="0"/>
              </a:defRPr>
            </a:pPr>
            <a:endParaRPr lang="ru-RU"/>
          </a:p>
        </c:txPr>
        <c:crossAx val="118264576"/>
        <c:crosses val="autoZero"/>
        <c:crossBetween val="between"/>
        <c:majorUnit val="100"/>
      </c:valAx>
      <c:dTable>
        <c:showHorzBorder val="1"/>
        <c:showVertBorder val="1"/>
        <c:showOutline val="1"/>
        <c:showKeys val="1"/>
        <c:txPr>
          <a:bodyPr/>
          <a:lstStyle/>
          <a:p>
            <a:pPr rtl="0">
              <a:defRPr sz="900" b="1">
                <a:latin typeface="Times New Roman" pitchFamily="18" charset="0"/>
                <a:cs typeface="Times New Roman" pitchFamily="18" charset="0"/>
              </a:defRPr>
            </a:pPr>
            <a:endParaRPr lang="ru-RU"/>
          </a:p>
        </c:txPr>
      </c:dTable>
    </c:plotArea>
    <c:plotVisOnly val="1"/>
    <c:dispBlanksAs val="gap"/>
  </c:chart>
  <c:spPr>
    <a:ln>
      <a:noFill/>
    </a:ln>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инвестиции</a:t>
            </a:r>
            <a:r>
              <a:rPr lang="ru-RU" baseline="0"/>
              <a:t> в разрезе объктов производственного и непроизводственного назначения, млн руб. </a:t>
            </a:r>
            <a:endParaRPr lang="ru-RU"/>
          </a:p>
        </c:rich>
      </c:tx>
      <c:layout>
        <c:manualLayout>
          <c:xMode val="edge"/>
          <c:yMode val="edge"/>
          <c:x val="0.18425598714036401"/>
          <c:y val="4.6298715030289464E-3"/>
        </c:manualLayout>
      </c:layout>
    </c:title>
    <c:view3D>
      <c:rotX val="0"/>
      <c:rotY val="0"/>
      <c:perspective val="30"/>
    </c:view3D>
    <c:plotArea>
      <c:layout>
        <c:manualLayout>
          <c:layoutTarget val="inner"/>
          <c:xMode val="edge"/>
          <c:yMode val="edge"/>
          <c:x val="9.7760176427650697E-2"/>
          <c:y val="0.1388888888888889"/>
          <c:w val="0.85095777229030323"/>
          <c:h val="0.62238990959463403"/>
        </c:manualLayout>
      </c:layout>
      <c:bar3DChart>
        <c:barDir val="bar"/>
        <c:grouping val="stacked"/>
        <c:ser>
          <c:idx val="0"/>
          <c:order val="0"/>
          <c:tx>
            <c:strRef>
              <c:f>'по объектам'!$A$8</c:f>
              <c:strCache>
                <c:ptCount val="1"/>
                <c:pt idx="0">
                  <c:v>производственного назначения</c:v>
                </c:pt>
              </c:strCache>
            </c:strRef>
          </c:tx>
          <c:spPr>
            <a:solidFill>
              <a:schemeClr val="tx1">
                <a:lumMod val="50000"/>
                <a:lumOff val="50000"/>
              </a:schemeClr>
            </a:solidFill>
            <a:ln>
              <a:solidFill>
                <a:schemeClr val="tx1">
                  <a:lumMod val="50000"/>
                  <a:lumOff val="50000"/>
                </a:schemeClr>
              </a:solidFill>
            </a:ln>
          </c:spPr>
          <c:dLbls>
            <c:dLbl>
              <c:idx val="0"/>
              <c:layout>
                <c:manualLayout>
                  <c:x val="-0.11834319526627222"/>
                  <c:y val="-9.2592592592594079E-3"/>
                </c:manualLayout>
              </c:layout>
              <c:showVal val="1"/>
            </c:dLbl>
            <c:dLbl>
              <c:idx val="1"/>
              <c:layout>
                <c:manualLayout>
                  <c:x val="-0.16831032215647762"/>
                  <c:y val="0"/>
                </c:manualLayout>
              </c:layout>
              <c:showVal val="1"/>
            </c:dLbl>
            <c:dLbl>
              <c:idx val="2"/>
              <c:layout>
                <c:manualLayout>
                  <c:x val="-0.16568047337278108"/>
                  <c:y val="0"/>
                </c:manualLayout>
              </c:layout>
              <c:showVal val="1"/>
            </c:dLbl>
            <c:dLbl>
              <c:idx val="3"/>
              <c:layout>
                <c:manualLayout>
                  <c:x val="-8.9414858645627898E-2"/>
                  <c:y val="-9.2592592592593767E-3"/>
                </c:manualLayout>
              </c:layout>
              <c:showVal val="1"/>
            </c:dLbl>
            <c:dLbl>
              <c:idx val="4"/>
              <c:layout>
                <c:manualLayout>
                  <c:x val="-5.5226824457593734E-2"/>
                  <c:y val="0"/>
                </c:manualLayout>
              </c:layout>
              <c:showVal val="1"/>
            </c:dLbl>
            <c:showVal val="1"/>
          </c:dLbls>
          <c:cat>
            <c:numRef>
              <c:f>'по объектам'!$F$5:$G$5</c:f>
              <c:numCache>
                <c:formatCode>General</c:formatCode>
                <c:ptCount val="2"/>
                <c:pt idx="0">
                  <c:v>2016</c:v>
                </c:pt>
                <c:pt idx="1">
                  <c:v>2017</c:v>
                </c:pt>
              </c:numCache>
            </c:numRef>
          </c:cat>
          <c:val>
            <c:numRef>
              <c:f>'по объектам'!$F$8:$G$8</c:f>
              <c:numCache>
                <c:formatCode>#,##0.0</c:formatCode>
                <c:ptCount val="2"/>
                <c:pt idx="0">
                  <c:v>827.2</c:v>
                </c:pt>
                <c:pt idx="1">
                  <c:v>614.29999999999995</c:v>
                </c:pt>
              </c:numCache>
            </c:numRef>
          </c:val>
        </c:ser>
        <c:ser>
          <c:idx val="1"/>
          <c:order val="1"/>
          <c:tx>
            <c:strRef>
              <c:f>'по объектам'!$A$9</c:f>
              <c:strCache>
                <c:ptCount val="1"/>
                <c:pt idx="0">
                  <c:v>непроизводственного назначения</c:v>
                </c:pt>
              </c:strCache>
            </c:strRef>
          </c:tx>
          <c:spPr>
            <a:solidFill>
              <a:schemeClr val="bg1">
                <a:lumMod val="85000"/>
              </a:schemeClr>
            </a:solidFill>
            <a:ln>
              <a:solidFill>
                <a:sysClr val="windowText" lastClr="000000">
                  <a:lumMod val="50000"/>
                  <a:lumOff val="50000"/>
                </a:sysClr>
              </a:solidFill>
            </a:ln>
          </c:spPr>
          <c:dLbls>
            <c:showVal val="1"/>
          </c:dLbls>
          <c:cat>
            <c:numRef>
              <c:f>'по объектам'!$F$5:$G$5</c:f>
              <c:numCache>
                <c:formatCode>General</c:formatCode>
                <c:ptCount val="2"/>
                <c:pt idx="0">
                  <c:v>2016</c:v>
                </c:pt>
                <c:pt idx="1">
                  <c:v>2017</c:v>
                </c:pt>
              </c:numCache>
            </c:numRef>
          </c:cat>
          <c:val>
            <c:numRef>
              <c:f>'по объектам'!$F$9:$G$9</c:f>
              <c:numCache>
                <c:formatCode>#,##0.0</c:formatCode>
                <c:ptCount val="2"/>
                <c:pt idx="0">
                  <c:v>258.2</c:v>
                </c:pt>
                <c:pt idx="1">
                  <c:v>203.8</c:v>
                </c:pt>
              </c:numCache>
            </c:numRef>
          </c:val>
        </c:ser>
        <c:dLbls>
          <c:showVal val="1"/>
        </c:dLbls>
        <c:shape val="box"/>
        <c:axId val="118449664"/>
        <c:axId val="118451200"/>
        <c:axId val="0"/>
      </c:bar3DChart>
      <c:catAx>
        <c:axId val="118449664"/>
        <c:scaling>
          <c:orientation val="minMax"/>
        </c:scaling>
        <c:axPos val="l"/>
        <c:numFmt formatCode="General" sourceLinked="1"/>
        <c:majorTickMark val="cross"/>
        <c:tickLblPos val="nextTo"/>
        <c:spPr>
          <a:ln>
            <a:solidFill>
              <a:sysClr val="windowText" lastClr="000000"/>
            </a:solidFill>
          </a:ln>
        </c:spPr>
        <c:crossAx val="118451200"/>
        <c:crosses val="autoZero"/>
        <c:auto val="1"/>
        <c:lblAlgn val="ctr"/>
        <c:lblOffset val="100"/>
      </c:catAx>
      <c:valAx>
        <c:axId val="118451200"/>
        <c:scaling>
          <c:orientation val="minMax"/>
        </c:scaling>
        <c:axPos val="b"/>
        <c:majorGridlines/>
        <c:numFmt formatCode="#,##0.0" sourceLinked="1"/>
        <c:majorTickMark val="cross"/>
        <c:tickLblPos val="nextTo"/>
        <c:spPr>
          <a:ln>
            <a:solidFill>
              <a:schemeClr val="tx1"/>
            </a:solidFill>
          </a:ln>
        </c:spPr>
        <c:crossAx val="118449664"/>
        <c:crosses val="autoZero"/>
        <c:crossBetween val="between"/>
      </c:valAx>
    </c:plotArea>
    <c:legend>
      <c:legendPos val="b"/>
      <c:layout>
        <c:manualLayout>
          <c:xMode val="edge"/>
          <c:yMode val="edge"/>
          <c:x val="0.13959537354481424"/>
          <c:y val="0.89369946847096371"/>
          <c:w val="0.72080908546718891"/>
          <c:h val="0.10630053152903625"/>
        </c:manualLayout>
      </c:layout>
      <c:txPr>
        <a:bodyPr/>
        <a:lstStyle/>
        <a:p>
          <a:pPr>
            <a:defRPr sz="1000"/>
          </a:pPr>
          <a:endParaRPr lang="ru-RU"/>
        </a:p>
      </c:txPr>
    </c:legend>
    <c:plotVisOnly val="1"/>
  </c:chart>
  <c:spPr>
    <a:ln>
      <a:noFill/>
    </a:ln>
  </c:spPr>
  <c:txPr>
    <a:bodyPr/>
    <a:lstStyle/>
    <a:p>
      <a:pPr>
        <a:defRPr sz="900" b="1">
          <a:latin typeface="Times New Roman" pitchFamily="18" charset="0"/>
          <a:cs typeface="Times New Roman" pitchFamily="18" charset="0"/>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50"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январь-декабрь  2017  г.</a:t>
            </a:r>
          </a:p>
        </c:rich>
      </c:tx>
      <c:layout>
        <c:manualLayout>
          <c:xMode val="edge"/>
          <c:yMode val="edge"/>
          <c:x val="0.47553388212837033"/>
          <c:y val="6.4014936277295492E-3"/>
        </c:manualLayout>
      </c:layout>
      <c:spPr>
        <a:noFill/>
        <a:ln w="18548">
          <a:noFill/>
        </a:ln>
      </c:spPr>
    </c:title>
    <c:view3D>
      <c:rotX val="30"/>
      <c:rotY val="60"/>
      <c:perspective val="0"/>
    </c:view3D>
    <c:plotArea>
      <c:layout>
        <c:manualLayout>
          <c:layoutTarget val="inner"/>
          <c:xMode val="edge"/>
          <c:yMode val="edge"/>
          <c:x val="6.2157003101884992E-4"/>
          <c:y val="0.17832020997375317"/>
          <c:w val="0.7024898189145784"/>
          <c:h val="0.69014555797222688"/>
        </c:manualLayout>
      </c:layout>
      <c:pie3DChart>
        <c:ser>
          <c:idx val="0"/>
          <c:order val="0"/>
          <c:tx>
            <c:strRef>
              <c:f>Sheet1!$A$2</c:f>
              <c:strCache>
                <c:ptCount val="1"/>
                <c:pt idx="0">
                  <c:v>Восток</c:v>
                </c:pt>
              </c:strCache>
            </c:strRef>
          </c:tx>
          <c:spPr>
            <a:solidFill>
              <a:sysClr val="window" lastClr="FFFFFF">
                <a:lumMod val="50000"/>
              </a:sysClr>
            </a:solidFill>
          </c:spPr>
          <c:explosion val="13"/>
          <c:dPt>
            <c:idx val="0"/>
            <c:explosion val="0"/>
            <c:spPr>
              <a:solidFill>
                <a:srgbClr val="9BBB59">
                  <a:lumMod val="75000"/>
                </a:srgbClr>
              </a:solidFill>
            </c:spPr>
          </c:dPt>
          <c:dPt>
            <c:idx val="1"/>
            <c:explosion val="32"/>
          </c:dPt>
          <c:dPt>
            <c:idx val="2"/>
            <c:spPr>
              <a:solidFill>
                <a:srgbClr val="7030A0"/>
              </a:solidFill>
            </c:spPr>
          </c:dPt>
          <c:dPt>
            <c:idx val="3"/>
            <c:explosion val="0"/>
            <c:spPr>
              <a:solidFill>
                <a:sysClr val="window" lastClr="FFFFFF">
                  <a:lumMod val="75000"/>
                </a:sysClr>
              </a:solidFill>
            </c:spPr>
          </c:dPt>
          <c:dLbls>
            <c:dLbl>
              <c:idx val="0"/>
              <c:layout>
                <c:manualLayout>
                  <c:x val="1.4133261751372059E-2"/>
                  <c:y val="-4.0092539978894434E-2"/>
                </c:manualLayout>
              </c:layout>
              <c:tx>
                <c:rich>
                  <a:bodyPr/>
                  <a:lstStyle/>
                  <a:p>
                    <a:r>
                      <a:rPr lang="ru-RU" sz="900">
                        <a:latin typeface="Times New Roman" pitchFamily="18" charset="0"/>
                        <a:cs typeface="Times New Roman" pitchFamily="18" charset="0"/>
                      </a:rPr>
                      <a:t>8,9</a:t>
                    </a:r>
                    <a:r>
                      <a:rPr lang="en-US" sz="900">
                        <a:latin typeface="Times New Roman" pitchFamily="18" charset="0"/>
                        <a:cs typeface="Times New Roman" pitchFamily="18" charset="0"/>
                      </a:rPr>
                      <a:t>%</a:t>
                    </a:r>
                  </a:p>
                </c:rich>
              </c:tx>
              <c:dLblPos val="bestFit"/>
              <c:extLst>
                <c:ext xmlns:c15="http://schemas.microsoft.com/office/drawing/2012/chart" uri="{CE6537A1-D6FC-4f65-9D91-7224C49458BB}">
                  <c15:layout/>
                </c:ext>
              </c:extLst>
            </c:dLbl>
            <c:dLbl>
              <c:idx val="1"/>
              <c:layout>
                <c:manualLayout>
                  <c:x val="1.6905273204485905E-3"/>
                  <c:y val="0.16697405092404669"/>
                </c:manualLayout>
              </c:layout>
              <c:tx>
                <c:rich>
                  <a:bodyPr/>
                  <a:lstStyle/>
                  <a:p>
                    <a:r>
                      <a:rPr lang="ru-RU" sz="900">
                        <a:latin typeface="Times New Roman" pitchFamily="18" charset="0"/>
                        <a:cs typeface="Times New Roman" pitchFamily="18" charset="0"/>
                      </a:rPr>
                      <a:t>82,2</a:t>
                    </a:r>
                    <a:r>
                      <a:rPr lang="en-US" sz="900">
                        <a:latin typeface="Times New Roman" pitchFamily="18" charset="0"/>
                        <a:cs typeface="Times New Roman" pitchFamily="18" charset="0"/>
                      </a:rPr>
                      <a:t>%</a:t>
                    </a:r>
                  </a:p>
                </c:rich>
              </c:tx>
              <c:dLblPos val="bestFit"/>
              <c:extLst>
                <c:ext xmlns:c15="http://schemas.microsoft.com/office/drawing/2012/chart" uri="{CE6537A1-D6FC-4f65-9D91-7224C49458BB}">
                  <c15:layout/>
                </c:ext>
              </c:extLst>
            </c:dLbl>
            <c:dLbl>
              <c:idx val="2"/>
              <c:layout>
                <c:manualLayout>
                  <c:x val="-0.17319702934860415"/>
                  <c:y val="-0.11827312823010558"/>
                </c:manualLayout>
              </c:layout>
              <c:tx>
                <c:rich>
                  <a:bodyPr/>
                  <a:lstStyle/>
                  <a:p>
                    <a:r>
                      <a:rPr lang="ru-RU" sz="900">
                        <a:latin typeface="Times New Roman" pitchFamily="18" charset="0"/>
                        <a:cs typeface="Times New Roman" pitchFamily="18" charset="0"/>
                      </a:rPr>
                      <a:t>8,8</a:t>
                    </a:r>
                    <a:r>
                      <a:rPr lang="en-US" sz="900">
                        <a:latin typeface="Times New Roman" pitchFamily="18" charset="0"/>
                        <a:cs typeface="Times New Roman" pitchFamily="18" charset="0"/>
                      </a:rPr>
                      <a:t>%</a:t>
                    </a:r>
                  </a:p>
                </c:rich>
              </c:tx>
              <c:dLblPos val="bestFit"/>
            </c:dLbl>
            <c:dLbl>
              <c:idx val="3"/>
              <c:layout>
                <c:manualLayout>
                  <c:x val="3.8509299240820712E-3"/>
                  <c:y val="-0.12136158237952216"/>
                </c:manualLayout>
              </c:layout>
              <c:tx>
                <c:rich>
                  <a:bodyPr/>
                  <a:lstStyle/>
                  <a:p>
                    <a:r>
                      <a:rPr lang="ru-RU" sz="900">
                        <a:latin typeface="Times New Roman" pitchFamily="18" charset="0"/>
                        <a:cs typeface="Times New Roman" pitchFamily="18" charset="0"/>
                      </a:rPr>
                      <a:t>1,9</a:t>
                    </a:r>
                    <a:r>
                      <a:rPr lang="en-US" sz="900">
                        <a:latin typeface="Times New Roman" pitchFamily="18" charset="0"/>
                        <a:cs typeface="Times New Roman" pitchFamily="18" charset="0"/>
                      </a:rPr>
                      <a:t>%</a:t>
                    </a:r>
                  </a:p>
                </c:rich>
              </c:tx>
              <c:dLblPos val="bestFit"/>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showVal val="1"/>
            <c:showPercent val="1"/>
            <c:showLeaderLines val="1"/>
            <c:extLst>
              <c:ext xmlns:c15="http://schemas.microsoft.com/office/drawing/2012/chart" uri="{CE6537A1-D6FC-4f65-9D91-7224C49458BB}"/>
            </c:extLst>
          </c:dLbls>
          <c:cat>
            <c:strRef>
              <c:f>Sheet1!$B$1:$E$1</c:f>
              <c:strCache>
                <c:ptCount val="4"/>
                <c:pt idx="0">
                  <c:v>средства бюджетов</c:v>
                </c:pt>
                <c:pt idx="1">
                  <c:v>собственные средства организаций</c:v>
                </c:pt>
                <c:pt idx="2">
                  <c:v>кредиты банков</c:v>
                </c:pt>
                <c:pt idx="3">
                  <c:v>прочие источники</c:v>
                </c:pt>
              </c:strCache>
            </c:strRef>
          </c:cat>
          <c:val>
            <c:numRef>
              <c:f>Sheet1!$B$2:$E$2</c:f>
              <c:numCache>
                <c:formatCode>0.0%</c:formatCode>
                <c:ptCount val="4"/>
                <c:pt idx="0">
                  <c:v>8.9200000000000043E-2</c:v>
                </c:pt>
                <c:pt idx="1">
                  <c:v>0.82199999999999995</c:v>
                </c:pt>
                <c:pt idx="2">
                  <c:v>1.0000000000000033E-3</c:v>
                </c:pt>
                <c:pt idx="3">
                  <c:v>8.8000000000000064E-2</c:v>
                </c:pt>
              </c:numCache>
            </c:numRef>
          </c:val>
        </c:ser>
        <c:dLbls>
          <c:showVal val="1"/>
          <c:showPercent val="1"/>
        </c:dLbls>
      </c:pie3DChart>
      <c:spPr>
        <a:noFill/>
        <a:ln w="18594">
          <a:noFill/>
        </a:ln>
      </c:spPr>
    </c:plotArea>
    <c:legend>
      <c:legendPos val="r"/>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0.70046021235982292"/>
          <c:y val="0.12589982953161785"/>
          <c:w val="0.27681251491291115"/>
          <c:h val="0.84390507887544985"/>
        </c:manualLayout>
      </c:layout>
      <c:spPr>
        <a:solidFill>
          <a:srgbClr val="FFFFFF"/>
        </a:solidFill>
        <a:ln>
          <a:noFill/>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586" b="1" i="0" u="none" strike="noStrike" baseline="0">
          <a:solidFill>
            <a:srgbClr val="000000"/>
          </a:solidFill>
          <a:latin typeface="Calibri"/>
          <a:ea typeface="Calibri"/>
          <a:cs typeface="Calibri"/>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65"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январь-декабрь</a:t>
            </a:r>
          </a:p>
          <a:p>
            <a:pPr>
              <a:defRPr sz="765" b="1" i="0" u="none" strike="noStrike" baseline="0">
                <a:solidFill>
                  <a:srgbClr val="000000"/>
                </a:solidFill>
                <a:latin typeface="Times New Roman" pitchFamily="18" charset="0"/>
                <a:ea typeface="Calibri"/>
                <a:cs typeface="Times New Roman" pitchFamily="18" charset="0"/>
              </a:defRPr>
            </a:pPr>
            <a:r>
              <a:rPr lang="ru-RU" sz="900">
                <a:latin typeface="Times New Roman" pitchFamily="18" charset="0"/>
                <a:cs typeface="Times New Roman" pitchFamily="18" charset="0"/>
              </a:rPr>
              <a:t>  2016 г.</a:t>
            </a:r>
          </a:p>
        </c:rich>
      </c:tx>
      <c:layout>
        <c:manualLayout>
          <c:xMode val="edge"/>
          <c:yMode val="edge"/>
          <c:x val="5.1495279507971954E-2"/>
          <c:y val="2.020150706968087E-3"/>
        </c:manualLayout>
      </c:layout>
      <c:spPr>
        <a:noFill/>
        <a:ln w="24324">
          <a:noFill/>
        </a:ln>
      </c:spPr>
    </c:title>
    <c:view3D>
      <c:rotX val="25"/>
      <c:rotY val="65"/>
      <c:perspective val="0"/>
    </c:view3D>
    <c:plotArea>
      <c:layout>
        <c:manualLayout>
          <c:layoutTarget val="inner"/>
          <c:xMode val="edge"/>
          <c:yMode val="edge"/>
          <c:x val="3.485645375409155E-3"/>
          <c:y val="0.21843996062992338"/>
          <c:w val="0.99651416280789895"/>
          <c:h val="0.64566874453193368"/>
        </c:manualLayout>
      </c:layout>
      <c:pie3DChart>
        <c:varyColors val="1"/>
        <c:ser>
          <c:idx val="0"/>
          <c:order val="0"/>
          <c:tx>
            <c:strRef>
              <c:f>Sheet1!$A$2</c:f>
              <c:strCache>
                <c:ptCount val="1"/>
                <c:pt idx="0">
                  <c:v>Восток</c:v>
                </c:pt>
              </c:strCache>
            </c:strRef>
          </c:tx>
          <c:explosion val="4"/>
          <c:dPt>
            <c:idx val="0"/>
            <c:spPr>
              <a:solidFill>
                <a:srgbClr val="9BBB59">
                  <a:lumMod val="75000"/>
                </a:srgbClr>
              </a:solidFill>
            </c:spPr>
          </c:dPt>
          <c:dPt>
            <c:idx val="1"/>
            <c:explosion val="27"/>
            <c:spPr>
              <a:solidFill>
                <a:sysClr val="window" lastClr="FFFFFF">
                  <a:lumMod val="50000"/>
                </a:sysClr>
              </a:solidFill>
            </c:spPr>
          </c:dPt>
          <c:dPt>
            <c:idx val="2"/>
            <c:spPr>
              <a:solidFill>
                <a:srgbClr val="7030A0"/>
              </a:solidFill>
            </c:spPr>
          </c:dPt>
          <c:dPt>
            <c:idx val="3"/>
            <c:spPr>
              <a:solidFill>
                <a:sysClr val="window" lastClr="FFFFFF">
                  <a:lumMod val="85000"/>
                </a:sysClr>
              </a:solidFill>
            </c:spPr>
          </c:dPt>
          <c:dLbls>
            <c:dLbl>
              <c:idx val="0"/>
              <c:layout>
                <c:manualLayout>
                  <c:x val="3.4825870646766212E-2"/>
                  <c:y val="-0.10478367623402003"/>
                </c:manualLayout>
              </c:layout>
              <c:tx>
                <c:rich>
                  <a:bodyPr/>
                  <a:lstStyle/>
                  <a:p>
                    <a:r>
                      <a:rPr lang="ru-RU" sz="900">
                        <a:latin typeface="Times New Roman" pitchFamily="18" charset="0"/>
                        <a:cs typeface="Times New Roman" pitchFamily="18" charset="0"/>
                      </a:rPr>
                      <a:t>3,3</a:t>
                    </a:r>
                    <a:r>
                      <a:rPr lang="en-US" sz="900">
                        <a:latin typeface="Times New Roman" pitchFamily="18" charset="0"/>
                        <a:cs typeface="Times New Roman" pitchFamily="18" charset="0"/>
                      </a:rPr>
                      <a:t>%</a:t>
                    </a:r>
                  </a:p>
                </c:rich>
              </c:tx>
              <c:dLblPos val="bestFit"/>
              <c:separator>; </c:separator>
            </c:dLbl>
            <c:dLbl>
              <c:idx val="1"/>
              <c:layout>
                <c:manualLayout>
                  <c:x val="0.16989498353651541"/>
                  <c:y val="0.16906714785651794"/>
                </c:manualLayout>
              </c:layout>
              <c:tx>
                <c:rich>
                  <a:bodyPr/>
                  <a:lstStyle/>
                  <a:p>
                    <a:r>
                      <a:rPr lang="ru-RU" sz="900">
                        <a:latin typeface="Times New Roman" pitchFamily="18" charset="0"/>
                        <a:cs typeface="Times New Roman" pitchFamily="18" charset="0"/>
                      </a:rPr>
                      <a:t>84,1</a:t>
                    </a:r>
                    <a:r>
                      <a:rPr lang="en-US" sz="900">
                        <a:latin typeface="Times New Roman" pitchFamily="18" charset="0"/>
                        <a:cs typeface="Times New Roman" pitchFamily="18" charset="0"/>
                      </a:rPr>
                      <a:t>%</a:t>
                    </a:r>
                  </a:p>
                </c:rich>
              </c:tx>
              <c:dLblPos val="bestFit"/>
              <c:separator>; </c:separator>
              <c:extLst>
                <c:ext xmlns:c15="http://schemas.microsoft.com/office/drawing/2012/chart" uri="{CE6537A1-D6FC-4f65-9D91-7224C49458BB}">
                  <c15:layout/>
                </c:ext>
              </c:extLst>
            </c:dLbl>
            <c:dLbl>
              <c:idx val="2"/>
              <c:layout>
                <c:manualLayout>
                  <c:x val="-0.20052140870450888"/>
                  <c:y val="-0.18743713487427222"/>
                </c:manualLayout>
              </c:layout>
              <c:tx>
                <c:rich>
                  <a:bodyPr/>
                  <a:lstStyle/>
                  <a:p>
                    <a:pPr>
                      <a:defRPr sz="900">
                        <a:latin typeface="Times New Roman" pitchFamily="18" charset="0"/>
                        <a:cs typeface="Times New Roman" pitchFamily="18" charset="0"/>
                      </a:defRPr>
                    </a:pPr>
                    <a:r>
                      <a:rPr lang="ru-RU"/>
                      <a:t>12,4</a:t>
                    </a:r>
                    <a:r>
                      <a:rPr lang="en-US"/>
                      <a:t>%</a:t>
                    </a:r>
                  </a:p>
                </c:rich>
              </c:tx>
              <c:spPr/>
              <c:dLblPos val="bestFit"/>
              <c:showVal val="1"/>
            </c:dLbl>
            <c:dLbl>
              <c:idx val="3"/>
              <c:layout>
                <c:manualLayout>
                  <c:x val="8.464617598476068E-3"/>
                  <c:y val="-0.21925796963821734"/>
                </c:manualLayout>
              </c:layout>
              <c:tx>
                <c:rich>
                  <a:bodyPr/>
                  <a:lstStyle/>
                  <a:p>
                    <a:r>
                      <a:rPr lang="ru-RU" sz="900">
                        <a:latin typeface="Times New Roman" pitchFamily="18" charset="0"/>
                        <a:cs typeface="Times New Roman" pitchFamily="18" charset="0"/>
                      </a:rPr>
                      <a:t>5,8</a:t>
                    </a:r>
                    <a:r>
                      <a:rPr lang="en-US" sz="900">
                        <a:latin typeface="Times New Roman" pitchFamily="18" charset="0"/>
                        <a:cs typeface="Times New Roman" pitchFamily="18" charset="0"/>
                      </a:rPr>
                      <a:t>%</a:t>
                    </a:r>
                  </a:p>
                </c:rich>
              </c:tx>
              <c:dLblPos val="bestFit"/>
              <c:separator>; </c:separator>
              <c:extLst>
                <c:ext xmlns:c15="http://schemas.microsoft.com/office/drawing/2012/chart" uri="{CE6537A1-D6FC-4f65-9D91-7224C49458BB}"/>
              </c:extLst>
            </c:dLbl>
            <c:dLbl>
              <c:idx val="4"/>
              <c:layout>
                <c:manualLayout>
                  <c:x val="-7.9423291546550534E-2"/>
                  <c:y val="1.1341417274298561E-3"/>
                </c:manualLayout>
              </c:layout>
              <c:dLblPos val="bestFit"/>
              <c:showPercent val="1"/>
              <c:separator>; </c:separator>
              <c:extLst>
                <c:ext xmlns:c15="http://schemas.microsoft.com/office/drawing/2012/chart" uri="{CE6537A1-D6FC-4f65-9D91-7224C49458BB}"/>
              </c:extLst>
            </c:dLbl>
            <c:dLbl>
              <c:idx val="5"/>
              <c:layout>
                <c:manualLayout>
                  <c:x val="-0.12883613558915979"/>
                  <c:y val="-5.6232996118203933E-2"/>
                </c:manualLayout>
              </c:layout>
              <c:dLblPos val="bestFit"/>
              <c:showPercent val="1"/>
              <c:separator>; </c:separator>
              <c:extLst>
                <c:ext xmlns:c15="http://schemas.microsoft.com/office/drawing/2012/chart" uri="{CE6537A1-D6FC-4f65-9D91-7224C49458BB}"/>
              </c:extLst>
            </c:dLbl>
            <c:dLbl>
              <c:idx val="6"/>
              <c:layout>
                <c:manualLayout>
                  <c:x val="-4.6739807796465846E-2"/>
                  <c:y val="-0.13727101005578182"/>
                </c:manualLayout>
              </c:layout>
              <c:dLblPos val="bestFit"/>
              <c:showPercent val="1"/>
              <c:separator>; </c:separator>
              <c:extLst>
                <c:ext xmlns:c15="http://schemas.microsoft.com/office/drawing/2012/chart" uri="{CE6537A1-D6FC-4f65-9D91-7224C49458BB}"/>
              </c:extLst>
            </c:dLbl>
            <c:dLbl>
              <c:idx val="7"/>
              <c:layout>
                <c:manualLayout>
                  <c:x val="-0.12131749626794185"/>
                  <c:y val="-0.14979121978685594"/>
                </c:manualLayout>
              </c:layout>
              <c:dLblPos val="bestFit"/>
              <c:showPercent val="1"/>
              <c:separator>; </c:separator>
              <c:extLst>
                <c:ext xmlns:c15="http://schemas.microsoft.com/office/drawing/2012/chart" uri="{CE6537A1-D6FC-4f65-9D91-7224C49458BB}"/>
              </c:extLst>
            </c:dLbl>
            <c:dLbl>
              <c:idx val="8"/>
              <c:layout>
                <c:manualLayout>
                  <c:x val="7.9664857278558709E-2"/>
                  <c:y val="-0.1359210952999807"/>
                </c:manualLayout>
              </c:layout>
              <c:dLblPos val="bestFit"/>
              <c:showPercent val="1"/>
              <c:separator>; </c:separator>
              <c:extLst>
                <c:ext xmlns:c15="http://schemas.microsoft.com/office/drawing/2012/chart" uri="{CE6537A1-D6FC-4f65-9D91-7224C49458BB}"/>
              </c:extLst>
            </c:dLbl>
            <c:dLbl>
              <c:idx val="9"/>
              <c:layout>
                <c:manualLayout>
                  <c:x val="5.5932806936557874E-2"/>
                  <c:y val="-9.9738752073467746E-2"/>
                </c:manualLayout>
              </c:layout>
              <c:dLblPos val="bestFit"/>
              <c:showPercent val="1"/>
              <c:separator>; </c:separator>
              <c:extLst>
                <c:ext xmlns:c15="http://schemas.microsoft.com/office/drawing/2012/chart" uri="{CE6537A1-D6FC-4f65-9D91-7224C49458BB}"/>
              </c:extLst>
            </c:dLbl>
            <c:dLbl>
              <c:idx val="10"/>
              <c:layout>
                <c:manualLayout>
                  <c:x val="8.9960564866300274E-2"/>
                  <c:y val="-6.6121948348689341E-2"/>
                </c:manualLayout>
              </c:layout>
              <c:dLblPos val="bestFit"/>
              <c:showPercent val="1"/>
              <c:separator>; </c:separator>
              <c:extLst>
                <c:ext xmlns:c15="http://schemas.microsoft.com/office/drawing/2012/chart" uri="{CE6537A1-D6FC-4f65-9D91-7224C49458BB}"/>
              </c:extLst>
            </c:dLbl>
            <c:dLbl>
              <c:idx val="11"/>
              <c:layout>
                <c:manualLayout>
                  <c:x val="4.7145589451160895E-2"/>
                  <c:y val="-1.489385283150272E-2"/>
                </c:manualLayout>
              </c:layout>
              <c:dLblPos val="bestFit"/>
              <c:showPercent val="1"/>
              <c:separator>; </c:separator>
              <c:extLst>
                <c:ext xmlns:c15="http://schemas.microsoft.com/office/drawing/2012/chart" uri="{CE6537A1-D6FC-4f65-9D91-7224C49458BB}"/>
              </c:extLst>
            </c:dLbl>
            <c:spPr>
              <a:noFill/>
              <a:ln>
                <a:noFill/>
              </a:ln>
              <a:effectLst/>
            </c:spPr>
            <c:showPercent val="1"/>
            <c:separator>; </c:separator>
            <c:showLeaderLines val="1"/>
            <c:extLst>
              <c:ext xmlns:c15="http://schemas.microsoft.com/office/drawing/2012/chart" uri="{CE6537A1-D6FC-4f65-9D91-7224C49458BB}"/>
            </c:extLst>
          </c:dLbls>
          <c:cat>
            <c:strRef>
              <c:f>Sheet1!$B$1:$E$1</c:f>
              <c:strCache>
                <c:ptCount val="4"/>
                <c:pt idx="0">
                  <c:v>средства бюджетов</c:v>
                </c:pt>
                <c:pt idx="1">
                  <c:v>собственные средства организаций</c:v>
                </c:pt>
                <c:pt idx="2">
                  <c:v>кредиты банков</c:v>
                </c:pt>
                <c:pt idx="3">
                  <c:v>прочие источники</c:v>
                </c:pt>
              </c:strCache>
            </c:strRef>
          </c:cat>
          <c:val>
            <c:numRef>
              <c:f>Sheet1!$B$2:$E$2</c:f>
              <c:numCache>
                <c:formatCode>0.0%</c:formatCode>
                <c:ptCount val="4"/>
                <c:pt idx="0">
                  <c:v>3.3000000000000002E-2</c:v>
                </c:pt>
                <c:pt idx="1">
                  <c:v>0.84100000000000064</c:v>
                </c:pt>
                <c:pt idx="2">
                  <c:v>2.0000000000000052E-3</c:v>
                </c:pt>
                <c:pt idx="3">
                  <c:v>0.12400000000000012</c:v>
                </c:pt>
              </c:numCache>
            </c:numRef>
          </c:val>
        </c:ser>
        <c:dLbls>
          <c:showVal val="1"/>
          <c:showPercent val="1"/>
        </c:dLbls>
      </c:pie3DChart>
      <c:spPr>
        <a:solidFill>
          <a:srgbClr val="FFFFFF"/>
        </a:solidFill>
        <a:ln w="12162">
          <a:solidFill>
            <a:srgbClr val="FFFFFF"/>
          </a:solidFill>
          <a:prstDash val="solid"/>
        </a:ln>
      </c:spPr>
    </c:plotArea>
    <c:plotVisOnly val="1"/>
    <c:dispBlanksAs val="zero"/>
  </c:chart>
  <c:spPr>
    <a:noFill/>
    <a:ln>
      <a:noFill/>
    </a:ln>
  </c:spPr>
  <c:txPr>
    <a:bodyPr/>
    <a:lstStyle/>
    <a:p>
      <a:pPr>
        <a:defRPr sz="763" b="1" i="0" u="none" strike="noStrike" baseline="0">
          <a:solidFill>
            <a:srgbClr val="000000"/>
          </a:solidFill>
          <a:latin typeface="Calibri"/>
          <a:ea typeface="Calibri"/>
          <a:cs typeface="Calibri"/>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50"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 -декабрь 2017 г.</a:t>
            </a:r>
          </a:p>
        </c:rich>
      </c:tx>
      <c:layout>
        <c:manualLayout>
          <c:xMode val="edge"/>
          <c:yMode val="edge"/>
          <c:x val="0.36774944932526532"/>
          <c:y val="9.7951673566578745E-5"/>
        </c:manualLayout>
      </c:layout>
      <c:spPr>
        <a:noFill/>
        <a:ln w="23471">
          <a:noFill/>
        </a:ln>
      </c:spPr>
    </c:title>
    <c:view3D>
      <c:rotX val="30"/>
      <c:rotY val="80"/>
      <c:perspective val="0"/>
    </c:view3D>
    <c:plotArea>
      <c:layout>
        <c:manualLayout>
          <c:layoutTarget val="inner"/>
          <c:xMode val="edge"/>
          <c:yMode val="edge"/>
          <c:x val="6.5325908847029504E-2"/>
          <c:y val="0.28568945830923681"/>
          <c:w val="0.59213265468888265"/>
          <c:h val="0.60681465664250334"/>
        </c:manualLayout>
      </c:layout>
      <c:pie3DChart>
        <c:varyColors val="1"/>
        <c:ser>
          <c:idx val="0"/>
          <c:order val="0"/>
          <c:tx>
            <c:strRef>
              <c:f>Sheet1!$A$2</c:f>
              <c:strCache>
                <c:ptCount val="1"/>
                <c:pt idx="0">
                  <c:v>Восток</c:v>
                </c:pt>
              </c:strCache>
            </c:strRef>
          </c:tx>
          <c:spPr>
            <a:solidFill>
              <a:sysClr val="window" lastClr="FFFFFF">
                <a:lumMod val="50000"/>
              </a:sysClr>
            </a:solidFill>
            <a:ln w="11735">
              <a:solidFill>
                <a:srgbClr val="000000"/>
              </a:solidFill>
              <a:prstDash val="solid"/>
            </a:ln>
          </c:spPr>
          <c:dPt>
            <c:idx val="0"/>
            <c:explosion val="13"/>
            <c:spPr>
              <a:solidFill>
                <a:srgbClr val="EEECE1">
                  <a:lumMod val="50000"/>
                </a:srgbClr>
              </a:solidFill>
              <a:ln w="11735">
                <a:solidFill>
                  <a:srgbClr val="000000"/>
                </a:solidFill>
                <a:prstDash val="solid"/>
              </a:ln>
            </c:spPr>
          </c:dPt>
          <c:dPt>
            <c:idx val="1"/>
            <c:explosion val="16"/>
            <c:spPr>
              <a:solidFill>
                <a:srgbClr val="9BBB59">
                  <a:lumMod val="50000"/>
                </a:srgbClr>
              </a:solidFill>
              <a:ln w="11735">
                <a:solidFill>
                  <a:srgbClr val="000000"/>
                </a:solidFill>
                <a:prstDash val="solid"/>
              </a:ln>
            </c:spPr>
          </c:dPt>
          <c:dPt>
            <c:idx val="2"/>
            <c:explosion val="9"/>
          </c:dPt>
          <c:dPt>
            <c:idx val="3"/>
            <c:explosion val="7"/>
            <c:spPr>
              <a:solidFill>
                <a:srgbClr val="C0504D">
                  <a:lumMod val="75000"/>
                </a:srgbClr>
              </a:solidFill>
              <a:ln w="11735">
                <a:solidFill>
                  <a:srgbClr val="000000"/>
                </a:solidFill>
                <a:prstDash val="solid"/>
              </a:ln>
            </c:spPr>
          </c:dPt>
          <c:dLbls>
            <c:dLbl>
              <c:idx val="0"/>
              <c:layout>
                <c:manualLayout>
                  <c:x val="0"/>
                  <c:y val="4.3431943888369885E-2"/>
                </c:manualLayout>
              </c:layout>
              <c:tx>
                <c:rich>
                  <a:bodyPr/>
                  <a:lstStyle/>
                  <a:p>
                    <a:r>
                      <a:rPr lang="ru-RU"/>
                      <a:t>30,7</a:t>
                    </a:r>
                    <a:r>
                      <a:rPr lang="en-US"/>
                      <a:t>%</a:t>
                    </a:r>
                  </a:p>
                </c:rich>
              </c:tx>
              <c:dLblPos val="bestFit"/>
              <c:showVal val="1"/>
              <c:extLst>
                <c:ext xmlns:c15="http://schemas.microsoft.com/office/drawing/2012/chart" uri="{CE6537A1-D6FC-4f65-9D91-7224C49458BB}">
                  <c15:layout/>
                </c:ext>
              </c:extLst>
            </c:dLbl>
            <c:dLbl>
              <c:idx val="1"/>
              <c:layout>
                <c:manualLayout>
                  <c:x val="-1.7872710662548402E-2"/>
                  <c:y val="1.9993771964945173E-2"/>
                </c:manualLayout>
              </c:layout>
              <c:tx>
                <c:rich>
                  <a:bodyPr/>
                  <a:lstStyle/>
                  <a:p>
                    <a:r>
                      <a:rPr lang="ru-RU"/>
                      <a:t>5,1</a:t>
                    </a:r>
                    <a:r>
                      <a:rPr lang="en-US"/>
                      <a:t>%</a:t>
                    </a:r>
                  </a:p>
                </c:rich>
              </c:tx>
              <c:dLblPos val="bestFit"/>
              <c:showVal val="1"/>
              <c:extLst>
                <c:ext xmlns:c15="http://schemas.microsoft.com/office/drawing/2012/chart" uri="{CE6537A1-D6FC-4f65-9D91-7224C49458BB}">
                  <c15:layout/>
                </c:ext>
              </c:extLst>
            </c:dLbl>
            <c:dLbl>
              <c:idx val="2"/>
              <c:layout>
                <c:manualLayout>
                  <c:x val="-2.5641164481947136E-2"/>
                  <c:y val="-9.7457225741519146E-2"/>
                </c:manualLayout>
              </c:layout>
              <c:tx>
                <c:rich>
                  <a:bodyPr/>
                  <a:lstStyle/>
                  <a:p>
                    <a:r>
                      <a:rPr lang="ru-RU"/>
                      <a:t>63,6</a:t>
                    </a:r>
                    <a:r>
                      <a:rPr lang="en-US"/>
                      <a:t>%</a:t>
                    </a:r>
                  </a:p>
                </c:rich>
              </c:tx>
              <c:dLblPos val="bestFit"/>
              <c:showVal val="1"/>
              <c:extLst>
                <c:ext xmlns:c15="http://schemas.microsoft.com/office/drawing/2012/chart" uri="{CE6537A1-D6FC-4f65-9D91-7224C49458BB}">
                  <c15:layout/>
                </c:ext>
              </c:extLst>
            </c:dLbl>
            <c:dLbl>
              <c:idx val="3"/>
              <c:layout>
                <c:manualLayout>
                  <c:x val="-1.5281757402101241E-2"/>
                  <c:y val="-0.15925144950101894"/>
                </c:manualLayout>
              </c:layout>
              <c:dLblPos val="bestFit"/>
              <c:showVal val="1"/>
              <c:extLst>
                <c:ext xmlns:c15="http://schemas.microsoft.com/office/drawing/2012/chart" uri="{CE6537A1-D6FC-4f65-9D91-7224C49458BB}">
                  <c15:layout/>
                </c:ext>
              </c:extLst>
            </c:dLbl>
            <c:spPr>
              <a:noFill/>
              <a:ln>
                <a:noFill/>
              </a:ln>
              <a:effectLst/>
            </c:spPr>
            <c:txPr>
              <a:bodyPr/>
              <a:lstStyle/>
              <a:p>
                <a:pPr>
                  <a:defRPr sz="900">
                    <a:latin typeface="Times New Roman" pitchFamily="18" charset="0"/>
                    <a:cs typeface="Times New Roman" pitchFamily="18" charset="0"/>
                  </a:defRPr>
                </a:pPr>
                <a:endParaRPr lang="ru-RU"/>
              </a:p>
            </c:txPr>
            <c:dLblPos val="outEnd"/>
            <c:showVal val="1"/>
            <c:showLeaderLines val="1"/>
            <c:extLst>
              <c:ext xmlns:c15="http://schemas.microsoft.com/office/drawing/2012/chart" uri="{CE6537A1-D6FC-4f65-9D91-7224C49458BB}"/>
            </c:extLst>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0.30700000000000038</c:v>
                </c:pt>
                <c:pt idx="1">
                  <c:v>5.1000000000000004E-2</c:v>
                </c:pt>
                <c:pt idx="2">
                  <c:v>0.63600000000000323</c:v>
                </c:pt>
                <c:pt idx="3">
                  <c:v>6.0000000000000114E-3</c:v>
                </c:pt>
              </c:numCache>
            </c:numRef>
          </c:val>
        </c:ser>
        <c:dLbls>
          <c:showVal val="1"/>
          <c:showPercent val="1"/>
        </c:dLbls>
      </c:pie3DChart>
      <c:spPr>
        <a:solidFill>
          <a:srgbClr val="FFFFFF"/>
        </a:solidFill>
        <a:ln w="11735">
          <a:solidFill>
            <a:srgbClr val="FFFFFF"/>
          </a:solidFill>
          <a:prstDash val="solid"/>
        </a:ln>
      </c:spPr>
    </c:plotArea>
    <c:legend>
      <c:legendPos val="r"/>
      <c:legendEntry>
        <c:idx val="0"/>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2"/>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3"/>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0.67175504995577706"/>
          <c:y val="0.32095496537509577"/>
          <c:w val="0.32824495004422788"/>
          <c:h val="0.49311802126429416"/>
        </c:manualLayout>
      </c:layout>
      <c:spPr>
        <a:solidFill>
          <a:srgbClr val="FFFFFF"/>
        </a:solidFill>
        <a:ln w="2934">
          <a:noFill/>
          <a:prstDash val="solid"/>
        </a:ln>
      </c:spPr>
      <c:txPr>
        <a:bodyPr/>
        <a:lstStyle/>
        <a:p>
          <a:pPr>
            <a:defRPr sz="9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chart>
  <c:spPr>
    <a:noFill/>
    <a:ln>
      <a:noFill/>
    </a:ln>
  </c:spPr>
  <c:txPr>
    <a:bodyPr/>
    <a:lstStyle/>
    <a:p>
      <a:pPr>
        <a:defRPr sz="741"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валовой добавлененой стоимости отраслей товарного производства, %</a:t>
            </a:r>
          </a:p>
        </c:rich>
      </c:tx>
      <c:layout>
        <c:manualLayout>
          <c:xMode val="edge"/>
          <c:yMode val="edge"/>
          <c:x val="0.11878714234794725"/>
          <c:y val="0"/>
        </c:manualLayout>
      </c:layout>
    </c:title>
    <c:plotArea>
      <c:layout>
        <c:manualLayout>
          <c:layoutTarget val="inner"/>
          <c:xMode val="edge"/>
          <c:yMode val="edge"/>
          <c:x val="6.0989045194468065E-2"/>
          <c:y val="0.17924394521774961"/>
          <c:w val="0.90195162932374062"/>
          <c:h val="0.39369572313818402"/>
        </c:manualLayout>
      </c:layout>
      <c:barChart>
        <c:barDir val="col"/>
        <c:grouping val="clustered"/>
        <c:ser>
          <c:idx val="0"/>
          <c:order val="0"/>
          <c:tx>
            <c:strRef>
              <c:f>Лист1!$B$1</c:f>
              <c:strCache>
                <c:ptCount val="1"/>
                <c:pt idx="0">
                  <c:v>январь-декабрь 2016 года</c:v>
                </c:pt>
              </c:strCache>
            </c:strRef>
          </c:tx>
          <c:spPr>
            <a:solidFill>
              <a:sysClr val="windowText" lastClr="000000">
                <a:lumMod val="65000"/>
                <a:lumOff val="35000"/>
              </a:sysClr>
            </a:solidFill>
            <a:ln>
              <a:solidFill>
                <a:sysClr val="windowText" lastClr="000000"/>
              </a:solidFill>
            </a:ln>
          </c:spPr>
          <c:dLbls>
            <c:dLbl>
              <c:idx val="0"/>
              <c:layout>
                <c:manualLayout>
                  <c:x val="0"/>
                  <c:y val="1.2615052077766319E-2"/>
                </c:manualLayout>
              </c:layout>
              <c:tx>
                <c:rich>
                  <a:bodyPr/>
                  <a:lstStyle/>
                  <a:p>
                    <a:r>
                      <a:rPr lang="ru-RU"/>
                      <a:t>29,4</a:t>
                    </a:r>
                    <a:endParaRPr lang="en-US"/>
                  </a:p>
                </c:rich>
              </c:tx>
              <c:dLblPos val="outEnd"/>
              <c:showVal val="1"/>
              <c:extLst>
                <c:ext xmlns:c15="http://schemas.microsoft.com/office/drawing/2012/chart" uri="{CE6537A1-D6FC-4f65-9D91-7224C49458BB}">
                  <c15:layout/>
                </c:ext>
              </c:extLst>
            </c:dLbl>
            <c:dLbl>
              <c:idx val="1"/>
              <c:layout>
                <c:manualLayout>
                  <c:x val="0"/>
                  <c:y val="1.4705882352941176E-2"/>
                </c:manualLayout>
              </c:layout>
              <c:tx>
                <c:rich>
                  <a:bodyPr/>
                  <a:lstStyle/>
                  <a:p>
                    <a:r>
                      <a:rPr lang="ru-RU"/>
                      <a:t>6,8</a:t>
                    </a:r>
                    <a:endParaRPr lang="en-US"/>
                  </a:p>
                </c:rich>
              </c:tx>
              <c:dLblPos val="outEnd"/>
              <c:showVal val="1"/>
              <c:extLst>
                <c:ext xmlns:c15="http://schemas.microsoft.com/office/drawing/2012/chart" uri="{CE6537A1-D6FC-4f65-9D91-7224C49458BB}">
                  <c15:layout/>
                </c:ext>
              </c:extLst>
            </c:dLbl>
            <c:dLbl>
              <c:idx val="2"/>
              <c:layout>
                <c:manualLayout>
                  <c:x val="2.5396825396825401E-3"/>
                  <c:y val="1.8099547511312229E-2"/>
                </c:manualLayout>
              </c:layout>
              <c:tx>
                <c:rich>
                  <a:bodyPr/>
                  <a:lstStyle/>
                  <a:p>
                    <a:r>
                      <a:rPr lang="en-US"/>
                      <a:t>2,3</a:t>
                    </a:r>
                  </a:p>
                </c:rich>
              </c:tx>
              <c:dLblPos val="outEnd"/>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Лист1!$A$2:$A$4</c:f>
              <c:strCache>
                <c:ptCount val="3"/>
                <c:pt idx="0">
                  <c:v>Промышленность</c:v>
                </c:pt>
                <c:pt idx="1">
                  <c:v>Селькое хозяйство</c:v>
                </c:pt>
                <c:pt idx="2">
                  <c:v>Строительство</c:v>
                </c:pt>
              </c:strCache>
            </c:strRef>
          </c:cat>
          <c:val>
            <c:numRef>
              <c:f>Лист1!$B$2:$B$4</c:f>
              <c:numCache>
                <c:formatCode>#,##0.0</c:formatCode>
                <c:ptCount val="3"/>
                <c:pt idx="0">
                  <c:v>29.4</c:v>
                </c:pt>
                <c:pt idx="1">
                  <c:v>6.8</c:v>
                </c:pt>
                <c:pt idx="2">
                  <c:v>2.2999999999999998</c:v>
                </c:pt>
              </c:numCache>
            </c:numRef>
          </c:val>
        </c:ser>
        <c:ser>
          <c:idx val="1"/>
          <c:order val="1"/>
          <c:tx>
            <c:strRef>
              <c:f>Лист1!$C$1</c:f>
              <c:strCache>
                <c:ptCount val="1"/>
                <c:pt idx="0">
                  <c:v>январь-декабрь 2017 года</c:v>
                </c:pt>
              </c:strCache>
            </c:strRef>
          </c:tx>
          <c:spPr>
            <a:solidFill>
              <a:sysClr val="window" lastClr="FFFFFF">
                <a:lumMod val="85000"/>
              </a:sysClr>
            </a:solidFill>
            <a:ln>
              <a:solidFill>
                <a:sysClr val="windowText" lastClr="000000"/>
              </a:solidFill>
            </a:ln>
          </c:spPr>
          <c:dLbls>
            <c:dLbl>
              <c:idx val="0"/>
              <c:layout>
                <c:manualLayout>
                  <c:x val="-2.5396825396825401E-3"/>
                  <c:y val="1.0420778850608018E-2"/>
                </c:manualLayout>
              </c:layout>
              <c:tx>
                <c:rich>
                  <a:bodyPr/>
                  <a:lstStyle/>
                  <a:p>
                    <a:r>
                      <a:rPr lang="ru-RU"/>
                      <a:t>30,8</a:t>
                    </a:r>
                    <a:endParaRPr lang="en-US"/>
                  </a:p>
                </c:rich>
              </c:tx>
              <c:dLblPos val="outEnd"/>
              <c:showVal val="1"/>
              <c:extLst>
                <c:ext xmlns:c15="http://schemas.microsoft.com/office/drawing/2012/chart" uri="{CE6537A1-D6FC-4f65-9D91-7224C49458BB}">
                  <c15:layout/>
                </c:ext>
              </c:extLst>
            </c:dLbl>
            <c:dLbl>
              <c:idx val="1"/>
              <c:layout>
                <c:manualLayout>
                  <c:x val="0"/>
                  <c:y val="1.4705882352941176E-2"/>
                </c:manualLayout>
              </c:layout>
              <c:tx>
                <c:rich>
                  <a:bodyPr/>
                  <a:lstStyle/>
                  <a:p>
                    <a:r>
                      <a:rPr lang="ru-RU"/>
                      <a:t>8,5</a:t>
                    </a:r>
                    <a:endParaRPr lang="en-US"/>
                  </a:p>
                </c:rich>
              </c:tx>
              <c:dLblPos val="outEnd"/>
              <c:showVal val="1"/>
              <c:extLst>
                <c:ext xmlns:c15="http://schemas.microsoft.com/office/drawing/2012/chart" uri="{CE6537A1-D6FC-4f65-9D91-7224C49458BB}">
                  <c15:layout/>
                </c:ext>
              </c:extLst>
            </c:dLbl>
            <c:dLbl>
              <c:idx val="2"/>
              <c:layout>
                <c:manualLayout>
                  <c:x val="-1.0158730158730254E-2"/>
                  <c:y val="1.2066365007541479E-2"/>
                </c:manualLayout>
              </c:layout>
              <c:tx>
                <c:rich>
                  <a:bodyPr/>
                  <a:lstStyle/>
                  <a:p>
                    <a:r>
                      <a:rPr lang="en-US"/>
                      <a:t>1,</a:t>
                    </a:r>
                    <a:r>
                      <a:rPr lang="ru-RU"/>
                      <a:t>6</a:t>
                    </a:r>
                    <a:endParaRPr lang="en-US"/>
                  </a:p>
                </c:rich>
              </c:tx>
              <c:dLblPos val="outEnd"/>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showLeaderLines val="0"/>
              </c:ext>
            </c:extLst>
          </c:dLbls>
          <c:cat>
            <c:strRef>
              <c:f>Лист1!$A$2:$A$4</c:f>
              <c:strCache>
                <c:ptCount val="3"/>
                <c:pt idx="0">
                  <c:v>Промышленность</c:v>
                </c:pt>
                <c:pt idx="1">
                  <c:v>Селькое хозяйство</c:v>
                </c:pt>
                <c:pt idx="2">
                  <c:v>Строительство</c:v>
                </c:pt>
              </c:strCache>
            </c:strRef>
          </c:cat>
          <c:val>
            <c:numRef>
              <c:f>Лист1!$C$2:$C$4</c:f>
              <c:numCache>
                <c:formatCode>#,##0.0</c:formatCode>
                <c:ptCount val="3"/>
                <c:pt idx="0">
                  <c:v>30.8</c:v>
                </c:pt>
                <c:pt idx="1">
                  <c:v>8.5</c:v>
                </c:pt>
                <c:pt idx="2">
                  <c:v>1.6</c:v>
                </c:pt>
              </c:numCache>
            </c:numRef>
          </c:val>
        </c:ser>
        <c:dLbls>
          <c:showVal val="1"/>
        </c:dLbls>
        <c:axId val="155871488"/>
        <c:axId val="155906048"/>
      </c:barChart>
      <c:catAx>
        <c:axId val="155871488"/>
        <c:scaling>
          <c:orientation val="minMax"/>
        </c:scaling>
        <c:axPos val="b"/>
        <c:numFmt formatCode="General" sourceLinked="0"/>
        <c:tickLblPos val="nextTo"/>
        <c:txPr>
          <a:bodyPr/>
          <a:lstStyle/>
          <a:p>
            <a:pPr>
              <a:defRPr b="1">
                <a:latin typeface="Times New Roman" pitchFamily="18" charset="0"/>
                <a:cs typeface="Times New Roman" pitchFamily="18" charset="0"/>
              </a:defRPr>
            </a:pPr>
            <a:endParaRPr lang="ru-RU"/>
          </a:p>
        </c:txPr>
        <c:crossAx val="155906048"/>
        <c:crosses val="autoZero"/>
        <c:auto val="1"/>
        <c:lblAlgn val="ctr"/>
        <c:lblOffset val="100"/>
      </c:catAx>
      <c:valAx>
        <c:axId val="155906048"/>
        <c:scaling>
          <c:orientation val="minMax"/>
        </c:scaling>
        <c:axPos val="l"/>
        <c:numFmt formatCode="#,##0.0" sourceLinked="1"/>
        <c:tickLblPos val="nextTo"/>
        <c:txPr>
          <a:bodyPr/>
          <a:lstStyle/>
          <a:p>
            <a:pPr>
              <a:defRPr sz="800" b="1">
                <a:latin typeface="Times New Roman" pitchFamily="18" charset="0"/>
                <a:cs typeface="Times New Roman" pitchFamily="18" charset="0"/>
              </a:defRPr>
            </a:pPr>
            <a:endParaRPr lang="ru-RU"/>
          </a:p>
        </c:txPr>
        <c:crossAx val="155871488"/>
        <c:crosses val="autoZero"/>
        <c:crossBetween val="between"/>
      </c:valAx>
    </c:plotArea>
    <c:legend>
      <c:legendPos val="b"/>
      <c:layout>
        <c:manualLayout>
          <c:xMode val="edge"/>
          <c:yMode val="edge"/>
          <c:x val="0.21271366775642669"/>
          <c:y val="0.7558821921835438"/>
          <c:w val="0.57057945205221061"/>
          <c:h val="0.17161817090056755"/>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Times New Roman" pitchFamily="18" charset="0"/>
                <a:ea typeface="Calibri"/>
                <a:cs typeface="Times New Roman" pitchFamily="18" charset="0"/>
              </a:defRPr>
            </a:pPr>
            <a:r>
              <a:rPr lang="ru-RU" sz="950">
                <a:latin typeface="Times New Roman" pitchFamily="18" charset="0"/>
                <a:cs typeface="Times New Roman" pitchFamily="18" charset="0"/>
              </a:rPr>
              <a:t>январь-декабрь</a:t>
            </a:r>
            <a:r>
              <a:rPr lang="ru-RU" sz="900">
                <a:latin typeface="Times New Roman" pitchFamily="18" charset="0"/>
                <a:cs typeface="Times New Roman" pitchFamily="18" charset="0"/>
              </a:rPr>
              <a:t> 2016 г.</a:t>
            </a:r>
          </a:p>
        </c:rich>
      </c:tx>
      <c:layout>
        <c:manualLayout>
          <c:xMode val="edge"/>
          <c:yMode val="edge"/>
          <c:x val="0.35048194129109023"/>
          <c:y val="5.9130657448309394E-3"/>
        </c:manualLayout>
      </c:layout>
      <c:spPr>
        <a:noFill/>
        <a:ln w="22943">
          <a:noFill/>
        </a:ln>
      </c:spPr>
    </c:title>
    <c:view3D>
      <c:rotX val="30"/>
      <c:rotY val="80"/>
      <c:perspective val="0"/>
    </c:view3D>
    <c:plotArea>
      <c:layout>
        <c:manualLayout>
          <c:layoutTarget val="inner"/>
          <c:xMode val="edge"/>
          <c:yMode val="edge"/>
          <c:x val="0.10430986126734135"/>
          <c:y val="0.28681868523660375"/>
          <c:w val="0.89569013873265846"/>
          <c:h val="0.58287014701197026"/>
        </c:manualLayout>
      </c:layout>
      <c:pie3DChart>
        <c:varyColors val="1"/>
        <c:ser>
          <c:idx val="0"/>
          <c:order val="0"/>
          <c:tx>
            <c:strRef>
              <c:f>Sheet1!$A$2</c:f>
              <c:strCache>
                <c:ptCount val="1"/>
                <c:pt idx="0">
                  <c:v>Восток</c:v>
                </c:pt>
              </c:strCache>
            </c:strRef>
          </c:tx>
          <c:spPr>
            <a:solidFill>
              <a:srgbClr val="9999FF"/>
            </a:solidFill>
            <a:ln w="11472">
              <a:solidFill>
                <a:srgbClr val="000000"/>
              </a:solidFill>
              <a:prstDash val="solid"/>
            </a:ln>
          </c:spPr>
          <c:dPt>
            <c:idx val="0"/>
            <c:explosion val="9"/>
            <c:spPr>
              <a:solidFill>
                <a:srgbClr val="EEECE1">
                  <a:lumMod val="50000"/>
                </a:srgbClr>
              </a:solidFill>
              <a:ln w="11472">
                <a:solidFill>
                  <a:srgbClr val="000000"/>
                </a:solidFill>
                <a:prstDash val="solid"/>
              </a:ln>
            </c:spPr>
          </c:dPt>
          <c:dPt>
            <c:idx val="1"/>
            <c:explosion val="5"/>
            <c:spPr>
              <a:solidFill>
                <a:srgbClr val="9BBB59">
                  <a:lumMod val="50000"/>
                </a:srgbClr>
              </a:solidFill>
              <a:ln w="11472">
                <a:solidFill>
                  <a:srgbClr val="000000"/>
                </a:solidFill>
                <a:prstDash val="solid"/>
              </a:ln>
            </c:spPr>
          </c:dPt>
          <c:dPt>
            <c:idx val="2"/>
            <c:explosion val="22"/>
            <c:spPr>
              <a:solidFill>
                <a:sysClr val="window" lastClr="FFFFFF">
                  <a:lumMod val="50000"/>
                </a:sysClr>
              </a:solidFill>
              <a:ln w="11472">
                <a:solidFill>
                  <a:srgbClr val="000000"/>
                </a:solidFill>
                <a:prstDash val="solid"/>
              </a:ln>
            </c:spPr>
          </c:dPt>
          <c:dPt>
            <c:idx val="3"/>
            <c:spPr>
              <a:solidFill>
                <a:srgbClr val="C0504D">
                  <a:lumMod val="75000"/>
                </a:srgbClr>
              </a:solidFill>
              <a:ln w="11472">
                <a:solidFill>
                  <a:srgbClr val="000000"/>
                </a:solidFill>
                <a:prstDash val="solid"/>
              </a:ln>
            </c:spPr>
          </c:dPt>
          <c:dLbls>
            <c:dLbl>
              <c:idx val="0"/>
              <c:layout>
                <c:manualLayout>
                  <c:x val="9.4501859142608766E-2"/>
                  <c:y val="-4.0294181977252874E-3"/>
                </c:manualLayout>
              </c:layout>
              <c:tx>
                <c:rich>
                  <a:bodyPr/>
                  <a:lstStyle/>
                  <a:p>
                    <a:r>
                      <a:rPr lang="ru-RU" sz="900">
                        <a:latin typeface="Times New Roman" pitchFamily="18" charset="0"/>
                        <a:cs typeface="Times New Roman" pitchFamily="18" charset="0"/>
                      </a:rPr>
                      <a:t>28,7</a:t>
                    </a:r>
                    <a:r>
                      <a:rPr lang="en-US" sz="900">
                        <a:latin typeface="Times New Roman" pitchFamily="18" charset="0"/>
                        <a:cs typeface="Times New Roman" pitchFamily="18" charset="0"/>
                      </a:rPr>
                      <a:t>%</a:t>
                    </a:r>
                  </a:p>
                </c:rich>
              </c:tx>
              <c:dLblPos val="bestFit"/>
              <c:extLst>
                <c:ext xmlns:c15="http://schemas.microsoft.com/office/drawing/2012/chart" uri="{CE6537A1-D6FC-4f65-9D91-7224C49458BB}">
                  <c15:layout/>
                </c:ext>
              </c:extLst>
            </c:dLbl>
            <c:dLbl>
              <c:idx val="1"/>
              <c:layout>
                <c:manualLayout>
                  <c:x val="-3.1195596819054396E-2"/>
                  <c:y val="5.9182255397266112E-2"/>
                </c:manualLayout>
              </c:layout>
              <c:tx>
                <c:rich>
                  <a:bodyPr/>
                  <a:lstStyle/>
                  <a:p>
                    <a:r>
                      <a:rPr lang="ru-RU" sz="900">
                        <a:latin typeface="Times New Roman" pitchFamily="18" charset="0"/>
                        <a:cs typeface="Times New Roman" pitchFamily="18" charset="0"/>
                      </a:rPr>
                      <a:t>13,1</a:t>
                    </a:r>
                    <a:r>
                      <a:rPr lang="en-US" sz="900">
                        <a:latin typeface="Times New Roman" pitchFamily="18" charset="0"/>
                        <a:cs typeface="Times New Roman" pitchFamily="18" charset="0"/>
                      </a:rPr>
                      <a:t>% </a:t>
                    </a:r>
                  </a:p>
                </c:rich>
              </c:tx>
              <c:dLblPos val="bestFit"/>
              <c:extLst>
                <c:ext xmlns:c15="http://schemas.microsoft.com/office/drawing/2012/chart" uri="{CE6537A1-D6FC-4f65-9D91-7224C49458BB}">
                  <c15:layout/>
                </c:ext>
              </c:extLst>
            </c:dLbl>
            <c:dLbl>
              <c:idx val="2"/>
              <c:layout>
                <c:manualLayout>
                  <c:x val="-7.7556255468066493E-2"/>
                  <c:y val="-6.0112572633623934E-2"/>
                </c:manualLayout>
              </c:layout>
              <c:tx>
                <c:rich>
                  <a:bodyPr/>
                  <a:lstStyle/>
                  <a:p>
                    <a:r>
                      <a:rPr lang="ru-RU" sz="900">
                        <a:latin typeface="Times New Roman" pitchFamily="18" charset="0"/>
                        <a:cs typeface="Times New Roman" pitchFamily="18" charset="0"/>
                      </a:rPr>
                      <a:t>58,0</a:t>
                    </a:r>
                    <a:r>
                      <a:rPr lang="en-US" sz="900">
                        <a:latin typeface="Times New Roman" pitchFamily="18" charset="0"/>
                        <a:cs typeface="Times New Roman" pitchFamily="18" charset="0"/>
                      </a:rPr>
                      <a:t>% </a:t>
                    </a:r>
                  </a:p>
                </c:rich>
              </c:tx>
              <c:dLblPos val="bestFit"/>
              <c:extLst>
                <c:ext xmlns:c15="http://schemas.microsoft.com/office/drawing/2012/chart" uri="{CE6537A1-D6FC-4f65-9D91-7224C49458BB}">
                  <c15:layout/>
                </c:ext>
              </c:extLst>
            </c:dLbl>
            <c:dLbl>
              <c:idx val="3"/>
              <c:layout>
                <c:manualLayout>
                  <c:x val="6.4336966559739903E-2"/>
                  <c:y val="-8.3578849518816417E-2"/>
                </c:manualLayout>
              </c:layout>
              <c:tx>
                <c:rich>
                  <a:bodyPr/>
                  <a:lstStyle/>
                  <a:p>
                    <a:r>
                      <a:rPr lang="en-US" sz="900">
                        <a:latin typeface="Times New Roman" pitchFamily="18" charset="0"/>
                        <a:cs typeface="Times New Roman" pitchFamily="18" charset="0"/>
                      </a:rPr>
                      <a:t>0,</a:t>
                    </a:r>
                    <a:r>
                      <a:rPr lang="ru-RU" sz="900">
                        <a:latin typeface="Times New Roman" pitchFamily="18" charset="0"/>
                        <a:cs typeface="Times New Roman" pitchFamily="18" charset="0"/>
                      </a:rPr>
                      <a:t>2</a:t>
                    </a:r>
                    <a:r>
                      <a:rPr lang="en-US" sz="900">
                        <a:latin typeface="Times New Roman" pitchFamily="18" charset="0"/>
                        <a:cs typeface="Times New Roman" pitchFamily="18" charset="0"/>
                      </a:rPr>
                      <a:t>% </a:t>
                    </a:r>
                  </a:p>
                </c:rich>
              </c:tx>
              <c:dLblPos val="bestFit"/>
              <c:extLst>
                <c:ext xmlns:c15="http://schemas.microsoft.com/office/drawing/2012/chart" uri="{CE6537A1-D6FC-4f65-9D91-7224C49458BB}">
                  <c15:layout/>
                </c:ext>
              </c:extLst>
            </c:dLbl>
            <c:spPr>
              <a:noFill/>
              <a:ln>
                <a:noFill/>
              </a:ln>
              <a:effectLst/>
            </c:spPr>
            <c:txPr>
              <a:bodyPr/>
              <a:lstStyle/>
              <a:p>
                <a:pPr>
                  <a:defRPr sz="900">
                    <a:latin typeface="Times New Roman" pitchFamily="18" charset="0"/>
                    <a:cs typeface="Times New Roman" pitchFamily="18" charset="0"/>
                  </a:defRPr>
                </a:pPr>
                <a:endParaRPr lang="ru-RU"/>
              </a:p>
            </c:txPr>
            <c:showVal val="1"/>
            <c:showPercent val="1"/>
            <c:showLeaderLines val="1"/>
            <c:extLst>
              <c:ext xmlns:c15="http://schemas.microsoft.com/office/drawing/2012/chart" uri="{CE6537A1-D6FC-4f65-9D91-7224C49458BB}"/>
            </c:extLst>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0.30100000000000032</c:v>
                </c:pt>
                <c:pt idx="1">
                  <c:v>0.13100000000000001</c:v>
                </c:pt>
                <c:pt idx="2">
                  <c:v>0.56699999999999995</c:v>
                </c:pt>
                <c:pt idx="3">
                  <c:v>1.0000000000000041E-3</c:v>
                </c:pt>
              </c:numCache>
            </c:numRef>
          </c:val>
        </c:ser>
        <c:ser>
          <c:idx val="1"/>
          <c:order val="1"/>
          <c:tx>
            <c:strRef>
              <c:f>Sheet1!$A$2</c:f>
              <c:strCache>
                <c:ptCount val="1"/>
                <c:pt idx="0">
                  <c:v>Восток</c:v>
                </c:pt>
              </c:strCache>
            </c:strRef>
          </c:tx>
          <c:spPr>
            <a:solidFill>
              <a:srgbClr val="9999FF"/>
            </a:solidFill>
            <a:ln w="11468">
              <a:solidFill>
                <a:srgbClr val="000000"/>
              </a:solidFill>
              <a:prstDash val="solid"/>
            </a:ln>
          </c:spPr>
          <c:dPt>
            <c:idx val="0"/>
            <c:spPr>
              <a:solidFill>
                <a:srgbClr val="969696"/>
              </a:solidFill>
              <a:ln w="11468">
                <a:solidFill>
                  <a:srgbClr val="000000"/>
                </a:solidFill>
                <a:prstDash val="solid"/>
              </a:ln>
            </c:spPr>
          </c:dPt>
          <c:dPt>
            <c:idx val="1"/>
            <c:spPr>
              <a:blipFill dpi="0" rotWithShape="0">
                <a:blip xmlns:r="http://schemas.openxmlformats.org/officeDocument/2006/relationships" r:embed="rId2"/>
                <a:srcRect/>
                <a:tile tx="0" ty="0" sx="100000" sy="100000" flip="none" algn="tl"/>
              </a:blipFill>
              <a:ln w="11468">
                <a:solidFill>
                  <a:srgbClr val="000000"/>
                </a:solidFill>
                <a:prstDash val="solid"/>
              </a:ln>
            </c:spPr>
          </c:dPt>
          <c:dPt>
            <c:idx val="2"/>
            <c:spPr>
              <a:solidFill>
                <a:srgbClr val="00B050"/>
              </a:solidFill>
              <a:ln w="11468">
                <a:solidFill>
                  <a:srgbClr val="000000"/>
                </a:solidFill>
                <a:prstDash val="solid"/>
              </a:ln>
            </c:spPr>
          </c:dPt>
          <c:dPt>
            <c:idx val="3"/>
            <c:spPr>
              <a:pattFill prst="lgCheck">
                <a:fgClr>
                  <a:srgbClr val="993366"/>
                </a:fgClr>
                <a:bgClr>
                  <a:srgbClr val="FFFFFF"/>
                </a:bgClr>
              </a:pattFill>
              <a:ln w="11468">
                <a:solidFill>
                  <a:srgbClr val="000000"/>
                </a:solidFill>
                <a:prstDash val="solid"/>
              </a:ln>
            </c:spPr>
          </c:dPt>
          <c:dLbls>
            <c:dLbl>
              <c:idx val="0"/>
              <c:tx>
                <c:rich>
                  <a:bodyPr/>
                  <a:lstStyle/>
                  <a:p>
                    <a:r>
                      <a:rPr lang="en-US"/>
                      <a:t> 2</a:t>
                    </a:r>
                    <a:r>
                      <a:rPr lang="ru-RU"/>
                      <a:t>4,7</a:t>
                    </a:r>
                    <a:r>
                      <a:rPr lang="en-US"/>
                      <a:t>%</a:t>
                    </a:r>
                  </a:p>
                </c:rich>
              </c:tx>
              <c:dLblPos val="bestFit"/>
              <c:extLst>
                <c:ext xmlns:c15="http://schemas.microsoft.com/office/drawing/2012/chart" uri="{CE6537A1-D6FC-4f65-9D91-7224C49458BB}"/>
              </c:extLst>
            </c:dLbl>
            <c:dLbl>
              <c:idx val="1"/>
              <c:tx>
                <c:rich>
                  <a:bodyPr/>
                  <a:lstStyle/>
                  <a:p>
                    <a:r>
                      <a:rPr lang="en-US"/>
                      <a:t> </a:t>
                    </a:r>
                    <a:r>
                      <a:rPr lang="ru-RU"/>
                      <a:t>4,0%</a:t>
                    </a:r>
                    <a:endParaRPr lang="en-US"/>
                  </a:p>
                </c:rich>
              </c:tx>
              <c:dLblPos val="bestFit"/>
              <c:extLst>
                <c:ext xmlns:c15="http://schemas.microsoft.com/office/drawing/2012/chart" uri="{CE6537A1-D6FC-4f65-9D91-7224C49458BB}"/>
              </c:extLst>
            </c:dLbl>
            <c:dLbl>
              <c:idx val="2"/>
              <c:tx>
                <c:rich>
                  <a:bodyPr/>
                  <a:lstStyle/>
                  <a:p>
                    <a:r>
                      <a:rPr lang="en-US"/>
                      <a:t> 7</a:t>
                    </a:r>
                    <a:r>
                      <a:rPr lang="ru-RU"/>
                      <a:t>1,0</a:t>
                    </a:r>
                    <a:r>
                      <a:rPr lang="en-US"/>
                      <a:t>%</a:t>
                    </a:r>
                  </a:p>
                </c:rich>
              </c:tx>
              <c:dLblPos val="bestFit"/>
              <c:extLst>
                <c:ext xmlns:c15="http://schemas.microsoft.com/office/drawing/2012/chart" uri="{CE6537A1-D6FC-4f65-9D91-7224C49458BB}"/>
              </c:extLst>
            </c:dLbl>
            <c:dLbl>
              <c:idx val="3"/>
              <c:tx>
                <c:rich>
                  <a:bodyPr/>
                  <a:lstStyle/>
                  <a:p>
                    <a:r>
                      <a:rPr lang="en-US"/>
                      <a:t> 0</a:t>
                    </a:r>
                    <a:r>
                      <a:rPr lang="ru-RU"/>
                      <a:t>,3</a:t>
                    </a:r>
                    <a:r>
                      <a:rPr lang="en-US"/>
                      <a:t>%</a:t>
                    </a:r>
                  </a:p>
                </c:rich>
              </c:tx>
              <c:dLblPos val="bestFit"/>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Val val="1"/>
            <c:showPercent val="1"/>
            <c:showLeaderLines val="1"/>
            <c:extLst>
              <c:ext xmlns:c15="http://schemas.microsoft.com/office/drawing/2012/chart" uri="{CE6537A1-D6FC-4f65-9D91-7224C49458BB}"/>
            </c:extLst>
          </c:dLbls>
          <c:cat>
            <c:strRef>
              <c:f>Sheet1!$B$1:$E$1</c:f>
              <c:strCache>
                <c:ptCount val="4"/>
                <c:pt idx="0">
                  <c:v>государственная</c:v>
                </c:pt>
                <c:pt idx="1">
                  <c:v>муниципальная</c:v>
                </c:pt>
                <c:pt idx="2">
                  <c:v>частная</c:v>
                </c:pt>
                <c:pt idx="3">
                  <c:v>прочие</c:v>
                </c:pt>
              </c:strCache>
            </c:strRef>
          </c:cat>
          <c:val>
            <c:numRef>
              <c:f>Sheet1!$B$2:$E$2</c:f>
              <c:numCache>
                <c:formatCode>0.0%</c:formatCode>
                <c:ptCount val="4"/>
                <c:pt idx="0">
                  <c:v>0.30100000000000032</c:v>
                </c:pt>
                <c:pt idx="1">
                  <c:v>0.13100000000000001</c:v>
                </c:pt>
                <c:pt idx="2">
                  <c:v>0.56699999999999995</c:v>
                </c:pt>
                <c:pt idx="3">
                  <c:v>1.0000000000000041E-3</c:v>
                </c:pt>
              </c:numCache>
            </c:numRef>
          </c:val>
        </c:ser>
        <c:dLbls>
          <c:showVal val="1"/>
          <c:showPercent val="1"/>
        </c:dLbls>
      </c:pie3DChart>
      <c:spPr>
        <a:solidFill>
          <a:srgbClr val="FFFFFF"/>
        </a:solidFill>
        <a:ln w="11472">
          <a:solidFill>
            <a:srgbClr val="FFFFFF"/>
          </a:solidFill>
          <a:prstDash val="solid"/>
        </a:ln>
      </c:spPr>
    </c:plotArea>
    <c:plotVisOnly val="1"/>
    <c:dispBlanksAs val="zero"/>
  </c:chart>
  <c:spPr>
    <a:noFill/>
    <a:ln>
      <a:noFill/>
    </a:ln>
  </c:spPr>
  <c:txPr>
    <a:bodyPr/>
    <a:lstStyle/>
    <a:p>
      <a:pPr>
        <a:defRPr sz="726" b="1" i="0" u="none" strike="noStrike" baseline="0">
          <a:solidFill>
            <a:srgbClr val="000000"/>
          </a:solidFill>
          <a:latin typeface="Calibri"/>
          <a:ea typeface="Calibri"/>
          <a:cs typeface="Calibri"/>
        </a:defRPr>
      </a:pPr>
      <a:endParaRPr lang="ru-RU"/>
    </a:p>
  </c:txPr>
  <c:externalData r:id="rId3"/>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b="1"/>
              <a:t> 2016 год</a:t>
            </a:r>
          </a:p>
        </c:rich>
      </c:tx>
      <c:layout>
        <c:manualLayout>
          <c:xMode val="edge"/>
          <c:yMode val="edge"/>
          <c:x val="0.49082598281772444"/>
          <c:y val="0"/>
        </c:manualLayout>
      </c:layout>
      <c:spPr>
        <a:noFill/>
      </c:spPr>
    </c:title>
    <c:view3D>
      <c:rotY val="270"/>
      <c:perspective val="0"/>
    </c:view3D>
    <c:plotArea>
      <c:layout>
        <c:manualLayout>
          <c:layoutTarget val="inner"/>
          <c:xMode val="edge"/>
          <c:yMode val="edge"/>
          <c:x val="0.32294352094877032"/>
          <c:y val="0.21373081132386126"/>
          <c:w val="0.46342862314625644"/>
          <c:h val="0.29868987895501425"/>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24001268723584779"/>
                  <c:y val="-4.6837168609737811E-4"/>
                </c:manualLayout>
              </c:layout>
              <c:tx>
                <c:rich>
                  <a:bodyPr/>
                  <a:lstStyle/>
                  <a:p>
                    <a:r>
                      <a:rPr lang="ru-RU" sz="900"/>
                      <a:t>Торговля и общепит; 1938; 49,1%</a:t>
                    </a:r>
                  </a:p>
                </c:rich>
              </c:tx>
              <c:dLblPos val="bestFit"/>
              <c:showVal val="1"/>
              <c:showCatName val="1"/>
              <c:showPercent val="1"/>
              <c:separator>; </c:separator>
            </c:dLbl>
            <c:dLbl>
              <c:idx val="1"/>
              <c:layout>
                <c:manualLayout>
                  <c:x val="-3.9513503435021496E-3"/>
                  <c:y val="-0.18403797226496121"/>
                </c:manualLayout>
              </c:layout>
              <c:tx>
                <c:rich>
                  <a:bodyPr/>
                  <a:lstStyle/>
                  <a:p>
                    <a:r>
                      <a:rPr lang="ru-RU" sz="900"/>
                      <a:t>Промышленность; </a:t>
                    </a:r>
                  </a:p>
                  <a:p>
                    <a:r>
                      <a:rPr lang="ru-RU" sz="900"/>
                      <a:t>447; 11,3%</a:t>
                    </a:r>
                  </a:p>
                </c:rich>
              </c:tx>
              <c:dLblPos val="bestFit"/>
              <c:showVal val="1"/>
              <c:showCatName val="1"/>
              <c:showPercent val="1"/>
              <c:separator>; </c:separator>
            </c:dLbl>
            <c:dLbl>
              <c:idx val="2"/>
              <c:layout>
                <c:manualLayout>
                  <c:x val="0.15706480798661496"/>
                  <c:y val="0.10471545707949299"/>
                </c:manualLayout>
              </c:layout>
              <c:tx>
                <c:rich>
                  <a:bodyPr/>
                  <a:lstStyle/>
                  <a:p>
                    <a:r>
                      <a:rPr lang="ru-RU" sz="900"/>
                      <a:t>Сельское хозяйство; 345; 8,7%</a:t>
                    </a:r>
                  </a:p>
                </c:rich>
              </c:tx>
              <c:dLblPos val="bestFit"/>
              <c:showVal val="1"/>
              <c:showCatName val="1"/>
              <c:showPercent val="1"/>
              <c:separator>; </c:separator>
            </c:dLbl>
            <c:dLbl>
              <c:idx val="3"/>
              <c:layout>
                <c:manualLayout>
                  <c:x val="0.40551196961407804"/>
                  <c:y val="0.30293149402836272"/>
                </c:manualLayout>
              </c:layout>
              <c:tx>
                <c:rich>
                  <a:bodyPr/>
                  <a:lstStyle/>
                  <a:p>
                    <a:r>
                      <a:rPr lang="ru-RU" sz="900"/>
                      <a:t>Строительство; </a:t>
                    </a:r>
                  </a:p>
                  <a:p>
                    <a:r>
                      <a:rPr lang="ru-RU" sz="900"/>
                      <a:t>265; 6,7%</a:t>
                    </a:r>
                  </a:p>
                </c:rich>
              </c:tx>
              <c:dLblPos val="bestFit"/>
              <c:showVal val="1"/>
              <c:showCatName val="1"/>
              <c:showPercent val="1"/>
              <c:separator>; </c:separator>
            </c:dLbl>
            <c:dLbl>
              <c:idx val="4"/>
              <c:layout>
                <c:manualLayout>
                  <c:x val="0.18511533490338108"/>
                  <c:y val="0.31404748825001538"/>
                </c:manualLayout>
              </c:layout>
              <c:tx>
                <c:rich>
                  <a:bodyPr/>
                  <a:lstStyle/>
                  <a:p>
                    <a:r>
                      <a:rPr lang="ru-RU" sz="900"/>
                      <a:t>Операции с недвижим. имущест.; 212; 5,4%</a:t>
                    </a:r>
                  </a:p>
                </c:rich>
              </c:tx>
              <c:dLblPos val="bestFit"/>
              <c:showVal val="1"/>
              <c:showCatName val="1"/>
              <c:showPercent val="1"/>
              <c:separator>; </c:separator>
            </c:dLbl>
            <c:dLbl>
              <c:idx val="5"/>
              <c:layout>
                <c:manualLayout>
                  <c:x val="3.3368064641466633E-2"/>
                  <c:y val="0.33456713259679749"/>
                </c:manualLayout>
              </c:layout>
              <c:tx>
                <c:rich>
                  <a:bodyPr/>
                  <a:lstStyle/>
                  <a:p>
                    <a:r>
                      <a:rPr lang="ru-RU" sz="900"/>
                      <a:t>Непроизв. виды бытового обслуж.; 98; 2,5%</a:t>
                    </a:r>
                  </a:p>
                </c:rich>
              </c:tx>
              <c:dLblPos val="bestFit"/>
              <c:showVal val="1"/>
              <c:showCatName val="1"/>
              <c:showPercent val="1"/>
              <c:separator>; </c:separator>
            </c:dLbl>
            <c:dLbl>
              <c:idx val="6"/>
              <c:layout>
                <c:manualLayout>
                  <c:x val="-0.12146560556935729"/>
                  <c:y val="0.17055718588682137"/>
                </c:manualLayout>
              </c:layout>
              <c:tx>
                <c:rich>
                  <a:bodyPr/>
                  <a:lstStyle/>
                  <a:p>
                    <a:r>
                      <a:rPr lang="ru-RU" sz="900"/>
                      <a:t>Общая коммер. деятельность115; 2,9%</a:t>
                    </a:r>
                  </a:p>
                </c:rich>
              </c:tx>
              <c:dLblPos val="bestFit"/>
              <c:showVal val="1"/>
              <c:showCatName val="1"/>
              <c:showPercent val="1"/>
              <c:separator>; </c:separator>
            </c:dLbl>
            <c:dLbl>
              <c:idx val="7"/>
              <c:layout>
                <c:manualLayout>
                  <c:x val="-0.12273910205668852"/>
                  <c:y val="5.4992203465342431E-3"/>
                </c:manualLayout>
              </c:layout>
              <c:tx>
                <c:rich>
                  <a:bodyPr/>
                  <a:lstStyle/>
                  <a:p>
                    <a:r>
                      <a:rPr lang="ru-RU" sz="900"/>
                      <a:t>ЖКХ; 84; 2,1%</a:t>
                    </a:r>
                  </a:p>
                </c:rich>
              </c:tx>
              <c:dLblPos val="bestFit"/>
              <c:showVal val="1"/>
              <c:showCatName val="1"/>
              <c:showPercent val="1"/>
              <c:separator>; </c:separator>
            </c:dLbl>
            <c:dLbl>
              <c:idx val="8"/>
              <c:layout>
                <c:manualLayout>
                  <c:x val="-7.9251135904084502E-2"/>
                  <c:y val="-0.10968076664835502"/>
                </c:manualLayout>
              </c:layout>
              <c:tx>
                <c:rich>
                  <a:bodyPr/>
                  <a:lstStyle/>
                  <a:p>
                    <a:r>
                      <a:rPr lang="ru-RU" sz="900"/>
                      <a:t>Прочие;</a:t>
                    </a:r>
                  </a:p>
                  <a:p>
                    <a:r>
                      <a:rPr lang="ru-RU" sz="900"/>
                      <a:t> 445; 11,3%</a:t>
                    </a:r>
                  </a:p>
                </c:rich>
              </c:tx>
              <c:dLblPos val="bestFit"/>
              <c:showVal val="1"/>
              <c:showCatName val="1"/>
              <c:showPercent val="1"/>
              <c:separator>; </c:separator>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1938</c:v>
                </c:pt>
                <c:pt idx="1">
                  <c:v>447</c:v>
                </c:pt>
                <c:pt idx="2">
                  <c:v>345</c:v>
                </c:pt>
                <c:pt idx="3">
                  <c:v>265</c:v>
                </c:pt>
                <c:pt idx="4">
                  <c:v>212</c:v>
                </c:pt>
                <c:pt idx="5">
                  <c:v>98</c:v>
                </c:pt>
                <c:pt idx="6">
                  <c:v>115</c:v>
                </c:pt>
                <c:pt idx="7">
                  <c:v>84</c:v>
                </c:pt>
                <c:pt idx="8">
                  <c:v>445</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b="1"/>
            </a:pPr>
            <a:r>
              <a:rPr lang="ru-RU" b="1"/>
              <a:t>2017 год</a:t>
            </a:r>
          </a:p>
        </c:rich>
      </c:tx>
      <c:layout>
        <c:manualLayout>
          <c:xMode val="edge"/>
          <c:yMode val="edge"/>
          <c:x val="0.55031806974541042"/>
          <c:y val="1.4760147601476021E-2"/>
        </c:manualLayout>
      </c:layout>
      <c:spPr>
        <a:noFill/>
      </c:spPr>
    </c:title>
    <c:view3D>
      <c:rotY val="270"/>
      <c:perspective val="0"/>
    </c:view3D>
    <c:plotArea>
      <c:layout>
        <c:manualLayout>
          <c:layoutTarget val="inner"/>
          <c:xMode val="edge"/>
          <c:yMode val="edge"/>
          <c:x val="0.32294352094877032"/>
          <c:y val="0.21373081132386126"/>
          <c:w val="0.46342862314625743"/>
          <c:h val="0.29868987895501503"/>
        </c:manualLayout>
      </c:layout>
      <c:pie3DChart>
        <c:varyColors val="1"/>
        <c:ser>
          <c:idx val="0"/>
          <c:order val="0"/>
          <c:tx>
            <c:strRef>
              <c:f>Sheet1!$A$2</c:f>
              <c:strCache>
                <c:ptCount val="1"/>
                <c:pt idx="0">
                  <c:v>Восток</c:v>
                </c:pt>
              </c:strCache>
            </c:strRef>
          </c:tx>
          <c:spPr>
            <a:solidFill>
              <a:srgbClr val="9999FF"/>
            </a:solidFill>
            <a:ln w="16924">
              <a:solidFill>
                <a:srgbClr val="000000"/>
              </a:solidFill>
              <a:prstDash val="solid"/>
            </a:ln>
          </c:spPr>
          <c:explosion val="25"/>
          <c:dPt>
            <c:idx val="0"/>
            <c:spPr>
              <a:pattFill prst="pct10">
                <a:fgClr>
                  <a:srgbClr val="000000"/>
                </a:fgClr>
                <a:bgClr>
                  <a:srgbClr val="FFFFFF"/>
                </a:bgClr>
              </a:pattFill>
              <a:ln w="16924">
                <a:solidFill>
                  <a:srgbClr val="000000"/>
                </a:solidFill>
                <a:prstDash val="solid"/>
              </a:ln>
            </c:spPr>
          </c:dPt>
          <c:dPt>
            <c:idx val="1"/>
            <c:spPr>
              <a:pattFill prst="lgGrid">
                <a:fgClr>
                  <a:srgbClr val="000000"/>
                </a:fgClr>
                <a:bgClr>
                  <a:srgbClr val="FFFFFF"/>
                </a:bgClr>
              </a:pattFill>
              <a:ln w="16924">
                <a:solidFill>
                  <a:srgbClr val="000000"/>
                </a:solidFill>
                <a:prstDash val="solid"/>
              </a:ln>
            </c:spPr>
          </c:dPt>
          <c:dPt>
            <c:idx val="2"/>
            <c:spPr>
              <a:pattFill prst="dkVert">
                <a:fgClr>
                  <a:srgbClr val="000000"/>
                </a:fgClr>
                <a:bgClr>
                  <a:srgbClr val="FFFFFF"/>
                </a:bgClr>
              </a:pattFill>
              <a:ln w="16924">
                <a:solidFill>
                  <a:srgbClr val="000000"/>
                </a:solidFill>
                <a:prstDash val="solid"/>
              </a:ln>
            </c:spPr>
          </c:dPt>
          <c:dPt>
            <c:idx val="3"/>
            <c:spPr>
              <a:pattFill prst="dashVert">
                <a:fgClr>
                  <a:srgbClr val="000000"/>
                </a:fgClr>
                <a:bgClr>
                  <a:srgbClr val="FFFFFF"/>
                </a:bgClr>
              </a:pattFill>
              <a:ln w="16924">
                <a:solidFill>
                  <a:srgbClr val="000000"/>
                </a:solidFill>
                <a:prstDash val="solid"/>
              </a:ln>
            </c:spPr>
          </c:dPt>
          <c:dPt>
            <c:idx val="4"/>
            <c:spPr>
              <a:pattFill prst="lgConfetti">
                <a:fgClr>
                  <a:srgbClr val="000000"/>
                </a:fgClr>
                <a:bgClr>
                  <a:srgbClr val="FFFFFF"/>
                </a:bgClr>
              </a:pattFill>
              <a:ln w="16924">
                <a:solidFill>
                  <a:srgbClr val="000000"/>
                </a:solidFill>
                <a:prstDash val="solid"/>
              </a:ln>
            </c:spPr>
          </c:dPt>
          <c:dPt>
            <c:idx val="5"/>
            <c:spPr>
              <a:pattFill prst="zigZag">
                <a:fgClr>
                  <a:srgbClr val="000000"/>
                </a:fgClr>
                <a:bgClr>
                  <a:srgbClr val="FFFFFF"/>
                </a:bgClr>
              </a:pattFill>
              <a:ln w="16924">
                <a:solidFill>
                  <a:srgbClr val="000000"/>
                </a:solidFill>
                <a:prstDash val="solid"/>
              </a:ln>
            </c:spPr>
          </c:dPt>
          <c:dPt>
            <c:idx val="6"/>
            <c:spPr>
              <a:pattFill prst="sphere">
                <a:fgClr>
                  <a:srgbClr val="000000"/>
                </a:fgClr>
                <a:bgClr>
                  <a:srgbClr val="FFFFFF"/>
                </a:bgClr>
              </a:pattFill>
              <a:ln w="16924">
                <a:solidFill>
                  <a:srgbClr val="000000"/>
                </a:solidFill>
                <a:prstDash val="solid"/>
              </a:ln>
            </c:spPr>
          </c:dPt>
          <c:dPt>
            <c:idx val="7"/>
            <c:spPr>
              <a:pattFill prst="weave">
                <a:fgClr>
                  <a:srgbClr val="000000"/>
                </a:fgClr>
                <a:bgClr>
                  <a:srgbClr val="FFFFFF"/>
                </a:bgClr>
              </a:pattFill>
              <a:ln w="16924">
                <a:solidFill>
                  <a:srgbClr val="000000"/>
                </a:solidFill>
                <a:prstDash val="solid"/>
              </a:ln>
            </c:spPr>
          </c:dPt>
          <c:dPt>
            <c:idx val="8"/>
            <c:spPr>
              <a:pattFill prst="pct90">
                <a:fgClr>
                  <a:srgbClr val="000000"/>
                </a:fgClr>
                <a:bgClr>
                  <a:srgbClr val="FFFFFF"/>
                </a:bgClr>
              </a:pattFill>
              <a:ln w="16924">
                <a:solidFill>
                  <a:srgbClr val="000000"/>
                </a:solidFill>
                <a:prstDash val="solid"/>
              </a:ln>
            </c:spPr>
          </c:dPt>
          <c:dLbls>
            <c:dLbl>
              <c:idx val="0"/>
              <c:layout>
                <c:manualLayout>
                  <c:x val="-0.24001268723584779"/>
                  <c:y val="-4.6837168609737811E-4"/>
                </c:manualLayout>
              </c:layout>
              <c:tx>
                <c:rich>
                  <a:bodyPr/>
                  <a:lstStyle/>
                  <a:p>
                    <a:r>
                      <a:rPr lang="ru-RU" sz="900"/>
                      <a:t>Торговля и общепит; 2008; 47,9%</a:t>
                    </a:r>
                  </a:p>
                </c:rich>
              </c:tx>
              <c:dLblPos val="bestFit"/>
              <c:showVal val="1"/>
              <c:showCatName val="1"/>
              <c:showPercent val="1"/>
              <c:separator>; </c:separator>
            </c:dLbl>
            <c:dLbl>
              <c:idx val="1"/>
              <c:layout>
                <c:manualLayout>
                  <c:x val="2.3571144516026689E-2"/>
                  <c:y val="-0.12348974828331059"/>
                </c:manualLayout>
              </c:layout>
              <c:tx>
                <c:rich>
                  <a:bodyPr/>
                  <a:lstStyle/>
                  <a:p>
                    <a:r>
                      <a:rPr lang="ru-RU" sz="900"/>
                      <a:t>Промышленность; </a:t>
                    </a:r>
                  </a:p>
                  <a:p>
                    <a:r>
                      <a:rPr lang="ru-RU" sz="900"/>
                      <a:t>498; 11,9%</a:t>
                    </a:r>
                  </a:p>
                </c:rich>
              </c:tx>
              <c:dLblPos val="bestFit"/>
              <c:showVal val="1"/>
              <c:showCatName val="1"/>
              <c:showPercent val="1"/>
              <c:separator>; </c:separator>
            </c:dLbl>
            <c:dLbl>
              <c:idx val="2"/>
              <c:layout>
                <c:manualLayout>
                  <c:x val="0.15706480798661496"/>
                  <c:y val="0.10471545707949299"/>
                </c:manualLayout>
              </c:layout>
              <c:tx>
                <c:rich>
                  <a:bodyPr/>
                  <a:lstStyle/>
                  <a:p>
                    <a:r>
                      <a:rPr lang="ru-RU" sz="900"/>
                      <a:t>Сельское хозяйство; 339; 8,1%</a:t>
                    </a:r>
                  </a:p>
                </c:rich>
              </c:tx>
              <c:dLblPos val="bestFit"/>
              <c:showVal val="1"/>
              <c:showCatName val="1"/>
              <c:showPercent val="1"/>
              <c:separator>; </c:separator>
            </c:dLbl>
            <c:dLbl>
              <c:idx val="3"/>
              <c:layout>
                <c:manualLayout>
                  <c:x val="0.40551196961407904"/>
                  <c:y val="0.30293149402836272"/>
                </c:manualLayout>
              </c:layout>
              <c:tx>
                <c:rich>
                  <a:bodyPr/>
                  <a:lstStyle/>
                  <a:p>
                    <a:r>
                      <a:rPr lang="ru-RU" sz="900"/>
                      <a:t>Строительство; </a:t>
                    </a:r>
                  </a:p>
                  <a:p>
                    <a:r>
                      <a:rPr lang="ru-RU" sz="900"/>
                      <a:t>291; 6,9%</a:t>
                    </a:r>
                  </a:p>
                </c:rich>
              </c:tx>
              <c:dLblPos val="bestFit"/>
              <c:showVal val="1"/>
              <c:showCatName val="1"/>
              <c:showPercent val="1"/>
              <c:separator>; </c:separator>
            </c:dLbl>
            <c:dLbl>
              <c:idx val="4"/>
              <c:layout>
                <c:manualLayout>
                  <c:x val="0.18511533490338139"/>
                  <c:y val="0.31404748825001538"/>
                </c:manualLayout>
              </c:layout>
              <c:tx>
                <c:rich>
                  <a:bodyPr/>
                  <a:lstStyle/>
                  <a:p>
                    <a:r>
                      <a:rPr lang="ru-RU" sz="900"/>
                      <a:t>Операции с недвижим. имущест.; 268; 6,4%</a:t>
                    </a:r>
                  </a:p>
                </c:rich>
              </c:tx>
              <c:dLblPos val="bestFit"/>
              <c:showVal val="1"/>
              <c:showCatName val="1"/>
              <c:showPercent val="1"/>
              <c:separator>; </c:separator>
            </c:dLbl>
            <c:dLbl>
              <c:idx val="5"/>
              <c:layout>
                <c:manualLayout>
                  <c:x val="3.3368064641466633E-2"/>
                  <c:y val="0.33456713259679749"/>
                </c:manualLayout>
              </c:layout>
              <c:tx>
                <c:rich>
                  <a:bodyPr/>
                  <a:lstStyle/>
                  <a:p>
                    <a:r>
                      <a:rPr lang="ru-RU" sz="900"/>
                      <a:t>Непроизв. виды бытового обслуж.; 95; 2,3%</a:t>
                    </a:r>
                  </a:p>
                </c:rich>
              </c:tx>
              <c:dLblPos val="bestFit"/>
              <c:showVal val="1"/>
              <c:showCatName val="1"/>
              <c:showPercent val="1"/>
              <c:separator>; </c:separator>
            </c:dLbl>
            <c:dLbl>
              <c:idx val="6"/>
              <c:layout>
                <c:manualLayout>
                  <c:x val="-0.12146560556935729"/>
                  <c:y val="0.170557185886822"/>
                </c:manualLayout>
              </c:layout>
              <c:tx>
                <c:rich>
                  <a:bodyPr/>
                  <a:lstStyle/>
                  <a:p>
                    <a:r>
                      <a:rPr lang="ru-RU" sz="900"/>
                      <a:t>Общая коммер. деятельн.</a:t>
                    </a:r>
                  </a:p>
                  <a:p>
                    <a:r>
                      <a:rPr lang="ru-RU" sz="900"/>
                      <a:t>120; 2,9%</a:t>
                    </a:r>
                  </a:p>
                </c:rich>
              </c:tx>
              <c:dLblPos val="bestFit"/>
              <c:showVal val="1"/>
              <c:showCatName val="1"/>
              <c:showPercent val="1"/>
              <c:separator>; </c:separator>
            </c:dLbl>
            <c:dLbl>
              <c:idx val="7"/>
              <c:layout>
                <c:manualLayout>
                  <c:x val="-0.12273910205668881"/>
                  <c:y val="5.4992203465342553E-3"/>
                </c:manualLayout>
              </c:layout>
              <c:tx>
                <c:rich>
                  <a:bodyPr/>
                  <a:lstStyle/>
                  <a:p>
                    <a:r>
                      <a:rPr lang="ru-RU" sz="900"/>
                      <a:t>ЖКХ; 76; 1,8%</a:t>
                    </a:r>
                  </a:p>
                </c:rich>
              </c:tx>
              <c:dLblPos val="bestFit"/>
              <c:showVal val="1"/>
              <c:showCatName val="1"/>
              <c:showPercent val="1"/>
              <c:separator>; </c:separator>
            </c:dLbl>
            <c:dLbl>
              <c:idx val="8"/>
              <c:layout>
                <c:manualLayout>
                  <c:x val="-7.9251787741408494E-2"/>
                  <c:y val="-0.10476063185828799"/>
                </c:manualLayout>
              </c:layout>
              <c:tx>
                <c:rich>
                  <a:bodyPr/>
                  <a:lstStyle/>
                  <a:p>
                    <a:r>
                      <a:rPr lang="ru-RU" sz="900"/>
                      <a:t>Прочие;</a:t>
                    </a:r>
                  </a:p>
                  <a:p>
                    <a:r>
                      <a:rPr lang="ru-RU" sz="900"/>
                      <a:t> 493; 11,8%</a:t>
                    </a:r>
                  </a:p>
                </c:rich>
              </c:tx>
              <c:dLblPos val="bestFit"/>
              <c:showVal val="1"/>
              <c:showCatName val="1"/>
              <c:showPercent val="1"/>
              <c:separator>; </c:separator>
            </c:dLbl>
            <c:numFmt formatCode="0.0%" sourceLinked="0"/>
            <c:spPr>
              <a:solidFill>
                <a:srgbClr val="FFFFFF"/>
              </a:solidFill>
              <a:ln w="33915">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showCatName val="1"/>
            <c:showPercent val="1"/>
            <c:separator>; </c:separator>
            <c:showLeaderLines val="1"/>
          </c:dLbls>
          <c:cat>
            <c:strRef>
              <c:f>Sheet1!$B$1:$J$1</c:f>
              <c:strCache>
                <c:ptCount val="9"/>
                <c:pt idx="0">
                  <c:v>Торговля и общепит</c:v>
                </c:pt>
                <c:pt idx="1">
                  <c:v>Промышленность</c:v>
                </c:pt>
                <c:pt idx="2">
                  <c:v>Сельское хозяйство</c:v>
                </c:pt>
                <c:pt idx="3">
                  <c:v>Строительство</c:v>
                </c:pt>
                <c:pt idx="4">
                  <c:v>Операции с недвижим. имущест.</c:v>
                </c:pt>
                <c:pt idx="5">
                  <c:v>Непроизвод. виды бытового обслуж.</c:v>
                </c:pt>
                <c:pt idx="6">
                  <c:v>Общая коммер. деятельность</c:v>
                </c:pt>
                <c:pt idx="7">
                  <c:v>ЖКХ</c:v>
                </c:pt>
                <c:pt idx="8">
                  <c:v>Прочие</c:v>
                </c:pt>
              </c:strCache>
            </c:strRef>
          </c:cat>
          <c:val>
            <c:numRef>
              <c:f>Sheet1!$B$2:$J$2</c:f>
              <c:numCache>
                <c:formatCode>General</c:formatCode>
                <c:ptCount val="9"/>
                <c:pt idx="0">
                  <c:v>2008</c:v>
                </c:pt>
                <c:pt idx="1">
                  <c:v>498</c:v>
                </c:pt>
                <c:pt idx="2">
                  <c:v>339</c:v>
                </c:pt>
                <c:pt idx="3">
                  <c:v>291</c:v>
                </c:pt>
                <c:pt idx="4">
                  <c:v>268</c:v>
                </c:pt>
                <c:pt idx="5">
                  <c:v>95</c:v>
                </c:pt>
                <c:pt idx="6">
                  <c:v>120</c:v>
                </c:pt>
                <c:pt idx="7">
                  <c:v>76</c:v>
                </c:pt>
                <c:pt idx="8">
                  <c:v>493</c:v>
                </c:pt>
              </c:numCache>
            </c:numRef>
          </c:val>
        </c:ser>
        <c:dLbls>
          <c:showVal val="1"/>
          <c:showCatName val="1"/>
          <c:showPercent val="1"/>
          <c:separator>; </c:separator>
        </c:dLbls>
      </c:pie3DChart>
      <c:spPr>
        <a:solidFill>
          <a:srgbClr val="FFFFFF"/>
        </a:solidFill>
        <a:ln w="33849">
          <a:noFill/>
        </a:ln>
      </c:spPr>
    </c:plotArea>
    <c:plotVisOnly val="1"/>
    <c:dispBlanksAs val="zero"/>
  </c:chart>
  <c:spPr>
    <a:noFill/>
    <a:ln>
      <a:noFill/>
    </a:ln>
  </c:spPr>
  <c:txPr>
    <a:bodyPr/>
    <a:lstStyle/>
    <a:p>
      <a:pPr>
        <a:defRPr sz="935" b="0" i="0" u="none" strike="noStrike" baseline="0">
          <a:solidFill>
            <a:srgbClr val="000000"/>
          </a:solidFill>
          <a:latin typeface="Times New Roman"/>
          <a:ea typeface="Times New Roman"/>
          <a:cs typeface="Times New Roman"/>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Динамика оплаты труда в разрезе отраслей экономики, руб. ПМР</a:t>
            </a:r>
          </a:p>
        </c:rich>
      </c:tx>
      <c:layout>
        <c:manualLayout>
          <c:xMode val="edge"/>
          <c:yMode val="edge"/>
          <c:x val="0.17390464947862391"/>
          <c:y val="2.1721703391727196E-3"/>
        </c:manualLayout>
      </c:layout>
      <c:spPr>
        <a:noFill/>
      </c:spPr>
    </c:title>
    <c:plotArea>
      <c:layout>
        <c:manualLayout>
          <c:layoutTarget val="inner"/>
          <c:xMode val="edge"/>
          <c:yMode val="edge"/>
          <c:x val="6.9076543209876537E-2"/>
          <c:y val="7.7154811715481178E-2"/>
          <c:w val="0.93245827992431152"/>
          <c:h val="0.40677236291409591"/>
        </c:manualLayout>
      </c:layout>
      <c:barChart>
        <c:barDir val="col"/>
        <c:grouping val="clustered"/>
        <c:ser>
          <c:idx val="0"/>
          <c:order val="0"/>
          <c:tx>
            <c:strRef>
              <c:f>Sheet1!$A$2</c:f>
              <c:strCache>
                <c:ptCount val="1"/>
                <c:pt idx="0">
                  <c:v>2016 год</c:v>
                </c:pt>
              </c:strCache>
            </c:strRef>
          </c:tx>
          <c:spPr>
            <a:solidFill>
              <a:schemeClr val="bg1">
                <a:lumMod val="75000"/>
              </a:schemeClr>
            </a:solidFill>
            <a:ln w="15875" cmpd="sng">
              <a:solidFill>
                <a:schemeClr val="tx1"/>
              </a:solidFill>
              <a:prstDash val="solid"/>
            </a:ln>
          </c:spPr>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Sheet1!$B$2:$T$2</c:f>
              <c:numCache>
                <c:formatCode>#,##0.0</c:formatCode>
                <c:ptCount val="19"/>
                <c:pt idx="0">
                  <c:v>3009.9</c:v>
                </c:pt>
                <c:pt idx="1">
                  <c:v>2880.3</c:v>
                </c:pt>
                <c:pt idx="2">
                  <c:v>3166.9</c:v>
                </c:pt>
                <c:pt idx="3">
                  <c:v>8935.1</c:v>
                </c:pt>
                <c:pt idx="4">
                  <c:v>3693</c:v>
                </c:pt>
                <c:pt idx="5">
                  <c:v>2525.4</c:v>
                </c:pt>
                <c:pt idx="6">
                  <c:v>3219.7</c:v>
                </c:pt>
                <c:pt idx="7">
                  <c:v>4319.4000000000005</c:v>
                </c:pt>
                <c:pt idx="8">
                  <c:v>5311</c:v>
                </c:pt>
                <c:pt idx="9">
                  <c:v>3608.7</c:v>
                </c:pt>
                <c:pt idx="10">
                  <c:v>3796.3</c:v>
                </c:pt>
                <c:pt idx="11">
                  <c:v>2981</c:v>
                </c:pt>
                <c:pt idx="12">
                  <c:v>2821.3</c:v>
                </c:pt>
                <c:pt idx="13">
                  <c:v>2154.1</c:v>
                </c:pt>
                <c:pt idx="14">
                  <c:v>3670.1</c:v>
                </c:pt>
                <c:pt idx="15">
                  <c:v>3213.7</c:v>
                </c:pt>
                <c:pt idx="16">
                  <c:v>2746.7</c:v>
                </c:pt>
                <c:pt idx="17">
                  <c:v>2940.2</c:v>
                </c:pt>
                <c:pt idx="18">
                  <c:v>4201.4000000000005</c:v>
                </c:pt>
              </c:numCache>
            </c:numRef>
          </c:val>
        </c:ser>
        <c:ser>
          <c:idx val="1"/>
          <c:order val="1"/>
          <c:tx>
            <c:strRef>
              <c:f>Sheet1!$A$3</c:f>
              <c:strCache>
                <c:ptCount val="1"/>
                <c:pt idx="0">
                  <c:v>2017 год</c:v>
                </c:pt>
              </c:strCache>
            </c:strRef>
          </c:tx>
          <c:spPr>
            <a:solidFill>
              <a:schemeClr val="bg2">
                <a:lumMod val="50000"/>
              </a:schemeClr>
            </a:solidFill>
            <a:ln w="15875">
              <a:solidFill>
                <a:sysClr val="windowText" lastClr="000000"/>
              </a:solidFill>
            </a:ln>
          </c:spPr>
          <c:dLbls>
            <c:dLbl>
              <c:idx val="0"/>
              <c:layout>
                <c:manualLayout>
                  <c:x val="-2.7845630407310473E-3"/>
                  <c:y val="1.9057973401859821E-3"/>
                </c:manualLayout>
              </c:layout>
              <c:tx>
                <c:rich>
                  <a:bodyPr/>
                  <a:lstStyle/>
                  <a:p>
                    <a:r>
                      <a:rPr lang="ru-RU"/>
                      <a:t>94,9*</a:t>
                    </a:r>
                    <a:endParaRPr lang="en-US"/>
                  </a:p>
                </c:rich>
              </c:tx>
              <c:showVal val="1"/>
            </c:dLbl>
            <c:dLbl>
              <c:idx val="1"/>
              <c:layout>
                <c:manualLayout>
                  <c:x val="-2.6100515213376245E-3"/>
                  <c:y val="1.1949395446908082E-2"/>
                </c:manualLayout>
              </c:layout>
              <c:tx>
                <c:rich>
                  <a:bodyPr/>
                  <a:lstStyle/>
                  <a:p>
                    <a:r>
                      <a:rPr lang="ru-RU"/>
                      <a:t>103,8*</a:t>
                    </a:r>
                    <a:endParaRPr lang="en-US"/>
                  </a:p>
                </c:rich>
              </c:tx>
              <c:showVal val="1"/>
            </c:dLbl>
            <c:dLbl>
              <c:idx val="2"/>
              <c:layout>
                <c:manualLayout>
                  <c:x val="-1.8975405852046364E-5"/>
                  <c:y val="6.2860343293908534E-3"/>
                </c:manualLayout>
              </c:layout>
              <c:tx>
                <c:rich>
                  <a:bodyPr/>
                  <a:lstStyle/>
                  <a:p>
                    <a:r>
                      <a:rPr lang="ru-RU"/>
                      <a:t>102,6*</a:t>
                    </a:r>
                    <a:endParaRPr lang="en-US"/>
                  </a:p>
                </c:rich>
              </c:tx>
              <c:showVal val="1"/>
            </c:dLbl>
            <c:dLbl>
              <c:idx val="3"/>
              <c:layout>
                <c:manualLayout>
                  <c:x val="-5.5842130844755821E-3"/>
                  <c:y val="-0.23356197630107953"/>
                </c:manualLayout>
              </c:layout>
              <c:tx>
                <c:rich>
                  <a:bodyPr/>
                  <a:lstStyle/>
                  <a:p>
                    <a:r>
                      <a:rPr lang="ru-RU"/>
                      <a:t>49,6*</a:t>
                    </a:r>
                    <a:endParaRPr lang="en-US"/>
                  </a:p>
                </c:rich>
              </c:tx>
              <c:showVal val="1"/>
            </c:dLbl>
            <c:dLbl>
              <c:idx val="4"/>
              <c:layout>
                <c:manualLayout>
                  <c:x val="-9.5856906775546242E-4"/>
                  <c:y val="-3.2903941400630561E-3"/>
                </c:manualLayout>
              </c:layout>
              <c:tx>
                <c:rich>
                  <a:bodyPr/>
                  <a:lstStyle/>
                  <a:p>
                    <a:r>
                      <a:rPr lang="ru-RU"/>
                      <a:t>100,9*</a:t>
                    </a:r>
                    <a:endParaRPr lang="en-US"/>
                  </a:p>
                </c:rich>
              </c:tx>
              <c:showVal val="1"/>
            </c:dLbl>
            <c:dLbl>
              <c:idx val="5"/>
              <c:layout>
                <c:manualLayout>
                  <c:x val="-7.0426752211529111E-3"/>
                  <c:y val="1.356812615996235E-2"/>
                </c:manualLayout>
              </c:layout>
              <c:tx>
                <c:rich>
                  <a:bodyPr/>
                  <a:lstStyle/>
                  <a:p>
                    <a:r>
                      <a:rPr lang="ru-RU"/>
                      <a:t>100,7*</a:t>
                    </a:r>
                    <a:endParaRPr lang="en-US"/>
                  </a:p>
                </c:rich>
              </c:tx>
              <c:showVal val="1"/>
            </c:dLbl>
            <c:dLbl>
              <c:idx val="6"/>
              <c:layout>
                <c:manualLayout>
                  <c:x val="-2.9408768348400888E-3"/>
                  <c:y val="-5.5568367761561324E-5"/>
                </c:manualLayout>
              </c:layout>
              <c:tx>
                <c:rich>
                  <a:bodyPr/>
                  <a:lstStyle/>
                  <a:p>
                    <a:r>
                      <a:rPr lang="ru-RU"/>
                      <a:t>91,3*</a:t>
                    </a:r>
                    <a:endParaRPr lang="en-US"/>
                  </a:p>
                </c:rich>
              </c:tx>
              <c:showVal val="1"/>
            </c:dLbl>
            <c:dLbl>
              <c:idx val="7"/>
              <c:layout>
                <c:manualLayout>
                  <c:x val="-2.4265189073588026E-3"/>
                  <c:y val="1.4062970162202541E-2"/>
                </c:manualLayout>
              </c:layout>
              <c:tx>
                <c:rich>
                  <a:bodyPr rot="0" vert="horz"/>
                  <a:lstStyle/>
                  <a:p>
                    <a:pPr>
                      <a:defRPr sz="800" b="1"/>
                    </a:pPr>
                    <a:r>
                      <a:rPr lang="ru-RU" b="1"/>
                      <a:t>107,7*</a:t>
                    </a:r>
                    <a:endParaRPr lang="en-US" b="1"/>
                  </a:p>
                </c:rich>
              </c:tx>
              <c:spPr>
                <a:noFill/>
              </c:spPr>
              <c:showVal val="1"/>
            </c:dLbl>
            <c:dLbl>
              <c:idx val="8"/>
              <c:layout>
                <c:manualLayout>
                  <c:x val="-5.8190726159230476E-3"/>
                  <c:y val="8.2680459921589296E-3"/>
                </c:manualLayout>
              </c:layout>
              <c:tx>
                <c:rich>
                  <a:bodyPr/>
                  <a:lstStyle/>
                  <a:p>
                    <a:r>
                      <a:rPr lang="ru-RU"/>
                      <a:t>114,8*</a:t>
                    </a:r>
                    <a:endParaRPr lang="en-US"/>
                  </a:p>
                </c:rich>
              </c:tx>
              <c:showVal val="1"/>
            </c:dLbl>
            <c:dLbl>
              <c:idx val="9"/>
              <c:layout>
                <c:manualLayout>
                  <c:x val="-1.8718771264702439E-3"/>
                  <c:y val="3.7696438572793669E-3"/>
                </c:manualLayout>
              </c:layout>
              <c:tx>
                <c:rich>
                  <a:bodyPr/>
                  <a:lstStyle/>
                  <a:p>
                    <a:r>
                      <a:rPr lang="ru-RU"/>
                      <a:t>106,1*</a:t>
                    </a:r>
                    <a:endParaRPr lang="en-US"/>
                  </a:p>
                </c:rich>
              </c:tx>
              <c:showVal val="1"/>
            </c:dLbl>
            <c:dLbl>
              <c:idx val="10"/>
              <c:layout>
                <c:manualLayout>
                  <c:x val="-2.4490716438223159E-3"/>
                  <c:y val="8.0497260018230245E-4"/>
                </c:manualLayout>
              </c:layout>
              <c:tx>
                <c:rich>
                  <a:bodyPr/>
                  <a:lstStyle/>
                  <a:p>
                    <a:r>
                      <a:rPr lang="ru-RU"/>
                      <a:t>97,7*</a:t>
                    </a:r>
                    <a:endParaRPr lang="en-US"/>
                  </a:p>
                </c:rich>
              </c:tx>
              <c:showVal val="1"/>
            </c:dLbl>
            <c:dLbl>
              <c:idx val="11"/>
              <c:layout>
                <c:manualLayout>
                  <c:x val="-1.7006318654612675E-3"/>
                  <c:y val="1.5194544196619773E-2"/>
                </c:manualLayout>
              </c:layout>
              <c:tx>
                <c:rich>
                  <a:bodyPr/>
                  <a:lstStyle/>
                  <a:p>
                    <a:r>
                      <a:rPr lang="ru-RU"/>
                      <a:t>103,1*</a:t>
                    </a:r>
                    <a:endParaRPr lang="en-US"/>
                  </a:p>
                </c:rich>
              </c:tx>
              <c:showVal val="1"/>
            </c:dLbl>
            <c:dLbl>
              <c:idx val="12"/>
              <c:layout>
                <c:manualLayout>
                  <c:x val="-3.8530961407601955E-3"/>
                  <c:y val="4.0659352727352256E-3"/>
                </c:manualLayout>
              </c:layout>
              <c:tx>
                <c:rich>
                  <a:bodyPr/>
                  <a:lstStyle/>
                  <a:p>
                    <a:r>
                      <a:rPr lang="ru-RU"/>
                      <a:t>95,7*</a:t>
                    </a:r>
                    <a:endParaRPr lang="en-US"/>
                  </a:p>
                </c:rich>
              </c:tx>
              <c:showVal val="1"/>
            </c:dLbl>
            <c:dLbl>
              <c:idx val="13"/>
              <c:layout>
                <c:manualLayout>
                  <c:x val="1.9830854476523914E-4"/>
                  <c:y val="1.3840916328973522E-2"/>
                </c:manualLayout>
              </c:layout>
              <c:tx>
                <c:rich>
                  <a:bodyPr/>
                  <a:lstStyle/>
                  <a:p>
                    <a:r>
                      <a:rPr lang="ru-RU"/>
                      <a:t>104,1*</a:t>
                    </a:r>
                    <a:endParaRPr lang="en-US"/>
                  </a:p>
                </c:rich>
              </c:tx>
              <c:showVal val="1"/>
            </c:dLbl>
            <c:dLbl>
              <c:idx val="14"/>
              <c:layout>
                <c:manualLayout>
                  <c:x val="1.1027510450082696E-4"/>
                  <c:y val="1.3896265058917895E-2"/>
                </c:manualLayout>
              </c:layout>
              <c:tx>
                <c:rich>
                  <a:bodyPr/>
                  <a:lstStyle/>
                  <a:p>
                    <a:r>
                      <a:rPr lang="ru-RU"/>
                      <a:t>110,2*</a:t>
                    </a:r>
                    <a:endParaRPr lang="en-US"/>
                  </a:p>
                </c:rich>
              </c:tx>
              <c:showVal val="1"/>
            </c:dLbl>
            <c:dLbl>
              <c:idx val="15"/>
              <c:layout>
                <c:manualLayout>
                  <c:x val="-2.5874987848741211E-3"/>
                  <c:y val="1.4546832273580865E-2"/>
                </c:manualLayout>
              </c:layout>
              <c:tx>
                <c:rich>
                  <a:bodyPr/>
                  <a:lstStyle/>
                  <a:p>
                    <a:r>
                      <a:rPr lang="ru-RU"/>
                      <a:t>107,0*</a:t>
                    </a:r>
                    <a:endParaRPr lang="en-US"/>
                  </a:p>
                </c:rich>
              </c:tx>
              <c:showVal val="1"/>
            </c:dLbl>
            <c:dLbl>
              <c:idx val="16"/>
              <c:layout>
                <c:manualLayout>
                  <c:x val="-2.7904734130455916E-3"/>
                  <c:y val="1.311105986228717E-2"/>
                </c:manualLayout>
              </c:layout>
              <c:tx>
                <c:rich>
                  <a:bodyPr/>
                  <a:lstStyle/>
                  <a:p>
                    <a:r>
                      <a:rPr lang="ru-RU"/>
                      <a:t>105,5*</a:t>
                    </a:r>
                    <a:endParaRPr lang="en-US"/>
                  </a:p>
                </c:rich>
              </c:tx>
              <c:showVal val="1"/>
            </c:dLbl>
            <c:dLbl>
              <c:idx val="17"/>
              <c:layout>
                <c:manualLayout>
                  <c:x val="6.1685622630504517E-4"/>
                  <c:y val="1.3013979947067374E-2"/>
                </c:manualLayout>
              </c:layout>
              <c:tx>
                <c:rich>
                  <a:bodyPr/>
                  <a:lstStyle/>
                  <a:p>
                    <a:r>
                      <a:rPr lang="ru-RU"/>
                      <a:t>108,3*</a:t>
                    </a:r>
                    <a:endParaRPr lang="en-US"/>
                  </a:p>
                </c:rich>
              </c:tx>
              <c:showVal val="1"/>
            </c:dLbl>
            <c:dLbl>
              <c:idx val="18"/>
              <c:layout>
                <c:manualLayout>
                  <c:x val="0"/>
                  <c:y val="-3.3837402123897812E-3"/>
                </c:manualLayout>
              </c:layout>
              <c:tx>
                <c:rich>
                  <a:bodyPr/>
                  <a:lstStyle/>
                  <a:p>
                    <a:r>
                      <a:rPr lang="ru-RU"/>
                      <a:t>94,2*</a:t>
                    </a:r>
                    <a:endParaRPr lang="en-US"/>
                  </a:p>
                </c:rich>
              </c:tx>
              <c:showVal val="1"/>
            </c:dLbl>
            <c:dLbl>
              <c:idx val="19"/>
              <c:layout>
                <c:manualLayout>
                  <c:x val="0"/>
                  <c:y val="-2.5052509171536237E-2"/>
                </c:manualLayout>
              </c:layout>
              <c:showVal val="1"/>
            </c:dLbl>
            <c:txPr>
              <a:bodyPr rot="0" vert="horz"/>
              <a:lstStyle/>
              <a:p>
                <a:pPr>
                  <a:defRPr sz="800" b="1"/>
                </a:pPr>
                <a:endParaRPr lang="ru-RU"/>
              </a:p>
            </c:txPr>
            <c:showVal val="1"/>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Sheet1!$B$3:$T$3</c:f>
              <c:numCache>
                <c:formatCode>#,##0.0</c:formatCode>
                <c:ptCount val="19"/>
                <c:pt idx="0">
                  <c:v>2857.7</c:v>
                </c:pt>
                <c:pt idx="1">
                  <c:v>2989.6</c:v>
                </c:pt>
                <c:pt idx="2">
                  <c:v>3250.5</c:v>
                </c:pt>
                <c:pt idx="3">
                  <c:v>4427.7</c:v>
                </c:pt>
                <c:pt idx="4">
                  <c:v>3724.4</c:v>
                </c:pt>
                <c:pt idx="5">
                  <c:v>2542.4</c:v>
                </c:pt>
                <c:pt idx="6">
                  <c:v>2940.6</c:v>
                </c:pt>
                <c:pt idx="7">
                  <c:v>4653.1000000000004</c:v>
                </c:pt>
                <c:pt idx="8">
                  <c:v>6096.1</c:v>
                </c:pt>
                <c:pt idx="9">
                  <c:v>3828.3</c:v>
                </c:pt>
                <c:pt idx="10">
                  <c:v>3710.2</c:v>
                </c:pt>
                <c:pt idx="11">
                  <c:v>3072.5</c:v>
                </c:pt>
                <c:pt idx="12">
                  <c:v>2699.4</c:v>
                </c:pt>
                <c:pt idx="13">
                  <c:v>2242.6999999999998</c:v>
                </c:pt>
                <c:pt idx="14">
                  <c:v>4043.6</c:v>
                </c:pt>
                <c:pt idx="15">
                  <c:v>3438.1</c:v>
                </c:pt>
                <c:pt idx="16">
                  <c:v>2898.5</c:v>
                </c:pt>
                <c:pt idx="17">
                  <c:v>3185.2</c:v>
                </c:pt>
                <c:pt idx="18">
                  <c:v>3958.2</c:v>
                </c:pt>
              </c:numCache>
            </c:numRef>
          </c:val>
        </c:ser>
        <c:axId val="119254400"/>
        <c:axId val="119326208"/>
      </c:barChart>
      <c:lineChart>
        <c:grouping val="standard"/>
        <c:ser>
          <c:idx val="2"/>
          <c:order val="2"/>
          <c:tx>
            <c:strRef>
              <c:f>Sheet1!$A$4</c:f>
              <c:strCache>
                <c:ptCount val="1"/>
                <c:pt idx="0">
                  <c:v>средняя заработная плата в целом по республике за 2017 год</c:v>
                </c:pt>
              </c:strCache>
            </c:strRef>
          </c:tx>
          <c:spPr>
            <a:ln w="34925">
              <a:prstDash val="solid"/>
            </a:ln>
          </c:spPr>
          <c:marker>
            <c:symbol val="none"/>
          </c:marker>
          <c:trendline>
            <c:trendlineType val="linear"/>
          </c:trendline>
          <c:trendline>
            <c:trendlineType val="linear"/>
          </c:trendline>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Отдых и туризм (физкультура)</c:v>
                </c:pt>
                <c:pt idx="18">
                  <c:v>Прочие виды деятельности</c:v>
                </c:pt>
              </c:strCache>
            </c:strRef>
          </c:cat>
          <c:val>
            <c:numRef>
              <c:f>Sheet1!$B$4:$T$4</c:f>
              <c:numCache>
                <c:formatCode>General</c:formatCode>
                <c:ptCount val="19"/>
                <c:pt idx="0">
                  <c:v>3977</c:v>
                </c:pt>
                <c:pt idx="1">
                  <c:v>3977</c:v>
                </c:pt>
                <c:pt idx="2">
                  <c:v>3977</c:v>
                </c:pt>
                <c:pt idx="3">
                  <c:v>3977</c:v>
                </c:pt>
                <c:pt idx="4">
                  <c:v>3977</c:v>
                </c:pt>
                <c:pt idx="5">
                  <c:v>3977</c:v>
                </c:pt>
                <c:pt idx="6">
                  <c:v>3977</c:v>
                </c:pt>
                <c:pt idx="7">
                  <c:v>3977</c:v>
                </c:pt>
                <c:pt idx="8">
                  <c:v>3977</c:v>
                </c:pt>
                <c:pt idx="9">
                  <c:v>3977</c:v>
                </c:pt>
                <c:pt idx="10">
                  <c:v>3977</c:v>
                </c:pt>
                <c:pt idx="11">
                  <c:v>3977</c:v>
                </c:pt>
                <c:pt idx="12">
                  <c:v>3977</c:v>
                </c:pt>
                <c:pt idx="13">
                  <c:v>3977</c:v>
                </c:pt>
                <c:pt idx="14">
                  <c:v>3977</c:v>
                </c:pt>
                <c:pt idx="15">
                  <c:v>3977</c:v>
                </c:pt>
                <c:pt idx="16">
                  <c:v>3977</c:v>
                </c:pt>
                <c:pt idx="17">
                  <c:v>3977</c:v>
                </c:pt>
                <c:pt idx="18">
                  <c:v>3977</c:v>
                </c:pt>
              </c:numCache>
            </c:numRef>
          </c:val>
        </c:ser>
        <c:marker val="1"/>
        <c:axId val="119254400"/>
        <c:axId val="119326208"/>
      </c:lineChart>
      <c:catAx>
        <c:axId val="119254400"/>
        <c:scaling>
          <c:orientation val="minMax"/>
        </c:scaling>
        <c:axPos val="b"/>
        <c:title>
          <c:tx>
            <c:rich>
              <a:bodyPr/>
              <a:lstStyle/>
              <a:p>
                <a:pPr>
                  <a:defRPr sz="900" b="0" i="1"/>
                </a:pPr>
                <a:r>
                  <a:rPr lang="ru-RU" sz="900" b="0" i="1"/>
                  <a:t>* - темп роста к</a:t>
                </a:r>
              </a:p>
              <a:p>
                <a:pPr>
                  <a:defRPr sz="900" b="0" i="1"/>
                </a:pPr>
                <a:r>
                  <a:rPr lang="ru-RU" sz="900" b="0" i="1" baseline="0"/>
                  <a:t> уровню прошлого года, %</a:t>
                </a:r>
              </a:p>
              <a:p>
                <a:pPr>
                  <a:defRPr sz="900" b="0" i="1"/>
                </a:pPr>
                <a:endParaRPr lang="ru-RU" sz="900" b="0" i="1"/>
              </a:p>
            </c:rich>
          </c:tx>
          <c:layout>
            <c:manualLayout>
              <c:xMode val="edge"/>
              <c:yMode val="edge"/>
              <c:x val="7.1298687664042001E-2"/>
              <c:y val="0.83201858135933848"/>
            </c:manualLayout>
          </c:layout>
        </c:title>
        <c:numFmt formatCode="General" sourceLinked="1"/>
        <c:tickLblPos val="nextTo"/>
        <c:txPr>
          <a:bodyPr rot="-5400000" vert="horz"/>
          <a:lstStyle/>
          <a:p>
            <a:pPr>
              <a:defRPr sz="1000"/>
            </a:pPr>
            <a:endParaRPr lang="ru-RU"/>
          </a:p>
        </c:txPr>
        <c:crossAx val="119326208"/>
        <c:crosses val="autoZero"/>
        <c:auto val="1"/>
        <c:lblAlgn val="ctr"/>
        <c:lblOffset val="200"/>
        <c:tickLblSkip val="1"/>
        <c:tickMarkSkip val="1"/>
      </c:catAx>
      <c:valAx>
        <c:axId val="119326208"/>
        <c:scaling>
          <c:orientation val="minMax"/>
          <c:max val="9000"/>
          <c:min val="1500"/>
        </c:scaling>
        <c:axPos val="l"/>
        <c:numFmt formatCode="General" sourceLinked="0"/>
        <c:tickLblPos val="nextTo"/>
        <c:txPr>
          <a:bodyPr rot="0" vert="horz"/>
          <a:lstStyle/>
          <a:p>
            <a:pPr>
              <a:defRPr sz="1000"/>
            </a:pPr>
            <a:endParaRPr lang="ru-RU"/>
          </a:p>
        </c:txPr>
        <c:crossAx val="119254400"/>
        <c:crosses val="autoZero"/>
        <c:crossBetween val="between"/>
        <c:majorUnit val="500"/>
      </c:valAx>
    </c:plotArea>
    <c:legend>
      <c:legendPos val="r"/>
      <c:legendEntry>
        <c:idx val="3"/>
        <c:delete val="1"/>
      </c:legendEntry>
      <c:legendEntry>
        <c:idx val="4"/>
        <c:delete val="1"/>
      </c:legendEntry>
      <c:layout>
        <c:manualLayout>
          <c:xMode val="edge"/>
          <c:yMode val="edge"/>
          <c:x val="0"/>
          <c:y val="0.9484950359465949"/>
          <c:w val="0.97309161936154276"/>
          <c:h val="3.7546274107040992E-2"/>
        </c:manualLayout>
      </c:layout>
      <c:txPr>
        <a:bodyPr/>
        <a:lstStyle/>
        <a:p>
          <a:pPr>
            <a:defRPr sz="10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7.78193146417447E-2"/>
          <c:y val="3.7111628652052288E-2"/>
          <c:w val="0.92218068535825548"/>
          <c:h val="0.45806555430571178"/>
        </c:manualLayout>
      </c:layout>
      <c:bar3DChart>
        <c:barDir val="col"/>
        <c:grouping val="clustered"/>
        <c:ser>
          <c:idx val="0"/>
          <c:order val="0"/>
          <c:tx>
            <c:strRef>
              <c:f>Лист1!$B$1</c:f>
              <c:strCache>
                <c:ptCount val="1"/>
                <c:pt idx="0">
                  <c:v>2016 год</c:v>
                </c:pt>
              </c:strCache>
            </c:strRef>
          </c:tx>
          <c:spPr>
            <a:solidFill>
              <a:schemeClr val="accent5">
                <a:lumMod val="20000"/>
                <a:lumOff val="80000"/>
              </a:schemeClr>
            </a:solidFill>
            <a:ln>
              <a:noFill/>
            </a:ln>
          </c:spPr>
          <c:dLbls>
            <c:dLbl>
              <c:idx val="1"/>
              <c:layout>
                <c:manualLayout>
                  <c:x val="-8.9635854341737486E-3"/>
                  <c:y val="8.7145055876514024E-3"/>
                </c:manualLayout>
              </c:layout>
              <c:showVal val="1"/>
            </c:dLbl>
            <c:dLbl>
              <c:idx val="3"/>
              <c:layout>
                <c:manualLayout>
                  <c:x val="0"/>
                  <c:y val="3.1900914346491001E-3"/>
                </c:manualLayout>
              </c:layout>
              <c:showVal val="1"/>
            </c:dLbl>
            <c:dLbl>
              <c:idx val="4"/>
              <c:layout>
                <c:manualLayout>
                  <c:x val="0"/>
                  <c:y val="2.9046369203849652E-3"/>
                </c:manualLayout>
              </c:layout>
              <c:showVal val="1"/>
            </c:dLbl>
            <c:dLbl>
              <c:idx val="5"/>
              <c:layout>
                <c:manualLayout>
                  <c:x val="-2.240896358543445E-3"/>
                  <c:y val="0"/>
                </c:manualLayout>
              </c:layout>
              <c:showVal val="1"/>
            </c:dLbl>
            <c:dLbl>
              <c:idx val="6"/>
              <c:layout>
                <c:manualLayout>
                  <c:x val="6.7226890756303861E-3"/>
                  <c:y val="0"/>
                </c:manualLayout>
              </c:layout>
              <c:showVal val="1"/>
            </c:dLbl>
            <c:dLbl>
              <c:idx val="7"/>
              <c:layout>
                <c:manualLayout>
                  <c:x val="-4.4817927170869134E-3"/>
                  <c:y val="7.1583208961624898E-3"/>
                </c:manualLayout>
              </c:layout>
              <c:showVal val="1"/>
            </c:dLbl>
            <c:txPr>
              <a:bodyPr/>
              <a:lstStyle/>
              <a:p>
                <a:pPr>
                  <a:defRPr sz="900">
                    <a:latin typeface="Times New Roman" pitchFamily="18" charset="0"/>
                    <a:cs typeface="Times New Roman" pitchFamily="18" charset="0"/>
                  </a:defRPr>
                </a:pPr>
                <a:endParaRPr lang="ru-RU"/>
              </a:p>
            </c:txPr>
            <c:showVal val="1"/>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Операции с недвижимым имуществом</c:v>
                </c:pt>
                <c:pt idx="7">
                  <c:v>Здравоохранение и социальное обеспечение</c:v>
                </c:pt>
                <c:pt idx="8">
                  <c:v>Культура и искусство</c:v>
                </c:pt>
                <c:pt idx="9">
                  <c:v>Отдых и туризм</c:v>
                </c:pt>
              </c:strCache>
            </c:strRef>
          </c:cat>
          <c:val>
            <c:numRef>
              <c:f>Лист1!$B$2:$B$11</c:f>
              <c:numCache>
                <c:formatCode>#,##0.0</c:formatCode>
                <c:ptCount val="10"/>
                <c:pt idx="0">
                  <c:v>9.1560000000000006</c:v>
                </c:pt>
                <c:pt idx="1">
                  <c:v>67.400000000000006</c:v>
                </c:pt>
                <c:pt idx="2">
                  <c:v>0.70000000000000062</c:v>
                </c:pt>
                <c:pt idx="3">
                  <c:v>2.6</c:v>
                </c:pt>
                <c:pt idx="4">
                  <c:v>13.878</c:v>
                </c:pt>
                <c:pt idx="5">
                  <c:v>17.3</c:v>
                </c:pt>
                <c:pt idx="6">
                  <c:v>132.30000000000001</c:v>
                </c:pt>
                <c:pt idx="7">
                  <c:v>1.173</c:v>
                </c:pt>
                <c:pt idx="8">
                  <c:v>1.9000000000000001</c:v>
                </c:pt>
                <c:pt idx="9">
                  <c:v>0.8</c:v>
                </c:pt>
              </c:numCache>
            </c:numRef>
          </c:val>
        </c:ser>
        <c:ser>
          <c:idx val="1"/>
          <c:order val="1"/>
          <c:tx>
            <c:strRef>
              <c:f>Лист1!$C$1</c:f>
              <c:strCache>
                <c:ptCount val="1"/>
                <c:pt idx="0">
                  <c:v>2017 год</c:v>
                </c:pt>
              </c:strCache>
            </c:strRef>
          </c:tx>
          <c:spPr>
            <a:solidFill>
              <a:sysClr val="window" lastClr="FFFFFF">
                <a:lumMod val="65000"/>
              </a:sysClr>
            </a:solidFill>
            <a:ln>
              <a:noFill/>
            </a:ln>
          </c:spPr>
          <c:dLbls>
            <c:dLbl>
              <c:idx val="0"/>
              <c:layout>
                <c:manualLayout>
                  <c:x val="1.5712682379349044E-2"/>
                  <c:y val="-3.9320927581828478E-7"/>
                </c:manualLayout>
              </c:layout>
              <c:showVal val="1"/>
            </c:dLbl>
            <c:dLbl>
              <c:idx val="1"/>
              <c:layout>
                <c:manualLayout>
                  <c:x val="1.3468013468013481E-2"/>
                  <c:y val="0"/>
                </c:manualLayout>
              </c:layout>
              <c:showVal val="1"/>
            </c:dLbl>
            <c:dLbl>
              <c:idx val="2"/>
              <c:layout>
                <c:manualLayout>
                  <c:x val="1.3467963563378109E-2"/>
                  <c:y val="2.9048656499636887E-3"/>
                </c:manualLayout>
              </c:layout>
              <c:showVal val="1"/>
            </c:dLbl>
            <c:dLbl>
              <c:idx val="3"/>
              <c:layout>
                <c:manualLayout>
                  <c:x val="1.8588686515195706E-2"/>
                  <c:y val="4.1019591652167123E-3"/>
                </c:manualLayout>
              </c:layout>
              <c:showVal val="1"/>
            </c:dLbl>
            <c:dLbl>
              <c:idx val="4"/>
              <c:layout>
                <c:manualLayout>
                  <c:x val="1.8370762478219633E-2"/>
                  <c:y val="1.1331444759206801E-2"/>
                </c:manualLayout>
              </c:layout>
              <c:showVal val="1"/>
            </c:dLbl>
            <c:dLbl>
              <c:idx val="5"/>
              <c:layout>
                <c:manualLayout>
                  <c:x val="1.1230596175478062E-2"/>
                  <c:y val="7.2072152454031443E-3"/>
                </c:manualLayout>
              </c:layout>
              <c:showVal val="1"/>
            </c:dLbl>
            <c:dLbl>
              <c:idx val="6"/>
              <c:layout>
                <c:manualLayout>
                  <c:x val="1.1574074074074075E-2"/>
                  <c:y val="3.968253968253981E-3"/>
                </c:manualLayout>
              </c:layout>
              <c:showVal val="1"/>
            </c:dLbl>
            <c:dLbl>
              <c:idx val="7"/>
              <c:layout>
                <c:manualLayout>
                  <c:x val="7.1662806855025902E-3"/>
                  <c:y val="0"/>
                </c:manualLayout>
              </c:layout>
              <c:showVal val="1"/>
            </c:dLbl>
            <c:dLbl>
              <c:idx val="8"/>
              <c:layout>
                <c:manualLayout>
                  <c:x val="6.7226890756302534E-3"/>
                  <c:y val="-2.904731503156734E-3"/>
                </c:manualLayout>
              </c:layout>
              <c:showVal val="1"/>
            </c:dLbl>
            <c:dLbl>
              <c:idx val="9"/>
              <c:layout>
                <c:manualLayout>
                  <c:x val="1.3445378151260647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Лист1!$A$2:$A$11</c:f>
              <c:strCache>
                <c:ptCount val="10"/>
                <c:pt idx="0">
                  <c:v>Промышленность</c:v>
                </c:pt>
                <c:pt idx="1">
                  <c:v>Сельское хозяйство</c:v>
                </c:pt>
                <c:pt idx="2">
                  <c:v>Транспорт</c:v>
                </c:pt>
                <c:pt idx="3">
                  <c:v>Связь</c:v>
                </c:pt>
                <c:pt idx="4">
                  <c:v>Строительство</c:v>
                </c:pt>
                <c:pt idx="5">
                  <c:v>Торговля и общепит</c:v>
                </c:pt>
                <c:pt idx="6">
                  <c:v>Операции с недвижимым имуществом</c:v>
                </c:pt>
                <c:pt idx="7">
                  <c:v>Здравоохранение и социальное обеспечение</c:v>
                </c:pt>
                <c:pt idx="8">
                  <c:v>Культура и искусство</c:v>
                </c:pt>
                <c:pt idx="9">
                  <c:v>Отдых и туризм</c:v>
                </c:pt>
              </c:strCache>
            </c:strRef>
          </c:cat>
          <c:val>
            <c:numRef>
              <c:f>Лист1!$C$2:$C$11</c:f>
              <c:numCache>
                <c:formatCode>#,##0.0</c:formatCode>
                <c:ptCount val="10"/>
                <c:pt idx="0">
                  <c:v>16.558</c:v>
                </c:pt>
                <c:pt idx="1">
                  <c:v>80.900000000000006</c:v>
                </c:pt>
                <c:pt idx="2">
                  <c:v>0.60000000000000064</c:v>
                </c:pt>
                <c:pt idx="3">
                  <c:v>1.3</c:v>
                </c:pt>
                <c:pt idx="4">
                  <c:v>13.1</c:v>
                </c:pt>
                <c:pt idx="5">
                  <c:v>30.3</c:v>
                </c:pt>
                <c:pt idx="6">
                  <c:v>4</c:v>
                </c:pt>
                <c:pt idx="7">
                  <c:v>5.8</c:v>
                </c:pt>
                <c:pt idx="8">
                  <c:v>4.2</c:v>
                </c:pt>
                <c:pt idx="9">
                  <c:v>2.2999999999999998</c:v>
                </c:pt>
              </c:numCache>
            </c:numRef>
          </c:val>
        </c:ser>
        <c:shape val="cylinder"/>
        <c:axId val="119369728"/>
        <c:axId val="119371264"/>
        <c:axId val="0"/>
      </c:bar3DChart>
      <c:catAx>
        <c:axId val="119369728"/>
        <c:scaling>
          <c:orientation val="minMax"/>
        </c:scaling>
        <c:axPos val="b"/>
        <c:numFmt formatCode="General" sourceLinked="1"/>
        <c:tickLblPos val="low"/>
        <c:txPr>
          <a:bodyPr rot="-5400000" vert="horz"/>
          <a:lstStyle/>
          <a:p>
            <a:pPr>
              <a:defRPr sz="1010" b="1">
                <a:latin typeface="Times New Roman" pitchFamily="18" charset="0"/>
                <a:cs typeface="Times New Roman" pitchFamily="18" charset="0"/>
              </a:defRPr>
            </a:pPr>
            <a:endParaRPr lang="ru-RU"/>
          </a:p>
        </c:txPr>
        <c:crossAx val="119371264"/>
        <c:crosses val="autoZero"/>
        <c:auto val="1"/>
        <c:lblAlgn val="ctr"/>
        <c:lblOffset val="100"/>
      </c:catAx>
      <c:valAx>
        <c:axId val="119371264"/>
        <c:scaling>
          <c:orientation val="minMax"/>
          <c:max val="130"/>
          <c:min val="0"/>
        </c:scaling>
        <c:axPos val="l"/>
        <c:numFmt formatCode="#,##0.0" sourceLinked="1"/>
        <c:tickLblPos val="nextTo"/>
        <c:txPr>
          <a:bodyPr/>
          <a:lstStyle/>
          <a:p>
            <a:pPr>
              <a:defRPr b="1">
                <a:latin typeface="Times New Roman" pitchFamily="18" charset="0"/>
                <a:cs typeface="Times New Roman" pitchFamily="18" charset="0"/>
              </a:defRPr>
            </a:pPr>
            <a:endParaRPr lang="ru-RU"/>
          </a:p>
        </c:txPr>
        <c:crossAx val="119369728"/>
        <c:crosses val="autoZero"/>
        <c:crossBetween val="between"/>
        <c:majorUnit val="20"/>
      </c:valAx>
      <c:spPr>
        <a:noFill/>
        <a:ln w="25400">
          <a:noFill/>
        </a:ln>
      </c:spPr>
    </c:plotArea>
    <c:legend>
      <c:legendPos val="l"/>
      <c:layout>
        <c:manualLayout>
          <c:xMode val="edge"/>
          <c:yMode val="edge"/>
          <c:x val="0.29841538499276465"/>
          <c:y val="0.92978935706691068"/>
          <c:w val="0.28205946859382308"/>
          <c:h val="6.833456016298245E-2"/>
        </c:manualLayout>
      </c:layout>
      <c:txPr>
        <a:bodyPr/>
        <a:lstStyle/>
        <a:p>
          <a:pPr>
            <a:defRPr sz="1000"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perspective val="30"/>
    </c:view3D>
    <c:plotArea>
      <c:layout>
        <c:manualLayout>
          <c:layoutTarget val="inner"/>
          <c:xMode val="edge"/>
          <c:yMode val="edge"/>
          <c:x val="0.27407166123779425"/>
          <c:y val="6.9510268562401334E-2"/>
          <c:w val="0.69552660152009183"/>
          <c:h val="0.65556443635500961"/>
        </c:manualLayout>
      </c:layout>
      <c:bar3DChart>
        <c:barDir val="col"/>
        <c:grouping val="clustered"/>
        <c:ser>
          <c:idx val="0"/>
          <c:order val="0"/>
          <c:tx>
            <c:strRef>
              <c:f>Лист1!$B$1</c:f>
              <c:strCache>
                <c:ptCount val="1"/>
                <c:pt idx="0">
                  <c:v>в текущих ценах</c:v>
                </c:pt>
              </c:strCache>
            </c:strRef>
          </c:tx>
          <c:spPr>
            <a:solidFill>
              <a:schemeClr val="tx1">
                <a:lumMod val="65000"/>
                <a:lumOff val="35000"/>
              </a:schemeClr>
            </a:solidFill>
            <a:ln>
              <a:solidFill>
                <a:schemeClr val="tx1"/>
              </a:solidFill>
            </a:ln>
          </c:spPr>
          <c:dLbls>
            <c:dLbl>
              <c:idx val="0"/>
              <c:layout>
                <c:manualLayout>
                  <c:x val="7.3742166593997087E-3"/>
                  <c:y val="1.8957345971563982E-2"/>
                </c:manualLayout>
              </c:layout>
              <c:tx>
                <c:rich>
                  <a:bodyPr/>
                  <a:lstStyle/>
                  <a:p>
                    <a:r>
                      <a:rPr lang="ru-RU">
                        <a:solidFill>
                          <a:sysClr val="windowText" lastClr="000000"/>
                        </a:solidFill>
                      </a:rPr>
                      <a:t>+0,3*</a:t>
                    </a:r>
                    <a:endParaRPr lang="en-US">
                      <a:solidFill>
                        <a:sysClr val="windowText" lastClr="000000"/>
                      </a:solidFill>
                    </a:endParaRPr>
                  </a:p>
                </c:rich>
              </c:tx>
              <c:showVal val="1"/>
            </c:dLbl>
            <c:dLbl>
              <c:idx val="1"/>
              <c:layout>
                <c:manualLayout>
                  <c:x val="-2.3148409380423542E-3"/>
                  <c:y val="5.2991006455948826E-4"/>
                </c:manualLayout>
              </c:layout>
              <c:tx>
                <c:rich>
                  <a:bodyPr/>
                  <a:lstStyle/>
                  <a:p>
                    <a:pPr>
                      <a:defRPr b="1">
                        <a:solidFill>
                          <a:sysClr val="windowText" lastClr="000000"/>
                        </a:solidFill>
                      </a:defRPr>
                    </a:pPr>
                    <a:r>
                      <a:rPr lang="ru-RU">
                        <a:solidFill>
                          <a:sysClr val="windowText" lastClr="000000"/>
                        </a:solidFill>
                      </a:rPr>
                      <a:t>+24,9*</a:t>
                    </a:r>
                    <a:endParaRPr lang="en-US">
                      <a:solidFill>
                        <a:sysClr val="windowText" lastClr="000000"/>
                      </a:solidFill>
                    </a:endParaRPr>
                  </a:p>
                </c:rich>
              </c:tx>
              <c:spPr/>
              <c:showVal val="1"/>
            </c:dLbl>
            <c:txPr>
              <a:bodyPr/>
              <a:lstStyle/>
              <a:p>
                <a:pPr>
                  <a:defRPr b="1">
                    <a:solidFill>
                      <a:srgbClr val="FF0000"/>
                    </a:solidFill>
                  </a:defRPr>
                </a:pPr>
                <a:endParaRPr lang="ru-RU"/>
              </a:p>
            </c:txPr>
            <c:showVal val="1"/>
          </c:dLbls>
          <c:cat>
            <c:strRef>
              <c:f>Лист1!$A$2:$A$3</c:f>
              <c:strCache>
                <c:ptCount val="2"/>
                <c:pt idx="0">
                  <c:v>январь-декабрь 2016 года</c:v>
                </c:pt>
                <c:pt idx="1">
                  <c:v>январь-декабрь 2017 года</c:v>
                </c:pt>
              </c:strCache>
            </c:strRef>
          </c:cat>
          <c:val>
            <c:numRef>
              <c:f>Лист1!$B$2:$B$3</c:f>
              <c:numCache>
                <c:formatCode>General</c:formatCode>
                <c:ptCount val="2"/>
                <c:pt idx="0" formatCode="0.0">
                  <c:v>100.3</c:v>
                </c:pt>
                <c:pt idx="1">
                  <c:v>121.2</c:v>
                </c:pt>
              </c:numCache>
            </c:numRef>
          </c:val>
        </c:ser>
        <c:ser>
          <c:idx val="1"/>
          <c:order val="1"/>
          <c:tx>
            <c:strRef>
              <c:f>Лист1!$C$1</c:f>
              <c:strCache>
                <c:ptCount val="1"/>
                <c:pt idx="0">
                  <c:v>в сопоставимых ценах</c:v>
                </c:pt>
              </c:strCache>
            </c:strRef>
          </c:tx>
          <c:spPr>
            <a:solidFill>
              <a:schemeClr val="bg1">
                <a:lumMod val="85000"/>
              </a:schemeClr>
            </a:solidFill>
            <a:ln>
              <a:solidFill>
                <a:schemeClr val="tx1"/>
              </a:solidFill>
            </a:ln>
          </c:spPr>
          <c:dLbls>
            <c:dLbl>
              <c:idx val="0"/>
              <c:layout>
                <c:manualLayout>
                  <c:x val="3.3176878948764062E-3"/>
                  <c:y val="1.9690761403639803E-2"/>
                </c:manualLayout>
              </c:layout>
              <c:tx>
                <c:rich>
                  <a:bodyPr/>
                  <a:lstStyle/>
                  <a:p>
                    <a:r>
                      <a:rPr lang="ru-RU"/>
                      <a:t>-0,6*</a:t>
                    </a:r>
                    <a:endParaRPr lang="en-US"/>
                  </a:p>
                </c:rich>
              </c:tx>
              <c:showVal val="1"/>
            </c:dLbl>
            <c:dLbl>
              <c:idx val="1"/>
              <c:layout>
                <c:manualLayout>
                  <c:x val="5.202663999247765E-3"/>
                  <c:y val="5.4349367466507495E-3"/>
                </c:manualLayout>
              </c:layout>
              <c:tx>
                <c:rich>
                  <a:bodyPr/>
                  <a:lstStyle/>
                  <a:p>
                    <a:r>
                      <a:rPr lang="ru-RU"/>
                      <a:t>+13,4*</a:t>
                    </a:r>
                    <a:endParaRPr lang="en-US"/>
                  </a:p>
                </c:rich>
              </c:tx>
              <c:showVal val="1"/>
            </c:dLbl>
            <c:txPr>
              <a:bodyPr/>
              <a:lstStyle/>
              <a:p>
                <a:pPr>
                  <a:defRPr b="1"/>
                </a:pPr>
                <a:endParaRPr lang="ru-RU"/>
              </a:p>
            </c:txPr>
            <c:showVal val="1"/>
          </c:dLbls>
          <c:cat>
            <c:strRef>
              <c:f>Лист1!$A$2:$A$3</c:f>
              <c:strCache>
                <c:ptCount val="2"/>
                <c:pt idx="0">
                  <c:v>январь-декабрь 2016 года</c:v>
                </c:pt>
                <c:pt idx="1">
                  <c:v>январь-декабрь 2017 года</c:v>
                </c:pt>
              </c:strCache>
            </c:strRef>
          </c:cat>
          <c:val>
            <c:numRef>
              <c:f>Лист1!$C$2:$C$3</c:f>
              <c:numCache>
                <c:formatCode>0.0</c:formatCode>
                <c:ptCount val="2"/>
                <c:pt idx="0">
                  <c:v>99.4</c:v>
                </c:pt>
                <c:pt idx="1">
                  <c:v>110</c:v>
                </c:pt>
              </c:numCache>
            </c:numRef>
          </c:val>
        </c:ser>
        <c:dLbls>
          <c:showVal val="1"/>
        </c:dLbls>
        <c:shape val="cylinder"/>
        <c:axId val="119500160"/>
        <c:axId val="119501952"/>
        <c:axId val="0"/>
      </c:bar3DChart>
      <c:catAx>
        <c:axId val="119500160"/>
        <c:scaling>
          <c:orientation val="minMax"/>
        </c:scaling>
        <c:axPos val="b"/>
        <c:tickLblPos val="nextTo"/>
        <c:txPr>
          <a:bodyPr/>
          <a:lstStyle/>
          <a:p>
            <a:pPr>
              <a:defRPr sz="1000" b="1"/>
            </a:pPr>
            <a:endParaRPr lang="ru-RU"/>
          </a:p>
        </c:txPr>
        <c:crossAx val="119501952"/>
        <c:crosses val="autoZero"/>
        <c:auto val="1"/>
        <c:lblAlgn val="ctr"/>
        <c:lblOffset val="100"/>
      </c:catAx>
      <c:valAx>
        <c:axId val="119501952"/>
        <c:scaling>
          <c:orientation val="minMax"/>
          <c:max val="120"/>
        </c:scaling>
        <c:axPos val="l"/>
        <c:title>
          <c:tx>
            <c:rich>
              <a:bodyPr rot="0" vert="horz"/>
              <a:lstStyle/>
              <a:p>
                <a:pPr>
                  <a:defRPr b="0"/>
                </a:pPr>
                <a:r>
                  <a:rPr lang="ru-RU" b="0"/>
                  <a:t>*-темп прироста (спада),%</a:t>
                </a:r>
              </a:p>
            </c:rich>
          </c:tx>
          <c:layout>
            <c:manualLayout>
              <c:xMode val="edge"/>
              <c:yMode val="edge"/>
              <c:x val="2.6760692433837278E-2"/>
              <c:y val="0.26542322834645682"/>
            </c:manualLayout>
          </c:layout>
        </c:title>
        <c:numFmt formatCode="0.0" sourceLinked="1"/>
        <c:tickLblPos val="nextTo"/>
        <c:txPr>
          <a:bodyPr/>
          <a:lstStyle/>
          <a:p>
            <a:pPr>
              <a:defRPr b="1"/>
            </a:pPr>
            <a:endParaRPr lang="ru-RU"/>
          </a:p>
        </c:txPr>
        <c:crossAx val="119500160"/>
        <c:crosses val="autoZero"/>
        <c:crossBetween val="between"/>
      </c:valAx>
    </c:plotArea>
    <c:legend>
      <c:legendPos val="b"/>
      <c:layout>
        <c:manualLayout>
          <c:xMode val="edge"/>
          <c:yMode val="edge"/>
          <c:x val="0.20475467439534228"/>
          <c:y val="0.90893522731769083"/>
          <c:w val="0.79524532560465777"/>
          <c:h val="8.474551233859702E-2"/>
        </c:manualLayout>
      </c:layout>
      <c:txPr>
        <a:bodyPr/>
        <a:lstStyle/>
        <a:p>
          <a:pPr>
            <a:defRPr b="1"/>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sz="1200"/>
            </a:pPr>
            <a:r>
              <a:rPr lang="ru-RU" sz="1200"/>
              <a:t>Товарная структура розничного товарооборота, %</a:t>
            </a:r>
          </a:p>
        </c:rich>
      </c:tx>
      <c:layout>
        <c:manualLayout>
          <c:xMode val="edge"/>
          <c:yMode val="edge"/>
          <c:x val="0.1919772670231456"/>
          <c:y val="0"/>
        </c:manualLayout>
      </c:layout>
    </c:title>
    <c:plotArea>
      <c:layout>
        <c:manualLayout>
          <c:layoutTarget val="inner"/>
          <c:xMode val="edge"/>
          <c:yMode val="edge"/>
          <c:x val="6.1571648690292004E-2"/>
          <c:y val="0.26060606060606056"/>
          <c:w val="0.91582948125321062"/>
          <c:h val="0.3814729976934787"/>
        </c:manualLayout>
      </c:layout>
      <c:barChart>
        <c:barDir val="col"/>
        <c:grouping val="clustered"/>
        <c:ser>
          <c:idx val="0"/>
          <c:order val="0"/>
          <c:tx>
            <c:strRef>
              <c:f>Лист1!$B$1</c:f>
              <c:strCache>
                <c:ptCount val="1"/>
                <c:pt idx="0">
                  <c:v>Продовольственные товары</c:v>
                </c:pt>
              </c:strCache>
            </c:strRef>
          </c:tx>
          <c:spPr>
            <a:solidFill>
              <a:schemeClr val="accent5">
                <a:lumMod val="50000"/>
              </a:schemeClr>
            </a:solidFill>
            <a:ln>
              <a:solidFill>
                <a:schemeClr val="bg2">
                  <a:lumMod val="25000"/>
                </a:schemeClr>
              </a:solidFill>
            </a:ln>
          </c:spPr>
          <c:dLbls>
            <c:dLbl>
              <c:idx val="0"/>
              <c:layout>
                <c:manualLayout>
                  <c:x val="4.27578834847675E-3"/>
                  <c:y val="2.6157755293855948E-2"/>
                </c:manualLayout>
              </c:layout>
              <c:tx>
                <c:rich>
                  <a:bodyPr/>
                  <a:lstStyle/>
                  <a:p>
                    <a:r>
                      <a:rPr lang="ru-RU"/>
                      <a:t>45,7</a:t>
                    </a:r>
                    <a:endParaRPr lang="en-US"/>
                  </a:p>
                </c:rich>
              </c:tx>
              <c:showVal val="1"/>
            </c:dLbl>
            <c:dLbl>
              <c:idx val="1"/>
              <c:layout>
                <c:manualLayout>
                  <c:x val="0"/>
                  <c:y val="3.4877007058476635E-2"/>
                </c:manualLayout>
              </c:layout>
              <c:tx>
                <c:rich>
                  <a:bodyPr/>
                  <a:lstStyle/>
                  <a:p>
                    <a:r>
                      <a:rPr lang="ru-RU"/>
                      <a:t>44,4</a:t>
                    </a:r>
                    <a:endParaRPr lang="en-US"/>
                  </a:p>
                </c:rich>
              </c:tx>
              <c:showVal val="1"/>
            </c:dLbl>
            <c:txPr>
              <a:bodyPr/>
              <a:lstStyle/>
              <a:p>
                <a:pPr>
                  <a:defRPr b="1"/>
                </a:pPr>
                <a:endParaRPr lang="ru-RU"/>
              </a:p>
            </c:txPr>
            <c:showVal val="1"/>
          </c:dLbls>
          <c:cat>
            <c:strRef>
              <c:f>Лист1!$A$2:$A$3</c:f>
              <c:strCache>
                <c:ptCount val="2"/>
                <c:pt idx="0">
                  <c:v>январь-декабрь 2016 года</c:v>
                </c:pt>
                <c:pt idx="1">
                  <c:v>январь-декабрь 2017 года</c:v>
                </c:pt>
              </c:strCache>
            </c:strRef>
          </c:cat>
          <c:val>
            <c:numRef>
              <c:f>Лист1!$B$2:$B$3</c:f>
              <c:numCache>
                <c:formatCode>0.0</c:formatCode>
                <c:ptCount val="2"/>
                <c:pt idx="0" formatCode="General">
                  <c:v>46.1</c:v>
                </c:pt>
                <c:pt idx="1">
                  <c:v>44.9</c:v>
                </c:pt>
              </c:numCache>
            </c:numRef>
          </c:val>
        </c:ser>
        <c:ser>
          <c:idx val="1"/>
          <c:order val="1"/>
          <c:tx>
            <c:strRef>
              <c:f>Лист1!$C$1</c:f>
              <c:strCache>
                <c:ptCount val="1"/>
                <c:pt idx="0">
                  <c:v>Непродовольственные товары</c:v>
                </c:pt>
              </c:strCache>
            </c:strRef>
          </c:tx>
          <c:spPr>
            <a:solidFill>
              <a:schemeClr val="accent5">
                <a:lumMod val="40000"/>
                <a:lumOff val="60000"/>
              </a:schemeClr>
            </a:solidFill>
            <a:ln>
              <a:solidFill>
                <a:schemeClr val="bg2">
                  <a:lumMod val="25000"/>
                </a:schemeClr>
              </a:solidFill>
            </a:ln>
          </c:spPr>
          <c:dLbls>
            <c:dLbl>
              <c:idx val="0"/>
              <c:layout>
                <c:manualLayout>
                  <c:x val="0"/>
                  <c:y val="3.4877007058476635E-2"/>
                </c:manualLayout>
              </c:layout>
              <c:tx>
                <c:rich>
                  <a:bodyPr/>
                  <a:lstStyle/>
                  <a:p>
                    <a:r>
                      <a:rPr lang="ru-RU"/>
                      <a:t>54,3</a:t>
                    </a:r>
                    <a:endParaRPr lang="en-US"/>
                  </a:p>
                </c:rich>
              </c:tx>
              <c:showVal val="1"/>
            </c:dLbl>
            <c:dLbl>
              <c:idx val="1"/>
              <c:layout>
                <c:manualLayout>
                  <c:x val="-2.1425411711176652E-3"/>
                  <c:y val="3.4877136420939779E-2"/>
                </c:manualLayout>
              </c:layout>
              <c:tx>
                <c:rich>
                  <a:bodyPr/>
                  <a:lstStyle/>
                  <a:p>
                    <a:r>
                      <a:rPr lang="ru-RU"/>
                      <a:t>55,6</a:t>
                    </a:r>
                    <a:endParaRPr lang="en-US"/>
                  </a:p>
                </c:rich>
              </c:tx>
              <c:showVal val="1"/>
            </c:dLbl>
            <c:txPr>
              <a:bodyPr/>
              <a:lstStyle/>
              <a:p>
                <a:pPr>
                  <a:defRPr b="1"/>
                </a:pPr>
                <a:endParaRPr lang="ru-RU"/>
              </a:p>
            </c:txPr>
            <c:showVal val="1"/>
          </c:dLbls>
          <c:cat>
            <c:strRef>
              <c:f>Лист1!$A$2:$A$3</c:f>
              <c:strCache>
                <c:ptCount val="2"/>
                <c:pt idx="0">
                  <c:v>январь-декабрь 2016 года</c:v>
                </c:pt>
                <c:pt idx="1">
                  <c:v>январь-декабрь 2017 года</c:v>
                </c:pt>
              </c:strCache>
            </c:strRef>
          </c:cat>
          <c:val>
            <c:numRef>
              <c:f>Лист1!$C$2:$C$3</c:f>
              <c:numCache>
                <c:formatCode>0.0</c:formatCode>
                <c:ptCount val="2"/>
                <c:pt idx="0" formatCode="General">
                  <c:v>53.9</c:v>
                </c:pt>
                <c:pt idx="1">
                  <c:v>55.2</c:v>
                </c:pt>
              </c:numCache>
            </c:numRef>
          </c:val>
        </c:ser>
        <c:axId val="120727808"/>
        <c:axId val="120737792"/>
      </c:barChart>
      <c:catAx>
        <c:axId val="120727808"/>
        <c:scaling>
          <c:orientation val="minMax"/>
        </c:scaling>
        <c:axPos val="b"/>
        <c:tickLblPos val="nextTo"/>
        <c:txPr>
          <a:bodyPr/>
          <a:lstStyle/>
          <a:p>
            <a:pPr>
              <a:defRPr b="1"/>
            </a:pPr>
            <a:endParaRPr lang="ru-RU"/>
          </a:p>
        </c:txPr>
        <c:crossAx val="120737792"/>
        <c:crosses val="autoZero"/>
        <c:auto val="1"/>
        <c:lblAlgn val="ctr"/>
        <c:lblOffset val="100"/>
      </c:catAx>
      <c:valAx>
        <c:axId val="120737792"/>
        <c:scaling>
          <c:orientation val="minMax"/>
          <c:max val="60"/>
          <c:min val="0"/>
        </c:scaling>
        <c:axPos val="l"/>
        <c:numFmt formatCode="General" sourceLinked="1"/>
        <c:tickLblPos val="nextTo"/>
        <c:txPr>
          <a:bodyPr/>
          <a:lstStyle/>
          <a:p>
            <a:pPr>
              <a:defRPr b="1"/>
            </a:pPr>
            <a:endParaRPr lang="ru-RU"/>
          </a:p>
        </c:txPr>
        <c:crossAx val="120727808"/>
        <c:crosses val="autoZero"/>
        <c:crossBetween val="between"/>
        <c:majorUnit val="20"/>
      </c:valAx>
    </c:plotArea>
    <c:legend>
      <c:legendPos val="b"/>
      <c:layout>
        <c:manualLayout>
          <c:xMode val="edge"/>
          <c:yMode val="edge"/>
          <c:x val="0.1268201028030202"/>
          <c:y val="0.89273482546965099"/>
          <c:w val="0.74635970341632762"/>
          <c:h val="0.10548370430074193"/>
        </c:manualLayout>
      </c:layout>
      <c:txPr>
        <a:bodyPr/>
        <a:lstStyle/>
        <a:p>
          <a:pPr>
            <a:defRPr b="1"/>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30"/>
  <c:chart>
    <c:view3D>
      <c:rotX val="0"/>
      <c:rotY val="0"/>
      <c:perspective val="30"/>
    </c:view3D>
    <c:floor>
      <c:spPr>
        <a:effectLst/>
      </c:spPr>
    </c:floor>
    <c:plotArea>
      <c:layout>
        <c:manualLayout>
          <c:layoutTarget val="inner"/>
          <c:xMode val="edge"/>
          <c:yMode val="edge"/>
          <c:x val="0.30020184096706232"/>
          <c:y val="4.2124503667810752E-2"/>
          <c:w val="0.65161879944863565"/>
          <c:h val="0.76511768461374763"/>
        </c:manualLayout>
      </c:layout>
      <c:bar3DChart>
        <c:barDir val="col"/>
        <c:grouping val="clustered"/>
        <c:ser>
          <c:idx val="0"/>
          <c:order val="0"/>
          <c:tx>
            <c:strRef>
              <c:f>Лист1!$B$1</c:f>
              <c:strCache>
                <c:ptCount val="1"/>
                <c:pt idx="0">
                  <c:v>в текущих ценах</c:v>
                </c:pt>
              </c:strCache>
            </c:strRef>
          </c:tx>
          <c:spPr>
            <a:solidFill>
              <a:schemeClr val="accent1">
                <a:lumMod val="75000"/>
              </a:schemeClr>
            </a:solidFill>
            <a:ln>
              <a:solidFill>
                <a:schemeClr val="tx1">
                  <a:lumMod val="85000"/>
                  <a:lumOff val="15000"/>
                </a:schemeClr>
              </a:solidFill>
            </a:ln>
          </c:spPr>
          <c:dLbls>
            <c:dLbl>
              <c:idx val="0"/>
              <c:layout>
                <c:manualLayout>
                  <c:x val="6.2598214774195514E-3"/>
                  <c:y val="3.5410489889881075E-2"/>
                </c:manualLayout>
              </c:layout>
              <c:tx>
                <c:rich>
                  <a:bodyPr/>
                  <a:lstStyle/>
                  <a:p>
                    <a:r>
                      <a:rPr lang="ru-RU"/>
                      <a:t>+1,5*</a:t>
                    </a:r>
                    <a:endParaRPr lang="en-US"/>
                  </a:p>
                </c:rich>
              </c:tx>
              <c:showVal val="1"/>
            </c:dLbl>
            <c:dLbl>
              <c:idx val="1"/>
              <c:layout>
                <c:manualLayout>
                  <c:x val="-2.8859887970978612E-3"/>
                  <c:y val="5.2405460490623113E-2"/>
                </c:manualLayout>
              </c:layout>
              <c:tx>
                <c:rich>
                  <a:bodyPr/>
                  <a:lstStyle/>
                  <a:p>
                    <a:r>
                      <a:rPr lang="ru-RU"/>
                      <a:t>0,0*</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январь-декабрь 2016 года</c:v>
                </c:pt>
                <c:pt idx="1">
                  <c:v>январь-декабрь 2017 года</c:v>
                </c:pt>
              </c:strCache>
            </c:strRef>
          </c:cat>
          <c:val>
            <c:numRef>
              <c:f>Лист1!$B$2:$B$3</c:f>
              <c:numCache>
                <c:formatCode>0.0</c:formatCode>
                <c:ptCount val="2"/>
                <c:pt idx="0">
                  <c:v>101.5</c:v>
                </c:pt>
                <c:pt idx="1">
                  <c:v>100.6</c:v>
                </c:pt>
              </c:numCache>
            </c:numRef>
          </c:val>
        </c:ser>
        <c:ser>
          <c:idx val="1"/>
          <c:order val="1"/>
          <c:tx>
            <c:strRef>
              <c:f>Лист1!$C$1</c:f>
              <c:strCache>
                <c:ptCount val="1"/>
                <c:pt idx="0">
                  <c:v>в сопоставимых ценах</c:v>
                </c:pt>
              </c:strCache>
            </c:strRef>
          </c:tx>
          <c:spPr>
            <a:solidFill>
              <a:schemeClr val="accent1">
                <a:lumMod val="40000"/>
                <a:lumOff val="60000"/>
              </a:schemeClr>
            </a:solidFill>
            <a:ln>
              <a:solidFill>
                <a:schemeClr val="bg2">
                  <a:lumMod val="25000"/>
                </a:schemeClr>
              </a:solidFill>
            </a:ln>
          </c:spPr>
          <c:dLbls>
            <c:dLbl>
              <c:idx val="0"/>
              <c:layout>
                <c:manualLayout>
                  <c:x val="1.0824646384728366E-2"/>
                  <c:y val="3.8280913209871252E-2"/>
                </c:manualLayout>
              </c:layout>
              <c:tx>
                <c:rich>
                  <a:bodyPr/>
                  <a:lstStyle/>
                  <a:p>
                    <a:r>
                      <a:rPr lang="ru-RU"/>
                      <a:t>+1,0*</a:t>
                    </a:r>
                    <a:endParaRPr lang="en-US"/>
                  </a:p>
                </c:rich>
              </c:tx>
              <c:showVal val="1"/>
            </c:dLbl>
            <c:dLbl>
              <c:idx val="1"/>
              <c:layout>
                <c:manualLayout>
                  <c:x val="-8.2546149393018728E-3"/>
                  <c:y val="2.2725727565992601E-2"/>
                </c:manualLayout>
              </c:layout>
              <c:tx>
                <c:rich>
                  <a:bodyPr/>
                  <a:lstStyle/>
                  <a:p>
                    <a:r>
                      <a:rPr lang="ru-RU"/>
                      <a:t>-1,0*</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январь-декабрь 2016 года</c:v>
                </c:pt>
                <c:pt idx="1">
                  <c:v>январь-декабрь 2017 года</c:v>
                </c:pt>
              </c:strCache>
            </c:strRef>
          </c:cat>
          <c:val>
            <c:numRef>
              <c:f>Лист1!$C$2:$C$3</c:f>
              <c:numCache>
                <c:formatCode>0.0</c:formatCode>
                <c:ptCount val="2"/>
                <c:pt idx="0">
                  <c:v>101</c:v>
                </c:pt>
                <c:pt idx="1">
                  <c:v>99.6</c:v>
                </c:pt>
              </c:numCache>
            </c:numRef>
          </c:val>
        </c:ser>
        <c:dLbls>
          <c:showVal val="1"/>
        </c:dLbls>
        <c:shape val="cylinder"/>
        <c:axId val="120772096"/>
        <c:axId val="120773632"/>
        <c:axId val="0"/>
      </c:bar3DChart>
      <c:catAx>
        <c:axId val="120772096"/>
        <c:scaling>
          <c:orientation val="minMax"/>
        </c:scaling>
        <c:axPos val="b"/>
        <c:tickLblPos val="nextTo"/>
        <c:spPr>
          <a:noFill/>
        </c:spPr>
        <c:txPr>
          <a:bodyPr/>
          <a:lstStyle/>
          <a:p>
            <a:pPr>
              <a:defRPr b="1">
                <a:latin typeface="Times New Roman" pitchFamily="18" charset="0"/>
                <a:cs typeface="Times New Roman" pitchFamily="18" charset="0"/>
              </a:defRPr>
            </a:pPr>
            <a:endParaRPr lang="ru-RU"/>
          </a:p>
        </c:txPr>
        <c:crossAx val="120773632"/>
        <c:crosses val="autoZero"/>
        <c:auto val="1"/>
        <c:lblAlgn val="ctr"/>
        <c:lblOffset val="100"/>
      </c:catAx>
      <c:valAx>
        <c:axId val="120773632"/>
        <c:scaling>
          <c:orientation val="minMax"/>
        </c:scaling>
        <c:axPos val="l"/>
        <c:title>
          <c:tx>
            <c:rich>
              <a:bodyPr rot="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*-темпы роста (спада),%</a:t>
                </a:r>
              </a:p>
            </c:rich>
          </c:tx>
          <c:layout>
            <c:manualLayout>
              <c:xMode val="edge"/>
              <c:yMode val="edge"/>
              <c:x val="3.7698986183648482E-2"/>
              <c:y val="0.11353661873346912"/>
            </c:manualLayout>
          </c:layout>
        </c:title>
        <c:numFmt formatCode="0.0" sourceLinked="1"/>
        <c:tickLblPos val="nextTo"/>
        <c:txPr>
          <a:bodyPr/>
          <a:lstStyle/>
          <a:p>
            <a:pPr>
              <a:defRPr b="1">
                <a:latin typeface="Times New Roman" pitchFamily="18" charset="0"/>
                <a:cs typeface="Times New Roman" pitchFamily="18" charset="0"/>
              </a:defRPr>
            </a:pPr>
            <a:endParaRPr lang="ru-RU"/>
          </a:p>
        </c:txPr>
        <c:crossAx val="120772096"/>
        <c:crosses val="autoZero"/>
        <c:crossBetween val="between"/>
        <c:majorUnit val="1"/>
      </c:valAx>
    </c:plotArea>
    <c:legend>
      <c:legendPos val="l"/>
      <c:layout>
        <c:manualLayout>
          <c:xMode val="edge"/>
          <c:yMode val="edge"/>
          <c:x val="1.2827365045430406E-2"/>
          <c:y val="0.7403862226718938"/>
          <c:w val="0.28788344268297578"/>
          <c:h val="0.20747225032625141"/>
        </c:manualLayout>
      </c:layout>
      <c:txPr>
        <a:bodyPr/>
        <a:lstStyle/>
        <a:p>
          <a:pPr>
            <a:defRPr b="0">
              <a:latin typeface="Times New Roman" pitchFamily="18" charset="0"/>
              <a:cs typeface="Times New Roman" pitchFamily="18" charset="0"/>
            </a:defRPr>
          </a:pPr>
          <a:endParaRPr lang="ru-RU"/>
        </a:p>
      </c:txPr>
    </c:legend>
    <c:plotVisOnly val="1"/>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январь-декабрь 2016 года</a:t>
            </a:r>
          </a:p>
        </c:rich>
      </c:tx>
      <c:layout>
        <c:manualLayout>
          <c:xMode val="edge"/>
          <c:yMode val="edge"/>
          <c:x val="0.19283958622819206"/>
          <c:y val="2.777777777777838E-2"/>
        </c:manualLayout>
      </c:layout>
    </c:title>
    <c:view3D>
      <c:rotX val="30"/>
      <c:perspective val="30"/>
    </c:view3D>
    <c:plotArea>
      <c:layout>
        <c:manualLayout>
          <c:layoutTarget val="inner"/>
          <c:xMode val="edge"/>
          <c:yMode val="edge"/>
          <c:x val="0"/>
          <c:y val="0.22266477107028287"/>
          <c:w val="0.78514101767814737"/>
          <c:h val="0.67021799358414313"/>
        </c:manualLayout>
      </c:layout>
      <c:pie3DChart>
        <c:varyColors val="1"/>
        <c:ser>
          <c:idx val="0"/>
          <c:order val="0"/>
          <c:tx>
            <c:strRef>
              <c:f>Лист1!$B$1</c:f>
              <c:strCache>
                <c:ptCount val="1"/>
                <c:pt idx="0">
                  <c:v>январь-ноябрь 2016 года</c:v>
                </c:pt>
              </c:strCache>
            </c:strRef>
          </c:tx>
          <c:spPr>
            <a:solidFill>
              <a:srgbClr val="7030A0"/>
            </a:solidFill>
            <a:ln>
              <a:solidFill>
                <a:srgbClr val="EEECE1">
                  <a:lumMod val="50000"/>
                </a:srgbClr>
              </a:solidFill>
            </a:ln>
          </c:spPr>
          <c:dPt>
            <c:idx val="0"/>
            <c:explosion val="11"/>
            <c:spPr>
              <a:solidFill>
                <a:sysClr val="window" lastClr="FFFFFF">
                  <a:lumMod val="85000"/>
                </a:sysClr>
              </a:solidFill>
              <a:ln>
                <a:solidFill>
                  <a:sysClr val="windowText" lastClr="000000"/>
                </a:solidFill>
              </a:ln>
            </c:spPr>
          </c:dPt>
          <c:dPt>
            <c:idx val="1"/>
            <c:spPr>
              <a:blipFill>
                <a:blip xmlns:r="http://schemas.openxmlformats.org/officeDocument/2006/relationships" r:embed="rId2"/>
                <a:tile tx="0" ty="0" sx="100000" sy="100000" flip="none" algn="tl"/>
              </a:blipFill>
              <a:ln>
                <a:solidFill>
                  <a:sysClr val="windowText" lastClr="000000"/>
                </a:solidFill>
              </a:ln>
            </c:spPr>
          </c:dPt>
          <c:dLbls>
            <c:dLbl>
              <c:idx val="0"/>
              <c:layout>
                <c:manualLayout>
                  <c:x val="1.3423894532267626E-2"/>
                  <c:y val="0.2325896762904637"/>
                </c:manualLayout>
              </c:layout>
              <c:tx>
                <c:rich>
                  <a:bodyPr/>
                  <a:lstStyle/>
                  <a:p>
                    <a:r>
                      <a:rPr lang="en-US"/>
                      <a:t>5</a:t>
                    </a:r>
                    <a:r>
                      <a:rPr lang="ru-RU"/>
                      <a:t>4</a:t>
                    </a:r>
                    <a:r>
                      <a:rPr lang="en-US"/>
                      <a:t>,</a:t>
                    </a:r>
                    <a:r>
                      <a:rPr lang="ru-RU"/>
                      <a:t>6</a:t>
                    </a:r>
                    <a:endParaRPr lang="en-US"/>
                  </a:p>
                </c:rich>
              </c:tx>
              <c:dLblPos val="bestFit"/>
              <c:showVal val="1"/>
            </c:dLbl>
            <c:dLbl>
              <c:idx val="1"/>
              <c:layout>
                <c:manualLayout>
                  <c:x val="-3.9455362985793219E-2"/>
                  <c:y val="-0.17781568970545394"/>
                </c:manualLayout>
              </c:layout>
              <c:tx>
                <c:rich>
                  <a:bodyPr/>
                  <a:lstStyle/>
                  <a:p>
                    <a:r>
                      <a:rPr lang="en-US">
                        <a:solidFill>
                          <a:sysClr val="windowText" lastClr="000000"/>
                        </a:solidFill>
                      </a:rPr>
                      <a:t>4</a:t>
                    </a:r>
                    <a:r>
                      <a:rPr lang="ru-RU">
                        <a:solidFill>
                          <a:sysClr val="windowText" lastClr="000000"/>
                        </a:solidFill>
                      </a:rPr>
                      <a:t>5,4</a:t>
                    </a:r>
                    <a:endParaRPr lang="en-US">
                      <a:solidFill>
                        <a:sysClr val="windowText" lastClr="000000"/>
                      </a:solidFill>
                    </a:endParaRPr>
                  </a:p>
                </c:rich>
              </c:tx>
              <c:dLblPos val="bestFit"/>
              <c:showVal val="1"/>
            </c:dLbl>
            <c:txPr>
              <a:bodyPr/>
              <a:lstStyle/>
              <a:p>
                <a:pPr>
                  <a:defRPr sz="900"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53.3</c:v>
                </c:pt>
                <c:pt idx="1">
                  <c:v>46.7</c:v>
                </c:pt>
              </c:numCache>
            </c:numRef>
          </c:val>
        </c:ser>
      </c:pie3DChart>
      <c:spPr>
        <a:noFill/>
        <a:ln w="25395">
          <a:noFill/>
        </a:ln>
      </c:spPr>
    </c:plotArea>
    <c:legend>
      <c:legendPos val="r"/>
      <c:layout>
        <c:manualLayout>
          <c:xMode val="edge"/>
          <c:yMode val="edge"/>
          <c:x val="0.63179808827621475"/>
          <c:y val="0.17494604841061701"/>
          <c:w val="0.36820179920258361"/>
          <c:h val="0.59126567512394257"/>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3"/>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январь-декабрь 2017 года</a:t>
            </a:r>
          </a:p>
        </c:rich>
      </c:tx>
      <c:layout>
        <c:manualLayout>
          <c:xMode val="edge"/>
          <c:yMode val="edge"/>
          <c:x val="0.24367107413460112"/>
          <c:y val="0"/>
        </c:manualLayout>
      </c:layout>
    </c:title>
    <c:view3D>
      <c:rotX val="30"/>
      <c:perspective val="30"/>
    </c:view3D>
    <c:plotArea>
      <c:layout>
        <c:manualLayout>
          <c:layoutTarget val="inner"/>
          <c:xMode val="edge"/>
          <c:yMode val="edge"/>
          <c:x val="4.7629760565643595E-3"/>
          <c:y val="0.22638267338884607"/>
          <c:w val="0.85173239059403294"/>
          <c:h val="0.70980947525444926"/>
        </c:manualLayout>
      </c:layout>
      <c:pie3DChart>
        <c:varyColors val="1"/>
        <c:ser>
          <c:idx val="0"/>
          <c:order val="0"/>
          <c:tx>
            <c:strRef>
              <c:f>Лист1!$B$1</c:f>
              <c:strCache>
                <c:ptCount val="1"/>
                <c:pt idx="0">
                  <c:v>январь-декабрь 2014 года</c:v>
                </c:pt>
              </c:strCache>
            </c:strRef>
          </c:tx>
          <c:spPr>
            <a:solidFill>
              <a:srgbClr val="7030A0"/>
            </a:solidFill>
          </c:spPr>
          <c:dPt>
            <c:idx val="0"/>
            <c:explosion val="11"/>
            <c:spPr>
              <a:solidFill>
                <a:sysClr val="window" lastClr="FFFFFF">
                  <a:lumMod val="85000"/>
                </a:sysClr>
              </a:solidFill>
              <a:ln>
                <a:solidFill>
                  <a:sysClr val="windowText" lastClr="000000"/>
                </a:solidFill>
              </a:ln>
            </c:spPr>
          </c:dPt>
          <c:dPt>
            <c:idx val="1"/>
            <c:spPr>
              <a:blipFill>
                <a:blip xmlns:r="http://schemas.openxmlformats.org/officeDocument/2006/relationships" r:embed="rId2"/>
                <a:tile tx="0" ty="0" sx="100000" sy="100000" flip="none" algn="tl"/>
              </a:blipFill>
              <a:ln>
                <a:solidFill>
                  <a:sysClr val="windowText" lastClr="000000"/>
                </a:solidFill>
              </a:ln>
            </c:spPr>
          </c:dPt>
          <c:dLbls>
            <c:dLbl>
              <c:idx val="0"/>
              <c:layout>
                <c:manualLayout>
                  <c:x val="0.13895393990577676"/>
                  <c:y val="0.21407154814309629"/>
                </c:manualLayout>
              </c:layout>
              <c:tx>
                <c:rich>
                  <a:bodyPr/>
                  <a:lstStyle/>
                  <a:p>
                    <a:r>
                      <a:rPr lang="ru-RU"/>
                      <a:t>51,4</a:t>
                    </a:r>
                    <a:endParaRPr lang="en-US"/>
                  </a:p>
                </c:rich>
              </c:tx>
              <c:dLblPos val="bestFit"/>
              <c:showVal val="1"/>
            </c:dLbl>
            <c:dLbl>
              <c:idx val="1"/>
              <c:layout>
                <c:manualLayout>
                  <c:x val="-5.2559391614509732E-2"/>
                  <c:y val="-0.25507854996386764"/>
                </c:manualLayout>
              </c:layout>
              <c:tx>
                <c:rich>
                  <a:bodyPr/>
                  <a:lstStyle/>
                  <a:p>
                    <a:r>
                      <a:rPr lang="ru-RU"/>
                      <a:t>48,6</a:t>
                    </a:r>
                    <a:endParaRPr lang="en-US"/>
                  </a:p>
                </c:rich>
              </c:tx>
              <c:dLblPos val="bestFit"/>
              <c:showVal val="1"/>
            </c:dLbl>
            <c:txPr>
              <a:bodyPr/>
              <a:lstStyle/>
              <a:p>
                <a:pPr>
                  <a:defRPr sz="900" b="1"/>
                </a:pPr>
                <a:endParaRPr lang="ru-RU"/>
              </a:p>
            </c:txPr>
            <c:showVal val="1"/>
            <c:showLeaderLines val="1"/>
          </c:dLbls>
          <c:cat>
            <c:strRef>
              <c:f>Лист1!$A$2:$A$3</c:f>
              <c:strCache>
                <c:ptCount val="2"/>
                <c:pt idx="0">
                  <c:v>Государственные организации</c:v>
                </c:pt>
                <c:pt idx="1">
                  <c:v>Негосударственные организации</c:v>
                </c:pt>
              </c:strCache>
            </c:strRef>
          </c:cat>
          <c:val>
            <c:numRef>
              <c:f>Лист1!$B$2:$B$3</c:f>
              <c:numCache>
                <c:formatCode>0.0</c:formatCode>
                <c:ptCount val="2"/>
                <c:pt idx="0">
                  <c:v>50.2</c:v>
                </c:pt>
                <c:pt idx="1">
                  <c:v>49.8</c:v>
                </c:pt>
              </c:numCache>
            </c:numRef>
          </c:val>
        </c:ser>
      </c:pie3DChart>
      <c:spPr>
        <a:noFill/>
        <a:ln w="25395">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Структура ВДС  отраслей рыночных услуг, %</a:t>
            </a:r>
          </a:p>
        </c:rich>
      </c:tx>
      <c:layout>
        <c:manualLayout>
          <c:xMode val="edge"/>
          <c:yMode val="edge"/>
          <c:x val="0.28814061139225533"/>
          <c:y val="0"/>
        </c:manualLayout>
      </c:layout>
    </c:title>
    <c:plotArea>
      <c:layout>
        <c:manualLayout>
          <c:layoutTarget val="inner"/>
          <c:xMode val="edge"/>
          <c:yMode val="edge"/>
          <c:x val="8.0106837606837608E-2"/>
          <c:y val="0.11407494623919674"/>
          <c:w val="0.90976944058463283"/>
          <c:h val="0.34103629569668281"/>
        </c:manualLayout>
      </c:layout>
      <c:barChart>
        <c:barDir val="col"/>
        <c:grouping val="clustered"/>
        <c:ser>
          <c:idx val="0"/>
          <c:order val="0"/>
          <c:tx>
            <c:strRef>
              <c:f>Лист1!$B$1</c:f>
              <c:strCache>
                <c:ptCount val="1"/>
                <c:pt idx="0">
                  <c:v>январь- декабрь 2016 года</c:v>
                </c:pt>
              </c:strCache>
            </c:strRef>
          </c:tx>
          <c:spPr>
            <a:solidFill>
              <a:sysClr val="windowText" lastClr="000000">
                <a:lumMod val="75000"/>
                <a:lumOff val="25000"/>
              </a:sysClr>
            </a:solidFill>
            <a:ln>
              <a:solidFill>
                <a:sysClr val="windowText" lastClr="000000"/>
              </a:solidFill>
            </a:ln>
          </c:spPr>
          <c:dLbls>
            <c:dLbl>
              <c:idx val="0"/>
              <c:layout>
                <c:manualLayout>
                  <c:x val="-6.2689279224712414E-3"/>
                  <c:y val="1.1035723338321033E-2"/>
                </c:manualLayout>
              </c:layout>
              <c:showVal val="1"/>
              <c:extLst>
                <c:ext xmlns:c15="http://schemas.microsoft.com/office/drawing/2012/chart" uri="{CE6537A1-D6FC-4f65-9D91-7224C49458BB}">
                  <c15:layout/>
                </c:ext>
              </c:extLst>
            </c:dLbl>
            <c:dLbl>
              <c:idx val="1"/>
              <c:layout>
                <c:manualLayout>
                  <c:x val="-6.1730015229577804E-3"/>
                  <c:y val="7.7294685990341476E-3"/>
                </c:manualLayout>
              </c:layout>
              <c:showVal val="1"/>
              <c:extLst>
                <c:ext xmlns:c15="http://schemas.microsoft.com/office/drawing/2012/chart" uri="{CE6537A1-D6FC-4f65-9D91-7224C49458BB}">
                  <c15:layout/>
                </c:ext>
              </c:extLst>
            </c:dLbl>
            <c:dLbl>
              <c:idx val="2"/>
              <c:layout>
                <c:manualLayout>
                  <c:x val="-6.5145130181149613E-3"/>
                  <c:y val="1.1204541292804191E-2"/>
                </c:manualLayout>
              </c:layout>
              <c:showVal val="1"/>
              <c:extLst>
                <c:ext xmlns:c15="http://schemas.microsoft.com/office/drawing/2012/chart" uri="{CE6537A1-D6FC-4f65-9D91-7224C49458BB}">
                  <c15:layout/>
                </c:ext>
              </c:extLst>
            </c:dLbl>
            <c:dLbl>
              <c:idx val="3"/>
              <c:layout>
                <c:manualLayout>
                  <c:x val="-1.0893496677426279E-2"/>
                  <c:y val="1.8300942344990835E-2"/>
                </c:manualLayout>
              </c:layout>
              <c:showVal val="1"/>
              <c:extLst>
                <c:ext xmlns:c15="http://schemas.microsoft.com/office/drawing/2012/chart" uri="{CE6537A1-D6FC-4f65-9D91-7224C49458BB}">
                  <c15:layout/>
                </c:ext>
              </c:extLst>
            </c:dLbl>
            <c:dLbl>
              <c:idx val="4"/>
              <c:layout>
                <c:manualLayout>
                  <c:x val="0"/>
                  <c:y val="9.3023255813953227E-3"/>
                </c:manualLayout>
              </c:layout>
              <c:showVal val="1"/>
              <c:extLst>
                <c:ext xmlns:c15="http://schemas.microsoft.com/office/drawing/2012/chart" uri="{CE6537A1-D6FC-4f65-9D91-7224C49458BB}">
                  <c15:layout/>
                </c:ext>
              </c:extLst>
            </c:dLbl>
            <c:dLbl>
              <c:idx val="5"/>
              <c:layout>
                <c:manualLayout>
                  <c:x val="-2.4122853162862929E-3"/>
                  <c:y val="1.7237190527960255E-2"/>
                </c:manualLayout>
              </c:layout>
              <c:showVal val="1"/>
              <c:extLst>
                <c:ext xmlns:c15="http://schemas.microsoft.com/office/drawing/2012/chart" uri="{CE6537A1-D6FC-4f65-9D91-7224C49458BB}">
                  <c15:layout/>
                </c:ext>
              </c:extLst>
            </c:dLbl>
            <c:dLbl>
              <c:idx val="6"/>
              <c:layout>
                <c:manualLayout>
                  <c:x val="-8.5515766969535226E-3"/>
                  <c:y val="8.6185952639801205E-3"/>
                </c:manualLayout>
              </c:layout>
              <c:tx>
                <c:rich>
                  <a:bodyPr/>
                  <a:lstStyle/>
                  <a:p>
                    <a:r>
                      <a:rPr lang="en-US"/>
                      <a:t>0,</a:t>
                    </a:r>
                    <a:r>
                      <a:rPr lang="ru-RU"/>
                      <a:t>3</a:t>
                    </a:r>
                    <a:endParaRPr lang="en-US"/>
                  </a:p>
                </c:rich>
              </c:tx>
              <c:showVal val="1"/>
              <c:extLst>
                <c:ext xmlns:c15="http://schemas.microsoft.com/office/drawing/2012/chart" uri="{CE6537A1-D6FC-4f65-9D91-7224C49458BB}">
                  <c15:layout/>
                </c:ext>
              </c:extLst>
            </c:dLbl>
            <c:dLbl>
              <c:idx val="7"/>
              <c:layout>
                <c:manualLayout>
                  <c:x val="-8.7254232337161067E-3"/>
                  <c:y val="6.8356222913999558E-3"/>
                </c:manualLayout>
              </c:layout>
              <c:showVal val="1"/>
              <c:extLst>
                <c:ext xmlns:c15="http://schemas.microsoft.com/office/drawing/2012/chart" uri="{CE6537A1-D6FC-4f65-9D91-7224C49458BB}">
                  <c15:layout/>
                </c:ext>
              </c:extLst>
            </c:dLbl>
            <c:dLbl>
              <c:idx val="8"/>
              <c:layout>
                <c:manualLayout>
                  <c:x val="-8.5515766969535226E-3"/>
                  <c:y val="1.2402972940325389E-2"/>
                </c:manualLayout>
              </c:layout>
              <c:showVal val="1"/>
              <c:extLst>
                <c:ext xmlns:c15="http://schemas.microsoft.com/office/drawing/2012/chart" uri="{CE6537A1-D6FC-4f65-9D91-7224C49458BB}">
                  <c15:layout/>
                </c:ext>
              </c:extLst>
            </c:dLbl>
            <c:dLbl>
              <c:idx val="9"/>
              <c:layout>
                <c:manualLayout>
                  <c:x val="-4.3643342016774665E-3"/>
                  <c:y val="1.6747559308829769E-2"/>
                </c:manualLayout>
              </c:layout>
              <c:showVal val="1"/>
              <c:extLst>
                <c:ext xmlns:c15="http://schemas.microsoft.com/office/drawing/2012/chart" uri="{CE6537A1-D6FC-4f65-9D91-7224C49458BB}">
                  <c15:layout/>
                </c:ext>
              </c:extLst>
            </c:dLbl>
            <c:dLbl>
              <c:idx val="10"/>
              <c:layout>
                <c:manualLayout>
                  <c:x val="1.0653332817849487E-5"/>
                  <c:y val="9.3023255813953504E-3"/>
                </c:manualLayout>
              </c:layout>
              <c:showVal val="1"/>
              <c:extLst>
                <c:ext xmlns:c15="http://schemas.microsoft.com/office/drawing/2012/chart" uri="{CE6537A1-D6FC-4f65-9D91-7224C49458BB}">
                  <c15:layout/>
                </c:ext>
              </c:extLst>
            </c:dLbl>
            <c:spPr>
              <a:noFill/>
              <a:ln>
                <a:noFill/>
              </a:ln>
              <a:effectLst/>
            </c:spPr>
            <c:txPr>
              <a:bodyPr rot="-5400000" vert="horz"/>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Лист1!$B$2:$B$12</c:f>
              <c:numCache>
                <c:formatCode>0.0</c:formatCode>
                <c:ptCount val="11"/>
                <c:pt idx="0">
                  <c:v>2.75</c:v>
                </c:pt>
                <c:pt idx="1">
                  <c:v>3.4699999999999998</c:v>
                </c:pt>
                <c:pt idx="2">
                  <c:v>11.94</c:v>
                </c:pt>
                <c:pt idx="3">
                  <c:v>2.77</c:v>
                </c:pt>
                <c:pt idx="4">
                  <c:v>0.27</c:v>
                </c:pt>
                <c:pt idx="5">
                  <c:v>2.9099999999999997</c:v>
                </c:pt>
                <c:pt idx="6">
                  <c:v>0.35000000000000031</c:v>
                </c:pt>
                <c:pt idx="7">
                  <c:v>3.69</c:v>
                </c:pt>
                <c:pt idx="8">
                  <c:v>0.45</c:v>
                </c:pt>
                <c:pt idx="9">
                  <c:v>0.26</c:v>
                </c:pt>
                <c:pt idx="10">
                  <c:v>2.08</c:v>
                </c:pt>
              </c:numCache>
            </c:numRef>
          </c:val>
        </c:ser>
        <c:ser>
          <c:idx val="1"/>
          <c:order val="1"/>
          <c:tx>
            <c:strRef>
              <c:f>Лист1!$C$1</c:f>
              <c:strCache>
                <c:ptCount val="1"/>
                <c:pt idx="0">
                  <c:v>январь-декабрь 2017 года</c:v>
                </c:pt>
              </c:strCache>
            </c:strRef>
          </c:tx>
          <c:spPr>
            <a:solidFill>
              <a:sysClr val="window" lastClr="FFFFFF">
                <a:lumMod val="85000"/>
              </a:sysClr>
            </a:solidFill>
            <a:ln>
              <a:solidFill>
                <a:sysClr val="windowText" lastClr="000000"/>
              </a:solidFill>
            </a:ln>
          </c:spPr>
          <c:dLbls>
            <c:dLbl>
              <c:idx val="0"/>
              <c:layout>
                <c:manualLayout>
                  <c:x val="-2.0985597954101889E-3"/>
                  <c:y val="9.2558523642488708E-3"/>
                </c:manualLayout>
              </c:layout>
              <c:showVal val="1"/>
              <c:extLst>
                <c:ext xmlns:c15="http://schemas.microsoft.com/office/drawing/2012/chart" uri="{CE6537A1-D6FC-4f65-9D91-7224C49458BB}">
                  <c15:layout/>
                </c:ext>
              </c:extLst>
            </c:dLbl>
            <c:dLbl>
              <c:idx val="1"/>
              <c:layout>
                <c:manualLayout>
                  <c:x val="-1.885389326334236E-3"/>
                  <c:y val="3.9832871358370502E-3"/>
                </c:manualLayout>
              </c:layout>
              <c:showVal val="1"/>
              <c:extLst>
                <c:ext xmlns:c15="http://schemas.microsoft.com/office/drawing/2012/chart" uri="{CE6537A1-D6FC-4f65-9D91-7224C49458BB}">
                  <c15:layout/>
                </c:ext>
              </c:extLst>
            </c:dLbl>
            <c:dLbl>
              <c:idx val="2"/>
              <c:layout>
                <c:manualLayout>
                  <c:x val="4.4616057608184104E-3"/>
                  <c:y val="7.4697672136778449E-3"/>
                </c:manualLayout>
              </c:layout>
              <c:showVal val="1"/>
              <c:extLst>
                <c:ext xmlns:c15="http://schemas.microsoft.com/office/drawing/2012/chart" uri="{CE6537A1-D6FC-4f65-9D91-7224C49458BB}">
                  <c15:layout/>
                </c:ext>
              </c:extLst>
            </c:dLbl>
            <c:dLbl>
              <c:idx val="3"/>
              <c:layout>
                <c:manualLayout>
                  <c:x val="1.3241133319873797E-4"/>
                  <c:y val="6.7325696437479134E-3"/>
                </c:manualLayout>
              </c:layout>
              <c:showVal val="1"/>
              <c:extLst>
                <c:ext xmlns:c15="http://schemas.microsoft.com/office/drawing/2012/chart" uri="{CE6537A1-D6FC-4f65-9D91-7224C49458BB}">
                  <c15:layout/>
                </c:ext>
              </c:extLst>
            </c:dLbl>
            <c:dLbl>
              <c:idx val="4"/>
              <c:layout>
                <c:manualLayout>
                  <c:x val="1.1135230223426775E-2"/>
                  <c:y val="1.8386110353308161E-2"/>
                </c:manualLayout>
              </c:layout>
              <c:showVal val="1"/>
              <c:extLst>
                <c:ext xmlns:c15="http://schemas.microsoft.com/office/drawing/2012/chart" uri="{CE6537A1-D6FC-4f65-9D91-7224C49458BB}">
                  <c15:layout/>
                </c:ext>
              </c:extLst>
            </c:dLbl>
            <c:dLbl>
              <c:idx val="5"/>
              <c:layout>
                <c:manualLayout>
                  <c:x val="2.5136281041792844E-4"/>
                  <c:y val="9.8668040326737091E-3"/>
                </c:manualLayout>
              </c:layout>
              <c:showVal val="1"/>
              <c:extLst>
                <c:ext xmlns:c15="http://schemas.microsoft.com/office/drawing/2012/chart" uri="{CE6537A1-D6FC-4f65-9D91-7224C49458BB}">
                  <c15:layout/>
                </c:ext>
              </c:extLst>
            </c:dLbl>
            <c:dLbl>
              <c:idx val="6"/>
              <c:layout>
                <c:manualLayout>
                  <c:x val="-1.3197388787939981E-3"/>
                  <c:y val="7.885135853345434E-3"/>
                </c:manualLayout>
              </c:layout>
              <c:showVal val="1"/>
              <c:extLst>
                <c:ext xmlns:c15="http://schemas.microsoft.com/office/drawing/2012/chart" uri="{CE6537A1-D6FC-4f65-9D91-7224C49458BB}">
                  <c15:layout/>
                </c:ext>
              </c:extLst>
            </c:dLbl>
            <c:dLbl>
              <c:idx val="7"/>
              <c:layout>
                <c:manualLayout>
                  <c:x val="1.5697557036139956E-4"/>
                  <c:y val="1.4135616225541704E-3"/>
                </c:manualLayout>
              </c:layout>
              <c:showVal val="1"/>
              <c:extLst>
                <c:ext xmlns:c15="http://schemas.microsoft.com/office/drawing/2012/chart" uri="{CE6537A1-D6FC-4f65-9D91-7224C49458BB}">
                  <c15:layout/>
                </c:ext>
              </c:extLst>
            </c:dLbl>
            <c:dLbl>
              <c:idx val="8"/>
              <c:layout>
                <c:manualLayout>
                  <c:x val="-3.6264216972878831E-3"/>
                  <c:y val="1.2115354739536063E-2"/>
                </c:manualLayout>
              </c:layout>
              <c:showVal val="1"/>
              <c:extLst>
                <c:ext xmlns:c15="http://schemas.microsoft.com/office/drawing/2012/chart" uri="{CE6537A1-D6FC-4f65-9D91-7224C49458BB}">
                  <c15:layout/>
                </c:ext>
              </c:extLst>
            </c:dLbl>
            <c:dLbl>
              <c:idx val="9"/>
              <c:layout>
                <c:manualLayout>
                  <c:x val="-6.1624268120331113E-3"/>
                  <c:y val="1.412645849175396E-2"/>
                </c:manualLayout>
              </c:layout>
              <c:showVal val="1"/>
              <c:extLst>
                <c:ext xmlns:c15="http://schemas.microsoft.com/office/drawing/2012/chart" uri="{CE6537A1-D6FC-4f65-9D91-7224C49458BB}">
                  <c15:layout/>
                </c:ext>
              </c:extLst>
            </c:dLbl>
            <c:dLbl>
              <c:idx val="10"/>
              <c:layout>
                <c:manualLayout>
                  <c:x val="-9.5262130695201552E-4"/>
                  <c:y val="8.5686952682316707E-3"/>
                </c:manualLayout>
              </c:layout>
              <c:showVal val="1"/>
              <c:extLst>
                <c:ext xmlns:c15="http://schemas.microsoft.com/office/drawing/2012/chart" uri="{CE6537A1-D6FC-4f65-9D91-7224C49458BB}">
                  <c15:layout/>
                </c:ext>
              </c:extLst>
            </c:dLbl>
            <c:spPr>
              <a:noFill/>
              <a:ln>
                <a:noFill/>
              </a:ln>
              <a:effectLst/>
            </c:spPr>
            <c:txPr>
              <a:bodyPr rot="-5400000" vert="horz"/>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Лист1!$A$2:$A$12</c:f>
              <c:strCache>
                <c:ptCount val="11"/>
                <c:pt idx="0">
                  <c:v>Транспорт</c:v>
                </c:pt>
                <c:pt idx="1">
                  <c:v>Связь</c:v>
                </c:pt>
                <c:pt idx="2">
                  <c:v>Торговля и общественное питание</c:v>
                </c:pt>
                <c:pt idx="3">
                  <c:v>Операции с недвижимым имуществом</c:v>
                </c:pt>
                <c:pt idx="4">
                  <c:v>Общая коммерческая деятельность</c:v>
                </c:pt>
                <c:pt idx="5">
                  <c:v>Жилищно-коммунальное хозяйство</c:v>
                </c:pt>
                <c:pt idx="6">
                  <c:v>Непр. виды быт. Обслуживания</c:v>
                </c:pt>
                <c:pt idx="7">
                  <c:v>Финансы, кредит, страхование</c:v>
                </c:pt>
                <c:pt idx="8">
                  <c:v>Здравоохранение и соц. Обеспечение</c:v>
                </c:pt>
                <c:pt idx="9">
                  <c:v>Образование</c:v>
                </c:pt>
                <c:pt idx="10">
                  <c:v>Прочие отрасли</c:v>
                </c:pt>
              </c:strCache>
            </c:strRef>
          </c:cat>
          <c:val>
            <c:numRef>
              <c:f>Лист1!$C$2:$C$12</c:f>
              <c:numCache>
                <c:formatCode>0.0</c:formatCode>
                <c:ptCount val="11"/>
                <c:pt idx="0">
                  <c:v>2.68</c:v>
                </c:pt>
                <c:pt idx="1">
                  <c:v>2.94</c:v>
                </c:pt>
                <c:pt idx="2">
                  <c:v>13.850000000000026</c:v>
                </c:pt>
                <c:pt idx="3">
                  <c:v>1.43</c:v>
                </c:pt>
                <c:pt idx="4">
                  <c:v>0.29000000000000031</c:v>
                </c:pt>
                <c:pt idx="5">
                  <c:v>2.9299999999999997</c:v>
                </c:pt>
                <c:pt idx="6">
                  <c:v>0.37000000000000038</c:v>
                </c:pt>
                <c:pt idx="7">
                  <c:v>3.5</c:v>
                </c:pt>
                <c:pt idx="8">
                  <c:v>0.48000000000000032</c:v>
                </c:pt>
                <c:pt idx="9">
                  <c:v>0.23</c:v>
                </c:pt>
                <c:pt idx="10">
                  <c:v>2.66</c:v>
                </c:pt>
              </c:numCache>
            </c:numRef>
          </c:val>
        </c:ser>
        <c:dLbls>
          <c:showVal val="1"/>
        </c:dLbls>
        <c:axId val="62319232"/>
        <c:axId val="64033152"/>
      </c:barChart>
      <c:catAx>
        <c:axId val="62319232"/>
        <c:scaling>
          <c:orientation val="minMax"/>
        </c:scaling>
        <c:axPos val="b"/>
        <c:numFmt formatCode="General" sourceLinked="0"/>
        <c:tickLblPos val="nextTo"/>
        <c:txPr>
          <a:bodyPr rot="5400000" vert="horz"/>
          <a:lstStyle/>
          <a:p>
            <a:pPr>
              <a:defRPr b="1">
                <a:latin typeface="Times New Roman" pitchFamily="18" charset="0"/>
                <a:cs typeface="Times New Roman" pitchFamily="18" charset="0"/>
              </a:defRPr>
            </a:pPr>
            <a:endParaRPr lang="ru-RU"/>
          </a:p>
        </c:txPr>
        <c:crossAx val="64033152"/>
        <c:crosses val="autoZero"/>
        <c:auto val="1"/>
        <c:lblAlgn val="ctr"/>
        <c:lblOffset val="100"/>
      </c:catAx>
      <c:valAx>
        <c:axId val="64033152"/>
        <c:scaling>
          <c:orientation val="minMax"/>
        </c:scaling>
        <c:axPos val="l"/>
        <c:numFmt formatCode="0.0" sourceLinked="1"/>
        <c:tickLblPos val="nextTo"/>
        <c:txPr>
          <a:bodyPr/>
          <a:lstStyle/>
          <a:p>
            <a:pPr>
              <a:defRPr b="1">
                <a:latin typeface="Times New Roman" pitchFamily="18" charset="0"/>
                <a:cs typeface="Times New Roman" pitchFamily="18" charset="0"/>
              </a:defRPr>
            </a:pPr>
            <a:endParaRPr lang="ru-RU"/>
          </a:p>
        </c:txPr>
        <c:crossAx val="62319232"/>
        <c:crosses val="autoZero"/>
        <c:crossBetween val="between"/>
      </c:valAx>
    </c:plotArea>
    <c:legend>
      <c:legendPos val="b"/>
      <c:layout>
        <c:manualLayout>
          <c:xMode val="edge"/>
          <c:yMode val="edge"/>
          <c:x val="0.19781965415767341"/>
          <c:y val="0.94450103317485601"/>
          <c:w val="0.58855104650380263"/>
          <c:h val="5.5498957058521516E-2"/>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title>
      <c:tx>
        <c:rich>
          <a:bodyPr/>
          <a:lstStyle/>
          <a:p>
            <a:pPr algn="ctr">
              <a:defRPr sz="1200"/>
            </a:pPr>
            <a:r>
              <a:rPr lang="ru-RU" sz="1200"/>
              <a:t>Динамика основных составляющих инфляции в 2016-2017 гг., %</a:t>
            </a:r>
          </a:p>
        </c:rich>
      </c:tx>
      <c:layout>
        <c:manualLayout>
          <c:xMode val="edge"/>
          <c:yMode val="edge"/>
          <c:x val="0.22700955956911339"/>
          <c:y val="4.9487701752343157E-3"/>
        </c:manualLayout>
      </c:layout>
      <c:spPr>
        <a:noFill/>
      </c:spPr>
    </c:title>
    <c:plotArea>
      <c:layout>
        <c:manualLayout>
          <c:layoutTarget val="inner"/>
          <c:xMode val="edge"/>
          <c:yMode val="edge"/>
          <c:x val="0.22431827428502341"/>
          <c:y val="0.15102429704463299"/>
          <c:w val="0.78340243750571925"/>
          <c:h val="0.43114619388879732"/>
        </c:manualLayout>
      </c:layout>
      <c:barChart>
        <c:barDir val="col"/>
        <c:grouping val="clustered"/>
        <c:ser>
          <c:idx val="0"/>
          <c:order val="0"/>
          <c:tx>
            <c:strRef>
              <c:f>Лист1!$B$1</c:f>
              <c:strCache>
                <c:ptCount val="1"/>
                <c:pt idx="0">
                  <c:v>январь-декабрь 2016 г. </c:v>
                </c:pt>
              </c:strCache>
            </c:strRef>
          </c:tx>
          <c:spPr>
            <a:solidFill>
              <a:sysClr val="window" lastClr="FFFFFF">
                <a:lumMod val="85000"/>
              </a:sysClr>
            </a:solidFill>
            <a:ln>
              <a:solidFill>
                <a:sysClr val="windowText" lastClr="000000"/>
              </a:solidFill>
              <a:prstDash val="solid"/>
            </a:ln>
            <a:effectLst>
              <a:outerShdw dir="14640000" rotWithShape="0">
                <a:srgbClr val="000000">
                  <a:alpha val="37000"/>
                </a:srgbClr>
              </a:outerShdw>
            </a:effectLst>
          </c:spPr>
          <c:dLbls>
            <c:dLbl>
              <c:idx val="0"/>
              <c:tx>
                <c:rich>
                  <a:bodyPr/>
                  <a:lstStyle/>
                  <a:p>
                    <a:r>
                      <a:rPr lang="en-US" b="0" i="0"/>
                      <a:t>+4,44*</a:t>
                    </a:r>
                  </a:p>
                </c:rich>
              </c:tx>
              <c:showVal val="1"/>
              <c:extLst>
                <c:ext xmlns:c15="http://schemas.microsoft.com/office/drawing/2012/chart" uri="{CE6537A1-D6FC-4f65-9D91-7224C49458BB}">
                  <c15:layout/>
                </c:ext>
              </c:extLst>
            </c:dLbl>
            <c:dLbl>
              <c:idx val="1"/>
              <c:tx>
                <c:rich>
                  <a:bodyPr/>
                  <a:lstStyle/>
                  <a:p>
                    <a:r>
                      <a:rPr lang="en-US" b="0" i="0"/>
                      <a:t>+3,80*</a:t>
                    </a:r>
                  </a:p>
                </c:rich>
              </c:tx>
              <c:showVal val="1"/>
              <c:extLst>
                <c:ext xmlns:c15="http://schemas.microsoft.com/office/drawing/2012/chart" uri="{CE6537A1-D6FC-4f65-9D91-7224C49458BB}">
                  <c15:layout/>
                </c:ext>
              </c:extLst>
            </c:dLbl>
            <c:dLbl>
              <c:idx val="2"/>
              <c:tx>
                <c:rich>
                  <a:bodyPr/>
                  <a:lstStyle/>
                  <a:p>
                    <a:r>
                      <a:rPr lang="en-US" b="0" i="0"/>
                      <a:t>+6,88*</a:t>
                    </a:r>
                  </a:p>
                </c:rich>
              </c:tx>
              <c:showVal val="1"/>
              <c:extLst>
                <c:ext xmlns:c15="http://schemas.microsoft.com/office/drawing/2012/chart" uri="{CE6537A1-D6FC-4f65-9D91-7224C49458BB}">
                  <c15:layout/>
                </c:ext>
              </c:extLst>
            </c:dLbl>
            <c:dLbl>
              <c:idx val="3"/>
              <c:tx>
                <c:rich>
                  <a:bodyPr/>
                  <a:lstStyle/>
                  <a:p>
                    <a:r>
                      <a:rPr lang="en-US" b="0" i="0"/>
                      <a:t>+1,48*</a:t>
                    </a:r>
                  </a:p>
                </c:rich>
              </c:tx>
              <c:showVal val="1"/>
              <c:extLst>
                <c:ext xmlns:c15="http://schemas.microsoft.com/office/drawing/2012/chart" uri="{CE6537A1-D6FC-4f65-9D91-7224C49458BB}">
                  <c15:layout/>
                </c:ext>
              </c:extLst>
            </c:dLbl>
            <c:spPr>
              <a:noFill/>
              <a:ln>
                <a:noFill/>
              </a:ln>
              <a:effectLst/>
            </c:spPr>
            <c:txPr>
              <a:bodyPr/>
              <a:lstStyle/>
              <a:p>
                <a:pPr>
                  <a:defRPr b="0" i="0"/>
                </a:pPr>
                <a:endParaRPr lang="ru-RU"/>
              </a:p>
            </c:txPr>
            <c:showVal val="1"/>
            <c:extLst>
              <c:ext xmlns:c15="http://schemas.microsoft.com/office/drawing/2012/chart" uri="{CE6537A1-D6FC-4f65-9D91-7224C49458BB}">
                <c15:showLeaderLines val="0"/>
              </c:ext>
            </c:extLst>
          </c:dLbls>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Лист1!$B$2:$B$5</c:f>
              <c:numCache>
                <c:formatCode>0.00</c:formatCode>
                <c:ptCount val="4"/>
                <c:pt idx="0">
                  <c:v>104.44000000000032</c:v>
                </c:pt>
                <c:pt idx="1">
                  <c:v>103.8</c:v>
                </c:pt>
                <c:pt idx="2">
                  <c:v>106.88</c:v>
                </c:pt>
                <c:pt idx="3">
                  <c:v>101.48</c:v>
                </c:pt>
              </c:numCache>
            </c:numRef>
          </c:val>
        </c:ser>
        <c:ser>
          <c:idx val="1"/>
          <c:order val="1"/>
          <c:tx>
            <c:strRef>
              <c:f>Лист1!$C$1</c:f>
              <c:strCache>
                <c:ptCount val="1"/>
                <c:pt idx="0">
                  <c:v>январь-декабрь 2017 г. </c:v>
                </c:pt>
              </c:strCache>
            </c:strRef>
          </c:tx>
          <c:spPr>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600000" scaled="0"/>
              <a:tileRect/>
            </a:gradFill>
            <a:ln>
              <a:solidFill>
                <a:sysClr val="windowText" lastClr="000000"/>
              </a:solidFill>
            </a:ln>
          </c:spPr>
          <c:dLbls>
            <c:dLbl>
              <c:idx val="0"/>
              <c:tx>
                <c:rich>
                  <a:bodyPr/>
                  <a:lstStyle/>
                  <a:p>
                    <a:r>
                      <a:rPr lang="en-US" b="1"/>
                      <a:t>+11,82*</a:t>
                    </a:r>
                  </a:p>
                </c:rich>
              </c:tx>
              <c:showVal val="1"/>
              <c:extLst>
                <c:ext xmlns:c15="http://schemas.microsoft.com/office/drawing/2012/chart" uri="{CE6537A1-D6FC-4f65-9D91-7224C49458BB}">
                  <c15:layout/>
                </c:ext>
              </c:extLst>
            </c:dLbl>
            <c:dLbl>
              <c:idx val="1"/>
              <c:layout>
                <c:manualLayout>
                  <c:x val="0"/>
                  <c:y val="1.8107478578757885E-2"/>
                </c:manualLayout>
              </c:layout>
              <c:tx>
                <c:rich>
                  <a:bodyPr/>
                  <a:lstStyle/>
                  <a:p>
                    <a:r>
                      <a:rPr lang="en-US" b="1"/>
                      <a:t>+19,72*</a:t>
                    </a:r>
                  </a:p>
                </c:rich>
              </c:tx>
              <c:showVal val="1"/>
              <c:extLst>
                <c:ext xmlns:c15="http://schemas.microsoft.com/office/drawing/2012/chart" uri="{CE6537A1-D6FC-4f65-9D91-7224C49458BB}">
                  <c15:layout/>
                </c:ext>
              </c:extLst>
            </c:dLbl>
            <c:dLbl>
              <c:idx val="2"/>
              <c:tx>
                <c:rich>
                  <a:bodyPr/>
                  <a:lstStyle/>
                  <a:p>
                    <a:r>
                      <a:rPr lang="en-US" b="1"/>
                      <a:t>+9,92*</a:t>
                    </a:r>
                  </a:p>
                </c:rich>
              </c:tx>
              <c:showVal val="1"/>
              <c:extLst>
                <c:ext xmlns:c15="http://schemas.microsoft.com/office/drawing/2012/chart" uri="{CE6537A1-D6FC-4f65-9D91-7224C49458BB}">
                  <c15:layout/>
                </c:ext>
              </c:extLst>
            </c:dLbl>
            <c:dLbl>
              <c:idx val="3"/>
              <c:tx>
                <c:rich>
                  <a:bodyPr/>
                  <a:lstStyle/>
                  <a:p>
                    <a:r>
                      <a:rPr lang="en-US" b="1"/>
                      <a:t>+1,68*</a:t>
                    </a:r>
                  </a:p>
                </c:rich>
              </c:tx>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Лист1!$C$2:$C$5</c:f>
              <c:numCache>
                <c:formatCode>0.00</c:formatCode>
                <c:ptCount val="4"/>
                <c:pt idx="0">
                  <c:v>111.82</c:v>
                </c:pt>
                <c:pt idx="1">
                  <c:v>119.72</c:v>
                </c:pt>
                <c:pt idx="2">
                  <c:v>109.92</c:v>
                </c:pt>
                <c:pt idx="3">
                  <c:v>101.67999999999998</c:v>
                </c:pt>
              </c:numCache>
            </c:numRef>
          </c:val>
        </c:ser>
        <c:axId val="125077760"/>
        <c:axId val="125091840"/>
      </c:barChart>
      <c:catAx>
        <c:axId val="125077760"/>
        <c:scaling>
          <c:orientation val="minMax"/>
        </c:scaling>
        <c:axPos val="b"/>
        <c:numFmt formatCode="General" sourceLinked="0"/>
        <c:tickLblPos val="nextTo"/>
        <c:crossAx val="125091840"/>
        <c:crosses val="autoZero"/>
        <c:auto val="1"/>
        <c:lblAlgn val="ctr"/>
        <c:lblOffset val="100"/>
      </c:catAx>
      <c:valAx>
        <c:axId val="125091840"/>
        <c:scaling>
          <c:orientation val="minMax"/>
          <c:max val="120"/>
          <c:min val="100"/>
        </c:scaling>
        <c:axPos val="l"/>
        <c:title>
          <c:tx>
            <c:rich>
              <a:bodyPr rot="0" vert="horz"/>
              <a:lstStyle/>
              <a:p>
                <a:pPr>
                  <a:defRPr b="0"/>
                </a:pPr>
                <a:r>
                  <a:rPr lang="ru-RU" b="0"/>
                  <a:t>* - прирост (снижение)  индекса цен,%</a:t>
                </a:r>
              </a:p>
            </c:rich>
          </c:tx>
          <c:layout>
            <c:manualLayout>
              <c:xMode val="edge"/>
              <c:yMode val="edge"/>
              <c:x val="2.0871290676520812E-2"/>
              <c:y val="0.61504642327266001"/>
            </c:manualLayout>
          </c:layout>
        </c:title>
        <c:numFmt formatCode="0.00" sourceLinked="1"/>
        <c:tickLblPos val="nextTo"/>
        <c:txPr>
          <a:bodyPr/>
          <a:lstStyle/>
          <a:p>
            <a:pPr>
              <a:defRPr b="1"/>
            </a:pPr>
            <a:endParaRPr lang="ru-RU"/>
          </a:p>
        </c:txPr>
        <c:crossAx val="125077760"/>
        <c:crosses val="autoZero"/>
        <c:crossBetween val="between"/>
        <c:minorUnit val="4"/>
      </c:valAx>
      <c:dTable>
        <c:showHorzBorder val="1"/>
        <c:showVertBorder val="1"/>
        <c:showOutline val="1"/>
        <c:showKeys val="1"/>
        <c:txPr>
          <a:bodyPr/>
          <a:lstStyle/>
          <a:p>
            <a:pPr rtl="0">
              <a:defRPr b="1"/>
            </a:pPr>
            <a:endParaRPr lang="ru-RU"/>
          </a:p>
        </c:txPr>
      </c:dTable>
      <c:spPr>
        <a:noFill/>
        <a:ln w="25400">
          <a:noFill/>
        </a:ln>
      </c:spPr>
    </c:plotArea>
    <c:plotVisOnly val="1"/>
    <c:dispBlanksAs val="gap"/>
  </c:chart>
  <c:spPr>
    <a:noFill/>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200"/>
            </a:pPr>
            <a:r>
              <a:rPr lang="ru-RU" sz="1200"/>
              <a:t>Величина среднемесячной номинальной заработной платы (СНЗП)</a:t>
            </a:r>
          </a:p>
        </c:rich>
      </c:tx>
      <c:layout>
        <c:manualLayout>
          <c:xMode val="edge"/>
          <c:yMode val="edge"/>
          <c:x val="0.12269374665954086"/>
          <c:y val="0"/>
        </c:manualLayout>
      </c:layout>
      <c:overlay val="1"/>
      <c:spPr>
        <a:noFill/>
      </c:spPr>
    </c:title>
    <c:plotArea>
      <c:layout>
        <c:manualLayout>
          <c:layoutTarget val="inner"/>
          <c:xMode val="edge"/>
          <c:yMode val="edge"/>
          <c:x val="0.34945698329665248"/>
          <c:y val="0.12613327094862567"/>
          <c:w val="0.64199144000639996"/>
          <c:h val="0.43309676974704375"/>
        </c:manualLayout>
      </c:layout>
      <c:barChart>
        <c:barDir val="col"/>
        <c:grouping val="clustered"/>
        <c:ser>
          <c:idx val="0"/>
          <c:order val="0"/>
          <c:tx>
            <c:strRef>
              <c:f>Лист1!$B$2</c:f>
              <c:strCache>
                <c:ptCount val="1"/>
                <c:pt idx="0">
                  <c:v>СНЗП в целом по республике</c:v>
                </c:pt>
              </c:strCache>
            </c:strRef>
          </c:tx>
          <c:spPr>
            <a:solidFill>
              <a:sysClr val="window" lastClr="FFFFFF">
                <a:lumMod val="85000"/>
              </a:sysClr>
            </a:solidFill>
            <a:ln>
              <a:solidFill>
                <a:sysClr val="windowText" lastClr="000000"/>
              </a:solidFill>
            </a:ln>
          </c:spPr>
          <c:dLbls>
            <c:dLbl>
              <c:idx val="0"/>
              <c:layout>
                <c:manualLayout>
                  <c:x val="-8.0664262237130149E-3"/>
                  <c:y val="1.4504120852897321E-2"/>
                </c:manualLayout>
              </c:layout>
              <c:tx>
                <c:rich>
                  <a:bodyPr/>
                  <a:lstStyle/>
                  <a:p>
                    <a:r>
                      <a:rPr lang="ru-RU" b="1"/>
                      <a:t>-1,5*</a:t>
                    </a:r>
                    <a:endParaRPr lang="en-US" b="1"/>
                  </a:p>
                </c:rich>
              </c:tx>
              <c:showVal val="1"/>
            </c:dLbl>
            <c:dLbl>
              <c:idx val="1"/>
              <c:layout>
                <c:manualLayout>
                  <c:x val="-2.0595416227177213E-2"/>
                  <c:y val="6.36505696903494E-3"/>
                </c:manualLayout>
              </c:layout>
              <c:tx>
                <c:rich>
                  <a:bodyPr/>
                  <a:lstStyle/>
                  <a:p>
                    <a:r>
                      <a:rPr lang="ru-RU" b="1"/>
                      <a:t>-2,0**</a:t>
                    </a:r>
                    <a:endParaRPr lang="en-US" b="1"/>
                  </a:p>
                </c:rich>
              </c:tx>
              <c:showVal val="1"/>
            </c:dLbl>
            <c:dLbl>
              <c:idx val="2"/>
              <c:layout>
                <c:manualLayout>
                  <c:x val="-1.2345749672792771E-2"/>
                  <c:y val="8.2184086010649963E-3"/>
                </c:manualLayout>
              </c:layout>
              <c:tx>
                <c:rich>
                  <a:bodyPr/>
                  <a:lstStyle/>
                  <a:p>
                    <a:r>
                      <a:rPr lang="ru-RU" b="1"/>
                      <a:t>-4,4*</a:t>
                    </a:r>
                    <a:endParaRPr lang="en-US" b="1"/>
                  </a:p>
                </c:rich>
              </c:tx>
              <c:showVal val="1"/>
            </c:dLbl>
            <c:dLbl>
              <c:idx val="3"/>
              <c:layout>
                <c:manualLayout>
                  <c:x val="-2.2726488424649752E-2"/>
                  <c:y val="1.810159582540178E-2"/>
                </c:manualLayout>
              </c:layout>
              <c:tx>
                <c:rich>
                  <a:bodyPr/>
                  <a:lstStyle/>
                  <a:p>
                    <a:r>
                      <a:rPr lang="ru-RU" b="1"/>
                      <a:t>-13,1**</a:t>
                    </a:r>
                    <a:endParaRPr lang="en-US" b="1"/>
                  </a:p>
                </c:rich>
              </c:tx>
              <c:showVal val="1"/>
            </c:dLbl>
            <c:spPr>
              <a:noFill/>
            </c:spPr>
            <c:txPr>
              <a:bodyPr/>
              <a:lstStyle/>
              <a:p>
                <a:pPr>
                  <a:defRPr b="1"/>
                </a:pPr>
                <a:endParaRPr lang="ru-RU"/>
              </a:p>
            </c:txPr>
            <c:showVal val="1"/>
          </c:dLbls>
          <c:cat>
            <c:strRef>
              <c:f>Лист1!$A$3:$A$6</c:f>
              <c:strCache>
                <c:ptCount val="4"/>
                <c:pt idx="0">
                  <c:v>руб. ПМР 2016 год</c:v>
                </c:pt>
                <c:pt idx="1">
                  <c:v>долл. США</c:v>
                </c:pt>
                <c:pt idx="2">
                  <c:v>руб. ПМР 2017 год</c:v>
                </c:pt>
                <c:pt idx="3">
                  <c:v>долл. США</c:v>
                </c:pt>
              </c:strCache>
            </c:strRef>
          </c:cat>
          <c:val>
            <c:numRef>
              <c:f>Лист1!$B$3:$B$6</c:f>
              <c:numCache>
                <c:formatCode>General</c:formatCode>
                <c:ptCount val="4"/>
                <c:pt idx="0">
                  <c:v>3786</c:v>
                </c:pt>
                <c:pt idx="1">
                  <c:v>336</c:v>
                </c:pt>
                <c:pt idx="2">
                  <c:v>3912</c:v>
                </c:pt>
                <c:pt idx="3">
                  <c:v>292</c:v>
                </c:pt>
              </c:numCache>
            </c:numRef>
          </c:val>
        </c:ser>
        <c:ser>
          <c:idx val="1"/>
          <c:order val="1"/>
          <c:tx>
            <c:strRef>
              <c:f>Лист1!$C$2</c:f>
              <c:strCache>
                <c:ptCount val="1"/>
                <c:pt idx="0">
                  <c:v>СНЗП по крупным предприятиям республики</c:v>
                </c:pt>
              </c:strCache>
            </c:strRef>
          </c:tx>
          <c:spPr>
            <a:solidFill>
              <a:sysClr val="window" lastClr="FFFFFF">
                <a:lumMod val="65000"/>
              </a:sysClr>
            </a:solidFill>
            <a:ln>
              <a:solidFill>
                <a:sysClr val="windowText" lastClr="000000"/>
              </a:solidFill>
            </a:ln>
          </c:spPr>
          <c:dLbls>
            <c:dLbl>
              <c:idx val="0"/>
              <c:layout>
                <c:manualLayout>
                  <c:x val="6.3943236384602113E-3"/>
                  <c:y val="1.4839341582481276E-2"/>
                </c:manualLayout>
              </c:layout>
              <c:tx>
                <c:rich>
                  <a:bodyPr/>
                  <a:lstStyle/>
                  <a:p>
                    <a:r>
                      <a:rPr lang="ru-RU" b="1"/>
                      <a:t>-1,5*</a:t>
                    </a:r>
                    <a:endParaRPr lang="en-US" b="1"/>
                  </a:p>
                </c:rich>
              </c:tx>
              <c:showVal val="1"/>
            </c:dLbl>
            <c:dLbl>
              <c:idx val="1"/>
              <c:layout>
                <c:manualLayout>
                  <c:x val="-6.1728395061728504E-3"/>
                  <c:y val="-2.1108179419526391E-2"/>
                </c:manualLayout>
              </c:layout>
              <c:tx>
                <c:rich>
                  <a:bodyPr/>
                  <a:lstStyle/>
                  <a:p>
                    <a:r>
                      <a:rPr lang="ru-RU" b="1"/>
                      <a:t>-2,0**</a:t>
                    </a:r>
                    <a:endParaRPr lang="en-US" b="1"/>
                  </a:p>
                </c:rich>
              </c:tx>
              <c:showVal val="1"/>
            </c:dLbl>
            <c:dLbl>
              <c:idx val="2"/>
              <c:layout>
                <c:manualLayout>
                  <c:x val="0"/>
                  <c:y val="1.2328098259796713E-2"/>
                </c:manualLayout>
              </c:layout>
              <c:tx>
                <c:rich>
                  <a:bodyPr/>
                  <a:lstStyle/>
                  <a:p>
                    <a:r>
                      <a:rPr lang="ru-RU" b="1"/>
                      <a:t>-4,3*</a:t>
                    </a:r>
                    <a:endParaRPr lang="en-US" b="1"/>
                  </a:p>
                </c:rich>
              </c:tx>
              <c:showVal val="1"/>
            </c:dLbl>
            <c:dLbl>
              <c:idx val="3"/>
              <c:layout>
                <c:manualLayout>
                  <c:x val="2.2557308610074471E-5"/>
                  <c:y val="-1.3640506830445941E-2"/>
                </c:manualLayout>
              </c:layout>
              <c:tx>
                <c:rich>
                  <a:bodyPr/>
                  <a:lstStyle/>
                  <a:p>
                    <a:r>
                      <a:rPr lang="ru-RU" b="1"/>
                      <a:t>-12,9**</a:t>
                    </a:r>
                    <a:endParaRPr lang="en-US" b="1"/>
                  </a:p>
                </c:rich>
              </c:tx>
              <c:showVal val="1"/>
            </c:dLbl>
            <c:spPr>
              <a:noFill/>
            </c:spPr>
            <c:txPr>
              <a:bodyPr/>
              <a:lstStyle/>
              <a:p>
                <a:pPr>
                  <a:defRPr b="1"/>
                </a:pPr>
                <a:endParaRPr lang="ru-RU"/>
              </a:p>
            </c:txPr>
            <c:showVal val="1"/>
          </c:dLbls>
          <c:cat>
            <c:strRef>
              <c:f>Лист1!$A$3:$A$6</c:f>
              <c:strCache>
                <c:ptCount val="4"/>
                <c:pt idx="0">
                  <c:v>руб. ПМР 2016 год</c:v>
                </c:pt>
                <c:pt idx="1">
                  <c:v>долл. США</c:v>
                </c:pt>
                <c:pt idx="2">
                  <c:v>руб. ПМР 2017 год</c:v>
                </c:pt>
                <c:pt idx="3">
                  <c:v>долл. США</c:v>
                </c:pt>
              </c:strCache>
            </c:strRef>
          </c:cat>
          <c:val>
            <c:numRef>
              <c:f>Лист1!$C$3:$C$6</c:f>
              <c:numCache>
                <c:formatCode>General</c:formatCode>
                <c:ptCount val="4"/>
                <c:pt idx="0">
                  <c:v>3844</c:v>
                </c:pt>
                <c:pt idx="1">
                  <c:v>341</c:v>
                </c:pt>
                <c:pt idx="2">
                  <c:v>3977</c:v>
                </c:pt>
                <c:pt idx="3">
                  <c:v>297</c:v>
                </c:pt>
              </c:numCache>
            </c:numRef>
          </c:val>
        </c:ser>
        <c:ser>
          <c:idx val="2"/>
          <c:order val="2"/>
          <c:tx>
            <c:strRef>
              <c:f>Лист1!$D$2</c:f>
              <c:strCache>
                <c:ptCount val="1"/>
                <c:pt idx="0">
                  <c:v>СНЗП в организациях малого предпринимательства</c:v>
                </c:pt>
              </c:strCache>
            </c:strRef>
          </c:tx>
          <c:spPr>
            <a:solidFill>
              <a:srgbClr val="4BACC6">
                <a:lumMod val="75000"/>
              </a:srgbClr>
            </a:solidFill>
            <a:ln>
              <a:solidFill>
                <a:sysClr val="windowText" lastClr="000000"/>
              </a:solidFill>
            </a:ln>
          </c:spPr>
          <c:dLbls>
            <c:dLbl>
              <c:idx val="0"/>
              <c:layout>
                <c:manualLayout>
                  <c:x val="1.4220194683040361E-2"/>
                  <c:y val="1.1321141782513642E-2"/>
                </c:manualLayout>
              </c:layout>
              <c:tx>
                <c:rich>
                  <a:bodyPr/>
                  <a:lstStyle/>
                  <a:p>
                    <a:r>
                      <a:rPr lang="ru-RU" b="1"/>
                      <a:t>-8,0*</a:t>
                    </a:r>
                    <a:endParaRPr lang="en-US" b="1"/>
                  </a:p>
                </c:rich>
              </c:tx>
              <c:showVal val="1"/>
            </c:dLbl>
            <c:dLbl>
              <c:idx val="1"/>
              <c:layout>
                <c:manualLayout>
                  <c:x val="1.0288065843621401E-2"/>
                  <c:y val="0"/>
                </c:manualLayout>
              </c:layout>
              <c:tx>
                <c:rich>
                  <a:bodyPr/>
                  <a:lstStyle/>
                  <a:p>
                    <a:r>
                      <a:rPr lang="ru-RU" b="1"/>
                      <a:t>-8,6**</a:t>
                    </a:r>
                    <a:endParaRPr lang="en-US" b="1"/>
                  </a:p>
                </c:rich>
              </c:tx>
              <c:showVal val="1"/>
            </c:dLbl>
            <c:dLbl>
              <c:idx val="2"/>
              <c:layout>
                <c:manualLayout>
                  <c:x val="1.4483643847031149E-2"/>
                  <c:y val="1.761979691965801E-2"/>
                </c:manualLayout>
              </c:layout>
              <c:tx>
                <c:rich>
                  <a:bodyPr/>
                  <a:lstStyle/>
                  <a:p>
                    <a:r>
                      <a:rPr lang="ru-RU" b="1"/>
                      <a:t>+1,4*</a:t>
                    </a:r>
                    <a:endParaRPr lang="en-US" b="1"/>
                  </a:p>
                </c:rich>
              </c:tx>
              <c:showVal val="1"/>
            </c:dLbl>
            <c:dLbl>
              <c:idx val="3"/>
              <c:layout>
                <c:manualLayout>
                  <c:x val="1.1120753144766644E-2"/>
                  <c:y val="3.6146242955430296E-3"/>
                </c:manualLayout>
              </c:layout>
              <c:tx>
                <c:rich>
                  <a:bodyPr/>
                  <a:lstStyle/>
                  <a:p>
                    <a:r>
                      <a:rPr lang="ru-RU" b="1"/>
                      <a:t>-7,6**</a:t>
                    </a:r>
                    <a:endParaRPr lang="en-US" b="1"/>
                  </a:p>
                </c:rich>
              </c:tx>
              <c:showVal val="1"/>
            </c:dLbl>
            <c:spPr>
              <a:noFill/>
            </c:spPr>
            <c:txPr>
              <a:bodyPr/>
              <a:lstStyle/>
              <a:p>
                <a:pPr>
                  <a:defRPr b="1"/>
                </a:pPr>
                <a:endParaRPr lang="ru-RU"/>
              </a:p>
            </c:txPr>
            <c:showVal val="1"/>
          </c:dLbls>
          <c:cat>
            <c:strRef>
              <c:f>Лист1!$A$3:$A$6</c:f>
              <c:strCache>
                <c:ptCount val="4"/>
                <c:pt idx="0">
                  <c:v>руб. ПМР 2016 год</c:v>
                </c:pt>
                <c:pt idx="1">
                  <c:v>долл. США</c:v>
                </c:pt>
                <c:pt idx="2">
                  <c:v>руб. ПМР 2017 год</c:v>
                </c:pt>
                <c:pt idx="3">
                  <c:v>долл. США</c:v>
                </c:pt>
              </c:strCache>
            </c:strRef>
          </c:cat>
          <c:val>
            <c:numRef>
              <c:f>Лист1!$D$3:$D$6</c:f>
              <c:numCache>
                <c:formatCode>General</c:formatCode>
                <c:ptCount val="4"/>
                <c:pt idx="0">
                  <c:v>3120</c:v>
                </c:pt>
                <c:pt idx="1">
                  <c:v>277</c:v>
                </c:pt>
                <c:pt idx="2">
                  <c:v>3420</c:v>
                </c:pt>
                <c:pt idx="3">
                  <c:v>256</c:v>
                </c:pt>
              </c:numCache>
            </c:numRef>
          </c:val>
        </c:ser>
        <c:axId val="125227008"/>
        <c:axId val="125228544"/>
      </c:barChart>
      <c:catAx>
        <c:axId val="125227008"/>
        <c:scaling>
          <c:orientation val="minMax"/>
        </c:scaling>
        <c:axPos val="b"/>
        <c:numFmt formatCode="General" sourceLinked="1"/>
        <c:tickLblPos val="nextTo"/>
        <c:crossAx val="125228544"/>
        <c:crosses val="autoZero"/>
        <c:auto val="1"/>
        <c:lblAlgn val="ctr"/>
        <c:lblOffset val="100"/>
      </c:catAx>
      <c:valAx>
        <c:axId val="125228544"/>
        <c:scaling>
          <c:orientation val="minMax"/>
          <c:max val="4000"/>
          <c:min val="0"/>
        </c:scaling>
        <c:axPos val="l"/>
        <c:title>
          <c:tx>
            <c:rich>
              <a:bodyPr rot="0" vert="horz"/>
              <a:lstStyle/>
              <a:p>
                <a:pPr>
                  <a:defRPr sz="900" b="0"/>
                </a:pPr>
                <a:r>
                  <a:rPr lang="ru-RU" sz="900" b="0"/>
                  <a:t>* - Прирост/спад реальной заработной платы, %</a:t>
                </a:r>
              </a:p>
              <a:p>
                <a:pPr>
                  <a:defRPr sz="900" b="0"/>
                </a:pPr>
                <a:r>
                  <a:rPr lang="ru-RU" sz="900" b="0"/>
                  <a:t>** - прирост/спад заработной платы в долларовом эквиваленте, %</a:t>
                </a:r>
              </a:p>
              <a:p>
                <a:pPr>
                  <a:defRPr sz="900" b="0"/>
                </a:pPr>
                <a:endParaRPr lang="ru-RU" sz="900" b="0"/>
              </a:p>
            </c:rich>
          </c:tx>
          <c:layout>
            <c:manualLayout>
              <c:xMode val="edge"/>
              <c:yMode val="edge"/>
              <c:x val="3.9248411705546202E-2"/>
              <c:y val="0.17392138121463141"/>
            </c:manualLayout>
          </c:layout>
        </c:title>
        <c:numFmt formatCode="General" sourceLinked="1"/>
        <c:tickLblPos val="nextTo"/>
        <c:txPr>
          <a:bodyPr/>
          <a:lstStyle/>
          <a:p>
            <a:pPr>
              <a:defRPr b="1"/>
            </a:pPr>
            <a:endParaRPr lang="ru-RU"/>
          </a:p>
        </c:txPr>
        <c:crossAx val="125227008"/>
        <c:crosses val="autoZero"/>
        <c:crossBetween val="between"/>
      </c:valAx>
      <c:dTable>
        <c:showHorzBorder val="1"/>
        <c:showVertBorder val="1"/>
        <c:showOutline val="1"/>
        <c:showKeys val="1"/>
        <c:txPr>
          <a:bodyPr/>
          <a:lstStyle/>
          <a:p>
            <a:pPr rtl="0">
              <a:defRPr sz="900" b="1"/>
            </a:pPr>
            <a:endParaRPr lang="ru-RU"/>
          </a:p>
        </c:txPr>
      </c:dTable>
    </c:plotArea>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b="1"/>
              <a:t>Динамика оплаты труда в разрезе отраслей экономики, руб. ПМР*</a:t>
            </a:r>
            <a:endParaRPr lang="ru-RU" b="1">
              <a:solidFill>
                <a:srgbClr val="FF0000"/>
              </a:solidFill>
            </a:endParaRPr>
          </a:p>
        </c:rich>
      </c:tx>
      <c:layout>
        <c:manualLayout>
          <c:xMode val="edge"/>
          <c:yMode val="edge"/>
          <c:x val="0.17176795208291931"/>
          <c:y val="1.7827634559378708E-2"/>
        </c:manualLayout>
      </c:layout>
      <c:spPr>
        <a:noFill/>
        <a:ln w="25176">
          <a:noFill/>
        </a:ln>
      </c:spPr>
    </c:title>
    <c:plotArea>
      <c:layout>
        <c:manualLayout>
          <c:layoutTarget val="inner"/>
          <c:xMode val="edge"/>
          <c:yMode val="edge"/>
          <c:x val="7.0115288220551381E-2"/>
          <c:y val="9.262638899109836E-2"/>
          <c:w val="0.8597694235589034"/>
          <c:h val="0.40752937424878038"/>
        </c:manualLayout>
      </c:layout>
      <c:barChart>
        <c:barDir val="col"/>
        <c:grouping val="clustered"/>
        <c:ser>
          <c:idx val="0"/>
          <c:order val="0"/>
          <c:tx>
            <c:strRef>
              <c:f>Sheet1!$A$2</c:f>
              <c:strCache>
                <c:ptCount val="1"/>
                <c:pt idx="0">
                  <c:v>2016 год</c:v>
                </c:pt>
              </c:strCache>
            </c:strRef>
          </c:tx>
          <c:spPr>
            <a:solidFill>
              <a:sysClr val="window" lastClr="FFFFFF">
                <a:lumMod val="75000"/>
              </a:sysClr>
            </a:solidFill>
            <a:ln w="24130">
              <a:solidFill>
                <a:srgbClr val="000080"/>
              </a:solidFill>
              <a:prstDash val="solid"/>
            </a:ln>
          </c:spPr>
          <c:dLbls>
            <c:dLbl>
              <c:idx val="0"/>
              <c:layout>
                <c:manualLayout>
                  <c:x val="-4.9743255777238513E-3"/>
                  <c:y val="-2.3771678072951252E-3"/>
                </c:manualLayout>
              </c:layout>
              <c:showVal val="1"/>
            </c:dLbl>
            <c:dLbl>
              <c:idx val="1"/>
              <c:layout>
                <c:manualLayout>
                  <c:x val="-9.3908787717324801E-3"/>
                  <c:y val="1.6646552358525392E-2"/>
                </c:manualLayout>
              </c:layout>
              <c:showVal val="1"/>
            </c:dLbl>
            <c:dLbl>
              <c:idx val="2"/>
              <c:layout>
                <c:manualLayout>
                  <c:x val="-6.1457580960274701E-3"/>
                  <c:y val="1.0618637623568083E-2"/>
                </c:manualLayout>
              </c:layout>
              <c:showVal val="1"/>
            </c:dLbl>
            <c:dLbl>
              <c:idx val="3"/>
              <c:layout>
                <c:manualLayout>
                  <c:x val="-1.3629506837961122E-2"/>
                  <c:y val="1.0154046164790076E-2"/>
                </c:manualLayout>
              </c:layout>
              <c:showVal val="1"/>
            </c:dLbl>
            <c:dLbl>
              <c:idx val="4"/>
              <c:layout>
                <c:manualLayout>
                  <c:x val="-1.3906419592287916E-2"/>
                  <c:y val="1.0692471852233461E-2"/>
                </c:manualLayout>
              </c:layout>
              <c:showVal val="1"/>
            </c:dLbl>
            <c:dLbl>
              <c:idx val="5"/>
              <c:layout>
                <c:manualLayout>
                  <c:x val="-5.7371775896434014E-3"/>
                  <c:y val="9.5886378688645746E-3"/>
                </c:manualLayout>
              </c:layout>
              <c:showVal val="1"/>
            </c:dLbl>
            <c:dLbl>
              <c:idx val="6"/>
              <c:layout>
                <c:manualLayout>
                  <c:x val="-1.2065912813529804E-2"/>
                  <c:y val="1.3498417837957181E-2"/>
                </c:manualLayout>
              </c:layout>
              <c:showVal val="1"/>
            </c:dLbl>
            <c:dLbl>
              <c:idx val="7"/>
              <c:layout>
                <c:manualLayout>
                  <c:x val="-2.6230300159848452E-2"/>
                  <c:y val="4.1079549635734645E-2"/>
                </c:manualLayout>
              </c:layout>
              <c:showVal val="1"/>
            </c:dLbl>
            <c:dLbl>
              <c:idx val="8"/>
              <c:layout>
                <c:manualLayout>
                  <c:x val="-3.8849880607029711E-3"/>
                  <c:y val="6.8928299850369518E-3"/>
                </c:manualLayout>
              </c:layout>
              <c:showVal val="1"/>
            </c:dLbl>
            <c:dLbl>
              <c:idx val="9"/>
              <c:layout>
                <c:manualLayout>
                  <c:x val="4.2733605667712804E-3"/>
                  <c:y val="4.6334044693011524E-3"/>
                </c:manualLayout>
              </c:layout>
              <c:showVal val="1"/>
            </c:dLbl>
            <c:dLbl>
              <c:idx val="10"/>
              <c:layout>
                <c:manualLayout>
                  <c:x val="6.1828909547717564E-3"/>
                  <c:y val="7.7322209787364024E-3"/>
                </c:manualLayout>
              </c:layout>
              <c:showVal val="1"/>
            </c:dLbl>
            <c:dLbl>
              <c:idx val="11"/>
              <c:layout>
                <c:manualLayout>
                  <c:x val="-1.1498510054664221E-2"/>
                  <c:y val="1.657566168714892E-2"/>
                </c:manualLayout>
              </c:layout>
              <c:showVal val="1"/>
            </c:dLbl>
            <c:dLbl>
              <c:idx val="12"/>
              <c:layout>
                <c:manualLayout>
                  <c:x val="-4.8230813253606524E-3"/>
                  <c:y val="1.1825741408492239E-2"/>
                </c:manualLayout>
              </c:layout>
              <c:showVal val="1"/>
            </c:dLbl>
            <c:dLbl>
              <c:idx val="13"/>
              <c:layout>
                <c:manualLayout>
                  <c:x val="-6.4150928502358434E-3"/>
                  <c:y val="1.4933892609218263E-2"/>
                </c:manualLayout>
              </c:layout>
              <c:showVal val="1"/>
            </c:dLbl>
            <c:dLbl>
              <c:idx val="14"/>
              <c:layout>
                <c:manualLayout>
                  <c:x val="-1.2027707062932923E-2"/>
                  <c:y val="1.177570093457944E-2"/>
                </c:manualLayout>
              </c:layout>
              <c:showVal val="1"/>
            </c:dLbl>
            <c:dLbl>
              <c:idx val="15"/>
              <c:layout>
                <c:manualLayout>
                  <c:x val="-8.1545596274150266E-3"/>
                  <c:y val="6.1500723624500304E-3"/>
                </c:manualLayout>
              </c:layout>
              <c:showVal val="1"/>
            </c:dLbl>
            <c:dLbl>
              <c:idx val="16"/>
              <c:layout>
                <c:manualLayout>
                  <c:x val="-8.1828192528565508E-3"/>
                  <c:y val="9.7125125714426774E-3"/>
                </c:manualLayout>
              </c:layout>
              <c:showVal val="1"/>
            </c:dLbl>
            <c:dLbl>
              <c:idx val="17"/>
              <c:layout>
                <c:manualLayout>
                  <c:x val="-2.4767251501365644E-2"/>
                  <c:y val="3.8320210667346692E-2"/>
                </c:manualLayout>
              </c:layout>
              <c:showVal val="1"/>
            </c:dLbl>
            <c:dLbl>
              <c:idx val="18"/>
              <c:layout>
                <c:manualLayout>
                  <c:x val="-1.7094017094017103E-2"/>
                  <c:y val="4.7144169871847781E-2"/>
                </c:manualLayout>
              </c:layout>
              <c:showVal val="1"/>
            </c:dLbl>
            <c:txPr>
              <a:bodyPr/>
              <a:lstStyle/>
              <a:p>
                <a:pPr>
                  <a:defRPr sz="700"/>
                </a:pPr>
                <a:endParaRPr lang="ru-RU"/>
              </a:p>
            </c:txPr>
            <c:showVal val="1"/>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Sheet1!$B$2:$R$2</c:f>
              <c:numCache>
                <c:formatCode>0</c:formatCode>
                <c:ptCount val="17"/>
                <c:pt idx="0" formatCode="General">
                  <c:v>4967</c:v>
                </c:pt>
                <c:pt idx="1">
                  <c:v>3218</c:v>
                </c:pt>
                <c:pt idx="2" formatCode="General">
                  <c:v>2539</c:v>
                </c:pt>
                <c:pt idx="3" formatCode="General">
                  <c:v>3950</c:v>
                </c:pt>
                <c:pt idx="4" formatCode="General">
                  <c:v>7168</c:v>
                </c:pt>
                <c:pt idx="5" formatCode="General">
                  <c:v>4585</c:v>
                </c:pt>
                <c:pt idx="6" formatCode="General">
                  <c:v>1964</c:v>
                </c:pt>
                <c:pt idx="7">
                  <c:v>3902</c:v>
                </c:pt>
                <c:pt idx="8">
                  <c:v>4374</c:v>
                </c:pt>
                <c:pt idx="9">
                  <c:v>4333</c:v>
                </c:pt>
                <c:pt idx="10">
                  <c:v>4132</c:v>
                </c:pt>
                <c:pt idx="11">
                  <c:v>2692</c:v>
                </c:pt>
                <c:pt idx="12">
                  <c:v>2680</c:v>
                </c:pt>
                <c:pt idx="13">
                  <c:v>2425</c:v>
                </c:pt>
                <c:pt idx="14">
                  <c:v>3428</c:v>
                </c:pt>
                <c:pt idx="15">
                  <c:v>7331</c:v>
                </c:pt>
                <c:pt idx="16">
                  <c:v>6931</c:v>
                </c:pt>
              </c:numCache>
            </c:numRef>
          </c:val>
        </c:ser>
        <c:ser>
          <c:idx val="1"/>
          <c:order val="1"/>
          <c:tx>
            <c:strRef>
              <c:f>Sheet1!$A$3</c:f>
              <c:strCache>
                <c:ptCount val="1"/>
                <c:pt idx="0">
                  <c:v>2017 год</c:v>
                </c:pt>
              </c:strCache>
            </c:strRef>
          </c:tx>
          <c:spPr>
            <a:solidFill>
              <a:srgbClr val="4BACC6">
                <a:lumMod val="75000"/>
              </a:srgbClr>
            </a:solidFill>
            <a:ln w="24130">
              <a:solidFill>
                <a:sysClr val="windowText" lastClr="000000"/>
              </a:solidFill>
              <a:prstDash val="solid"/>
            </a:ln>
          </c:spPr>
          <c:dLbls>
            <c:dLbl>
              <c:idx val="0"/>
              <c:layout>
                <c:manualLayout>
                  <c:x val="1.4470033351094258E-2"/>
                  <c:y val="9.5469374739372767E-3"/>
                </c:manualLayout>
              </c:layout>
              <c:showVal val="1"/>
            </c:dLbl>
            <c:dLbl>
              <c:idx val="1"/>
              <c:layout>
                <c:manualLayout>
                  <c:x val="1.0867641544806917E-2"/>
                  <c:y val="1.5622930311281183E-2"/>
                </c:manualLayout>
              </c:layout>
              <c:showVal val="1"/>
            </c:dLbl>
            <c:dLbl>
              <c:idx val="2"/>
              <c:layout>
                <c:manualLayout>
                  <c:x val="1.1766739683855436E-2"/>
                  <c:y val="1.4764638065101679E-2"/>
                </c:manualLayout>
              </c:layout>
              <c:showVal val="1"/>
            </c:dLbl>
            <c:dLbl>
              <c:idx val="3"/>
              <c:layout>
                <c:manualLayout>
                  <c:x val="8.4418921319045648E-3"/>
                  <c:y val="1.1278485049182026E-2"/>
                </c:manualLayout>
              </c:layout>
              <c:showVal val="1"/>
            </c:dLbl>
            <c:dLbl>
              <c:idx val="4"/>
              <c:layout>
                <c:manualLayout>
                  <c:x val="1.3632506463007994E-2"/>
                  <c:y val="7.2661711678563574E-3"/>
                </c:manualLayout>
              </c:layout>
              <c:showVal val="1"/>
            </c:dLbl>
            <c:dLbl>
              <c:idx val="5"/>
              <c:layout>
                <c:manualLayout>
                  <c:x val="1.4572494227695222E-2"/>
                  <c:y val="1.5811072681335421E-2"/>
                </c:manualLayout>
              </c:layout>
              <c:showVal val="1"/>
            </c:dLbl>
            <c:dLbl>
              <c:idx val="6"/>
              <c:layout>
                <c:manualLayout>
                  <c:x val="1.0053953782093018E-2"/>
                  <c:y val="1.2411509308999927E-2"/>
                </c:manualLayout>
              </c:layout>
              <c:showVal val="1"/>
            </c:dLbl>
            <c:dLbl>
              <c:idx val="7"/>
              <c:layout>
                <c:manualLayout>
                  <c:x val="3.0439879225623518E-3"/>
                  <c:y val="1.2503986067162201E-2"/>
                </c:manualLayout>
              </c:layout>
              <c:showVal val="1"/>
            </c:dLbl>
            <c:dLbl>
              <c:idx val="8"/>
              <c:layout>
                <c:manualLayout>
                  <c:x val="1.2560377321255901E-2"/>
                  <c:y val="1.8932960482743396E-2"/>
                </c:manualLayout>
              </c:layout>
              <c:showVal val="1"/>
            </c:dLbl>
            <c:dLbl>
              <c:idx val="9"/>
              <c:layout>
                <c:manualLayout>
                  <c:x val="1.2030075187969927E-2"/>
                  <c:y val="9.4959158142616119E-3"/>
                </c:manualLayout>
              </c:layout>
              <c:showVal val="1"/>
            </c:dLbl>
            <c:dLbl>
              <c:idx val="10"/>
              <c:layout>
                <c:manualLayout>
                  <c:x val="1.5708878495451339E-2"/>
                  <c:y val="-5.8370741040547859E-3"/>
                </c:manualLayout>
              </c:layout>
              <c:showVal val="1"/>
            </c:dLbl>
            <c:dLbl>
              <c:idx val="11"/>
              <c:layout>
                <c:manualLayout>
                  <c:x val="3.5526611805103392E-3"/>
                  <c:y val="5.9974979763043734E-3"/>
                </c:manualLayout>
              </c:layout>
              <c:showVal val="1"/>
            </c:dLbl>
            <c:dLbl>
              <c:idx val="12"/>
              <c:layout>
                <c:manualLayout>
                  <c:x val="1.3848953091389903E-2"/>
                  <c:y val="5.5939853312728435E-3"/>
                </c:manualLayout>
              </c:layout>
              <c:showVal val="1"/>
            </c:dLbl>
            <c:dLbl>
              <c:idx val="13"/>
              <c:layout>
                <c:manualLayout>
                  <c:x val="1.0030588281728023E-2"/>
                  <c:y val="1.1240709397306776E-2"/>
                </c:manualLayout>
              </c:layout>
              <c:showVal val="1"/>
            </c:dLbl>
            <c:dLbl>
              <c:idx val="14"/>
              <c:layout>
                <c:manualLayout>
                  <c:x val="1.1783668676904678E-6"/>
                  <c:y val="8.3589554542856728E-3"/>
                </c:manualLayout>
              </c:layout>
              <c:showVal val="1"/>
            </c:dLbl>
            <c:dLbl>
              <c:idx val="15"/>
              <c:layout>
                <c:manualLayout>
                  <c:x val="5.4793992856156999E-2"/>
                  <c:y val="6.700762871930767E-3"/>
                </c:manualLayout>
              </c:layout>
              <c:showVal val="1"/>
            </c:dLbl>
            <c:dLbl>
              <c:idx val="16"/>
              <c:layout>
                <c:manualLayout>
                  <c:x val="-3.7694393463975254E-2"/>
                  <c:y val="3.7635832904065014E-3"/>
                </c:manualLayout>
              </c:layout>
              <c:showVal val="1"/>
            </c:dLbl>
            <c:dLbl>
              <c:idx val="17"/>
              <c:layout>
                <c:manualLayout>
                  <c:x val="7.0281166751537125E-3"/>
                  <c:y val="8.375031215605391E-3"/>
                </c:manualLayout>
              </c:layout>
              <c:showVal val="1"/>
            </c:dLbl>
            <c:dLbl>
              <c:idx val="18"/>
              <c:layout>
                <c:manualLayout>
                  <c:x val="5.7439935392691434E-3"/>
                  <c:y val="4.8113482670014723E-4"/>
                </c:manualLayout>
              </c:layout>
              <c:showVal val="1"/>
            </c:dLbl>
            <c:txPr>
              <a:bodyPr/>
              <a:lstStyle/>
              <a:p>
                <a:pPr>
                  <a:defRPr sz="800" b="1"/>
                </a:pPr>
                <a:endParaRPr lang="ru-RU"/>
              </a:p>
            </c:txPr>
            <c:showVal val="1"/>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Sheet1!$B$3:$R$3</c:f>
              <c:numCache>
                <c:formatCode>0</c:formatCode>
                <c:ptCount val="17"/>
                <c:pt idx="0" formatCode="General">
                  <c:v>5322</c:v>
                </c:pt>
                <c:pt idx="1">
                  <c:v>3475</c:v>
                </c:pt>
                <c:pt idx="2" formatCode="General">
                  <c:v>2223</c:v>
                </c:pt>
                <c:pt idx="3" formatCode="General">
                  <c:v>4128</c:v>
                </c:pt>
                <c:pt idx="4" formatCode="General">
                  <c:v>7498</c:v>
                </c:pt>
                <c:pt idx="5" formatCode="General">
                  <c:v>4575</c:v>
                </c:pt>
                <c:pt idx="6" formatCode="General">
                  <c:v>2074</c:v>
                </c:pt>
                <c:pt idx="7">
                  <c:v>3990</c:v>
                </c:pt>
                <c:pt idx="8">
                  <c:v>4151</c:v>
                </c:pt>
                <c:pt idx="9">
                  <c:v>3894</c:v>
                </c:pt>
                <c:pt idx="10">
                  <c:v>4165</c:v>
                </c:pt>
                <c:pt idx="11">
                  <c:v>2741</c:v>
                </c:pt>
                <c:pt idx="12">
                  <c:v>2699</c:v>
                </c:pt>
                <c:pt idx="13">
                  <c:v>2469</c:v>
                </c:pt>
                <c:pt idx="14">
                  <c:v>3912</c:v>
                </c:pt>
                <c:pt idx="15">
                  <c:v>7120</c:v>
                </c:pt>
                <c:pt idx="16">
                  <c:v>7136</c:v>
                </c:pt>
              </c:numCache>
            </c:numRef>
          </c:val>
        </c:ser>
        <c:axId val="126711296"/>
        <c:axId val="126713216"/>
      </c:barChart>
      <c:lineChart>
        <c:grouping val="standard"/>
        <c:ser>
          <c:idx val="2"/>
          <c:order val="2"/>
          <c:tx>
            <c:strRef>
              <c:f>Sheet1!$A$4</c:f>
              <c:strCache>
                <c:ptCount val="1"/>
                <c:pt idx="0">
                  <c:v>средняя заработная плата в целом по республике за 2017 год</c:v>
                </c:pt>
              </c:strCache>
            </c:strRef>
          </c:tx>
          <c:spPr>
            <a:ln w="24130">
              <a:solidFill>
                <a:sysClr val="windowText" lastClr="000000"/>
              </a:solidFill>
              <a:prstDash val="solid"/>
            </a:ln>
          </c:spPr>
          <c:marker>
            <c:symbol val="triangle"/>
            <c:size val="2"/>
            <c:spPr>
              <a:solidFill>
                <a:sysClr val="windowText" lastClr="000000"/>
              </a:solidFill>
              <a:ln>
                <a:solidFill>
                  <a:sysClr val="windowText" lastClr="000000"/>
                </a:solidFill>
                <a:prstDash val="solid"/>
              </a:ln>
            </c:spPr>
          </c:marker>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Sheet1!$B$4:$R$4</c:f>
              <c:numCache>
                <c:formatCode>General</c:formatCode>
                <c:ptCount val="17"/>
                <c:pt idx="0">
                  <c:v>3977</c:v>
                </c:pt>
                <c:pt idx="1">
                  <c:v>3977</c:v>
                </c:pt>
                <c:pt idx="2">
                  <c:v>3977</c:v>
                </c:pt>
                <c:pt idx="3">
                  <c:v>3977</c:v>
                </c:pt>
                <c:pt idx="4">
                  <c:v>3977</c:v>
                </c:pt>
                <c:pt idx="5">
                  <c:v>3977</c:v>
                </c:pt>
                <c:pt idx="6">
                  <c:v>3977</c:v>
                </c:pt>
                <c:pt idx="7">
                  <c:v>3977</c:v>
                </c:pt>
                <c:pt idx="8">
                  <c:v>3977</c:v>
                </c:pt>
                <c:pt idx="9">
                  <c:v>3977</c:v>
                </c:pt>
                <c:pt idx="10">
                  <c:v>3977</c:v>
                </c:pt>
                <c:pt idx="11">
                  <c:v>3977</c:v>
                </c:pt>
                <c:pt idx="12">
                  <c:v>3977</c:v>
                </c:pt>
                <c:pt idx="13">
                  <c:v>3977</c:v>
                </c:pt>
                <c:pt idx="14">
                  <c:v>3977</c:v>
                </c:pt>
                <c:pt idx="15">
                  <c:v>3977</c:v>
                </c:pt>
                <c:pt idx="16">
                  <c:v>3977</c:v>
                </c:pt>
              </c:numCache>
            </c:numRef>
          </c:val>
        </c:ser>
        <c:marker val="1"/>
        <c:axId val="126823040"/>
        <c:axId val="126821504"/>
      </c:lineChart>
      <c:catAx>
        <c:axId val="126711296"/>
        <c:scaling>
          <c:orientation val="minMax"/>
        </c:scaling>
        <c:axPos val="b"/>
        <c:numFmt formatCode="General" sourceLinked="1"/>
        <c:tickLblPos val="nextTo"/>
        <c:spPr>
          <a:ln w="3016">
            <a:solidFill>
              <a:srgbClr val="000000"/>
            </a:solidFill>
            <a:prstDash val="solid"/>
          </a:ln>
        </c:spPr>
        <c:txPr>
          <a:bodyPr rot="-5400000" vert="horz"/>
          <a:lstStyle/>
          <a:p>
            <a:pPr>
              <a:defRPr/>
            </a:pPr>
            <a:endParaRPr lang="ru-RU"/>
          </a:p>
        </c:txPr>
        <c:crossAx val="126713216"/>
        <c:crosses val="autoZero"/>
        <c:auto val="1"/>
        <c:lblAlgn val="ctr"/>
        <c:lblOffset val="200"/>
        <c:tickLblSkip val="1"/>
        <c:tickMarkSkip val="1"/>
      </c:catAx>
      <c:valAx>
        <c:axId val="126713216"/>
        <c:scaling>
          <c:orientation val="minMax"/>
          <c:max val="8000"/>
          <c:min val="1000"/>
        </c:scaling>
        <c:axPos val="l"/>
        <c:numFmt formatCode="General" sourceLinked="0"/>
        <c:tickLblPos val="nextTo"/>
        <c:spPr>
          <a:ln w="3016">
            <a:solidFill>
              <a:srgbClr val="000000"/>
            </a:solidFill>
            <a:prstDash val="solid"/>
          </a:ln>
        </c:spPr>
        <c:txPr>
          <a:bodyPr rot="0" vert="horz"/>
          <a:lstStyle/>
          <a:p>
            <a:pPr>
              <a:defRPr/>
            </a:pPr>
            <a:endParaRPr lang="ru-RU"/>
          </a:p>
        </c:txPr>
        <c:crossAx val="126711296"/>
        <c:crosses val="autoZero"/>
        <c:crossBetween val="between"/>
        <c:majorUnit val="500"/>
      </c:valAx>
      <c:valAx>
        <c:axId val="126821504"/>
        <c:scaling>
          <c:orientation val="minMax"/>
          <c:max val="8000"/>
          <c:min val="1000"/>
        </c:scaling>
        <c:axPos val="r"/>
        <c:numFmt formatCode="General" sourceLinked="1"/>
        <c:tickLblPos val="nextTo"/>
        <c:crossAx val="126823040"/>
        <c:crosses val="max"/>
        <c:crossBetween val="between"/>
        <c:majorUnit val="1000"/>
      </c:valAx>
      <c:catAx>
        <c:axId val="126823040"/>
        <c:scaling>
          <c:orientation val="minMax"/>
        </c:scaling>
        <c:delete val="1"/>
        <c:axPos val="b"/>
        <c:tickLblPos val="nextTo"/>
        <c:crossAx val="126821504"/>
        <c:crosses val="autoZero"/>
        <c:auto val="1"/>
        <c:lblAlgn val="ctr"/>
        <c:lblOffset val="100"/>
      </c:catAx>
    </c:plotArea>
    <c:legend>
      <c:legendPos val="r"/>
      <c:layout>
        <c:manualLayout>
          <c:xMode val="edge"/>
          <c:yMode val="edge"/>
          <c:x val="0"/>
          <c:y val="0.92933549194201159"/>
          <c:w val="1"/>
          <c:h val="7.0569087742536923E-2"/>
        </c:manualLayout>
      </c:layout>
      <c:spPr>
        <a:solidFill>
          <a:srgbClr val="FFFFFF"/>
        </a:solidFill>
        <a:ln w="3016">
          <a:noFill/>
          <a:prstDash val="solid"/>
        </a:ln>
      </c:spPr>
    </c:legend>
    <c:plotVisOnly val="1"/>
    <c:dispBlanksAs val="gap"/>
  </c:chart>
  <c:spPr>
    <a:no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sz="1200"/>
              <a:t>Динамика оплаты труда в организациях внебюджетного сектора, руб. ПМР*</a:t>
            </a:r>
            <a:endParaRPr lang="ru-RU" sz="1200">
              <a:solidFill>
                <a:srgbClr val="FF0000"/>
              </a:solidFill>
            </a:endParaRPr>
          </a:p>
        </c:rich>
      </c:tx>
      <c:layout>
        <c:manualLayout>
          <c:xMode val="edge"/>
          <c:yMode val="edge"/>
          <c:x val="0.20669997981021604"/>
          <c:y val="5.695178513644702E-4"/>
        </c:manualLayout>
      </c:layout>
      <c:spPr>
        <a:noFill/>
        <a:ln w="23940">
          <a:noFill/>
        </a:ln>
      </c:spPr>
    </c:title>
    <c:plotArea>
      <c:layout>
        <c:manualLayout>
          <c:layoutTarget val="inner"/>
          <c:xMode val="edge"/>
          <c:yMode val="edge"/>
          <c:x val="8.4905612759943544E-2"/>
          <c:y val="0.11535492994882489"/>
          <c:w val="0.88247863247865665"/>
          <c:h val="0.31059816153117847"/>
        </c:manualLayout>
      </c:layout>
      <c:barChart>
        <c:barDir val="col"/>
        <c:grouping val="clustered"/>
        <c:ser>
          <c:idx val="0"/>
          <c:order val="0"/>
          <c:tx>
            <c:strRef>
              <c:f>Sheet1!$A$2</c:f>
              <c:strCache>
                <c:ptCount val="1"/>
                <c:pt idx="0">
                  <c:v>2016 год</c:v>
                </c:pt>
              </c:strCache>
            </c:strRef>
          </c:tx>
          <c:spPr>
            <a:solidFill>
              <a:srgbClr val="EEECE1">
                <a:lumMod val="90000"/>
              </a:srgbClr>
            </a:solidFill>
            <a:ln w="22946">
              <a:solidFill>
                <a:sysClr val="windowText" lastClr="000000"/>
              </a:solidFill>
              <a:prstDash val="solid"/>
            </a:ln>
          </c:spPr>
          <c:dLbls>
            <c:dLbl>
              <c:idx val="0"/>
              <c:layout>
                <c:manualLayout>
                  <c:x val="-1.8904367723265464E-3"/>
                  <c:y val="-1.4180419228418469E-3"/>
                </c:manualLayout>
              </c:layout>
              <c:showVal val="1"/>
            </c:dLbl>
            <c:dLbl>
              <c:idx val="1"/>
              <c:layout>
                <c:manualLayout>
                  <c:x val="-1.282068106871268E-2"/>
                  <c:y val="1.3518138999748321E-2"/>
                </c:manualLayout>
              </c:layout>
              <c:showVal val="1"/>
            </c:dLbl>
            <c:dLbl>
              <c:idx val="2"/>
              <c:layout>
                <c:manualLayout>
                  <c:x val="4.2735042735042736E-2"/>
                  <c:y val="-4.9970637231989933E-2"/>
                </c:manualLayout>
              </c:layout>
              <c:showVal val="1"/>
            </c:dLbl>
            <c:dLbl>
              <c:idx val="3"/>
              <c:layout>
                <c:manualLayout>
                  <c:x val="-5.5963220943536569E-2"/>
                  <c:y val="7.5450328982849799E-2"/>
                </c:manualLayout>
              </c:layout>
              <c:showVal val="1"/>
            </c:dLbl>
            <c:dLbl>
              <c:idx val="4"/>
              <c:layout>
                <c:manualLayout>
                  <c:x val="-1.0803553401978565E-2"/>
                  <c:y val="1.480434808662616E-2"/>
                </c:manualLayout>
              </c:layout>
              <c:showVal val="1"/>
            </c:dLbl>
            <c:dLbl>
              <c:idx val="5"/>
              <c:layout>
                <c:manualLayout>
                  <c:x val="-1.282051282051282E-2"/>
                  <c:y val="1.3079255504020898E-2"/>
                </c:manualLayout>
              </c:layout>
              <c:showVal val="1"/>
            </c:dLbl>
            <c:dLbl>
              <c:idx val="6"/>
              <c:layout>
                <c:manualLayout>
                  <c:x val="-1.4957264957264892E-2"/>
                  <c:y val="1.2013806493366417E-2"/>
                </c:manualLayout>
              </c:layout>
              <c:showVal val="1"/>
            </c:dLbl>
            <c:dLbl>
              <c:idx val="7"/>
              <c:layout>
                <c:manualLayout>
                  <c:x val="0"/>
                  <c:y val="1.3272690228789895E-2"/>
                </c:manualLayout>
              </c:layout>
              <c:showVal val="1"/>
            </c:dLbl>
            <c:dLbl>
              <c:idx val="8"/>
              <c:layout>
                <c:manualLayout>
                  <c:x val="-1.0173968638535601E-3"/>
                  <c:y val="7.0240535001617954E-3"/>
                </c:manualLayout>
              </c:layout>
              <c:showVal val="1"/>
            </c:dLbl>
            <c:dLbl>
              <c:idx val="9"/>
              <c:layout>
                <c:manualLayout>
                  <c:x val="-8.8106534760077748E-3"/>
                  <c:y val="1.5376981986840678E-2"/>
                </c:manualLayout>
              </c:layout>
              <c:showVal val="1"/>
            </c:dLbl>
            <c:dLbl>
              <c:idx val="10"/>
              <c:layout>
                <c:manualLayout>
                  <c:x val="-1.0684097180160173E-2"/>
                  <c:y val="1.3518138999748321E-2"/>
                </c:manualLayout>
              </c:layout>
              <c:showVal val="1"/>
            </c:dLbl>
            <c:dLbl>
              <c:idx val="11"/>
              <c:layout>
                <c:manualLayout>
                  <c:x val="-2.136752136752137E-3"/>
                  <c:y val="3.7018660338690541E-3"/>
                </c:manualLayout>
              </c:layout>
              <c:showVal val="1"/>
            </c:dLbl>
            <c:dLbl>
              <c:idx val="12"/>
              <c:layout>
                <c:manualLayout>
                  <c:x val="-8.5471767952083003E-3"/>
                  <c:y val="1.2860173300255366E-2"/>
                </c:manualLayout>
              </c:layout>
              <c:showVal val="1"/>
            </c:dLbl>
            <c:dLbl>
              <c:idx val="13"/>
              <c:layout>
                <c:manualLayout>
                  <c:x val="-1.1935190793458585E-2"/>
                  <c:y val="8.0465969151117082E-3"/>
                </c:manualLayout>
              </c:layout>
              <c:showVal val="1"/>
            </c:dLbl>
            <c:dLbl>
              <c:idx val="14"/>
              <c:layout>
                <c:manualLayout>
                  <c:x val="-1.1259842519685041E-2"/>
                  <c:y val="8.6362492359688767E-3"/>
                </c:manualLayout>
              </c:layout>
              <c:showVal val="1"/>
            </c:dLbl>
            <c:dLbl>
              <c:idx val="15"/>
              <c:layout>
                <c:manualLayout>
                  <c:x val="-8.5470085470085496E-3"/>
                  <c:y val="1.4149977828113952E-2"/>
                </c:manualLayout>
              </c:layout>
              <c:showVal val="1"/>
            </c:dLbl>
            <c:dLbl>
              <c:idx val="16"/>
              <c:layout>
                <c:manualLayout>
                  <c:x val="-3.2731004778248876E-2"/>
                  <c:y val="1.4115221898632541E-2"/>
                </c:manualLayout>
              </c:layout>
              <c:showVal val="1"/>
            </c:dLbl>
            <c:dLbl>
              <c:idx val="17"/>
              <c:layout>
                <c:manualLayout>
                  <c:x val="-5.4680833165085117E-2"/>
                  <c:y val="-9.0422171804795479E-3"/>
                </c:manualLayout>
              </c:layout>
              <c:showVal val="1"/>
            </c:dLbl>
            <c:dLbl>
              <c:idx val="18"/>
              <c:layout>
                <c:manualLayout>
                  <c:x val="-5.5555555555555455E-2"/>
                  <c:y val="-7.7683615819212001E-3"/>
                </c:manualLayout>
              </c:layout>
              <c:showVal val="1"/>
            </c:dLbl>
            <c:txPr>
              <a:bodyPr/>
              <a:lstStyle/>
              <a:p>
                <a:pPr>
                  <a:defRPr sz="700" b="0">
                    <a:solidFill>
                      <a:schemeClr val="accent1">
                        <a:lumMod val="75000"/>
                      </a:schemeClr>
                    </a:solidFill>
                    <a:latin typeface="Times New Roman" pitchFamily="18" charset="0"/>
                    <a:cs typeface="Times New Roman" pitchFamily="18" charset="0"/>
                  </a:defRPr>
                </a:pPr>
                <a:endParaRPr lang="ru-RU"/>
              </a:p>
            </c:txPr>
            <c:showVal val="1"/>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Sheet1!$B$2:$Q$2</c:f>
              <c:numCache>
                <c:formatCode>0</c:formatCode>
                <c:ptCount val="16"/>
                <c:pt idx="0" formatCode="General">
                  <c:v>4967</c:v>
                </c:pt>
                <c:pt idx="1">
                  <c:v>3382</c:v>
                </c:pt>
                <c:pt idx="2" formatCode="General">
                  <c:v>2539</c:v>
                </c:pt>
                <c:pt idx="3" formatCode="General">
                  <c:v>3950</c:v>
                </c:pt>
                <c:pt idx="4" formatCode="General">
                  <c:v>7168</c:v>
                </c:pt>
                <c:pt idx="5" formatCode="General">
                  <c:v>4585</c:v>
                </c:pt>
                <c:pt idx="6">
                  <c:v>3998</c:v>
                </c:pt>
                <c:pt idx="7">
                  <c:v>4333</c:v>
                </c:pt>
                <c:pt idx="8">
                  <c:v>4160</c:v>
                </c:pt>
                <c:pt idx="9">
                  <c:v>2452</c:v>
                </c:pt>
                <c:pt idx="10">
                  <c:v>4399</c:v>
                </c:pt>
                <c:pt idx="11">
                  <c:v>5497</c:v>
                </c:pt>
                <c:pt idx="12">
                  <c:v>2667</c:v>
                </c:pt>
                <c:pt idx="13">
                  <c:v>6568</c:v>
                </c:pt>
                <c:pt idx="14">
                  <c:v>7331</c:v>
                </c:pt>
                <c:pt idx="15">
                  <c:v>6931</c:v>
                </c:pt>
              </c:numCache>
            </c:numRef>
          </c:val>
        </c:ser>
        <c:ser>
          <c:idx val="1"/>
          <c:order val="1"/>
          <c:tx>
            <c:strRef>
              <c:f>Sheet1!$A$3</c:f>
              <c:strCache>
                <c:ptCount val="1"/>
                <c:pt idx="0">
                  <c:v>2017 год</c:v>
                </c:pt>
              </c:strCache>
            </c:strRef>
          </c:tx>
          <c:spPr>
            <a:solidFill>
              <a:srgbClr val="EEECE1">
                <a:lumMod val="50000"/>
              </a:srgbClr>
            </a:solidFill>
            <a:ln w="22946">
              <a:solidFill>
                <a:sysClr val="windowText" lastClr="000000"/>
              </a:solidFill>
              <a:prstDash val="solid"/>
            </a:ln>
          </c:spPr>
          <c:dLbls>
            <c:dLbl>
              <c:idx val="0"/>
              <c:layout>
                <c:manualLayout>
                  <c:x val="1.7246618211185161E-2"/>
                  <c:y val="-3.4923716727187291E-4"/>
                </c:manualLayout>
              </c:layout>
              <c:showVal val="1"/>
            </c:dLbl>
            <c:dLbl>
              <c:idx val="1"/>
              <c:layout>
                <c:manualLayout>
                  <c:x val="9.9656773672522556E-3"/>
                  <c:y val="1.0446433921787181E-2"/>
                </c:manualLayout>
              </c:layout>
              <c:showVal val="1"/>
            </c:dLbl>
            <c:dLbl>
              <c:idx val="2"/>
              <c:layout>
                <c:manualLayout>
                  <c:x val="1.282051282051282E-2"/>
                  <c:y val="1.7580987308093342E-2"/>
                </c:manualLayout>
              </c:layout>
              <c:showVal val="1"/>
            </c:dLbl>
            <c:dLbl>
              <c:idx val="3"/>
              <c:layout>
                <c:manualLayout>
                  <c:x val="1.1079480449559203E-2"/>
                  <c:y val="1.2385814786850281E-2"/>
                </c:manualLayout>
              </c:layout>
              <c:showVal val="1"/>
            </c:dLbl>
            <c:dLbl>
              <c:idx val="4"/>
              <c:layout>
                <c:manualLayout>
                  <c:x val="9.7259236826165909E-3"/>
                  <c:y val="1.1259722671652345E-2"/>
                </c:manualLayout>
              </c:layout>
              <c:showVal val="1"/>
            </c:dLbl>
            <c:dLbl>
              <c:idx val="5"/>
              <c:layout>
                <c:manualLayout>
                  <c:x val="9.911333198734773E-3"/>
                  <c:y val="1.7845372068217607E-2"/>
                </c:manualLayout>
              </c:layout>
              <c:showVal val="1"/>
            </c:dLbl>
            <c:dLbl>
              <c:idx val="6"/>
              <c:layout>
                <c:manualLayout>
                  <c:x val="3.8331987347735392E-3"/>
                  <c:y val="1.4200553697911159E-2"/>
                </c:manualLayout>
              </c:layout>
              <c:showVal val="1"/>
            </c:dLbl>
            <c:dLbl>
              <c:idx val="7"/>
              <c:layout>
                <c:manualLayout>
                  <c:x val="1.4957264957264892E-2"/>
                  <c:y val="1.4562974148779349E-2"/>
                </c:manualLayout>
              </c:layout>
              <c:showVal val="1"/>
            </c:dLbl>
            <c:dLbl>
              <c:idx val="8"/>
              <c:layout>
                <c:manualLayout>
                  <c:x val="1.9230769230769364E-2"/>
                  <c:y val="8.0101631131724981E-3"/>
                </c:manualLayout>
              </c:layout>
              <c:showVal val="1"/>
            </c:dLbl>
            <c:dLbl>
              <c:idx val="9"/>
              <c:layout>
                <c:manualLayout>
                  <c:x val="8.1322767346390205E-3"/>
                  <c:y val="1.1296396169656876E-2"/>
                </c:manualLayout>
              </c:layout>
              <c:showVal val="1"/>
            </c:dLbl>
            <c:dLbl>
              <c:idx val="10"/>
              <c:layout>
                <c:manualLayout>
                  <c:x val="1.282034457231308E-2"/>
                  <c:y val="1.7609511139874637E-2"/>
                </c:manualLayout>
              </c:layout>
              <c:showVal val="1"/>
            </c:dLbl>
            <c:dLbl>
              <c:idx val="11"/>
              <c:layout>
                <c:manualLayout>
                  <c:x val="1.7094017094017103E-2"/>
                  <c:y val="1.6949148479727741E-2"/>
                </c:manualLayout>
              </c:layout>
              <c:showVal val="1"/>
            </c:dLbl>
            <c:dLbl>
              <c:idx val="12"/>
              <c:layout>
                <c:manualLayout>
                  <c:x val="1.0698061780738947E-2"/>
                  <c:y val="6.3294143026642324E-3"/>
                </c:manualLayout>
              </c:layout>
              <c:showVal val="1"/>
            </c:dLbl>
            <c:dLbl>
              <c:idx val="13"/>
              <c:layout>
                <c:manualLayout>
                  <c:x val="0"/>
                  <c:y val="1.3907645106005589E-2"/>
                </c:manualLayout>
              </c:layout>
              <c:showVal val="1"/>
            </c:dLbl>
            <c:dLbl>
              <c:idx val="14"/>
              <c:layout>
                <c:manualLayout>
                  <c:x val="8.5470085470085496E-3"/>
                  <c:y val="6.9137933100828783E-3"/>
                </c:manualLayout>
              </c:layout>
              <c:showVal val="1"/>
            </c:dLbl>
            <c:dLbl>
              <c:idx val="15"/>
              <c:layout>
                <c:manualLayout>
                  <c:x val="1.2869473046638501E-2"/>
                  <c:y val="8.8982370354390768E-3"/>
                </c:manualLayout>
              </c:layout>
              <c:showVal val="1"/>
            </c:dLbl>
            <c:dLbl>
              <c:idx val="16"/>
              <c:layout>
                <c:manualLayout>
                  <c:x val="0"/>
                  <c:y val="5.4305540574551472E-3"/>
                </c:manualLayout>
              </c:layout>
              <c:showVal val="1"/>
            </c:dLbl>
            <c:dLbl>
              <c:idx val="17"/>
              <c:layout>
                <c:manualLayout>
                  <c:x val="-5.0789925297799313E-2"/>
                  <c:y val="3.1765203078430292E-3"/>
                </c:manualLayout>
              </c:layout>
              <c:showVal val="1"/>
            </c:dLbl>
            <c:dLbl>
              <c:idx val="18"/>
              <c:layout>
                <c:manualLayout>
                  <c:x val="-3.4188034188034191E-2"/>
                  <c:y val="-3.4193691890208593E-2"/>
                </c:manualLayout>
              </c:layout>
              <c:showVal val="1"/>
            </c:dLbl>
            <c:txPr>
              <a:bodyPr/>
              <a:lstStyle/>
              <a:p>
                <a:pPr>
                  <a:defRPr sz="800">
                    <a:solidFill>
                      <a:schemeClr val="tx1">
                        <a:lumMod val="95000"/>
                        <a:lumOff val="5000"/>
                      </a:schemeClr>
                    </a:solidFill>
                    <a:latin typeface="Times New Roman" pitchFamily="18" charset="0"/>
                    <a:cs typeface="Times New Roman" pitchFamily="18" charset="0"/>
                  </a:defRPr>
                </a:pPr>
                <a:endParaRPr lang="ru-RU"/>
              </a:p>
            </c:txPr>
            <c:showVal val="1"/>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Sheet1!$B$3:$Q$3</c:f>
              <c:numCache>
                <c:formatCode>0</c:formatCode>
                <c:ptCount val="16"/>
                <c:pt idx="0" formatCode="General">
                  <c:v>5322</c:v>
                </c:pt>
                <c:pt idx="1">
                  <c:v>3661</c:v>
                </c:pt>
                <c:pt idx="2" formatCode="General">
                  <c:v>2223</c:v>
                </c:pt>
                <c:pt idx="3" formatCode="General">
                  <c:v>4128</c:v>
                </c:pt>
                <c:pt idx="4" formatCode="General">
                  <c:v>7498</c:v>
                </c:pt>
                <c:pt idx="5" formatCode="General">
                  <c:v>4575</c:v>
                </c:pt>
                <c:pt idx="6">
                  <c:v>4086</c:v>
                </c:pt>
                <c:pt idx="7">
                  <c:v>3894</c:v>
                </c:pt>
                <c:pt idx="8">
                  <c:v>4194</c:v>
                </c:pt>
                <c:pt idx="9">
                  <c:v>2672</c:v>
                </c:pt>
                <c:pt idx="10">
                  <c:v>4563</c:v>
                </c:pt>
                <c:pt idx="11">
                  <c:v>5431</c:v>
                </c:pt>
                <c:pt idx="12">
                  <c:v>2789</c:v>
                </c:pt>
                <c:pt idx="13">
                  <c:v>8093</c:v>
                </c:pt>
                <c:pt idx="14">
                  <c:v>7120</c:v>
                </c:pt>
                <c:pt idx="15">
                  <c:v>7136</c:v>
                </c:pt>
              </c:numCache>
            </c:numRef>
          </c:val>
        </c:ser>
        <c:axId val="127025536"/>
        <c:axId val="127027456"/>
      </c:barChart>
      <c:lineChart>
        <c:grouping val="standard"/>
        <c:ser>
          <c:idx val="2"/>
          <c:order val="2"/>
          <c:tx>
            <c:strRef>
              <c:f>Sheet1!$A$4</c:f>
              <c:strCache>
                <c:ptCount val="1"/>
                <c:pt idx="0">
                  <c:v>средняя зарплата во внебюджетном секторе республики  республике за 2017 год</c:v>
                </c:pt>
              </c:strCache>
            </c:strRef>
          </c:tx>
          <c:spPr>
            <a:ln w="22946">
              <a:solidFill>
                <a:sysClr val="windowText" lastClr="000000"/>
              </a:solidFill>
              <a:prstDash val="solid"/>
            </a:ln>
          </c:spPr>
          <c:marker>
            <c:symbol val="triangle"/>
            <c:size val="3"/>
            <c:spPr>
              <a:solidFill>
                <a:sysClr val="windowText" lastClr="000000"/>
              </a:solidFill>
              <a:ln>
                <a:solidFill>
                  <a:sysClr val="windowText" lastClr="000000"/>
                </a:solidFill>
                <a:prstDash val="solid"/>
              </a:ln>
            </c:spPr>
          </c:marker>
          <c:dLbls>
            <c:delete val="1"/>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Sheet1!$B$4:$Q$4</c:f>
              <c:numCache>
                <c:formatCode>General</c:formatCode>
                <c:ptCount val="16"/>
                <c:pt idx="0">
                  <c:v>5072</c:v>
                </c:pt>
                <c:pt idx="1">
                  <c:v>5072</c:v>
                </c:pt>
                <c:pt idx="2">
                  <c:v>5072</c:v>
                </c:pt>
                <c:pt idx="3">
                  <c:v>5072</c:v>
                </c:pt>
                <c:pt idx="4">
                  <c:v>5072</c:v>
                </c:pt>
                <c:pt idx="5">
                  <c:v>5072</c:v>
                </c:pt>
                <c:pt idx="6">
                  <c:v>5072</c:v>
                </c:pt>
                <c:pt idx="7">
                  <c:v>5072</c:v>
                </c:pt>
                <c:pt idx="8">
                  <c:v>5072</c:v>
                </c:pt>
                <c:pt idx="9">
                  <c:v>5072</c:v>
                </c:pt>
                <c:pt idx="10">
                  <c:v>5072</c:v>
                </c:pt>
                <c:pt idx="11">
                  <c:v>5072</c:v>
                </c:pt>
                <c:pt idx="12">
                  <c:v>5072</c:v>
                </c:pt>
                <c:pt idx="13">
                  <c:v>5072</c:v>
                </c:pt>
                <c:pt idx="14">
                  <c:v>5072</c:v>
                </c:pt>
                <c:pt idx="15">
                  <c:v>5072</c:v>
                </c:pt>
              </c:numCache>
            </c:numRef>
          </c:val>
        </c:ser>
        <c:dLbls>
          <c:showVal val="1"/>
        </c:dLbls>
        <c:marker val="1"/>
        <c:axId val="127025536"/>
        <c:axId val="127027456"/>
      </c:lineChart>
      <c:catAx>
        <c:axId val="127025536"/>
        <c:scaling>
          <c:orientation val="minMax"/>
        </c:scaling>
        <c:axPos val="b"/>
        <c:numFmt formatCode="General" sourceLinked="1"/>
        <c:tickLblPos val="nextTo"/>
        <c:spPr>
          <a:ln w="286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27027456"/>
        <c:crosses val="autoZero"/>
        <c:auto val="1"/>
        <c:lblAlgn val="ctr"/>
        <c:lblOffset val="200"/>
        <c:tickLblSkip val="1"/>
        <c:tickMarkSkip val="1"/>
      </c:catAx>
      <c:valAx>
        <c:axId val="127027456"/>
        <c:scaling>
          <c:orientation val="minMax"/>
          <c:max val="8500"/>
          <c:min val="1500"/>
        </c:scaling>
        <c:axPos val="l"/>
        <c:numFmt formatCode="General" sourceLinked="0"/>
        <c:tickLblPos val="nextTo"/>
        <c:spPr>
          <a:ln w="286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7025536"/>
        <c:crosses val="autoZero"/>
        <c:crossBetween val="between"/>
        <c:majorUnit val="1000"/>
        <c:minorUnit val="500"/>
      </c:valAx>
      <c:spPr>
        <a:solidFill>
          <a:srgbClr val="FFFFFF"/>
        </a:solidFill>
        <a:ln w="2868">
          <a:noFill/>
          <a:prstDash val="solid"/>
        </a:ln>
      </c:spPr>
    </c:plotArea>
    <c:legend>
      <c:legendPos val="r"/>
      <c:layout>
        <c:manualLayout>
          <c:xMode val="edge"/>
          <c:yMode val="edge"/>
          <c:x val="1.4099703883168448E-2"/>
          <c:y val="0.89859849710566997"/>
          <c:w val="0.95616090653341934"/>
          <c:h val="0.10140150289432998"/>
        </c:manualLayout>
      </c:layout>
      <c:spPr>
        <a:solidFill>
          <a:srgbClr val="FFFFFF"/>
        </a:solidFill>
        <a:ln w="2868">
          <a:no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93" b="1" i="0" u="none" strike="noStrike" baseline="0">
          <a:solidFill>
            <a:srgbClr val="000000"/>
          </a:solidFill>
          <a:latin typeface="Arial Cyr"/>
          <a:ea typeface="Arial Cyr"/>
          <a:cs typeface="Arial Cyr"/>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39"/>
  <c:clrMapOvr bg1="lt1" tx1="dk1" bg2="lt2" tx2="dk2" accent1="accent1" accent2="accent2" accent3="accent3" accent4="accent4" accent5="accent5" accent6="accent6" hlink="hlink" folHlink="folHlink"/>
  <c:chart>
    <c:title>
      <c:tx>
        <c:rich>
          <a:bodyPr/>
          <a:lstStyle/>
          <a:p>
            <a:pPr>
              <a:defRPr sz="1200"/>
            </a:pPr>
            <a:r>
              <a:rPr lang="ru-RU" sz="1200"/>
              <a:t>Динамика среднемесячной номинальной заработной платы в разрезе подотраслей промышленности, %*</a:t>
            </a:r>
            <a:endParaRPr lang="ru-RU" sz="1200">
              <a:solidFill>
                <a:srgbClr val="FF0000"/>
              </a:solidFill>
            </a:endParaRPr>
          </a:p>
        </c:rich>
      </c:tx>
      <c:layout>
        <c:manualLayout>
          <c:xMode val="edge"/>
          <c:yMode val="edge"/>
          <c:x val="0.16765366114377317"/>
          <c:y val="0"/>
        </c:manualLayout>
      </c:layout>
      <c:spPr>
        <a:noFill/>
      </c:spPr>
    </c:title>
    <c:view3D>
      <c:rotX val="0"/>
      <c:rotY val="0"/>
      <c:perspective val="30"/>
    </c:view3D>
    <c:sideWall>
      <c:spPr>
        <a:noFill/>
      </c:spPr>
    </c:sideWall>
    <c:backWall>
      <c:spPr>
        <a:noFill/>
      </c:spPr>
    </c:backWall>
    <c:plotArea>
      <c:layout>
        <c:manualLayout>
          <c:layoutTarget val="inner"/>
          <c:xMode val="edge"/>
          <c:yMode val="edge"/>
          <c:x val="9.8163869051255764E-2"/>
          <c:y val="0.11311794090254847"/>
          <c:w val="0.89139381014873265"/>
          <c:h val="0.38125289485873087"/>
        </c:manualLayout>
      </c:layout>
      <c:bar3DChart>
        <c:barDir val="col"/>
        <c:grouping val="clustered"/>
        <c:ser>
          <c:idx val="0"/>
          <c:order val="0"/>
          <c:tx>
            <c:strRef>
              <c:f>Лист1!$B$1</c:f>
              <c:strCache>
                <c:ptCount val="1"/>
                <c:pt idx="0">
                  <c:v>2016 год</c:v>
                </c:pt>
              </c:strCache>
            </c:strRef>
          </c:tx>
          <c:spPr>
            <a:solidFill>
              <a:srgbClr val="F79646">
                <a:lumMod val="40000"/>
                <a:lumOff val="60000"/>
              </a:srgbClr>
            </a:solidFill>
            <a:ln>
              <a:solidFill>
                <a:sysClr val="windowText" lastClr="000000"/>
              </a:solidFill>
            </a:ln>
          </c:spPr>
          <c:dLbls>
            <c:delete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Лист1!$B$2:$B$12</c:f>
              <c:numCache>
                <c:formatCode>#,##0</c:formatCode>
                <c:ptCount val="11"/>
                <c:pt idx="0">
                  <c:v>6046</c:v>
                </c:pt>
                <c:pt idx="1">
                  <c:v>5602</c:v>
                </c:pt>
                <c:pt idx="2">
                  <c:v>4194</c:v>
                </c:pt>
                <c:pt idx="3">
                  <c:v>5249</c:v>
                </c:pt>
                <c:pt idx="4">
                  <c:v>4284</c:v>
                </c:pt>
                <c:pt idx="5">
                  <c:v>2917</c:v>
                </c:pt>
                <c:pt idx="6">
                  <c:v>4250</c:v>
                </c:pt>
                <c:pt idx="7">
                  <c:v>3987</c:v>
                </c:pt>
                <c:pt idx="8">
                  <c:v>4605</c:v>
                </c:pt>
                <c:pt idx="9">
                  <c:v>4101</c:v>
                </c:pt>
                <c:pt idx="10">
                  <c:v>4234</c:v>
                </c:pt>
              </c:numCache>
            </c:numRef>
          </c:val>
        </c:ser>
        <c:ser>
          <c:idx val="1"/>
          <c:order val="1"/>
          <c:tx>
            <c:strRef>
              <c:f>Лист1!$C$1</c:f>
              <c:strCache>
                <c:ptCount val="1"/>
                <c:pt idx="0">
                  <c:v>2017 год</c:v>
                </c:pt>
              </c:strCache>
            </c:strRef>
          </c:tx>
          <c:spPr>
            <a:solidFill>
              <a:srgbClr val="EEECE1">
                <a:lumMod val="50000"/>
              </a:srgbClr>
            </a:solidFill>
            <a:ln>
              <a:solidFill>
                <a:sysClr val="windowText" lastClr="000000"/>
              </a:solidFill>
            </a:ln>
          </c:spPr>
          <c:dLbls>
            <c:dLbl>
              <c:idx val="0"/>
              <c:layout>
                <c:manualLayout>
                  <c:x val="-3.0005086573480651E-3"/>
                  <c:y val="7.0127846922360508E-3"/>
                </c:manualLayout>
              </c:layout>
              <c:tx>
                <c:rich>
                  <a:bodyPr/>
                  <a:lstStyle/>
                  <a:p>
                    <a:r>
                      <a:rPr lang="ru-RU" sz="800" b="1"/>
                      <a:t>103,2*</a:t>
                    </a:r>
                    <a:endParaRPr lang="en-US" sz="800" b="1"/>
                  </a:p>
                </c:rich>
              </c:tx>
              <c:showVal val="1"/>
            </c:dLbl>
            <c:dLbl>
              <c:idx val="1"/>
              <c:layout>
                <c:manualLayout>
                  <c:x val="1.5105088608110434E-4"/>
                  <c:y val="-1.5305586801649793E-2"/>
                </c:manualLayout>
              </c:layout>
              <c:tx>
                <c:rich>
                  <a:bodyPr/>
                  <a:lstStyle/>
                  <a:p>
                    <a:r>
                      <a:rPr lang="ru-RU" sz="800" b="1"/>
                      <a:t>116,1*</a:t>
                    </a:r>
                    <a:endParaRPr lang="en-US" sz="800" b="1"/>
                  </a:p>
                </c:rich>
              </c:tx>
              <c:showVal val="1"/>
            </c:dLbl>
            <c:dLbl>
              <c:idx val="2"/>
              <c:layout>
                <c:manualLayout>
                  <c:x val="4.9498463854814206E-4"/>
                  <c:y val="-3.3633053932774692E-3"/>
                </c:manualLayout>
              </c:layout>
              <c:tx>
                <c:rich>
                  <a:bodyPr/>
                  <a:lstStyle/>
                  <a:p>
                    <a:r>
                      <a:rPr lang="ru-RU" sz="800" b="1"/>
                      <a:t>102,4*</a:t>
                    </a:r>
                    <a:endParaRPr lang="en-US" sz="800" b="1"/>
                  </a:p>
                </c:rich>
              </c:tx>
              <c:showVal val="1"/>
            </c:dLbl>
            <c:dLbl>
              <c:idx val="3"/>
              <c:layout>
                <c:manualLayout>
                  <c:x val="-1.8550936946835261E-3"/>
                  <c:y val="-1.2537465074930151E-3"/>
                </c:manualLayout>
              </c:layout>
              <c:tx>
                <c:rich>
                  <a:bodyPr/>
                  <a:lstStyle/>
                  <a:p>
                    <a:r>
                      <a:rPr lang="ru-RU" sz="800" b="1"/>
                      <a:t>109,6*</a:t>
                    </a:r>
                    <a:endParaRPr lang="en-US" sz="800" b="1"/>
                  </a:p>
                </c:rich>
              </c:tx>
              <c:showVal val="1"/>
            </c:dLbl>
            <c:dLbl>
              <c:idx val="4"/>
              <c:layout>
                <c:manualLayout>
                  <c:x val="-1.4877210116177341E-4"/>
                  <c:y val="-3.9888239776480006E-3"/>
                </c:manualLayout>
              </c:layout>
              <c:tx>
                <c:rich>
                  <a:bodyPr/>
                  <a:lstStyle/>
                  <a:p>
                    <a:r>
                      <a:rPr lang="ru-RU" sz="800" b="1"/>
                      <a:t>102,5*</a:t>
                    </a:r>
                    <a:endParaRPr lang="en-US" sz="800" b="1"/>
                  </a:p>
                </c:rich>
              </c:tx>
              <c:showVal val="1"/>
            </c:dLbl>
            <c:dLbl>
              <c:idx val="5"/>
              <c:layout>
                <c:manualLayout>
                  <c:x val="-3.8929784939673241E-3"/>
                  <c:y val="-1.9568859039679018E-2"/>
                </c:manualLayout>
              </c:layout>
              <c:tx>
                <c:rich>
                  <a:bodyPr/>
                  <a:lstStyle/>
                  <a:p>
                    <a:r>
                      <a:rPr lang="ru-RU" sz="800" b="1"/>
                      <a:t>88,3*</a:t>
                    </a:r>
                    <a:endParaRPr lang="en-US" sz="800" b="1"/>
                  </a:p>
                </c:rich>
              </c:tx>
              <c:showVal val="1"/>
            </c:dLbl>
            <c:dLbl>
              <c:idx val="6"/>
              <c:layout>
                <c:manualLayout>
                  <c:x val="-1.5723615943355961E-3"/>
                  <c:y val="-1.6863040634772689E-2"/>
                </c:manualLayout>
              </c:layout>
              <c:tx>
                <c:rich>
                  <a:bodyPr/>
                  <a:lstStyle/>
                  <a:p>
                    <a:r>
                      <a:rPr lang="ru-RU" sz="800" b="1"/>
                      <a:t>104,8*</a:t>
                    </a:r>
                    <a:endParaRPr lang="en-US" sz="800" b="1"/>
                  </a:p>
                </c:rich>
              </c:tx>
              <c:showVal val="1"/>
            </c:dLbl>
            <c:dLbl>
              <c:idx val="7"/>
              <c:layout>
                <c:manualLayout>
                  <c:x val="-3.8347067081731692E-3"/>
                  <c:y val="-8.5881344039915684E-3"/>
                </c:manualLayout>
              </c:layout>
              <c:tx>
                <c:rich>
                  <a:bodyPr/>
                  <a:lstStyle/>
                  <a:p>
                    <a:r>
                      <a:rPr lang="ru-RU" sz="800" b="1"/>
                      <a:t>111,6*</a:t>
                    </a:r>
                    <a:endParaRPr lang="en-US" sz="800" b="1"/>
                  </a:p>
                </c:rich>
              </c:tx>
              <c:showVal val="1"/>
            </c:dLbl>
            <c:dLbl>
              <c:idx val="8"/>
              <c:layout>
                <c:manualLayout>
                  <c:x val="-8.1810006307351107E-3"/>
                  <c:y val="-5.6034579835937534E-3"/>
                </c:manualLayout>
              </c:layout>
              <c:tx>
                <c:rich>
                  <a:bodyPr/>
                  <a:lstStyle/>
                  <a:p>
                    <a:r>
                      <a:rPr lang="ru-RU" sz="800" b="1"/>
                      <a:t>105,1*</a:t>
                    </a:r>
                    <a:endParaRPr lang="en-US" sz="800" b="1"/>
                  </a:p>
                </c:rich>
              </c:tx>
              <c:showVal val="1"/>
            </c:dLbl>
            <c:dLbl>
              <c:idx val="9"/>
              <c:layout>
                <c:manualLayout>
                  <c:x val="-1.0513988077071754E-2"/>
                  <c:y val="-8.2895605791215247E-3"/>
                </c:manualLayout>
              </c:layout>
              <c:tx>
                <c:rich>
                  <a:bodyPr/>
                  <a:lstStyle/>
                  <a:p>
                    <a:r>
                      <a:rPr lang="ru-RU" sz="800" b="1"/>
                      <a:t>108,0*</a:t>
                    </a:r>
                    <a:endParaRPr lang="en-US" sz="800" b="1"/>
                  </a:p>
                </c:rich>
              </c:tx>
              <c:showVal val="1"/>
            </c:dLbl>
            <c:dLbl>
              <c:idx val="10"/>
              <c:layout>
                <c:manualLayout>
                  <c:x val="-1.1978758469144845E-2"/>
                  <c:y val="-2.5806451612903236E-2"/>
                </c:manualLayout>
              </c:layout>
              <c:tx>
                <c:rich>
                  <a:bodyPr/>
                  <a:lstStyle/>
                  <a:p>
                    <a:r>
                      <a:rPr lang="ru-RU" sz="800" b="1"/>
                      <a:t>90,4*</a:t>
                    </a:r>
                    <a:endParaRPr lang="en-US" sz="800" b="1"/>
                  </a:p>
                </c:rich>
              </c:tx>
              <c:showVal val="1"/>
            </c:dLbl>
            <c:txPr>
              <a:bodyPr/>
              <a:lstStyle/>
              <a:p>
                <a:pPr>
                  <a:defRPr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 обработка</c:v>
                </c:pt>
                <c:pt idx="4">
                  <c:v>Электротехническая промышленность</c:v>
                </c:pt>
                <c:pt idx="5">
                  <c:v>Деревообрабатываающая</c:v>
                </c:pt>
                <c:pt idx="6">
                  <c:v>Промышленность строительных материалов</c:v>
                </c:pt>
                <c:pt idx="7">
                  <c:v>Легкая промышленность</c:v>
                </c:pt>
                <c:pt idx="8">
                  <c:v>Пищевая промышленность</c:v>
                </c:pt>
                <c:pt idx="9">
                  <c:v>Мукомольно-крупянная</c:v>
                </c:pt>
                <c:pt idx="10">
                  <c:v>Полиграфическая промышленность</c:v>
                </c:pt>
              </c:strCache>
            </c:strRef>
          </c:cat>
          <c:val>
            <c:numRef>
              <c:f>Лист1!$C$2:$C$12</c:f>
              <c:numCache>
                <c:formatCode>#,##0</c:formatCode>
                <c:ptCount val="11"/>
                <c:pt idx="0">
                  <c:v>6239</c:v>
                </c:pt>
                <c:pt idx="1">
                  <c:v>6505</c:v>
                </c:pt>
                <c:pt idx="2">
                  <c:v>4293</c:v>
                </c:pt>
                <c:pt idx="3">
                  <c:v>5751</c:v>
                </c:pt>
                <c:pt idx="4">
                  <c:v>4393</c:v>
                </c:pt>
                <c:pt idx="5">
                  <c:v>2576</c:v>
                </c:pt>
                <c:pt idx="6">
                  <c:v>4453</c:v>
                </c:pt>
                <c:pt idx="7">
                  <c:v>4449</c:v>
                </c:pt>
                <c:pt idx="8">
                  <c:v>4841</c:v>
                </c:pt>
                <c:pt idx="9">
                  <c:v>4430</c:v>
                </c:pt>
                <c:pt idx="10">
                  <c:v>3828</c:v>
                </c:pt>
              </c:numCache>
            </c:numRef>
          </c:val>
        </c:ser>
        <c:dLbls>
          <c:showVal val="1"/>
        </c:dLbls>
        <c:shape val="cylinder"/>
        <c:axId val="127118720"/>
        <c:axId val="127218816"/>
        <c:axId val="0"/>
      </c:bar3DChart>
      <c:catAx>
        <c:axId val="127118720"/>
        <c:scaling>
          <c:orientation val="minMax"/>
        </c:scaling>
        <c:axPos val="b"/>
        <c:tickLblPos val="nextTo"/>
        <c:txPr>
          <a:bodyPr rot="-5400000" vert="horz"/>
          <a:lstStyle/>
          <a:p>
            <a:pPr>
              <a:defRPr sz="900" b="0"/>
            </a:pPr>
            <a:endParaRPr lang="ru-RU"/>
          </a:p>
        </c:txPr>
        <c:crossAx val="127218816"/>
        <c:crosses val="autoZero"/>
        <c:auto val="1"/>
        <c:lblAlgn val="ctr"/>
        <c:lblOffset val="100"/>
      </c:catAx>
      <c:valAx>
        <c:axId val="127218816"/>
        <c:scaling>
          <c:orientation val="minMax"/>
          <c:max val="8000"/>
          <c:min val="2000"/>
        </c:scaling>
        <c:axPos val="l"/>
        <c:title>
          <c:tx>
            <c:rich>
              <a:bodyPr rot="0" vert="horz"/>
              <a:lstStyle/>
              <a:p>
                <a:pPr algn="just">
                  <a:defRPr sz="900" b="0" i="1"/>
                </a:pPr>
                <a:r>
                  <a:rPr lang="ru-RU" sz="900" b="0" i="1"/>
                  <a:t>* - темп роста</a:t>
                </a:r>
                <a:r>
                  <a:rPr lang="ru-RU" sz="900" b="0" i="1" baseline="0"/>
                  <a:t> </a:t>
                </a:r>
                <a:r>
                  <a:rPr lang="ru-RU" sz="900" b="0" i="1"/>
                  <a:t>2017г. к 2016 г., %</a:t>
                </a:r>
              </a:p>
            </c:rich>
          </c:tx>
          <c:layout>
            <c:manualLayout>
              <c:xMode val="edge"/>
              <c:yMode val="edge"/>
              <c:x val="1.4470284237726097E-2"/>
              <c:y val="0.88207387679481264"/>
            </c:manualLayout>
          </c:layout>
        </c:title>
        <c:numFmt formatCode="#,##0" sourceLinked="1"/>
        <c:tickLblPos val="nextTo"/>
        <c:crossAx val="127118720"/>
        <c:crosses val="autoZero"/>
        <c:crossBetween val="between"/>
        <c:majorUnit val="2000"/>
      </c:valAx>
      <c:dTable>
        <c:showHorzBorder val="1"/>
        <c:showVertBorder val="1"/>
        <c:showOutline val="1"/>
        <c:showKeys val="1"/>
      </c:dTable>
      <c:spPr>
        <a:noFill/>
      </c:spPr>
    </c:plotArea>
    <c:legend>
      <c:legendPos val="b"/>
      <c:layout>
        <c:manualLayout>
          <c:xMode val="edge"/>
          <c:yMode val="edge"/>
          <c:x val="0.31526647541150382"/>
          <c:y val="0.90789753553533081"/>
          <c:w val="0.57673165272945903"/>
          <c:h val="9.0280192248696225E-2"/>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200"/>
              <a:t>Динамика оплаты труда в организациях бюджетного сектора,</a:t>
            </a:r>
          </a:p>
          <a:p>
            <a:pPr>
              <a:defRPr sz="1200"/>
            </a:pPr>
            <a:r>
              <a:rPr lang="ru-RU" sz="1200"/>
              <a:t> руб. ПМР</a:t>
            </a:r>
          </a:p>
        </c:rich>
      </c:tx>
      <c:layout>
        <c:manualLayout>
          <c:xMode val="edge"/>
          <c:yMode val="edge"/>
          <c:x val="0.17442713861394291"/>
          <c:y val="1.4262930737476431E-2"/>
        </c:manualLayout>
      </c:layout>
      <c:spPr>
        <a:noFill/>
      </c:spPr>
    </c:title>
    <c:plotArea>
      <c:layout>
        <c:manualLayout>
          <c:layoutTarget val="inner"/>
          <c:xMode val="edge"/>
          <c:yMode val="edge"/>
          <c:x val="7.4790419161677113E-2"/>
          <c:y val="0.11795567790354362"/>
          <c:w val="0.92520958083832339"/>
          <c:h val="0.4076382337649323"/>
        </c:manualLayout>
      </c:layout>
      <c:barChart>
        <c:barDir val="col"/>
        <c:grouping val="clustered"/>
        <c:ser>
          <c:idx val="0"/>
          <c:order val="0"/>
          <c:tx>
            <c:strRef>
              <c:f>Лист1!$B$1</c:f>
              <c:strCache>
                <c:ptCount val="1"/>
                <c:pt idx="0">
                  <c:v>2016 год</c:v>
                </c:pt>
              </c:strCache>
            </c:strRef>
          </c:tx>
          <c:spPr>
            <a:blipFill>
              <a:blip xmlns:r="http://schemas.openxmlformats.org/officeDocument/2006/relationships" r:embed="rId1"/>
              <a:tile tx="0" ty="0" sx="100000" sy="100000" flip="none" algn="tl"/>
            </a:blipFill>
            <a:ln>
              <a:solidFill>
                <a:sysClr val="windowText" lastClr="000000"/>
              </a:solidFill>
            </a:ln>
          </c:spPr>
          <c:dLbls>
            <c:dLbl>
              <c:idx val="0"/>
              <c:layout>
                <c:manualLayout>
                  <c:x val="-4.4636536948114459E-3"/>
                  <c:y val="1.4327574724801201E-2"/>
                </c:manualLayout>
              </c:layout>
              <c:showVal val="1"/>
            </c:dLbl>
            <c:dLbl>
              <c:idx val="1"/>
              <c:layout>
                <c:manualLayout>
                  <c:x val="-1.4161949692151655E-2"/>
                  <c:y val="1.0464997845418581E-2"/>
                </c:manualLayout>
              </c:layout>
              <c:showVal val="1"/>
            </c:dLbl>
            <c:dLbl>
              <c:idx val="2"/>
              <c:layout>
                <c:manualLayout>
                  <c:x val="-1.148160372169048E-2"/>
                  <c:y val="1.0350537237533035E-2"/>
                </c:manualLayout>
              </c:layout>
              <c:showVal val="1"/>
            </c:dLbl>
            <c:dLbl>
              <c:idx val="3"/>
              <c:layout>
                <c:manualLayout>
                  <c:x val="-5.9881237453549381E-3"/>
                  <c:y val="6.8439952468627987E-3"/>
                </c:manualLayout>
              </c:layout>
              <c:showVal val="1"/>
            </c:dLbl>
            <c:dLbl>
              <c:idx val="4"/>
              <c:layout>
                <c:manualLayout>
                  <c:x val="-9.2040552654061008E-3"/>
                  <c:y val="1.1133832151578068E-2"/>
                </c:manualLayout>
              </c:layout>
              <c:showVal val="1"/>
            </c:dLbl>
            <c:dLbl>
              <c:idx val="5"/>
              <c:layout>
                <c:manualLayout>
                  <c:x val="-1.503966467045708E-2"/>
                  <c:y val="1.1553257335370395E-2"/>
                </c:manualLayout>
              </c:layout>
              <c:showVal val="1"/>
            </c:dLbl>
            <c:dLbl>
              <c:idx val="6"/>
              <c:layout>
                <c:manualLayout>
                  <c:x val="-4.319387922581297E-3"/>
                  <c:y val="1.3686162364032927E-2"/>
                </c:manualLayout>
              </c:layout>
              <c:showVal val="1"/>
            </c:dLbl>
            <c:dLbl>
              <c:idx val="7"/>
              <c:layout>
                <c:manualLayout>
                  <c:x val="-1.8489249506558874E-2"/>
                  <c:y val="1.04179887961766E-2"/>
                </c:manualLayout>
              </c:layout>
              <c:showVal val="1"/>
            </c:dLbl>
            <c:dLbl>
              <c:idx val="8"/>
              <c:layout>
                <c:manualLayout>
                  <c:x val="-1.000551307355955E-2"/>
                  <c:y val="1.3133022551285567E-2"/>
                </c:manualLayout>
              </c:layout>
              <c:showVal val="1"/>
            </c:dLbl>
            <c:dLbl>
              <c:idx val="9"/>
              <c:layout>
                <c:manualLayout>
                  <c:x val="-9.4606025663147766E-3"/>
                  <c:y val="1.1595565479688276E-2"/>
                </c:manualLayout>
              </c:layout>
              <c:showVal val="1"/>
            </c:dLbl>
            <c:dLbl>
              <c:idx val="10"/>
              <c:layout>
                <c:manualLayout>
                  <c:x val="-8.0778600279755447E-3"/>
                  <c:y val="1.4523868110236223E-2"/>
                </c:manualLayout>
              </c:layout>
              <c:showVal val="1"/>
            </c:dLbl>
            <c:dLbl>
              <c:idx val="11"/>
              <c:layout>
                <c:manualLayout>
                  <c:x val="-5.9879554072309639E-3"/>
                  <c:y val="7.7831315861637065E-3"/>
                </c:manualLayout>
              </c:layout>
              <c:showVal val="1"/>
            </c:dLbl>
            <c:dLbl>
              <c:idx val="12"/>
              <c:layout>
                <c:manualLayout>
                  <c:x val="-1.3665352226482195E-2"/>
                  <c:y val="-1.2608871652237637E-3"/>
                </c:manualLayout>
              </c:layout>
              <c:showVal val="1"/>
            </c:dLbl>
            <c:dLbl>
              <c:idx val="13"/>
              <c:layout>
                <c:manualLayout>
                  <c:x val="1.0449320794148381E-2"/>
                  <c:y val="6.790381606099713E-2"/>
                </c:manualLayout>
              </c:layout>
              <c:showVal val="1"/>
            </c:dLbl>
            <c:txPr>
              <a:bodyPr/>
              <a:lstStyle/>
              <a:p>
                <a:pPr>
                  <a:defRPr sz="700" b="0" i="0"/>
                </a:pPr>
                <a:endParaRPr lang="ru-RU"/>
              </a:p>
            </c:txPr>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Лист1!$B$2:$B$14</c:f>
              <c:numCache>
                <c:formatCode>#,##0</c:formatCode>
                <c:ptCount val="13"/>
                <c:pt idx="0">
                  <c:v>2314</c:v>
                </c:pt>
                <c:pt idx="1">
                  <c:v>1771</c:v>
                </c:pt>
                <c:pt idx="2">
                  <c:v>1964</c:v>
                </c:pt>
                <c:pt idx="3">
                  <c:v>2285</c:v>
                </c:pt>
                <c:pt idx="4">
                  <c:v>2147</c:v>
                </c:pt>
                <c:pt idx="5">
                  <c:v>2640</c:v>
                </c:pt>
                <c:pt idx="6">
                  <c:v>2653</c:v>
                </c:pt>
                <c:pt idx="7">
                  <c:v>3612</c:v>
                </c:pt>
                <c:pt idx="8">
                  <c:v>3124</c:v>
                </c:pt>
                <c:pt idx="9">
                  <c:v>2479</c:v>
                </c:pt>
                <c:pt idx="10">
                  <c:v>2408</c:v>
                </c:pt>
                <c:pt idx="11">
                  <c:v>2357</c:v>
                </c:pt>
                <c:pt idx="12">
                  <c:v>3109</c:v>
                </c:pt>
              </c:numCache>
            </c:numRef>
          </c:val>
        </c:ser>
        <c:ser>
          <c:idx val="1"/>
          <c:order val="1"/>
          <c:tx>
            <c:strRef>
              <c:f>Лист1!$C$1</c:f>
              <c:strCache>
                <c:ptCount val="1"/>
                <c:pt idx="0">
                  <c:v>2017 год</c:v>
                </c:pt>
              </c:strCache>
            </c:strRef>
          </c:tx>
          <c:spPr>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0" scaled="1"/>
              <a:tileRect/>
            </a:gradFill>
            <a:ln>
              <a:solidFill>
                <a:sysClr val="windowText" lastClr="000000"/>
              </a:solidFill>
            </a:ln>
          </c:spPr>
          <c:dLbls>
            <c:dLbl>
              <c:idx val="0"/>
              <c:layout>
                <c:manualLayout>
                  <c:x val="9.08066342054651E-3"/>
                  <c:y val="6.1610582259307139E-3"/>
                </c:manualLayout>
              </c:layout>
              <c:showVal val="1"/>
            </c:dLbl>
            <c:dLbl>
              <c:idx val="1"/>
              <c:layout>
                <c:manualLayout>
                  <c:x val="1.0444538900836221E-2"/>
                  <c:y val="1.3367545474726107E-2"/>
                </c:manualLayout>
              </c:layout>
              <c:showVal val="1"/>
            </c:dLbl>
            <c:dLbl>
              <c:idx val="2"/>
              <c:layout>
                <c:manualLayout>
                  <c:x val="8.3800401486425705E-3"/>
                  <c:y val="8.6924955276113675E-3"/>
                </c:manualLayout>
              </c:layout>
              <c:showVal val="1"/>
            </c:dLbl>
            <c:dLbl>
              <c:idx val="3"/>
              <c:layout>
                <c:manualLayout>
                  <c:x val="1.1870699486989541E-2"/>
                  <c:y val="6.6496911766626655E-3"/>
                </c:manualLayout>
              </c:layout>
              <c:showVal val="1"/>
            </c:dLbl>
            <c:dLbl>
              <c:idx val="4"/>
              <c:layout>
                <c:manualLayout>
                  <c:x val="9.8297680721497766E-3"/>
                  <c:y val="6.3812172732139833E-3"/>
                </c:manualLayout>
              </c:layout>
              <c:showVal val="1"/>
            </c:dLbl>
            <c:dLbl>
              <c:idx val="5"/>
              <c:layout>
                <c:manualLayout>
                  <c:x val="4.5032131539410516E-3"/>
                  <c:y val="1.0801634870268082E-2"/>
                </c:manualLayout>
              </c:layout>
              <c:showVal val="1"/>
            </c:dLbl>
            <c:dLbl>
              <c:idx val="6"/>
              <c:layout>
                <c:manualLayout>
                  <c:x val="1.6061813759116621E-2"/>
                  <c:y val="1.1045820764941703E-2"/>
                </c:manualLayout>
              </c:layout>
              <c:showVal val="1"/>
            </c:dLbl>
            <c:dLbl>
              <c:idx val="7"/>
              <c:layout>
                <c:manualLayout>
                  <c:x val="2.4077065193146955E-2"/>
                  <c:y val="1.6257035034799753E-2"/>
                </c:manualLayout>
              </c:layout>
              <c:showVal val="1"/>
            </c:dLbl>
            <c:dLbl>
              <c:idx val="8"/>
              <c:layout>
                <c:manualLayout>
                  <c:x val="1.2515434501740192E-2"/>
                  <c:y val="7.6261735939724034E-3"/>
                </c:manualLayout>
              </c:layout>
              <c:showVal val="1"/>
            </c:dLbl>
            <c:dLbl>
              <c:idx val="9"/>
              <c:layout>
                <c:manualLayout>
                  <c:x val="1.0803940795481805E-2"/>
                  <c:y val="4.6836682728092034E-3"/>
                </c:manualLayout>
              </c:layout>
              <c:showVal val="1"/>
            </c:dLbl>
            <c:dLbl>
              <c:idx val="10"/>
              <c:layout>
                <c:manualLayout>
                  <c:x val="9.2811541261778405E-3"/>
                  <c:y val="8.0745876914640226E-3"/>
                </c:manualLayout>
              </c:layout>
              <c:showVal val="1"/>
            </c:dLbl>
            <c:dLbl>
              <c:idx val="11"/>
              <c:layout>
                <c:manualLayout>
                  <c:x val="1.2098965983073532E-2"/>
                  <c:y val="7.5846489338086956E-3"/>
                </c:manualLayout>
              </c:layout>
              <c:showVal val="1"/>
            </c:dLbl>
            <c:dLbl>
              <c:idx val="12"/>
              <c:layout>
                <c:manualLayout>
                  <c:x val="0"/>
                  <c:y val="1.9587103850824702E-4"/>
                </c:manualLayout>
              </c:layout>
              <c:showVal val="1"/>
            </c:dLbl>
            <c:dLbl>
              <c:idx val="13"/>
              <c:layout>
                <c:manualLayout>
                  <c:x val="1.2539184952978056E-2"/>
                  <c:y val="9.5011876484560574E-3"/>
                </c:manualLayout>
              </c:layout>
              <c:showVal val="1"/>
            </c:dLbl>
            <c:txPr>
              <a:bodyPr/>
              <a:lstStyle/>
              <a:p>
                <a:pPr>
                  <a:defRPr sz="800" b="1" i="0">
                    <a:solidFill>
                      <a:schemeClr val="tx1"/>
                    </a:solidFill>
                  </a:defRPr>
                </a:pPr>
                <a:endParaRPr lang="ru-RU"/>
              </a:p>
            </c:txPr>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Лист1!$C$2:$C$14</c:f>
              <c:numCache>
                <c:formatCode>#,##0</c:formatCode>
                <c:ptCount val="13"/>
                <c:pt idx="0">
                  <c:v>2407</c:v>
                </c:pt>
                <c:pt idx="1">
                  <c:v>1778</c:v>
                </c:pt>
                <c:pt idx="2">
                  <c:v>2074</c:v>
                </c:pt>
                <c:pt idx="3">
                  <c:v>2331</c:v>
                </c:pt>
                <c:pt idx="4">
                  <c:v>2131</c:v>
                </c:pt>
                <c:pt idx="5">
                  <c:v>2680</c:v>
                </c:pt>
                <c:pt idx="6">
                  <c:v>2675</c:v>
                </c:pt>
                <c:pt idx="7">
                  <c:v>3641</c:v>
                </c:pt>
                <c:pt idx="8">
                  <c:v>3089</c:v>
                </c:pt>
                <c:pt idx="9">
                  <c:v>2509</c:v>
                </c:pt>
                <c:pt idx="10">
                  <c:v>2447</c:v>
                </c:pt>
                <c:pt idx="11">
                  <c:v>2449</c:v>
                </c:pt>
                <c:pt idx="12">
                  <c:v>2912</c:v>
                </c:pt>
              </c:numCache>
            </c:numRef>
          </c:val>
        </c:ser>
        <c:dLbls>
          <c:showVal val="1"/>
        </c:dLbls>
        <c:axId val="127260928"/>
        <c:axId val="127574016"/>
      </c:barChart>
      <c:lineChart>
        <c:grouping val="standard"/>
        <c:ser>
          <c:idx val="2"/>
          <c:order val="2"/>
          <c:tx>
            <c:strRef>
              <c:f>Лист1!$D$1</c:f>
              <c:strCache>
                <c:ptCount val="1"/>
                <c:pt idx="0">
                  <c:v>Средняя заработная плата по республике за 2017 год</c:v>
                </c:pt>
              </c:strCache>
            </c:strRef>
          </c:tx>
          <c:spPr>
            <a:ln w="31750">
              <a:solidFill>
                <a:sysClr val="windowText" lastClr="000000"/>
              </a:solidFill>
            </a:ln>
          </c:spPr>
          <c:marker>
            <c:symbol val="triangle"/>
            <c:size val="3"/>
            <c:spPr>
              <a:solidFill>
                <a:schemeClr val="tx1"/>
              </a:solidFill>
              <a:ln>
                <a:solidFill>
                  <a:schemeClr val="tx1"/>
                </a:solidFill>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0"/>
                  <c:y val="-2.9850746268656792E-2"/>
                </c:manualLayout>
              </c:layout>
              <c:spPr/>
              <c:txPr>
                <a:bodyPr/>
                <a:lstStyle/>
                <a:p>
                  <a:pPr>
                    <a:defRPr sz="800"/>
                  </a:pPr>
                  <a:endParaRPr lang="ru-RU"/>
                </a:p>
              </c:txPr>
              <c:showVal val="1"/>
            </c:dLbl>
            <c:showVal val="1"/>
          </c:dLbls>
          <c:cat>
            <c:strRef>
              <c:f>Лист1!$A$2:$A$14</c:f>
              <c:strCache>
                <c:ptCount val="13"/>
                <c:pt idx="0">
                  <c:v>Сельское хозяйство</c:v>
                </c:pt>
                <c:pt idx="1">
                  <c:v>Торговля и общепит</c:v>
                </c:pt>
                <c:pt idx="2">
                  <c:v>Геология и метрология</c:v>
                </c:pt>
                <c:pt idx="3">
                  <c:v>Жилищно-ком. Хозяйство</c:v>
                </c:pt>
                <c:pt idx="4">
                  <c:v>Социальное обеспечение</c:v>
                </c:pt>
                <c:pt idx="5">
                  <c:v>Здравоохранение</c:v>
                </c:pt>
                <c:pt idx="6">
                  <c:v>Образование</c:v>
                </c:pt>
                <c:pt idx="7">
                  <c:v>Высшие учебные заведения</c:v>
                </c:pt>
                <c:pt idx="8">
                  <c:v>Средние специальные учебные заведения</c:v>
                </c:pt>
                <c:pt idx="9">
                  <c:v>ГУНО (школы и ДОУ)</c:v>
                </c:pt>
                <c:pt idx="10">
                  <c:v>Культура и искусство</c:v>
                </c:pt>
                <c:pt idx="11">
                  <c:v>Физкультура, отдых, туризм</c:v>
                </c:pt>
                <c:pt idx="12">
                  <c:v>Наука и научное обслуживание</c:v>
                </c:pt>
              </c:strCache>
            </c:strRef>
          </c:cat>
          <c:val>
            <c:numRef>
              <c:f>Лист1!$D$2:$D$14</c:f>
              <c:numCache>
                <c:formatCode>#,##0</c:formatCode>
                <c:ptCount val="13"/>
                <c:pt idx="0">
                  <c:v>3977</c:v>
                </c:pt>
                <c:pt idx="1">
                  <c:v>3977</c:v>
                </c:pt>
                <c:pt idx="2">
                  <c:v>3977</c:v>
                </c:pt>
                <c:pt idx="3">
                  <c:v>3977</c:v>
                </c:pt>
                <c:pt idx="4">
                  <c:v>3977</c:v>
                </c:pt>
                <c:pt idx="5">
                  <c:v>3977</c:v>
                </c:pt>
                <c:pt idx="6">
                  <c:v>3977</c:v>
                </c:pt>
                <c:pt idx="7">
                  <c:v>3977</c:v>
                </c:pt>
                <c:pt idx="8">
                  <c:v>3977</c:v>
                </c:pt>
                <c:pt idx="9">
                  <c:v>3977</c:v>
                </c:pt>
                <c:pt idx="10">
                  <c:v>3977</c:v>
                </c:pt>
                <c:pt idx="11">
                  <c:v>3977</c:v>
                </c:pt>
                <c:pt idx="12">
                  <c:v>3977</c:v>
                </c:pt>
              </c:numCache>
            </c:numRef>
          </c:val>
        </c:ser>
        <c:marker val="1"/>
        <c:axId val="127260928"/>
        <c:axId val="127574016"/>
      </c:lineChart>
      <c:catAx>
        <c:axId val="127260928"/>
        <c:scaling>
          <c:orientation val="minMax"/>
        </c:scaling>
        <c:axPos val="b"/>
        <c:numFmt formatCode="General" sourceLinked="1"/>
        <c:tickLblPos val="nextTo"/>
        <c:txPr>
          <a:bodyPr rot="-5400000" vert="horz"/>
          <a:lstStyle/>
          <a:p>
            <a:pPr>
              <a:defRPr b="0" i="0"/>
            </a:pPr>
            <a:endParaRPr lang="ru-RU"/>
          </a:p>
        </c:txPr>
        <c:crossAx val="127574016"/>
        <c:crosses val="autoZero"/>
        <c:auto val="1"/>
        <c:lblAlgn val="ctr"/>
        <c:lblOffset val="100"/>
      </c:catAx>
      <c:valAx>
        <c:axId val="127574016"/>
        <c:scaling>
          <c:orientation val="minMax"/>
        </c:scaling>
        <c:axPos val="l"/>
        <c:numFmt formatCode="#,##0" sourceLinked="1"/>
        <c:tickLblPos val="nextTo"/>
        <c:txPr>
          <a:bodyPr/>
          <a:lstStyle/>
          <a:p>
            <a:pPr>
              <a:defRPr b="0"/>
            </a:pPr>
            <a:endParaRPr lang="ru-RU"/>
          </a:p>
        </c:txPr>
        <c:crossAx val="127260928"/>
        <c:crosses val="autoZero"/>
        <c:crossBetween val="between"/>
      </c:valAx>
    </c:plotArea>
    <c:legend>
      <c:legendPos val="b"/>
      <c:layout>
        <c:manualLayout>
          <c:xMode val="edge"/>
          <c:yMode val="edge"/>
          <c:x val="5.2089781880714024E-2"/>
          <c:y val="0.95578284649735945"/>
          <c:w val="0.89999991583093797"/>
          <c:h val="4.4217234039775247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среднегодовой назначенной месячной пенсии и величины прожиточного минимума пенсионера</a:t>
            </a:r>
            <a:endParaRPr lang="ru-RU" sz="1200" b="0">
              <a:solidFill>
                <a:srgbClr val="FF0000"/>
              </a:solidFill>
              <a:latin typeface="Times New Roman" pitchFamily="18" charset="0"/>
              <a:cs typeface="Times New Roman" pitchFamily="18" charset="0"/>
            </a:endParaRPr>
          </a:p>
        </c:rich>
      </c:tx>
      <c:layout>
        <c:manualLayout>
          <c:xMode val="edge"/>
          <c:yMode val="edge"/>
          <c:x val="0.16721241305511078"/>
          <c:y val="0"/>
        </c:manualLayout>
      </c:layout>
      <c:spPr>
        <a:noFill/>
      </c:spPr>
    </c:title>
    <c:plotArea>
      <c:layout/>
      <c:barChart>
        <c:barDir val="col"/>
        <c:grouping val="clustered"/>
        <c:ser>
          <c:idx val="0"/>
          <c:order val="0"/>
          <c:tx>
            <c:strRef>
              <c:f>Лист1!$B$1</c:f>
              <c:strCache>
                <c:ptCount val="1"/>
                <c:pt idx="0">
                  <c:v>Среднегодовой размер назначенных пенсий, руб. ПМР</c:v>
                </c:pt>
              </c:strCache>
            </c:strRef>
          </c:tx>
          <c:dLbls>
            <c:dLbl>
              <c:idx val="0"/>
              <c:layout>
                <c:manualLayout>
                  <c:x val="2.3148148148148147E-3"/>
                  <c:y val="-1.1904761904761921E-2"/>
                </c:manualLayout>
              </c:layout>
              <c:tx>
                <c:rich>
                  <a:bodyPr/>
                  <a:lstStyle/>
                  <a:p>
                    <a:r>
                      <a:rPr lang="ru-RU" b="1">
                        <a:latin typeface="Times New Roman" pitchFamily="18" charset="0"/>
                        <a:cs typeface="Times New Roman" pitchFamily="18" charset="0"/>
                      </a:rPr>
                      <a:t>+1,0%</a:t>
                    </a:r>
                    <a:r>
                      <a:rPr lang="ru-RU" b="1" baseline="0">
                        <a:latin typeface="Times New Roman" pitchFamily="18" charset="0"/>
                        <a:cs typeface="Times New Roman" pitchFamily="18" charset="0"/>
                      </a:rPr>
                      <a:t>*</a:t>
                    </a:r>
                    <a:endParaRPr lang="en-US" b="1">
                      <a:latin typeface="Times New Roman" pitchFamily="18" charset="0"/>
                      <a:cs typeface="Times New Roman" pitchFamily="18" charset="0"/>
                    </a:endParaRPr>
                  </a:p>
                </c:rich>
              </c:tx>
              <c:showVal val="1"/>
            </c:dLbl>
            <c:dLbl>
              <c:idx val="1"/>
              <c:tx>
                <c:rich>
                  <a:bodyPr/>
                  <a:lstStyle/>
                  <a:p>
                    <a:r>
                      <a:rPr lang="ru-RU" b="1">
                        <a:latin typeface="Times New Roman" pitchFamily="18" charset="0"/>
                        <a:cs typeface="Times New Roman" pitchFamily="18" charset="0"/>
                      </a:rPr>
                      <a:t>-0,5%*</a:t>
                    </a:r>
                    <a:endParaRPr lang="en-US" b="1">
                      <a:latin typeface="Times New Roman" pitchFamily="18" charset="0"/>
                      <a:cs typeface="Times New Roman" pitchFamily="18" charset="0"/>
                    </a:endParaRPr>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2016 год</c:v>
                </c:pt>
                <c:pt idx="1">
                  <c:v>2017 год</c:v>
                </c:pt>
              </c:strCache>
            </c:strRef>
          </c:cat>
          <c:val>
            <c:numRef>
              <c:f>Лист1!$B$2:$B$3</c:f>
              <c:numCache>
                <c:formatCode>#,##0.00</c:formatCode>
                <c:ptCount val="2"/>
                <c:pt idx="0">
                  <c:v>1355.2</c:v>
                </c:pt>
                <c:pt idx="1">
                  <c:v>1348</c:v>
                </c:pt>
              </c:numCache>
            </c:numRef>
          </c:val>
        </c:ser>
        <c:ser>
          <c:idx val="1"/>
          <c:order val="1"/>
          <c:tx>
            <c:strRef>
              <c:f>Лист1!$C$1</c:f>
              <c:strCache>
                <c:ptCount val="1"/>
                <c:pt idx="0">
                  <c:v>Прожиточный минимум пенсионера, руб. ПМР</c:v>
                </c:pt>
              </c:strCache>
            </c:strRef>
          </c:tx>
          <c:dLbls>
            <c:dLbl>
              <c:idx val="0"/>
              <c:layout>
                <c:manualLayout>
                  <c:x val="6.9444444444446522E-3"/>
                  <c:y val="0"/>
                </c:manualLayout>
              </c:layout>
              <c:tx>
                <c:rich>
                  <a:bodyPr/>
                  <a:lstStyle/>
                  <a:p>
                    <a:r>
                      <a:rPr lang="ru-RU"/>
                      <a:t>-0,8%*</a:t>
                    </a:r>
                    <a:endParaRPr lang="en-US"/>
                  </a:p>
                </c:rich>
              </c:tx>
              <c:showVal val="1"/>
            </c:dLbl>
            <c:dLbl>
              <c:idx val="1"/>
              <c:tx>
                <c:rich>
                  <a:bodyPr/>
                  <a:lstStyle/>
                  <a:p>
                    <a:r>
                      <a:rPr lang="ru-RU"/>
                      <a:t>+5,5%*</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2016 год</c:v>
                </c:pt>
                <c:pt idx="1">
                  <c:v>2017 год</c:v>
                </c:pt>
              </c:strCache>
            </c:strRef>
          </c:cat>
          <c:val>
            <c:numRef>
              <c:f>Лист1!$C$2:$C$3</c:f>
              <c:numCache>
                <c:formatCode>#,##0.00</c:formatCode>
                <c:ptCount val="2"/>
                <c:pt idx="0">
                  <c:v>1081.01</c:v>
                </c:pt>
                <c:pt idx="1">
                  <c:v>1140.4000000000001</c:v>
                </c:pt>
              </c:numCache>
            </c:numRef>
          </c:val>
        </c:ser>
        <c:axId val="128173184"/>
        <c:axId val="128174720"/>
      </c:barChart>
      <c:catAx>
        <c:axId val="128173184"/>
        <c:scaling>
          <c:orientation val="minMax"/>
        </c:scaling>
        <c:axPos val="b"/>
        <c:numFmt formatCode="#,##0.00" sourceLinked="1"/>
        <c:tickLblPos val="nextTo"/>
        <c:crossAx val="128174720"/>
        <c:crosses val="autoZero"/>
        <c:auto val="1"/>
        <c:lblAlgn val="ctr"/>
        <c:lblOffset val="100"/>
      </c:catAx>
      <c:valAx>
        <c:axId val="128174720"/>
        <c:scaling>
          <c:orientation val="minMax"/>
          <c:max val="1500"/>
          <c:min val="0"/>
        </c:scaling>
        <c:axPos val="l"/>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 -</a:t>
                </a:r>
                <a:r>
                  <a:rPr lang="ru-RU" baseline="0">
                    <a:latin typeface="Times New Roman" pitchFamily="18" charset="0"/>
                    <a:cs typeface="Times New Roman" pitchFamily="18" charset="0"/>
                  </a:rPr>
                  <a:t> темп прироста</a:t>
                </a:r>
                <a:endParaRPr lang="ru-RU">
                  <a:latin typeface="Times New Roman" pitchFamily="18" charset="0"/>
                  <a:cs typeface="Times New Roman" pitchFamily="18" charset="0"/>
                </a:endParaRPr>
              </a:p>
            </c:rich>
          </c:tx>
          <c:layout>
            <c:manualLayout>
              <c:xMode val="edge"/>
              <c:yMode val="edge"/>
              <c:x val="3.9351851851851853E-2"/>
              <c:y val="0.50191326830414851"/>
            </c:manualLayout>
          </c:layout>
        </c:title>
        <c:numFmt formatCode="#,##0.00" sourceLinked="1"/>
        <c:tickLblPos val="nextTo"/>
        <c:txPr>
          <a:bodyPr/>
          <a:lstStyle/>
          <a:p>
            <a:pPr>
              <a:defRPr b="1">
                <a:latin typeface="Times New Roman" pitchFamily="18" charset="0"/>
                <a:cs typeface="Times New Roman" pitchFamily="18" charset="0"/>
              </a:defRPr>
            </a:pPr>
            <a:endParaRPr lang="ru-RU"/>
          </a:p>
        </c:txPr>
        <c:crossAx val="128173184"/>
        <c:crosses val="autoZero"/>
        <c:crossBetween val="between"/>
        <c:majorUnit val="300"/>
      </c:valAx>
      <c:dTable>
        <c:showHorzBorder val="1"/>
        <c:showVertBorder val="1"/>
        <c:showOutline val="1"/>
        <c:showKeys val="1"/>
        <c:txPr>
          <a:bodyPr/>
          <a:lstStyle/>
          <a:p>
            <a:pPr rtl="0">
              <a:defRPr b="1">
                <a:latin typeface="Times New Roman" pitchFamily="18" charset="0"/>
                <a:cs typeface="Times New Roman" pitchFamily="18" charset="0"/>
              </a:defRPr>
            </a:pPr>
            <a:endParaRPr lang="ru-RU"/>
          </a:p>
        </c:txPr>
      </c:dTable>
    </c:plotArea>
    <c:plotVisOnly val="1"/>
  </c:chart>
  <c:spPr>
    <a:ln>
      <a:noFill/>
    </a:ln>
  </c:sp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sz="1200"/>
            </a:pPr>
            <a:r>
              <a:rPr lang="ru-RU" sz="1200"/>
              <a:t>Структура прожиточного минимума, руб.</a:t>
            </a:r>
          </a:p>
        </c:rich>
      </c:tx>
      <c:layout>
        <c:manualLayout>
          <c:xMode val="edge"/>
          <c:yMode val="edge"/>
          <c:x val="0.25523731408573447"/>
          <c:y val="0"/>
        </c:manualLayout>
      </c:layout>
      <c:overlay val="1"/>
      <c:spPr>
        <a:noFill/>
      </c:spPr>
    </c:title>
    <c:plotArea>
      <c:layout>
        <c:manualLayout>
          <c:layoutTarget val="inner"/>
          <c:xMode val="edge"/>
          <c:yMode val="edge"/>
          <c:x val="9.8694043452903724E-2"/>
          <c:y val="0.16549831271091292"/>
          <c:w val="0.57758019830854479"/>
          <c:h val="0.6904472655203816"/>
        </c:manualLayout>
      </c:layout>
      <c:barChart>
        <c:barDir val="col"/>
        <c:grouping val="percentStacked"/>
        <c:ser>
          <c:idx val="0"/>
          <c:order val="0"/>
          <c:tx>
            <c:strRef>
              <c:f>Лист1!$B$1</c:f>
              <c:strCache>
                <c:ptCount val="1"/>
                <c:pt idx="0">
                  <c:v>питание</c:v>
                </c:pt>
              </c:strCache>
            </c:strRef>
          </c:tx>
          <c:spPr>
            <a:solidFill>
              <a:schemeClr val="accent5">
                <a:lumMod val="75000"/>
              </a:schemeClr>
            </a:solidFill>
          </c:spPr>
          <c:dLbls>
            <c:dLbl>
              <c:idx val="0"/>
              <c:tx>
                <c:rich>
                  <a:bodyPr/>
                  <a:lstStyle/>
                  <a:p>
                    <a:r>
                      <a:rPr lang="ru-RU" b="1"/>
                      <a:t>563;</a:t>
                    </a:r>
                  </a:p>
                  <a:p>
                    <a:r>
                      <a:rPr lang="en-US" b="1"/>
                      <a:t>4</a:t>
                    </a:r>
                    <a:r>
                      <a:rPr lang="ru-RU" b="1"/>
                      <a:t>3</a:t>
                    </a:r>
                    <a:r>
                      <a:rPr lang="en-US" b="1"/>
                      <a:t>,8</a:t>
                    </a:r>
                    <a:r>
                      <a:rPr lang="ru-RU" b="1"/>
                      <a:t>%</a:t>
                    </a:r>
                    <a:endParaRPr lang="en-US" b="1"/>
                  </a:p>
                </c:rich>
              </c:tx>
              <c:showVal val="1"/>
            </c:dLbl>
            <c:dLbl>
              <c:idx val="1"/>
              <c:tx>
                <c:rich>
                  <a:bodyPr/>
                  <a:lstStyle/>
                  <a:p>
                    <a:r>
                      <a:rPr lang="ru-RU" b="1"/>
                      <a:t>620;</a:t>
                    </a:r>
                  </a:p>
                  <a:p>
                    <a:r>
                      <a:rPr lang="en-US" b="1"/>
                      <a:t>4</a:t>
                    </a:r>
                    <a:r>
                      <a:rPr lang="ru-RU" b="1"/>
                      <a:t>5,8%</a:t>
                    </a:r>
                    <a:endParaRPr lang="en-US" b="1"/>
                  </a:p>
                </c:rich>
              </c:tx>
              <c:showVal val="1"/>
            </c:dLbl>
            <c:txPr>
              <a:bodyPr/>
              <a:lstStyle/>
              <a:p>
                <a:pPr>
                  <a:defRPr sz="1000" b="1"/>
                </a:pPr>
                <a:endParaRPr lang="ru-RU"/>
              </a:p>
            </c:txPr>
            <c:showVal val="1"/>
          </c:dLbls>
          <c:cat>
            <c:strRef>
              <c:f>Лист1!$A$2:$A$3</c:f>
              <c:strCache>
                <c:ptCount val="2"/>
                <c:pt idx="0">
                  <c:v>2016 год</c:v>
                </c:pt>
                <c:pt idx="1">
                  <c:v>2017 год</c:v>
                </c:pt>
              </c:strCache>
            </c:strRef>
          </c:cat>
          <c:val>
            <c:numRef>
              <c:f>Лист1!$B$2:$B$3</c:f>
              <c:numCache>
                <c:formatCode>0.0</c:formatCode>
                <c:ptCount val="2"/>
                <c:pt idx="0">
                  <c:v>43.8</c:v>
                </c:pt>
                <c:pt idx="1">
                  <c:v>45.8</c:v>
                </c:pt>
              </c:numCache>
            </c:numRef>
          </c:val>
        </c:ser>
        <c:ser>
          <c:idx val="1"/>
          <c:order val="1"/>
          <c:tx>
            <c:strRef>
              <c:f>Лист1!$C$1</c:f>
              <c:strCache>
                <c:ptCount val="1"/>
                <c:pt idx="0">
                  <c:v>непродовольственные товары</c:v>
                </c:pt>
              </c:strCache>
            </c:strRef>
          </c:tx>
          <c:spPr>
            <a:solidFill>
              <a:schemeClr val="accent5">
                <a:lumMod val="60000"/>
                <a:lumOff val="40000"/>
              </a:schemeClr>
            </a:solidFill>
          </c:spPr>
          <c:dLbls>
            <c:dLbl>
              <c:idx val="0"/>
              <c:tx>
                <c:rich>
                  <a:bodyPr/>
                  <a:lstStyle/>
                  <a:p>
                    <a:r>
                      <a:rPr lang="ru-RU" b="1"/>
                      <a:t>275;</a:t>
                    </a:r>
                  </a:p>
                  <a:p>
                    <a:r>
                      <a:rPr lang="en-US" b="1"/>
                      <a:t>2</a:t>
                    </a:r>
                    <a:r>
                      <a:rPr lang="ru-RU" b="1"/>
                      <a:t>1,4%</a:t>
                    </a:r>
                    <a:endParaRPr lang="en-US" b="1"/>
                  </a:p>
                </c:rich>
              </c:tx>
              <c:showVal val="1"/>
            </c:dLbl>
            <c:dLbl>
              <c:idx val="1"/>
              <c:tx>
                <c:rich>
                  <a:bodyPr/>
                  <a:lstStyle/>
                  <a:p>
                    <a:r>
                      <a:rPr lang="ru-RU" b="1"/>
                      <a:t>288;</a:t>
                    </a:r>
                  </a:p>
                  <a:p>
                    <a:r>
                      <a:rPr lang="en-US" b="1"/>
                      <a:t>21,</a:t>
                    </a:r>
                    <a:r>
                      <a:rPr lang="ru-RU" b="1"/>
                      <a:t>2%</a:t>
                    </a:r>
                    <a:endParaRPr lang="en-US" b="1"/>
                  </a:p>
                </c:rich>
              </c:tx>
              <c:showVal val="1"/>
            </c:dLbl>
            <c:txPr>
              <a:bodyPr/>
              <a:lstStyle/>
              <a:p>
                <a:pPr>
                  <a:defRPr sz="1000" b="1"/>
                </a:pPr>
                <a:endParaRPr lang="ru-RU"/>
              </a:p>
            </c:txPr>
            <c:showVal val="1"/>
          </c:dLbls>
          <c:cat>
            <c:strRef>
              <c:f>Лист1!$A$2:$A$3</c:f>
              <c:strCache>
                <c:ptCount val="2"/>
                <c:pt idx="0">
                  <c:v>2016 год</c:v>
                </c:pt>
                <c:pt idx="1">
                  <c:v>2017 год</c:v>
                </c:pt>
              </c:strCache>
            </c:strRef>
          </c:cat>
          <c:val>
            <c:numRef>
              <c:f>Лист1!$C$2:$C$3</c:f>
              <c:numCache>
                <c:formatCode>0.0</c:formatCode>
                <c:ptCount val="2"/>
                <c:pt idx="0">
                  <c:v>21.4</c:v>
                </c:pt>
                <c:pt idx="1">
                  <c:v>21.2</c:v>
                </c:pt>
              </c:numCache>
            </c:numRef>
          </c:val>
        </c:ser>
        <c:ser>
          <c:idx val="2"/>
          <c:order val="2"/>
          <c:tx>
            <c:strRef>
              <c:f>Лист1!$D$1</c:f>
              <c:strCache>
                <c:ptCount val="1"/>
                <c:pt idx="0">
                  <c:v>услуги</c:v>
                </c:pt>
              </c:strCache>
            </c:strRef>
          </c:tx>
          <c:spPr>
            <a:solidFill>
              <a:schemeClr val="accent5">
                <a:lumMod val="40000"/>
                <a:lumOff val="60000"/>
              </a:schemeClr>
            </a:solidFill>
          </c:spPr>
          <c:dLbls>
            <c:dLbl>
              <c:idx val="0"/>
              <c:layout>
                <c:manualLayout>
                  <c:x val="2.3148148148148147E-3"/>
                  <c:y val="2.1030494216614092E-2"/>
                </c:manualLayout>
              </c:layout>
              <c:tx>
                <c:rich>
                  <a:bodyPr/>
                  <a:lstStyle/>
                  <a:p>
                    <a:r>
                      <a:rPr lang="ru-RU" b="1"/>
                      <a:t>424;</a:t>
                    </a:r>
                  </a:p>
                  <a:p>
                    <a:r>
                      <a:rPr lang="en-US" b="1"/>
                      <a:t>3</a:t>
                    </a:r>
                    <a:r>
                      <a:rPr lang="ru-RU" b="1"/>
                      <a:t>3,0%</a:t>
                    </a:r>
                    <a:endParaRPr lang="en-US" b="1"/>
                  </a:p>
                </c:rich>
              </c:tx>
              <c:showVal val="1"/>
            </c:dLbl>
            <c:dLbl>
              <c:idx val="1"/>
              <c:layout>
                <c:manualLayout>
                  <c:x val="0"/>
                  <c:y val="2.0278833967046894E-2"/>
                </c:manualLayout>
              </c:layout>
              <c:tx>
                <c:rich>
                  <a:bodyPr/>
                  <a:lstStyle/>
                  <a:p>
                    <a:r>
                      <a:rPr lang="ru-RU" b="1"/>
                      <a:t>423;</a:t>
                    </a:r>
                  </a:p>
                  <a:p>
                    <a:r>
                      <a:rPr lang="en-US" b="1"/>
                      <a:t>3</a:t>
                    </a:r>
                    <a:r>
                      <a:rPr lang="ru-RU" b="1"/>
                      <a:t>1,2%</a:t>
                    </a:r>
                    <a:endParaRPr lang="en-US" b="1"/>
                  </a:p>
                </c:rich>
              </c:tx>
              <c:showVal val="1"/>
            </c:dLbl>
            <c:txPr>
              <a:bodyPr/>
              <a:lstStyle/>
              <a:p>
                <a:pPr>
                  <a:defRPr sz="1000" b="1"/>
                </a:pPr>
                <a:endParaRPr lang="ru-RU"/>
              </a:p>
            </c:txPr>
            <c:showVal val="1"/>
          </c:dLbls>
          <c:cat>
            <c:strRef>
              <c:f>Лист1!$A$2:$A$3</c:f>
              <c:strCache>
                <c:ptCount val="2"/>
                <c:pt idx="0">
                  <c:v>2016 год</c:v>
                </c:pt>
                <c:pt idx="1">
                  <c:v>2017 год</c:v>
                </c:pt>
              </c:strCache>
            </c:strRef>
          </c:cat>
          <c:val>
            <c:numRef>
              <c:f>Лист1!$D$2:$D$3</c:f>
              <c:numCache>
                <c:formatCode>0.0</c:formatCode>
                <c:ptCount val="2"/>
                <c:pt idx="0">
                  <c:v>33</c:v>
                </c:pt>
                <c:pt idx="1">
                  <c:v>31.2</c:v>
                </c:pt>
              </c:numCache>
            </c:numRef>
          </c:val>
        </c:ser>
        <c:ser>
          <c:idx val="3"/>
          <c:order val="3"/>
          <c:tx>
            <c:strRef>
              <c:f>Лист1!$E$1</c:f>
              <c:strCache>
                <c:ptCount val="1"/>
                <c:pt idx="0">
                  <c:v>обязательные платежи и сборы</c:v>
                </c:pt>
              </c:strCache>
            </c:strRef>
          </c:tx>
          <c:spPr>
            <a:solidFill>
              <a:schemeClr val="accent6">
                <a:lumMod val="20000"/>
                <a:lumOff val="80000"/>
              </a:schemeClr>
            </a:solidFill>
          </c:spPr>
          <c:dLbls>
            <c:dLbl>
              <c:idx val="0"/>
              <c:layout>
                <c:manualLayout>
                  <c:x val="2.3146325459317612E-3"/>
                  <c:y val="-2.5236593059936911E-2"/>
                </c:manualLayout>
              </c:layout>
              <c:tx>
                <c:rich>
                  <a:bodyPr/>
                  <a:lstStyle/>
                  <a:p>
                    <a:r>
                      <a:rPr lang="ru-RU" b="1"/>
                      <a:t>23;</a:t>
                    </a:r>
                  </a:p>
                  <a:p>
                    <a:r>
                      <a:rPr lang="en-US" b="1"/>
                      <a:t>1,</a:t>
                    </a:r>
                    <a:r>
                      <a:rPr lang="ru-RU" b="1"/>
                      <a:t>8%</a:t>
                    </a:r>
                    <a:endParaRPr lang="en-US" b="1"/>
                  </a:p>
                </c:rich>
              </c:tx>
              <c:showVal val="1"/>
            </c:dLbl>
            <c:dLbl>
              <c:idx val="1"/>
              <c:layout>
                <c:manualLayout>
                  <c:x val="-2.3148148148148147E-3"/>
                  <c:y val="-2.5236593059936911E-2"/>
                </c:manualLayout>
              </c:layout>
              <c:tx>
                <c:rich>
                  <a:bodyPr/>
                  <a:lstStyle/>
                  <a:p>
                    <a:r>
                      <a:rPr lang="ru-RU" b="1"/>
                      <a:t>24;</a:t>
                    </a:r>
                  </a:p>
                  <a:p>
                    <a:r>
                      <a:rPr lang="en-US" b="1"/>
                      <a:t>1,8</a:t>
                    </a:r>
                    <a:r>
                      <a:rPr lang="ru-RU" b="1"/>
                      <a:t>%</a:t>
                    </a:r>
                    <a:endParaRPr lang="en-US" b="1"/>
                  </a:p>
                </c:rich>
              </c:tx>
              <c:showVal val="1"/>
            </c:dLbl>
            <c:txPr>
              <a:bodyPr/>
              <a:lstStyle/>
              <a:p>
                <a:pPr>
                  <a:defRPr sz="1000" b="1"/>
                </a:pPr>
                <a:endParaRPr lang="ru-RU"/>
              </a:p>
            </c:txPr>
            <c:showVal val="1"/>
          </c:dLbls>
          <c:cat>
            <c:strRef>
              <c:f>Лист1!$A$2:$A$3</c:f>
              <c:strCache>
                <c:ptCount val="2"/>
                <c:pt idx="0">
                  <c:v>2016 год</c:v>
                </c:pt>
                <c:pt idx="1">
                  <c:v>2017 год</c:v>
                </c:pt>
              </c:strCache>
            </c:strRef>
          </c:cat>
          <c:val>
            <c:numRef>
              <c:f>Лист1!$E$2:$E$3</c:f>
              <c:numCache>
                <c:formatCode>0.0</c:formatCode>
                <c:ptCount val="2"/>
                <c:pt idx="0">
                  <c:v>1.8</c:v>
                </c:pt>
                <c:pt idx="1">
                  <c:v>1.8</c:v>
                </c:pt>
              </c:numCache>
            </c:numRef>
          </c:val>
        </c:ser>
        <c:overlap val="100"/>
        <c:axId val="143032320"/>
        <c:axId val="143033856"/>
      </c:barChart>
      <c:catAx>
        <c:axId val="143032320"/>
        <c:scaling>
          <c:orientation val="minMax"/>
        </c:scaling>
        <c:axPos val="b"/>
        <c:tickLblPos val="nextTo"/>
        <c:txPr>
          <a:bodyPr/>
          <a:lstStyle/>
          <a:p>
            <a:pPr>
              <a:defRPr sz="1000" b="1"/>
            </a:pPr>
            <a:endParaRPr lang="ru-RU"/>
          </a:p>
        </c:txPr>
        <c:crossAx val="143033856"/>
        <c:crosses val="autoZero"/>
        <c:auto val="1"/>
        <c:lblAlgn val="ctr"/>
        <c:lblOffset val="100"/>
      </c:catAx>
      <c:valAx>
        <c:axId val="143033856"/>
        <c:scaling>
          <c:orientation val="minMax"/>
        </c:scaling>
        <c:axPos val="l"/>
        <c:numFmt formatCode="0%" sourceLinked="1"/>
        <c:tickLblPos val="nextTo"/>
        <c:txPr>
          <a:bodyPr/>
          <a:lstStyle/>
          <a:p>
            <a:pPr>
              <a:defRPr sz="1000"/>
            </a:pPr>
            <a:endParaRPr lang="ru-RU"/>
          </a:p>
        </c:txPr>
        <c:crossAx val="143032320"/>
        <c:crosses val="autoZero"/>
        <c:crossBetween val="between"/>
      </c:valAx>
    </c:plotArea>
    <c:legend>
      <c:legendPos val="r"/>
      <c:layout>
        <c:manualLayout>
          <c:xMode val="edge"/>
          <c:yMode val="edge"/>
          <c:x val="0.68784831583552064"/>
          <c:y val="0.18439809309550667"/>
          <c:w val="0.29594798046077581"/>
          <c:h val="0.65841469816272968"/>
        </c:manualLayout>
      </c:layout>
      <c:txPr>
        <a:bodyPr/>
        <a:lstStyle/>
        <a:p>
          <a:pPr>
            <a:defRPr sz="1000" i="1"/>
          </a:pPr>
          <a:endParaRPr lang="ru-RU"/>
        </a:p>
      </c:txPr>
    </c:legend>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latin typeface="Times New Roman" pitchFamily="18" charset="0"/>
                <a:cs typeface="Times New Roman" pitchFamily="18" charset="0"/>
              </a:rPr>
              <a:t>2017 год</a:t>
            </a:r>
          </a:p>
        </c:rich>
      </c:tx>
      <c:layout>
        <c:manualLayout>
          <c:xMode val="edge"/>
          <c:yMode val="edge"/>
          <c:x val="0.4393788594607505"/>
          <c:y val="0"/>
        </c:manualLayout>
      </c:layout>
    </c:title>
    <c:view3D>
      <c:rotX val="30"/>
      <c:perspective val="30"/>
    </c:view3D>
    <c:plotArea>
      <c:layout>
        <c:manualLayout>
          <c:layoutTarget val="inner"/>
          <c:xMode val="edge"/>
          <c:yMode val="edge"/>
          <c:x val="9.7288553216562199E-2"/>
          <c:y val="6.3864143847690694E-2"/>
          <c:w val="0.55711357508882819"/>
          <c:h val="0.83663336859012061"/>
        </c:manualLayout>
      </c:layout>
      <c:pie3DChart>
        <c:varyColors val="1"/>
        <c:ser>
          <c:idx val="0"/>
          <c:order val="0"/>
          <c:tx>
            <c:strRef>
              <c:f>Лист1!$B$1</c:f>
              <c:strCache>
                <c:ptCount val="1"/>
                <c:pt idx="0">
                  <c:v>Столбец1</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plosion val="25"/>
          <c:dPt>
            <c:idx val="0"/>
            <c:spPr>
              <a:solidFill>
                <a:srgbClr val="E1E0E4"/>
              </a:solidFill>
            </c:spPr>
          </c:dPt>
          <c:dPt>
            <c:idx val="1"/>
            <c:spPr>
              <a:solidFill>
                <a:schemeClr val="tx1"/>
              </a:solidFill>
            </c:spPr>
          </c:dPt>
          <c:dLbls>
            <c:dLbl>
              <c:idx val="0"/>
              <c:layout>
                <c:manualLayout>
                  <c:x val="-3.4211264575534896E-2"/>
                  <c:y val="6.039370078740211E-2"/>
                </c:manualLayout>
              </c:layout>
              <c:tx>
                <c:rich>
                  <a:bodyPr/>
                  <a:lstStyle/>
                  <a:p>
                    <a:r>
                      <a:rPr lang="ru-RU">
                        <a:latin typeface="Times New Roman" pitchFamily="18" charset="0"/>
                        <a:cs typeface="Times New Roman" pitchFamily="18" charset="0"/>
                      </a:rPr>
                      <a:t>96,3%</a:t>
                    </a:r>
                    <a:endParaRPr lang="en-US">
                      <a:latin typeface="Times New Roman" pitchFamily="18" charset="0"/>
                      <a:cs typeface="Times New Roman" pitchFamily="18" charset="0"/>
                    </a:endParaRPr>
                  </a:p>
                </c:rich>
              </c:tx>
              <c:showVal val="1"/>
            </c:dLbl>
            <c:dLbl>
              <c:idx val="1"/>
              <c:layout>
                <c:manualLayout>
                  <c:x val="-5.1520334151779416E-2"/>
                  <c:y val="-2.0127484064491927E-2"/>
                </c:manualLayout>
              </c:layout>
              <c:tx>
                <c:rich>
                  <a:bodyPr/>
                  <a:lstStyle/>
                  <a:p>
                    <a:r>
                      <a:rPr lang="ru-RU" sz="1000">
                        <a:latin typeface="Times New Roman" pitchFamily="18" charset="0"/>
                        <a:cs typeface="Times New Roman" pitchFamily="18" charset="0"/>
                      </a:rPr>
                      <a:t>3,7%</a:t>
                    </a:r>
                    <a:endParaRPr lang="en-US" sz="1000">
                      <a:latin typeface="Times New Roman" pitchFamily="18" charset="0"/>
                      <a:cs typeface="Times New Roman" pitchFamily="18" charset="0"/>
                    </a:endParaRPr>
                  </a:p>
                </c:rich>
              </c:tx>
              <c:showVal val="1"/>
            </c:dLbl>
            <c:showVal val="1"/>
            <c:showLeaderLines val="1"/>
          </c:dLbls>
          <c:cat>
            <c:strRef>
              <c:f>Лист1!$A$2:$A$3</c:f>
              <c:strCache>
                <c:ptCount val="2"/>
                <c:pt idx="0">
                  <c:v>занятое население</c:v>
                </c:pt>
                <c:pt idx="1">
                  <c:v>лица ищущие работу</c:v>
                </c:pt>
              </c:strCache>
            </c:strRef>
          </c:cat>
          <c:val>
            <c:numRef>
              <c:f>Лист1!$B$2:$B$3</c:f>
              <c:numCache>
                <c:formatCode>General</c:formatCode>
                <c:ptCount val="2"/>
                <c:pt idx="0">
                  <c:v>133.5</c:v>
                </c:pt>
                <c:pt idx="1">
                  <c:v>5.2</c:v>
                </c:pt>
              </c:numCache>
            </c:numRef>
          </c:val>
        </c:ser>
      </c:pie3DChart>
    </c:plotArea>
    <c:legend>
      <c:legendPos val="r"/>
      <c:layout>
        <c:manualLayout>
          <c:xMode val="edge"/>
          <c:yMode val="edge"/>
          <c:x val="0.66099427735469307"/>
          <c:y val="0.14430681239471932"/>
          <c:w val="0.32514699813467446"/>
          <c:h val="0.62671289223175464"/>
        </c:manualLayout>
      </c:layout>
      <c:txPr>
        <a:bodyPr/>
        <a:lstStyle/>
        <a:p>
          <a:pPr>
            <a:defRPr sz="900">
              <a:latin typeface="Times New Roman" pitchFamily="18" charset="0"/>
              <a:cs typeface="Times New Roman" pitchFamily="18" charset="0"/>
            </a:defRPr>
          </a:pPr>
          <a:endParaRPr lang="ru-RU"/>
        </a:p>
      </c:txPr>
    </c:legend>
    <c:plotVisOnly val="1"/>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a:latin typeface="Times New Roman" pitchFamily="18" charset="0"/>
                <a:cs typeface="Times New Roman" pitchFamily="18" charset="0"/>
              </a:defRPr>
            </a:pPr>
            <a:r>
              <a:rPr lang="ru-RU" sz="1100">
                <a:latin typeface="Times New Roman" pitchFamily="18" charset="0"/>
                <a:cs typeface="Times New Roman" pitchFamily="18" charset="0"/>
              </a:rPr>
              <a:t>2016 год</a:t>
            </a:r>
          </a:p>
        </c:rich>
      </c:tx>
      <c:layout>
        <c:manualLayout>
          <c:xMode val="edge"/>
          <c:yMode val="edge"/>
          <c:x val="0.44570244508910078"/>
          <c:y val="0"/>
        </c:manualLayout>
      </c:layout>
    </c:title>
    <c:view3D>
      <c:rotX val="30"/>
      <c:perspective val="30"/>
    </c:view3D>
    <c:plotArea>
      <c:layout>
        <c:manualLayout>
          <c:layoutTarget val="inner"/>
          <c:xMode val="edge"/>
          <c:yMode val="edge"/>
          <c:x val="9.9456576025163071E-2"/>
          <c:y val="9.3462428307572912E-2"/>
          <c:w val="0.75411733452346863"/>
          <c:h val="0.90653757169242621"/>
        </c:manualLayout>
      </c:layout>
      <c:pie3DChart>
        <c:varyColors val="1"/>
        <c:ser>
          <c:idx val="0"/>
          <c:order val="0"/>
          <c:tx>
            <c:strRef>
              <c:f>Лист1!$B$1</c:f>
              <c:strCache>
                <c:ptCount val="1"/>
                <c:pt idx="0">
                  <c:v>январь-июнь 2016 года</c:v>
                </c:pt>
              </c:strCache>
            </c:strRef>
          </c:tx>
          <c:explosion val="50"/>
          <c:dPt>
            <c:idx val="0"/>
            <c:explosion val="16"/>
            <c:spPr>
              <a:solidFill>
                <a:srgbClr val="E1E0E4"/>
              </a:solidFill>
            </c:spPr>
          </c:dPt>
          <c:dPt>
            <c:idx val="1"/>
            <c:spPr>
              <a:solidFill>
                <a:schemeClr val="tx1"/>
              </a:solidFill>
            </c:spPr>
          </c:dPt>
          <c:dLbls>
            <c:dLbl>
              <c:idx val="0"/>
              <c:layout>
                <c:manualLayout>
                  <c:x val="-8.5744908896034852E-3"/>
                  <c:y val="0.351575456053068"/>
                </c:manualLayout>
              </c:layout>
              <c:tx>
                <c:rich>
                  <a:bodyPr/>
                  <a:lstStyle/>
                  <a:p>
                    <a:r>
                      <a:rPr lang="ru-RU">
                        <a:latin typeface="Times New Roman" pitchFamily="18" charset="0"/>
                        <a:cs typeface="Times New Roman" pitchFamily="18" charset="0"/>
                      </a:rPr>
                      <a:t>96,9%</a:t>
                    </a:r>
                    <a:endParaRPr lang="en-US">
                      <a:latin typeface="Times New Roman" pitchFamily="18" charset="0"/>
                      <a:cs typeface="Times New Roman" pitchFamily="18" charset="0"/>
                    </a:endParaRPr>
                  </a:p>
                </c:rich>
              </c:tx>
              <c:dLblPos val="ctr"/>
              <c:showVal val="1"/>
            </c:dLbl>
            <c:dLbl>
              <c:idx val="1"/>
              <c:layout>
                <c:manualLayout>
                  <c:x val="-0.12433011789924971"/>
                  <c:y val="2.6533996683250526E-2"/>
                </c:manualLayout>
              </c:layout>
              <c:tx>
                <c:rich>
                  <a:bodyPr/>
                  <a:lstStyle/>
                  <a:p>
                    <a:r>
                      <a:rPr lang="ru-RU" sz="1000">
                        <a:latin typeface="Times New Roman" pitchFamily="18" charset="0"/>
                        <a:cs typeface="Times New Roman" pitchFamily="18" charset="0"/>
                      </a:rPr>
                      <a:t>3,1%</a:t>
                    </a:r>
                    <a:endParaRPr lang="en-US" sz="1000">
                      <a:latin typeface="Times New Roman" pitchFamily="18" charset="0"/>
                      <a:cs typeface="Times New Roman" pitchFamily="18" charset="0"/>
                    </a:endParaRPr>
                  </a:p>
                </c:rich>
              </c:tx>
              <c:dLblPos val="outEnd"/>
              <c:showVal val="1"/>
            </c:dLbl>
            <c:delete val="1"/>
          </c:dLbls>
          <c:cat>
            <c:strRef>
              <c:f>Лист1!$A$2:$A$3</c:f>
              <c:strCache>
                <c:ptCount val="2"/>
                <c:pt idx="0">
                  <c:v>занятое население</c:v>
                </c:pt>
                <c:pt idx="1">
                  <c:v>лица ищущие работу</c:v>
                </c:pt>
              </c:strCache>
            </c:strRef>
          </c:cat>
          <c:val>
            <c:numRef>
              <c:f>Лист1!$B$2:$B$3</c:f>
              <c:numCache>
                <c:formatCode>General</c:formatCode>
                <c:ptCount val="2"/>
                <c:pt idx="0">
                  <c:v>132.30000000000001</c:v>
                </c:pt>
                <c:pt idx="1">
                  <c:v>4.2</c:v>
                </c:pt>
              </c:numCache>
            </c:numRef>
          </c:val>
        </c:ser>
      </c:pie3DChart>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defRPr>
            </a:pPr>
            <a:r>
              <a:rPr lang="ru-RU" sz="1200">
                <a:solidFill>
                  <a:sysClr val="windowText" lastClr="000000"/>
                </a:solidFill>
              </a:rPr>
              <a:t>Структура нерыночных услуг в общем объеме ВВП, %</a:t>
            </a:r>
          </a:p>
        </c:rich>
      </c:tx>
      <c:layout>
        <c:manualLayout>
          <c:xMode val="edge"/>
          <c:yMode val="edge"/>
          <c:x val="0.17456966462837256"/>
          <c:y val="0"/>
        </c:manualLayout>
      </c:layout>
    </c:title>
    <c:plotArea>
      <c:layout>
        <c:manualLayout>
          <c:layoutTarget val="inner"/>
          <c:xMode val="edge"/>
          <c:yMode val="edge"/>
          <c:x val="9.2002153576956694E-2"/>
          <c:y val="0.13503580093278139"/>
          <c:w val="0.88253481335666351"/>
          <c:h val="0.30293504978544838"/>
        </c:manualLayout>
      </c:layout>
      <c:barChart>
        <c:barDir val="col"/>
        <c:grouping val="clustered"/>
        <c:ser>
          <c:idx val="0"/>
          <c:order val="0"/>
          <c:tx>
            <c:strRef>
              <c:f>Лист1!$B$1</c:f>
              <c:strCache>
                <c:ptCount val="1"/>
                <c:pt idx="0">
                  <c:v>январь-декабрь 2016 года</c:v>
                </c:pt>
              </c:strCache>
            </c:strRef>
          </c:tx>
          <c:spPr>
            <a:solidFill>
              <a:sysClr val="windowText" lastClr="000000">
                <a:lumMod val="50000"/>
                <a:lumOff val="50000"/>
              </a:sysClr>
            </a:solidFill>
            <a:ln>
              <a:solidFill>
                <a:sysClr val="windowText" lastClr="000000"/>
              </a:solidFill>
            </a:ln>
          </c:spPr>
          <c:dLbls>
            <c:dLbl>
              <c:idx val="0"/>
              <c:layout>
                <c:manualLayout>
                  <c:x val="0"/>
                  <c:y val="1.2236662840434558E-2"/>
                </c:manualLayout>
              </c:layout>
              <c:dLblPos val="outEnd"/>
              <c:showVal val="1"/>
              <c:extLst>
                <c:ext xmlns:c15="http://schemas.microsoft.com/office/drawing/2012/chart" uri="{CE6537A1-D6FC-4f65-9D91-7224C49458BB}">
                  <c15:layout/>
                </c:ext>
              </c:extLst>
            </c:dLbl>
            <c:dLbl>
              <c:idx val="1"/>
              <c:layout>
                <c:manualLayout>
                  <c:x val="-2.1458375395383292E-3"/>
                  <c:y val="1.1904964125212801E-2"/>
                </c:manualLayout>
              </c:layout>
              <c:dLblPos val="outEnd"/>
              <c:showVal val="1"/>
              <c:extLst>
                <c:ext xmlns:c15="http://schemas.microsoft.com/office/drawing/2012/chart" uri="{CE6537A1-D6FC-4f65-9D91-7224C49458BB}">
                  <c15:layout/>
                </c:ext>
              </c:extLst>
            </c:dLbl>
            <c:dLbl>
              <c:idx val="2"/>
              <c:layout>
                <c:manualLayout>
                  <c:x val="-6.9444444444445134E-3"/>
                  <c:y val="-4.1875459282208826E-4"/>
                </c:manualLayout>
              </c:layout>
              <c:dLblPos val="outEnd"/>
              <c:showVal val="1"/>
              <c:extLst>
                <c:ext xmlns:c15="http://schemas.microsoft.com/office/drawing/2012/chart" uri="{CE6537A1-D6FC-4f65-9D91-7224C49458BB}">
                  <c15:layout/>
                </c:ext>
              </c:extLst>
            </c:dLbl>
            <c:dLbl>
              <c:idx val="3"/>
              <c:layout>
                <c:manualLayout>
                  <c:x val="0"/>
                  <c:y val="1.1904761904761921E-2"/>
                </c:manualLayout>
              </c:layout>
              <c:dLblPos val="outEnd"/>
              <c:showVal val="1"/>
              <c:extLst>
                <c:ext xmlns:c15="http://schemas.microsoft.com/office/drawing/2012/chart" uri="{CE6537A1-D6FC-4f65-9D91-7224C49458BB}">
                  <c15:layout/>
                </c:ext>
              </c:extLst>
            </c:dLbl>
            <c:dLbl>
              <c:idx val="4"/>
              <c:layout>
                <c:manualLayout>
                  <c:x val="-6.9446209656717824E-3"/>
                  <c:y val="1.5274067279660561E-2"/>
                </c:manualLayout>
              </c:layout>
              <c:dLblPos val="outEnd"/>
              <c:showVal val="1"/>
              <c:extLst>
                <c:ext xmlns:c15="http://schemas.microsoft.com/office/drawing/2012/chart" uri="{CE6537A1-D6FC-4f65-9D91-7224C49458BB}">
                  <c15:layout/>
                </c:ext>
              </c:extLst>
            </c:dLbl>
            <c:dLbl>
              <c:idx val="5"/>
              <c:layout>
                <c:manualLayout>
                  <c:x val="1.417659331045158E-3"/>
                  <c:y val="2.1674058263756391E-2"/>
                </c:manualLayout>
              </c:layout>
              <c:dLblPos val="outEnd"/>
              <c:showVal val="1"/>
              <c:extLst>
                <c:ext xmlns:c15="http://schemas.microsoft.com/office/drawing/2012/chart" uri="{CE6537A1-D6FC-4f65-9D91-7224C49458BB}">
                  <c15:layout/>
                </c:ext>
              </c:extLst>
            </c:dLbl>
            <c:dLbl>
              <c:idx val="6"/>
              <c:layout>
                <c:manualLayout>
                  <c:x val="-1.4381856114139581E-3"/>
                  <c:y val="1.7315908612533841E-2"/>
                </c:manualLayout>
              </c:layout>
              <c:dLblPos val="outEnd"/>
              <c:showVal val="1"/>
              <c:extLst>
                <c:ext xmlns:c15="http://schemas.microsoft.com/office/drawing/2012/chart" uri="{CE6537A1-D6FC-4f65-9D91-7224C49458BB}">
                  <c15:layout/>
                </c:ext>
              </c:extLst>
            </c:dLbl>
            <c:spPr>
              <a:noFill/>
              <a:ln>
                <a:noFill/>
              </a:ln>
              <a:effectLst/>
            </c:spPr>
            <c:txPr>
              <a:bodyPr rot="-5400000" vert="horz"/>
              <a:lstStyle/>
              <a:p>
                <a:pPr>
                  <a:defRPr/>
                </a:pPr>
                <a:endParaRPr lang="ru-RU"/>
              </a:p>
            </c:txPr>
            <c:dLblPos val="outEnd"/>
            <c:showVal val="1"/>
            <c:extLst>
              <c:ext xmlns:c15="http://schemas.microsoft.com/office/drawing/2012/chart" uri="{CE6537A1-D6FC-4f65-9D91-7224C49458BB}">
                <c15:showLeaderLines val="0"/>
              </c:ext>
            </c:extLst>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Лист1!$B$2:$B$8</c:f>
              <c:numCache>
                <c:formatCode>0.0</c:formatCode>
                <c:ptCount val="7"/>
                <c:pt idx="0">
                  <c:v>7.45</c:v>
                </c:pt>
                <c:pt idx="1">
                  <c:v>8.39</c:v>
                </c:pt>
                <c:pt idx="2">
                  <c:v>0.72000000000000064</c:v>
                </c:pt>
                <c:pt idx="3">
                  <c:v>0.16</c:v>
                </c:pt>
                <c:pt idx="4">
                  <c:v>5.0199999999999996</c:v>
                </c:pt>
                <c:pt idx="5">
                  <c:v>1.08</c:v>
                </c:pt>
                <c:pt idx="6">
                  <c:v>7.7700000000000014</c:v>
                </c:pt>
              </c:numCache>
            </c:numRef>
          </c:val>
        </c:ser>
        <c:ser>
          <c:idx val="1"/>
          <c:order val="1"/>
          <c:tx>
            <c:strRef>
              <c:f>Лист1!$C$1</c:f>
              <c:strCache>
                <c:ptCount val="1"/>
                <c:pt idx="0">
                  <c:v>январь-декабрь 2017 года</c:v>
                </c:pt>
              </c:strCache>
            </c:strRef>
          </c:tx>
          <c:spPr>
            <a:solidFill>
              <a:sysClr val="window" lastClr="FFFFFF">
                <a:lumMod val="85000"/>
              </a:sysClr>
            </a:solidFill>
            <a:ln>
              <a:solidFill>
                <a:sysClr val="windowText" lastClr="000000"/>
              </a:solidFill>
            </a:ln>
          </c:spPr>
          <c:dLbls>
            <c:dLbl>
              <c:idx val="0"/>
              <c:layout>
                <c:manualLayout>
                  <c:x val="6.9441079480449574E-3"/>
                  <c:y val="8.5183694419927979E-3"/>
                </c:manualLayout>
              </c:layout>
              <c:tx>
                <c:rich>
                  <a:bodyPr/>
                  <a:lstStyle/>
                  <a:p>
                    <a:r>
                      <a:rPr lang="en-US"/>
                      <a:t>6,</a:t>
                    </a:r>
                    <a:r>
                      <a:rPr lang="ru-RU"/>
                      <a:t>3</a:t>
                    </a:r>
                    <a:endParaRPr lang="en-US"/>
                  </a:p>
                </c:rich>
              </c:tx>
              <c:dLblPos val="outEnd"/>
              <c:showVal val="1"/>
              <c:extLst>
                <c:ext xmlns:c15="http://schemas.microsoft.com/office/drawing/2012/chart" uri="{CE6537A1-D6FC-4f65-9D91-7224C49458BB}">
                  <c15:layout/>
                </c:ext>
              </c:extLst>
            </c:dLbl>
            <c:dLbl>
              <c:idx val="1"/>
              <c:layout>
                <c:manualLayout>
                  <c:x val="0"/>
                  <c:y val="1.8759024087620889E-2"/>
                </c:manualLayout>
              </c:layout>
              <c:dLblPos val="outEnd"/>
              <c:showVal val="1"/>
              <c:extLst>
                <c:ext xmlns:c15="http://schemas.microsoft.com/office/drawing/2012/chart" uri="{CE6537A1-D6FC-4f65-9D91-7224C49458BB}">
                  <c15:layout/>
                </c:ext>
              </c:extLst>
            </c:dLbl>
            <c:dLbl>
              <c:idx val="2"/>
              <c:layout>
                <c:manualLayout>
                  <c:x val="5.3418803418803424E-4"/>
                  <c:y val="1.6063337555344659E-3"/>
                </c:manualLayout>
              </c:layout>
              <c:dLblPos val="outEnd"/>
              <c:showVal val="1"/>
              <c:extLst>
                <c:ext xmlns:c15="http://schemas.microsoft.com/office/drawing/2012/chart" uri="{CE6537A1-D6FC-4f65-9D91-7224C49458BB}">
                  <c15:layout/>
                </c:ext>
              </c:extLst>
            </c:dLbl>
            <c:dLbl>
              <c:idx val="3"/>
              <c:layout>
                <c:manualLayout>
                  <c:x val="0"/>
                  <c:y val="7.9365079365079413E-3"/>
                </c:manualLayout>
              </c:layout>
              <c:dLblPos val="outEnd"/>
              <c:showVal val="1"/>
              <c:extLst>
                <c:ext xmlns:c15="http://schemas.microsoft.com/office/drawing/2012/chart" uri="{CE6537A1-D6FC-4f65-9D91-7224C49458BB}">
                  <c15:layout/>
                </c:ext>
              </c:extLst>
            </c:dLbl>
            <c:dLbl>
              <c:idx val="4"/>
              <c:layout>
                <c:manualLayout>
                  <c:x val="6.3508924024797426E-3"/>
                  <c:y val="1.2585270186624246E-2"/>
                </c:manualLayout>
              </c:layout>
              <c:dLblPos val="outEnd"/>
              <c:showVal val="1"/>
              <c:extLst>
                <c:ext xmlns:c15="http://schemas.microsoft.com/office/drawing/2012/chart" uri="{CE6537A1-D6FC-4f65-9D91-7224C49458BB}">
                  <c15:layout/>
                </c:ext>
              </c:extLst>
            </c:dLbl>
            <c:dLbl>
              <c:idx val="5"/>
              <c:layout>
                <c:manualLayout>
                  <c:x val="4.2758597483007034E-3"/>
                  <c:y val="2.4129348640893996E-2"/>
                </c:manualLayout>
              </c:layout>
              <c:dLblPos val="outEnd"/>
              <c:showVal val="1"/>
              <c:extLst>
                <c:ext xmlns:c15="http://schemas.microsoft.com/office/drawing/2012/chart" uri="{CE6537A1-D6FC-4f65-9D91-7224C49458BB}">
                  <c15:layout/>
                </c:ext>
              </c:extLst>
            </c:dLbl>
            <c:dLbl>
              <c:idx val="6"/>
              <c:layout>
                <c:manualLayout>
                  <c:x val="1.0375596596804317E-2"/>
                  <c:y val="1.19048919030548E-2"/>
                </c:manualLayout>
              </c:layout>
              <c:dLblPos val="outEnd"/>
              <c:showVal val="1"/>
              <c:extLst>
                <c:ext xmlns:c15="http://schemas.microsoft.com/office/drawing/2012/chart" uri="{CE6537A1-D6FC-4f65-9D91-7224C49458BB}">
                  <c15:layout/>
                </c:ext>
              </c:extLst>
            </c:dLbl>
            <c:spPr>
              <a:noFill/>
              <a:ln>
                <a:noFill/>
              </a:ln>
              <a:effectLst/>
            </c:spPr>
            <c:txPr>
              <a:bodyPr rot="-5400000" vert="horz"/>
              <a:lstStyle/>
              <a:p>
                <a:pPr>
                  <a:defRPr/>
                </a:pPr>
                <a:endParaRPr lang="ru-RU"/>
              </a:p>
            </c:txPr>
            <c:dLblPos val="outEnd"/>
            <c:showVal val="1"/>
            <c:extLst>
              <c:ext xmlns:c15="http://schemas.microsoft.com/office/drawing/2012/chart" uri="{CE6537A1-D6FC-4f65-9D91-7224C49458BB}">
                <c15:showLeaderLines val="0"/>
              </c:ext>
            </c:extLst>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Лист1!$C$2:$C$8</c:f>
              <c:numCache>
                <c:formatCode>#,##0.0</c:formatCode>
                <c:ptCount val="7"/>
                <c:pt idx="0">
                  <c:v>6.28</c:v>
                </c:pt>
                <c:pt idx="1">
                  <c:v>6.96</c:v>
                </c:pt>
                <c:pt idx="2">
                  <c:v>0.59</c:v>
                </c:pt>
                <c:pt idx="3">
                  <c:v>0.13</c:v>
                </c:pt>
                <c:pt idx="4">
                  <c:v>4.25</c:v>
                </c:pt>
                <c:pt idx="5">
                  <c:v>0.98</c:v>
                </c:pt>
                <c:pt idx="6">
                  <c:v>8.2800000000000011</c:v>
                </c:pt>
              </c:numCache>
            </c:numRef>
          </c:val>
        </c:ser>
        <c:ser>
          <c:idx val="2"/>
          <c:order val="2"/>
          <c:tx>
            <c:strRef>
              <c:f>Лист1!$D$1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Лист1!$A$2:$A$8</c:f>
              <c:strCache>
                <c:ptCount val="7"/>
                <c:pt idx="0">
                  <c:v>здравоохранение и социальное обеспечение</c:v>
                </c:pt>
                <c:pt idx="1">
                  <c:v>образование</c:v>
                </c:pt>
                <c:pt idx="2">
                  <c:v>культура, искусство, кинематографиямнаука и научное обслуживание</c:v>
                </c:pt>
                <c:pt idx="3">
                  <c:v>наука и научное обслуживание</c:v>
                </c:pt>
                <c:pt idx="4">
                  <c:v>управление</c:v>
                </c:pt>
                <c:pt idx="5">
                  <c:v>оборона</c:v>
                </c:pt>
                <c:pt idx="6">
                  <c:v>прочие отрасли</c:v>
                </c:pt>
              </c:strCache>
            </c:strRef>
          </c:cat>
          <c:val>
            <c:numRef>
              <c:f>Лист1!$D$2:$D$8</c:f>
            </c:numRef>
          </c:val>
        </c:ser>
        <c:dLbls>
          <c:showVal val="1"/>
        </c:dLbls>
        <c:axId val="64076416"/>
        <c:axId val="64090496"/>
      </c:barChart>
      <c:catAx>
        <c:axId val="64076416"/>
        <c:scaling>
          <c:orientation val="minMax"/>
        </c:scaling>
        <c:axPos val="b"/>
        <c:numFmt formatCode="General" sourceLinked="0"/>
        <c:tickLblPos val="nextTo"/>
        <c:txPr>
          <a:bodyPr rot="5400000" vert="horz"/>
          <a:lstStyle/>
          <a:p>
            <a:pPr>
              <a:defRPr sz="900"/>
            </a:pPr>
            <a:endParaRPr lang="ru-RU"/>
          </a:p>
        </c:txPr>
        <c:crossAx val="64090496"/>
        <c:crosses val="autoZero"/>
        <c:auto val="1"/>
        <c:lblAlgn val="ctr"/>
        <c:lblOffset val="100"/>
      </c:catAx>
      <c:valAx>
        <c:axId val="64090496"/>
        <c:scaling>
          <c:orientation val="minMax"/>
        </c:scaling>
        <c:axPos val="l"/>
        <c:numFmt formatCode="0.0" sourceLinked="1"/>
        <c:tickLblPos val="nextTo"/>
        <c:crossAx val="64076416"/>
        <c:crosses val="autoZero"/>
        <c:crossBetween val="between"/>
      </c:valAx>
    </c:plotArea>
    <c:legend>
      <c:legendPos val="b"/>
      <c:layout>
        <c:manualLayout>
          <c:xMode val="edge"/>
          <c:yMode val="edge"/>
          <c:x val="0.15474005653140063"/>
          <c:y val="0.90471782070361106"/>
          <c:w val="0.72102967898243564"/>
          <c:h val="9.528217929638888E-2"/>
        </c:manualLayout>
      </c:layout>
      <c:txPr>
        <a:bodyPr/>
        <a:lstStyle/>
        <a:p>
          <a:pPr>
            <a:defRPr sz="1000" b="1"/>
          </a:pPr>
          <a:endParaRPr lang="ru-RU"/>
        </a:p>
      </c:txPr>
    </c:legend>
    <c:plotVisOnly val="1"/>
    <c:dispBlanksAs val="gap"/>
  </c:chart>
  <c:spPr>
    <a:ln>
      <a:noFill/>
    </a:ln>
  </c:spPr>
  <c:txPr>
    <a:bodyPr/>
    <a:lstStyle/>
    <a:p>
      <a:pPr>
        <a:defRPr sz="800" b="1">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050"/>
            </a:pPr>
            <a:r>
              <a:rPr lang="ru-RU" sz="1050">
                <a:latin typeface="Times New Roman" pitchFamily="18" charset="0"/>
                <a:cs typeface="Times New Roman" pitchFamily="18" charset="0"/>
              </a:rPr>
              <a:t>Динамика численности граждан зарегистрированных в службе занятости (чел.) </a:t>
            </a:r>
          </a:p>
        </c:rich>
      </c:tx>
      <c:layout>
        <c:manualLayout>
          <c:xMode val="edge"/>
          <c:yMode val="edge"/>
          <c:x val="0.16635733908067091"/>
          <c:y val="2.1645124548110812E-2"/>
        </c:manualLayout>
      </c:layout>
      <c:spPr>
        <a:noFill/>
        <a:ln w="24908">
          <a:noFill/>
        </a:ln>
      </c:spPr>
    </c:title>
    <c:plotArea>
      <c:layout>
        <c:manualLayout>
          <c:layoutTarget val="inner"/>
          <c:xMode val="edge"/>
          <c:yMode val="edge"/>
          <c:x val="7.2514256091239584E-2"/>
          <c:y val="0.21352300302084884"/>
          <c:w val="0.91881281558313765"/>
          <c:h val="0.37230921606497641"/>
        </c:manualLayout>
      </c:layout>
      <c:barChart>
        <c:barDir val="col"/>
        <c:grouping val="clustered"/>
        <c:ser>
          <c:idx val="0"/>
          <c:order val="0"/>
          <c:tx>
            <c:strRef>
              <c:f>Лист1!$B$1</c:f>
              <c:strCache>
                <c:ptCount val="1"/>
                <c:pt idx="0">
                  <c:v>2016 год</c:v>
                </c:pt>
              </c:strCache>
            </c:strRef>
          </c:tx>
          <c:spPr>
            <a:solidFill>
              <a:srgbClr val="EEECE1">
                <a:lumMod val="90000"/>
                <a:alpha val="70000"/>
              </a:srgbClr>
            </a:solidFill>
            <a:ln>
              <a:solidFill>
                <a:sysClr val="windowText" lastClr="000000"/>
              </a:solidFill>
            </a:ln>
          </c:spPr>
          <c:dLbls>
            <c:dLbl>
              <c:idx val="0"/>
              <c:layout>
                <c:manualLayout>
                  <c:x val="-6.2208398133749114E-3"/>
                  <c:y val="1.5564000445890461E-2"/>
                </c:manualLayout>
              </c:layout>
              <c:dLblPos val="outEnd"/>
              <c:showVal val="1"/>
            </c:dLbl>
            <c:dLbl>
              <c:idx val="1"/>
              <c:layout>
                <c:manualLayout>
                  <c:x val="-1.0368229632260762E-2"/>
                  <c:y val="1.5358496854559834E-2"/>
                </c:manualLayout>
              </c:layout>
              <c:dLblPos val="outEnd"/>
              <c:showVal val="1"/>
            </c:dLbl>
            <c:dLbl>
              <c:idx val="2"/>
              <c:layout>
                <c:manualLayout>
                  <c:x val="-6.9444444444448604E-3"/>
                  <c:y val="0"/>
                </c:manualLayout>
              </c:layout>
              <c:dLblPos val="outEnd"/>
              <c:showVal val="1"/>
            </c:dLbl>
            <c:dLbl>
              <c:idx val="3"/>
              <c:layout>
                <c:manualLayout>
                  <c:x val="0"/>
                  <c:y val="1.5564405800626483E-2"/>
                </c:manualLayout>
              </c:layout>
              <c:dLblPos val="outEnd"/>
              <c:showVal val="1"/>
            </c:dLbl>
            <c:dLbl>
              <c:idx val="4"/>
              <c:layout>
                <c:manualLayout>
                  <c:x val="-6.4619994040406347E-3"/>
                  <c:y val="1.5358496854559834E-2"/>
                </c:manualLayout>
              </c:layout>
              <c:dLblPos val="outEnd"/>
              <c:showVal val="1"/>
            </c:dLbl>
            <c:dLbl>
              <c:idx val="5"/>
              <c:layout>
                <c:manualLayout>
                  <c:x val="-2.0736132711250263E-3"/>
                  <c:y val="1.0455720062019461E-2"/>
                </c:manualLayout>
              </c:layout>
              <c:dLblPos val="outEnd"/>
              <c:showVal val="1"/>
            </c:dLbl>
            <c:dLbl>
              <c:idx val="6"/>
              <c:layout>
                <c:manualLayout>
                  <c:x val="7.6031608284295465E-17"/>
                  <c:y val="1.5564405800626445E-2"/>
                </c:manualLayout>
              </c:layout>
              <c:dLblPos val="outEnd"/>
              <c:showVal val="1"/>
            </c:dLbl>
            <c:dLbl>
              <c:idx val="7"/>
              <c:layout>
                <c:manualLayout>
                  <c:x val="-2.0737765477605906E-3"/>
                  <c:y val="1.5604535919496823E-2"/>
                </c:manualLayout>
              </c:layout>
              <c:dLblPos val="outEnd"/>
              <c:showVal val="1"/>
            </c:dLbl>
            <c:dLbl>
              <c:idx val="8"/>
              <c:layout>
                <c:manualLayout>
                  <c:x val="-4.1472265422497941E-3"/>
                  <c:y val="1.0273299170936938E-2"/>
                </c:manualLayout>
              </c:layout>
              <c:dLblPos val="outEnd"/>
              <c:showVal val="1"/>
            </c:dLbl>
            <c:dLbl>
              <c:idx val="9"/>
              <c:layout>
                <c:manualLayout>
                  <c:x val="-4.1472265422498704E-3"/>
                  <c:y val="5.3085256234862536E-3"/>
                </c:manualLayout>
              </c:layout>
              <c:dLblPos val="outEnd"/>
              <c:showVal val="1"/>
            </c:dLbl>
            <c:dLbl>
              <c:idx val="10"/>
              <c:layout>
                <c:manualLayout>
                  <c:x val="-3.0384149104224507E-3"/>
                  <c:y val="4.9595151957357534E-3"/>
                </c:manualLayout>
              </c:layout>
              <c:dLblPos val="outEnd"/>
              <c:showVal val="1"/>
            </c:dLbl>
            <c:dLbl>
              <c:idx val="11"/>
              <c:layout>
                <c:manualLayout>
                  <c:x val="-9.6480163929742267E-4"/>
                  <c:y val="-5.3364951002748797E-3"/>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Лист1!$A$2:$A$13</c:f>
              <c:strCache>
                <c:ptCount val="12"/>
                <c:pt idx="0">
                  <c:v>январь</c:v>
                </c:pt>
                <c:pt idx="1">
                  <c:v>февраль</c:v>
                </c:pt>
                <c:pt idx="2">
                  <c:v>март</c:v>
                </c:pt>
                <c:pt idx="3">
                  <c:v>апрель</c:v>
                </c:pt>
                <c:pt idx="4">
                  <c:v>май  </c:v>
                </c:pt>
                <c:pt idx="5">
                  <c:v>июнь </c:v>
                </c:pt>
                <c:pt idx="6">
                  <c:v>июль</c:v>
                </c:pt>
                <c:pt idx="7">
                  <c:v>август </c:v>
                </c:pt>
                <c:pt idx="8">
                  <c:v>сентябрь</c:v>
                </c:pt>
                <c:pt idx="9">
                  <c:v>октябрь</c:v>
                </c:pt>
                <c:pt idx="10">
                  <c:v>ноябрь</c:v>
                </c:pt>
                <c:pt idx="11">
                  <c:v>декабрь</c:v>
                </c:pt>
              </c:strCache>
            </c:strRef>
          </c:cat>
          <c:val>
            <c:numRef>
              <c:f>Лист1!$B$2:$B$13</c:f>
              <c:numCache>
                <c:formatCode>General</c:formatCode>
                <c:ptCount val="12"/>
                <c:pt idx="0">
                  <c:v>791</c:v>
                </c:pt>
                <c:pt idx="1">
                  <c:v>900</c:v>
                </c:pt>
                <c:pt idx="2">
                  <c:v>911</c:v>
                </c:pt>
                <c:pt idx="3">
                  <c:v>578</c:v>
                </c:pt>
                <c:pt idx="4">
                  <c:v>561</c:v>
                </c:pt>
                <c:pt idx="5">
                  <c:v>618</c:v>
                </c:pt>
                <c:pt idx="6">
                  <c:v>562</c:v>
                </c:pt>
                <c:pt idx="7">
                  <c:v>562</c:v>
                </c:pt>
                <c:pt idx="8">
                  <c:v>637</c:v>
                </c:pt>
                <c:pt idx="9">
                  <c:v>650</c:v>
                </c:pt>
                <c:pt idx="10">
                  <c:v>812</c:v>
                </c:pt>
                <c:pt idx="11">
                  <c:v>679</c:v>
                </c:pt>
              </c:numCache>
            </c:numRef>
          </c:val>
        </c:ser>
        <c:ser>
          <c:idx val="1"/>
          <c:order val="1"/>
          <c:tx>
            <c:strRef>
              <c:f>Лист1!$C$1</c:f>
              <c:strCache>
                <c:ptCount val="1"/>
                <c:pt idx="0">
                  <c:v>2017 год</c:v>
                </c:pt>
              </c:strCache>
            </c:strRef>
          </c:tx>
          <c:spPr>
            <a:solidFill>
              <a:sysClr val="windowText" lastClr="000000">
                <a:lumMod val="65000"/>
                <a:lumOff val="35000"/>
                <a:alpha val="68000"/>
              </a:sysClr>
            </a:solidFill>
            <a:ln>
              <a:solidFill>
                <a:sysClr val="windowText" lastClr="000000"/>
              </a:solidFill>
            </a:ln>
          </c:spPr>
          <c:dLbls>
            <c:dLbl>
              <c:idx val="0"/>
              <c:layout>
                <c:manualLayout>
                  <c:x val="3.2795745010879554E-3"/>
                  <c:y val="-1.7094017094017283E-2"/>
                </c:manualLayout>
              </c:layout>
              <c:dLblPos val="outEnd"/>
              <c:showVal val="1"/>
            </c:dLbl>
            <c:dLbl>
              <c:idx val="1"/>
              <c:layout>
                <c:manualLayout>
                  <c:x val="6.9444818620067496E-3"/>
                  <c:y val="-5.6984543598716806E-3"/>
                </c:manualLayout>
              </c:layout>
              <c:dLblPos val="outEnd"/>
              <c:showVal val="1"/>
            </c:dLbl>
            <c:dLbl>
              <c:idx val="2"/>
              <c:layout>
                <c:manualLayout>
                  <c:x val="6.9444444444448604E-3"/>
                  <c:y val="0"/>
                </c:manualLayout>
              </c:layout>
              <c:dLblPos val="outEnd"/>
              <c:showVal val="1"/>
            </c:dLbl>
            <c:dLbl>
              <c:idx val="3"/>
              <c:layout>
                <c:manualLayout>
                  <c:x val="6.9444444444448604E-3"/>
                  <c:y val="1.5564202334630461E-2"/>
                </c:manualLayout>
              </c:layout>
              <c:dLblPos val="outEnd"/>
              <c:showVal val="1"/>
            </c:dLbl>
            <c:dLbl>
              <c:idx val="4"/>
              <c:layout>
                <c:manualLayout>
                  <c:x val="6.9444444444448604E-3"/>
                  <c:y val="1.0376134889753573E-2"/>
                </c:manualLayout>
              </c:layout>
              <c:dLblPos val="outEnd"/>
              <c:showVal val="1"/>
            </c:dLbl>
            <c:dLbl>
              <c:idx val="5"/>
              <c:layout>
                <c:manualLayout>
                  <c:x val="1.4472840972638917E-3"/>
                  <c:y val="-3.0871141107363654E-4"/>
                </c:manualLayout>
              </c:layout>
              <c:dLblPos val="outEnd"/>
              <c:showVal val="1"/>
            </c:dLbl>
            <c:dLbl>
              <c:idx val="6"/>
              <c:layout>
                <c:manualLayout>
                  <c:x val="6.9444818620068415E-3"/>
                  <c:y val="1.5255593050868661E-2"/>
                </c:manualLayout>
              </c:layout>
              <c:dLblPos val="outEnd"/>
              <c:showVal val="1"/>
            </c:dLbl>
            <c:dLbl>
              <c:idx val="7"/>
              <c:layout>
                <c:manualLayout>
                  <c:x val="5.3531877722127804E-3"/>
                  <c:y val="1.5564000445890501E-2"/>
                </c:manualLayout>
              </c:layout>
              <c:dLblPos val="outEnd"/>
              <c:showVal val="1"/>
            </c:dLbl>
            <c:dLbl>
              <c:idx val="8"/>
              <c:layout>
                <c:manualLayout>
                  <c:x val="6.9444818620067496E-3"/>
                  <c:y val="1.539861571357634E-2"/>
                </c:manualLayout>
              </c:layout>
              <c:dLblPos val="outEnd"/>
              <c:showVal val="1"/>
            </c:dLbl>
            <c:dLbl>
              <c:idx val="9"/>
              <c:layout>
                <c:manualLayout>
                  <c:x val="6.9444818620067496E-3"/>
                  <c:y val="1.5564405800626501E-2"/>
                </c:manualLayout>
              </c:layout>
              <c:dLblPos val="outEnd"/>
              <c:showVal val="1"/>
            </c:dLbl>
            <c:dLbl>
              <c:idx val="10"/>
              <c:layout>
                <c:manualLayout>
                  <c:x val="7.6681239106387421E-3"/>
                  <c:y val="4.7361647361649079E-3"/>
                </c:manualLayout>
              </c:layout>
              <c:dLblPos val="outEnd"/>
              <c:showVal val="1"/>
            </c:dLbl>
            <c:dLbl>
              <c:idx val="11"/>
              <c:layout>
                <c:manualLayout>
                  <c:x val="6.9444818620067496E-3"/>
                  <c:y val="-5.2736651161850532E-3"/>
                </c:manualLayout>
              </c:layout>
              <c:dLblPos val="outEnd"/>
              <c:showVal val="1"/>
            </c:dLbl>
            <c:spPr>
              <a:noFill/>
              <a:ln w="24908">
                <a:noFill/>
              </a:ln>
            </c:spPr>
            <c:txPr>
              <a:bodyPr/>
              <a:lstStyle/>
              <a:p>
                <a:pPr>
                  <a:defRPr sz="785" b="1">
                    <a:latin typeface="Times New Roman" pitchFamily="18" charset="0"/>
                    <a:cs typeface="Times New Roman" pitchFamily="18" charset="0"/>
                  </a:defRPr>
                </a:pPr>
                <a:endParaRPr lang="ru-RU"/>
              </a:p>
            </c:txPr>
            <c:dLblPos val="outEnd"/>
            <c:showVal val="1"/>
          </c:dLbls>
          <c:cat>
            <c:strRef>
              <c:f>Лист1!$A$2:$A$13</c:f>
              <c:strCache>
                <c:ptCount val="12"/>
                <c:pt idx="0">
                  <c:v>январь</c:v>
                </c:pt>
                <c:pt idx="1">
                  <c:v>февраль</c:v>
                </c:pt>
                <c:pt idx="2">
                  <c:v>март</c:v>
                </c:pt>
                <c:pt idx="3">
                  <c:v>апрель</c:v>
                </c:pt>
                <c:pt idx="4">
                  <c:v>май  </c:v>
                </c:pt>
                <c:pt idx="5">
                  <c:v>июнь </c:v>
                </c:pt>
                <c:pt idx="6">
                  <c:v>июль</c:v>
                </c:pt>
                <c:pt idx="7">
                  <c:v>август </c:v>
                </c:pt>
                <c:pt idx="8">
                  <c:v>сентябрь</c:v>
                </c:pt>
                <c:pt idx="9">
                  <c:v>октябрь</c:v>
                </c:pt>
                <c:pt idx="10">
                  <c:v>ноябрь</c:v>
                </c:pt>
                <c:pt idx="11">
                  <c:v>декабрь</c:v>
                </c:pt>
              </c:strCache>
            </c:strRef>
          </c:cat>
          <c:val>
            <c:numRef>
              <c:f>Лист1!$C$2:$C$13</c:f>
              <c:numCache>
                <c:formatCode>General</c:formatCode>
                <c:ptCount val="12"/>
                <c:pt idx="0">
                  <c:v>1730</c:v>
                </c:pt>
                <c:pt idx="1">
                  <c:v>1698</c:v>
                </c:pt>
                <c:pt idx="2">
                  <c:v>1389</c:v>
                </c:pt>
                <c:pt idx="3">
                  <c:v>736</c:v>
                </c:pt>
                <c:pt idx="4">
                  <c:v>862</c:v>
                </c:pt>
                <c:pt idx="5">
                  <c:v>754</c:v>
                </c:pt>
                <c:pt idx="6">
                  <c:v>753</c:v>
                </c:pt>
                <c:pt idx="7">
                  <c:v>734</c:v>
                </c:pt>
                <c:pt idx="8">
                  <c:v>730</c:v>
                </c:pt>
                <c:pt idx="9">
                  <c:v>712</c:v>
                </c:pt>
                <c:pt idx="10">
                  <c:v>874</c:v>
                </c:pt>
                <c:pt idx="11">
                  <c:v>803</c:v>
                </c:pt>
              </c:numCache>
            </c:numRef>
          </c:val>
        </c:ser>
        <c:dLbls>
          <c:showVal val="1"/>
        </c:dLbls>
        <c:axId val="144216448"/>
        <c:axId val="144217984"/>
      </c:barChart>
      <c:catAx>
        <c:axId val="144216448"/>
        <c:scaling>
          <c:orientation val="minMax"/>
        </c:scaling>
        <c:axPos val="b"/>
        <c:numFmt formatCode="General" sourceLinked="1"/>
        <c:majorTickMark val="cross"/>
        <c:tickLblPos val="nextTo"/>
        <c:txPr>
          <a:bodyPr rot="-5400000" vert="horz"/>
          <a:lstStyle/>
          <a:p>
            <a:pPr>
              <a:defRPr b="0">
                <a:latin typeface="Times New Roman" pitchFamily="18" charset="0"/>
                <a:cs typeface="Times New Roman" pitchFamily="18" charset="0"/>
              </a:defRPr>
            </a:pPr>
            <a:endParaRPr lang="ru-RU"/>
          </a:p>
        </c:txPr>
        <c:crossAx val="144217984"/>
        <c:crosses val="autoZero"/>
        <c:auto val="1"/>
        <c:lblAlgn val="ctr"/>
        <c:lblOffset val="100"/>
      </c:catAx>
      <c:valAx>
        <c:axId val="14421798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44216448"/>
        <c:crosses val="autoZero"/>
        <c:crossBetween val="between"/>
      </c:valAx>
    </c:plotArea>
    <c:legend>
      <c:legendPos val="r"/>
      <c:layout>
        <c:manualLayout>
          <c:xMode val="edge"/>
          <c:yMode val="edge"/>
          <c:x val="0.22258899597114901"/>
          <c:y val="0.87383251621850633"/>
          <c:w val="0.5605779992897465"/>
          <c:h val="0.10101029038036913"/>
        </c:manualLayout>
      </c:layout>
      <c:txPr>
        <a:bodyPr/>
        <a:lstStyle/>
        <a:p>
          <a:pPr>
            <a:defRPr sz="1150" b="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sz="1200"/>
            </a:pPr>
            <a:r>
              <a:rPr lang="ru-RU" sz="1200"/>
              <a:t>Уровень регистрируемой безработицы, %</a:t>
            </a:r>
          </a:p>
        </c:rich>
      </c:tx>
      <c:layout>
        <c:manualLayout>
          <c:xMode val="edge"/>
          <c:yMode val="edge"/>
          <c:x val="0.22968197879857918"/>
          <c:y val="2.0689655172415004E-2"/>
        </c:manualLayout>
      </c:layout>
      <c:spPr>
        <a:noFill/>
        <a:ln w="25399">
          <a:noFill/>
        </a:ln>
      </c:spPr>
    </c:title>
    <c:view3D>
      <c:rotX val="0"/>
      <c:rotY val="40"/>
      <c:depthPercent val="100"/>
      <c:rAngAx val="1"/>
    </c:view3D>
    <c:plotArea>
      <c:layout>
        <c:manualLayout>
          <c:layoutTarget val="inner"/>
          <c:xMode val="edge"/>
          <c:yMode val="edge"/>
          <c:x val="0.26017331022530327"/>
          <c:y val="0.10603363006924123"/>
          <c:w val="0.51600813329876261"/>
          <c:h val="0.85044510385756678"/>
        </c:manualLayout>
      </c:layout>
      <c:bar3DChart>
        <c:barDir val="bar"/>
        <c:grouping val="clustered"/>
        <c:ser>
          <c:idx val="0"/>
          <c:order val="0"/>
          <c:tx>
            <c:strRef>
              <c:f>Лист1!$B$1</c:f>
              <c:strCache>
                <c:ptCount val="1"/>
                <c:pt idx="0">
                  <c:v>на 1.01.2018г.</c:v>
                </c:pt>
              </c:strCache>
            </c:strRef>
          </c:tx>
          <c:spPr>
            <a:solidFill>
              <a:sysClr val="windowText" lastClr="000000">
                <a:lumMod val="50000"/>
                <a:lumOff val="50000"/>
              </a:sysClr>
            </a:solidFill>
          </c:spPr>
          <c:dLbls>
            <c:dLbl>
              <c:idx val="0"/>
              <c:layout>
                <c:manualLayout>
                  <c:x val="2.3108030040439047E-3"/>
                  <c:y val="7.9129574678536412E-3"/>
                </c:manualLayout>
              </c:layout>
              <c:tx>
                <c:rich>
                  <a:bodyPr/>
                  <a:lstStyle/>
                  <a:p>
                    <a:r>
                      <a:rPr lang="ru-RU"/>
                      <a:t>3,77</a:t>
                    </a:r>
                    <a:endParaRPr lang="en-US"/>
                  </a:p>
                </c:rich>
              </c:tx>
              <c:showVal val="1"/>
            </c:dLbl>
            <c:dLbl>
              <c:idx val="1"/>
              <c:layout>
                <c:manualLayout>
                  <c:x val="0"/>
                  <c:y val="7.9129574678536412E-3"/>
                </c:manualLayout>
              </c:layout>
              <c:tx>
                <c:rich>
                  <a:bodyPr/>
                  <a:lstStyle/>
                  <a:p>
                    <a:r>
                      <a:rPr lang="ru-RU"/>
                      <a:t>3,03</a:t>
                    </a:r>
                    <a:endParaRPr lang="en-US"/>
                  </a:p>
                </c:rich>
              </c:tx>
              <c:showVal val="1"/>
            </c:dLbl>
            <c:dLbl>
              <c:idx val="2"/>
              <c:layout>
                <c:manualLayout>
                  <c:x val="2.3108030040439047E-3"/>
                  <c:y val="1.1869436201780601E-2"/>
                </c:manualLayout>
              </c:layout>
              <c:showVal val="1"/>
            </c:dLbl>
            <c:dLbl>
              <c:idx val="3"/>
              <c:layout>
                <c:manualLayout>
                  <c:x val="6.9322270591393896E-3"/>
                  <c:y val="7.9129574678536412E-3"/>
                </c:manualLayout>
              </c:layout>
              <c:showVal val="1"/>
            </c:dLbl>
            <c:dLbl>
              <c:idx val="4"/>
              <c:layout>
                <c:manualLayout>
                  <c:x val="-2.3148148148148147E-3"/>
                  <c:y val="1.1904761904761921E-2"/>
                </c:manualLayout>
              </c:layout>
              <c:showVal val="1"/>
            </c:dLbl>
            <c:dLbl>
              <c:idx val="5"/>
              <c:layout>
                <c:manualLayout>
                  <c:x val="2.3108030040439047E-3"/>
                  <c:y val="7.9129574678536412E-3"/>
                </c:manualLayout>
              </c:layout>
              <c:showVal val="1"/>
            </c:dLbl>
            <c:dLbl>
              <c:idx val="6"/>
              <c:layout>
                <c:manualLayout>
                  <c:x val="2.3108030040439047E-3"/>
                  <c:y val="7.9129574678536412E-3"/>
                </c:manualLayout>
              </c:layout>
              <c:showVal val="1"/>
            </c:dLbl>
            <c:dLbl>
              <c:idx val="7"/>
              <c:layout>
                <c:manualLayout>
                  <c:x val="0"/>
                  <c:y val="-7.9129574678536412E-3"/>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Лист1!$B$2:$B$9</c:f>
              <c:numCache>
                <c:formatCode>0.00</c:formatCode>
                <c:ptCount val="8"/>
                <c:pt idx="0">
                  <c:v>3.77</c:v>
                </c:pt>
                <c:pt idx="1">
                  <c:v>3.03</c:v>
                </c:pt>
                <c:pt idx="2" formatCode="General">
                  <c:v>7.89</c:v>
                </c:pt>
                <c:pt idx="3">
                  <c:v>8.49</c:v>
                </c:pt>
                <c:pt idx="4" formatCode="General">
                  <c:v>0.84000000000000064</c:v>
                </c:pt>
                <c:pt idx="5" formatCode="General">
                  <c:v>6.38</c:v>
                </c:pt>
                <c:pt idx="6">
                  <c:v>1.83</c:v>
                </c:pt>
                <c:pt idx="7" formatCode="General">
                  <c:v>2.38</c:v>
                </c:pt>
              </c:numCache>
            </c:numRef>
          </c:val>
        </c:ser>
        <c:ser>
          <c:idx val="1"/>
          <c:order val="1"/>
          <c:tx>
            <c:strRef>
              <c:f>Лист1!$C$1</c:f>
              <c:strCache>
                <c:ptCount val="1"/>
                <c:pt idx="0">
                  <c:v>на 1.01.2017г.</c:v>
                </c:pt>
              </c:strCache>
            </c:strRef>
          </c:tx>
          <c:spPr>
            <a:solidFill>
              <a:srgbClr val="4BACC6">
                <a:lumMod val="20000"/>
                <a:lumOff val="80000"/>
              </a:srgbClr>
            </a:solidFill>
          </c:spPr>
          <c:dLbls>
            <c:dLbl>
              <c:idx val="0"/>
              <c:layout>
                <c:manualLayout>
                  <c:x val="6.9324090121319218E-3"/>
                  <c:y val="-8.1282272950302572E-3"/>
                </c:manualLayout>
              </c:layout>
              <c:tx>
                <c:rich>
                  <a:bodyPr/>
                  <a:lstStyle/>
                  <a:p>
                    <a:r>
                      <a:rPr lang="ru-RU"/>
                      <a:t>3,12</a:t>
                    </a:r>
                    <a:endParaRPr lang="en-US"/>
                  </a:p>
                </c:rich>
              </c:tx>
              <c:showVal val="1"/>
            </c:dLbl>
            <c:dLbl>
              <c:idx val="1"/>
              <c:layout>
                <c:manualLayout>
                  <c:x val="2.3108030040439047E-3"/>
                  <c:y val="-1.2084592145015121E-2"/>
                </c:manualLayout>
              </c:layout>
              <c:showVal val="1"/>
            </c:dLbl>
            <c:dLbl>
              <c:idx val="2"/>
              <c:layout>
                <c:manualLayout>
                  <c:x val="2.3108030040439047E-3"/>
                  <c:y val="-8.0562629967990268E-3"/>
                </c:manualLayout>
              </c:layout>
              <c:showVal val="1"/>
            </c:dLbl>
            <c:dLbl>
              <c:idx val="3"/>
              <c:layout>
                <c:manualLayout>
                  <c:x val="6.9324090121319218E-3"/>
                  <c:y val="-1.2084706028957063E-2"/>
                </c:manualLayout>
              </c:layout>
              <c:showVal val="1"/>
            </c:dLbl>
            <c:dLbl>
              <c:idx val="4"/>
              <c:layout>
                <c:manualLayout>
                  <c:x val="0"/>
                  <c:y val="-8.0563947633434246E-3"/>
                </c:manualLayout>
              </c:layout>
              <c:showVal val="1"/>
            </c:dLbl>
            <c:dLbl>
              <c:idx val="5"/>
              <c:layout>
                <c:manualLayout>
                  <c:x val="4.6216060080878103E-3"/>
                  <c:y val="-1.1869436201780601E-2"/>
                </c:manualLayout>
              </c:layout>
              <c:showVal val="1"/>
            </c:dLbl>
            <c:dLbl>
              <c:idx val="6"/>
              <c:layout>
                <c:manualLayout>
                  <c:x val="2.3108030040439047E-3"/>
                  <c:y val="-8.0563947633434246E-3"/>
                </c:manualLayout>
              </c:layout>
              <c:showVal val="1"/>
            </c:dLbl>
            <c:dLbl>
              <c:idx val="7"/>
              <c:layout>
                <c:manualLayout>
                  <c:x val="-1.2008897501330541E-5"/>
                  <c:y val="-7.7566588164394894E-3"/>
                </c:manualLayout>
              </c:layout>
              <c:showVal val="1"/>
            </c:dLbl>
            <c:spPr>
              <a:noFill/>
              <a:ln w="25399">
                <a:noFill/>
              </a:ln>
            </c:spPr>
            <c:txPr>
              <a:bodyPr/>
              <a:lstStyle/>
              <a:p>
                <a:pPr>
                  <a:defRPr sz="900" b="1"/>
                </a:pPr>
                <a:endParaRPr lang="ru-RU"/>
              </a:p>
            </c:txPr>
            <c:showVal val="1"/>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Лист1!$C$2:$C$9</c:f>
              <c:numCache>
                <c:formatCode>0.00</c:formatCode>
                <c:ptCount val="8"/>
                <c:pt idx="0">
                  <c:v>3.12</c:v>
                </c:pt>
                <c:pt idx="1">
                  <c:v>3.4</c:v>
                </c:pt>
                <c:pt idx="2" formatCode="General">
                  <c:v>5.41</c:v>
                </c:pt>
                <c:pt idx="3">
                  <c:v>8.51</c:v>
                </c:pt>
                <c:pt idx="4">
                  <c:v>0.6700000000000067</c:v>
                </c:pt>
                <c:pt idx="5" formatCode="General">
                  <c:v>5.53</c:v>
                </c:pt>
                <c:pt idx="6">
                  <c:v>2.08</c:v>
                </c:pt>
                <c:pt idx="7" formatCode="General">
                  <c:v>1.42</c:v>
                </c:pt>
              </c:numCache>
            </c:numRef>
          </c:val>
        </c:ser>
        <c:shape val="cylinder"/>
        <c:axId val="144117120"/>
        <c:axId val="146138240"/>
        <c:axId val="0"/>
      </c:bar3DChart>
      <c:catAx>
        <c:axId val="144117120"/>
        <c:scaling>
          <c:orientation val="minMax"/>
        </c:scaling>
        <c:axPos val="l"/>
        <c:numFmt formatCode="General" sourceLinked="1"/>
        <c:tickLblPos val="nextTo"/>
        <c:txPr>
          <a:bodyPr/>
          <a:lstStyle/>
          <a:p>
            <a:pPr>
              <a:defRPr sz="1050" b="1"/>
            </a:pPr>
            <a:endParaRPr lang="ru-RU"/>
          </a:p>
        </c:txPr>
        <c:crossAx val="146138240"/>
        <c:crosses val="autoZero"/>
        <c:auto val="1"/>
        <c:lblAlgn val="ctr"/>
        <c:lblOffset val="100"/>
      </c:catAx>
      <c:valAx>
        <c:axId val="146138240"/>
        <c:scaling>
          <c:orientation val="minMax"/>
        </c:scaling>
        <c:delete val="1"/>
        <c:axPos val="b"/>
        <c:numFmt formatCode="0.00" sourceLinked="1"/>
        <c:tickLblPos val="nextTo"/>
        <c:crossAx val="144117120"/>
        <c:crosses val="autoZero"/>
        <c:crossBetween val="between"/>
      </c:valAx>
      <c:spPr>
        <a:noFill/>
        <a:ln w="25399">
          <a:noFill/>
        </a:ln>
      </c:spPr>
    </c:plotArea>
    <c:legend>
      <c:legendPos val="r"/>
      <c:layout>
        <c:manualLayout>
          <c:xMode val="edge"/>
          <c:yMode val="edge"/>
          <c:x val="0.50479200498551202"/>
          <c:y val="0.91636938557753822"/>
          <c:w val="0.41900244271892356"/>
          <c:h val="6.5153659590019619E-2"/>
        </c:manualLayout>
      </c:layout>
      <c:txPr>
        <a:bodyPr/>
        <a:lstStyle/>
        <a:p>
          <a:pPr>
            <a:defRPr sz="10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100"/>
            </a:pPr>
            <a:r>
              <a:rPr lang="ru-RU" sz="1100"/>
              <a:t>Динамика численности вакантных рабочих мест (должнотей) и безработных граждан, зарегистрированных в службе занятости</a:t>
            </a:r>
          </a:p>
        </c:rich>
      </c:tx>
      <c:layout>
        <c:manualLayout>
          <c:xMode val="edge"/>
          <c:yMode val="edge"/>
          <c:x val="0.14920112991741141"/>
          <c:y val="4.0874764300671794E-2"/>
        </c:manualLayout>
      </c:layout>
    </c:title>
    <c:plotArea>
      <c:layout>
        <c:manualLayout>
          <c:layoutTarget val="inner"/>
          <c:xMode val="edge"/>
          <c:yMode val="edge"/>
          <c:x val="3.7453067633408096E-2"/>
          <c:y val="0.26486900328795093"/>
          <c:w val="0.96182757214001224"/>
          <c:h val="0.30175388726229047"/>
        </c:manualLayout>
      </c:layout>
      <c:lineChart>
        <c:grouping val="standard"/>
        <c:ser>
          <c:idx val="0"/>
          <c:order val="0"/>
          <c:tx>
            <c:strRef>
              <c:f>Лист1!$B$1</c:f>
              <c:strCache>
                <c:ptCount val="1"/>
                <c:pt idx="0">
                  <c:v>Количество граждан состоявших на учете в службе занятости</c:v>
                </c:pt>
              </c:strCache>
            </c:strRef>
          </c:tx>
          <c:spPr>
            <a:ln w="38100">
              <a:solidFill>
                <a:schemeClr val="bg1">
                  <a:lumMod val="50000"/>
                </a:schemeClr>
              </a:solidFill>
              <a:prstDash val="lgDash"/>
            </a:ln>
          </c:spPr>
          <c:marker>
            <c:symbol val="diamond"/>
            <c:size val="8"/>
            <c:spPr>
              <a:solidFill>
                <a:schemeClr val="bg1">
                  <a:lumMod val="50000"/>
                </a:schemeClr>
              </a:solidFill>
              <a:ln>
                <a:solidFill>
                  <a:schemeClr val="tx1"/>
                </a:solidFill>
              </a:ln>
            </c:spPr>
          </c:marker>
          <c:dLbls>
            <c:txPr>
              <a:bodyPr/>
              <a:lstStyle/>
              <a:p>
                <a:pPr>
                  <a:defRPr sz="950"/>
                </a:pPr>
                <a:endParaRPr lang="ru-RU"/>
              </a:p>
            </c:txPr>
            <c:dLblPos val="t"/>
            <c:showVal val="1"/>
          </c:dLbls>
          <c:cat>
            <c:numRef>
              <c:f>Лист1!$A$2:$A$14</c:f>
              <c:numCache>
                <c:formatCode>dd/mm/yyyy</c:formatCode>
                <c:ptCount val="1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numCache>
            </c:numRef>
          </c:cat>
          <c:val>
            <c:numRef>
              <c:f>Лист1!$B$2:$B$14</c:f>
              <c:numCache>
                <c:formatCode>General</c:formatCode>
                <c:ptCount val="13"/>
                <c:pt idx="0">
                  <c:v>4262</c:v>
                </c:pt>
                <c:pt idx="1">
                  <c:v>5413</c:v>
                </c:pt>
                <c:pt idx="2">
                  <c:v>6536</c:v>
                </c:pt>
                <c:pt idx="3">
                  <c:v>7069</c:v>
                </c:pt>
                <c:pt idx="4">
                  <c:v>7015</c:v>
                </c:pt>
                <c:pt idx="5">
                  <c:v>6999</c:v>
                </c:pt>
                <c:pt idx="6">
                  <c:v>6879</c:v>
                </c:pt>
                <c:pt idx="7">
                  <c:v>6725</c:v>
                </c:pt>
                <c:pt idx="8">
                  <c:v>6347</c:v>
                </c:pt>
                <c:pt idx="9">
                  <c:v>6163</c:v>
                </c:pt>
                <c:pt idx="10">
                  <c:v>5972</c:v>
                </c:pt>
                <c:pt idx="11">
                  <c:v>5559</c:v>
                </c:pt>
                <c:pt idx="12">
                  <c:v>5189</c:v>
                </c:pt>
              </c:numCache>
            </c:numRef>
          </c:val>
        </c:ser>
        <c:ser>
          <c:idx val="1"/>
          <c:order val="1"/>
          <c:tx>
            <c:strRef>
              <c:f>Лист1!$C$1</c:f>
              <c:strCache>
                <c:ptCount val="1"/>
                <c:pt idx="0">
                  <c:v>Наличие вакансий в базе данных службы занятости</c:v>
                </c:pt>
              </c:strCache>
            </c:strRef>
          </c:tx>
          <c:spPr>
            <a:ln w="38100">
              <a:solidFill>
                <a:schemeClr val="tx1">
                  <a:lumMod val="65000"/>
                  <a:lumOff val="35000"/>
                </a:schemeClr>
              </a:solidFill>
            </a:ln>
          </c:spPr>
          <c:marker>
            <c:spPr>
              <a:solidFill>
                <a:sysClr val="windowText" lastClr="000000">
                  <a:lumMod val="50000"/>
                  <a:lumOff val="50000"/>
                </a:sysClr>
              </a:solidFill>
              <a:ln>
                <a:solidFill>
                  <a:schemeClr val="tx1"/>
                </a:solidFill>
                <a:bevel/>
              </a:ln>
            </c:spPr>
          </c:marker>
          <c:dLbls>
            <c:dLbl>
              <c:idx val="0"/>
              <c:layout>
                <c:manualLayout>
                  <c:x val="1.9550342130987301E-3"/>
                  <c:y val="-0.12033694344163946"/>
                </c:manualLayout>
              </c:layout>
              <c:dLblPos val="b"/>
              <c:showVal val="1"/>
            </c:dLbl>
            <c:dLbl>
              <c:idx val="1"/>
              <c:layout>
                <c:manualLayout>
                  <c:x val="1.9550342130987483E-3"/>
                  <c:y val="-0.12033694344163946"/>
                </c:manualLayout>
              </c:layout>
              <c:dLblPos val="b"/>
              <c:showVal val="1"/>
            </c:dLbl>
            <c:dLbl>
              <c:idx val="2"/>
              <c:layout>
                <c:manualLayout>
                  <c:x val="0"/>
                  <c:y val="-0.12033694344163946"/>
                </c:manualLayout>
              </c:layout>
              <c:dLblPos val="b"/>
              <c:showVal val="1"/>
            </c:dLbl>
            <c:dLbl>
              <c:idx val="3"/>
              <c:layout>
                <c:manualLayout>
                  <c:x val="-1.9550342130987301E-3"/>
                  <c:y val="-0.12033694344163946"/>
                </c:manualLayout>
              </c:layout>
              <c:dLblPos val="b"/>
              <c:showVal val="1"/>
            </c:dLbl>
            <c:dLbl>
              <c:idx val="4"/>
              <c:layout>
                <c:manualLayout>
                  <c:x val="0"/>
                  <c:y val="-0.12996389891696791"/>
                </c:manualLayout>
              </c:layout>
              <c:dLblPos val="b"/>
              <c:showVal val="1"/>
            </c:dLbl>
            <c:dLbl>
              <c:idx val="5"/>
              <c:layout>
                <c:manualLayout>
                  <c:x val="0"/>
                  <c:y val="-0.12515042117930206"/>
                </c:manualLayout>
              </c:layout>
              <c:dLblPos val="b"/>
              <c:showVal val="1"/>
            </c:dLbl>
            <c:dLbl>
              <c:idx val="6"/>
              <c:layout>
                <c:manualLayout>
                  <c:x val="0"/>
                  <c:y val="-0.12996389891696791"/>
                </c:manualLayout>
              </c:layout>
              <c:dLblPos val="b"/>
              <c:showVal val="1"/>
            </c:dLbl>
            <c:dLbl>
              <c:idx val="7"/>
              <c:layout>
                <c:manualLayout>
                  <c:x val="3.9100684261974585E-3"/>
                  <c:y val="-0.12515042117930206"/>
                </c:manualLayout>
              </c:layout>
              <c:dLblPos val="b"/>
              <c:showVal val="1"/>
            </c:dLbl>
            <c:dLbl>
              <c:idx val="8"/>
              <c:layout>
                <c:manualLayout>
                  <c:x val="-1.9550342130987301E-3"/>
                  <c:y val="-0.11552346570397112"/>
                </c:manualLayout>
              </c:layout>
              <c:dLblPos val="b"/>
              <c:showVal val="1"/>
            </c:dLbl>
            <c:dLbl>
              <c:idx val="9"/>
              <c:layout>
                <c:manualLayout>
                  <c:x val="1.9550342130987301E-3"/>
                  <c:y val="-4.8134777376654635E-3"/>
                </c:manualLayout>
              </c:layout>
              <c:dLblPos val="b"/>
              <c:showVal val="1"/>
            </c:dLbl>
            <c:dLbl>
              <c:idx val="10"/>
              <c:layout>
                <c:manualLayout>
                  <c:x val="0"/>
                  <c:y val="-4.8134777376654635E-3"/>
                </c:manualLayout>
              </c:layout>
              <c:dLblPos val="b"/>
              <c:showVal val="1"/>
            </c:dLbl>
            <c:dLbl>
              <c:idx val="11"/>
              <c:layout>
                <c:manualLayout>
                  <c:x val="-1.9550342130987301E-3"/>
                  <c:y val="-3.7901399509177839E-7"/>
                </c:manualLayout>
              </c:layout>
              <c:dLblPos val="b"/>
              <c:showVal val="1"/>
            </c:dLbl>
            <c:dLbl>
              <c:idx val="12"/>
              <c:layout>
                <c:manualLayout>
                  <c:x val="0"/>
                  <c:y val="-4.8134777376654635E-3"/>
                </c:manualLayout>
              </c:layout>
              <c:dLblPos val="b"/>
              <c:showVal val="1"/>
            </c:dLbl>
            <c:txPr>
              <a:bodyPr/>
              <a:lstStyle/>
              <a:p>
                <a:pPr>
                  <a:defRPr sz="950"/>
                </a:pPr>
                <a:endParaRPr lang="ru-RU"/>
              </a:p>
            </c:txPr>
            <c:dLblPos val="b"/>
            <c:showVal val="1"/>
          </c:dLbls>
          <c:cat>
            <c:numRef>
              <c:f>Лист1!$A$2:$A$14</c:f>
              <c:numCache>
                <c:formatCode>dd/mm/yyyy</c:formatCode>
                <c:ptCount val="1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numCache>
            </c:numRef>
          </c:cat>
          <c:val>
            <c:numRef>
              <c:f>Лист1!$C$2:$C$14</c:f>
              <c:numCache>
                <c:formatCode>General</c:formatCode>
                <c:ptCount val="13"/>
                <c:pt idx="0">
                  <c:v>166</c:v>
                </c:pt>
                <c:pt idx="1">
                  <c:v>224</c:v>
                </c:pt>
                <c:pt idx="2">
                  <c:v>354</c:v>
                </c:pt>
                <c:pt idx="3">
                  <c:v>553</c:v>
                </c:pt>
                <c:pt idx="4">
                  <c:v>900</c:v>
                </c:pt>
                <c:pt idx="5">
                  <c:v>1442</c:v>
                </c:pt>
                <c:pt idx="6">
                  <c:v>1876</c:v>
                </c:pt>
                <c:pt idx="7">
                  <c:v>2258</c:v>
                </c:pt>
                <c:pt idx="8">
                  <c:v>2687</c:v>
                </c:pt>
                <c:pt idx="9">
                  <c:v>3090</c:v>
                </c:pt>
                <c:pt idx="10">
                  <c:v>3525</c:v>
                </c:pt>
                <c:pt idx="11">
                  <c:v>3789</c:v>
                </c:pt>
                <c:pt idx="12">
                  <c:v>4033</c:v>
                </c:pt>
              </c:numCache>
            </c:numRef>
          </c:val>
        </c:ser>
        <c:marker val="1"/>
        <c:axId val="146295040"/>
        <c:axId val="146305024"/>
      </c:lineChart>
      <c:dateAx>
        <c:axId val="146295040"/>
        <c:scaling>
          <c:orientation val="minMax"/>
        </c:scaling>
        <c:axPos val="b"/>
        <c:numFmt formatCode="dd/mm/yyyy" sourceLinked="1"/>
        <c:majorTickMark val="cross"/>
        <c:tickLblPos val="nextTo"/>
        <c:txPr>
          <a:bodyPr/>
          <a:lstStyle/>
          <a:p>
            <a:pPr>
              <a:defRPr sz="950"/>
            </a:pPr>
            <a:endParaRPr lang="ru-RU"/>
          </a:p>
        </c:txPr>
        <c:crossAx val="146305024"/>
        <c:crosses val="autoZero"/>
        <c:auto val="1"/>
        <c:lblOffset val="100"/>
      </c:dateAx>
      <c:valAx>
        <c:axId val="146305024"/>
        <c:scaling>
          <c:orientation val="minMax"/>
        </c:scaling>
        <c:delete val="1"/>
        <c:axPos val="l"/>
        <c:numFmt formatCode="General" sourceLinked="1"/>
        <c:tickLblPos val="nextTo"/>
        <c:crossAx val="146295040"/>
        <c:crosses val="autoZero"/>
        <c:crossBetween val="between"/>
      </c:valAx>
      <c:spPr>
        <a:ln>
          <a:noFill/>
        </a:ln>
      </c:spPr>
    </c:plotArea>
    <c:legend>
      <c:legendPos val="b"/>
      <c:layout>
        <c:manualLayout>
          <c:xMode val="edge"/>
          <c:yMode val="edge"/>
          <c:x val="3.3711563180702134E-2"/>
          <c:y val="0.82712958177524987"/>
          <c:w val="0.92424066783320002"/>
          <c:h val="0.14880288612572118"/>
        </c:manualLayout>
      </c:layout>
      <c:txPr>
        <a:bodyPr/>
        <a:lstStyle/>
        <a:p>
          <a:pPr>
            <a:defRPr sz="1050"/>
          </a:pPr>
          <a:endParaRPr lang="ru-RU"/>
        </a:p>
      </c:txP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title>
      <c:tx>
        <c:rich>
          <a:bodyPr/>
          <a:lstStyle/>
          <a:p>
            <a:pPr>
              <a:defRPr sz="1200"/>
            </a:pPr>
            <a:r>
              <a:rPr lang="ru-RU" sz="1050"/>
              <a:t>Структура доходов консолидированного бюджета, млн руб. </a:t>
            </a:r>
          </a:p>
        </c:rich>
      </c:tx>
      <c:layout>
        <c:manualLayout>
          <c:xMode val="edge"/>
          <c:yMode val="edge"/>
          <c:x val="0.24746878964852673"/>
          <c:y val="0"/>
        </c:manualLayout>
      </c:layout>
      <c:spPr>
        <a:noFill/>
      </c:spPr>
    </c:title>
    <c:view3D>
      <c:rotX val="0"/>
      <c:rotY val="0"/>
      <c:perspective val="30"/>
    </c:view3D>
    <c:plotArea>
      <c:layout>
        <c:manualLayout>
          <c:layoutTarget val="inner"/>
          <c:xMode val="edge"/>
          <c:yMode val="edge"/>
          <c:x val="0.23784798684397063"/>
          <c:y val="0.22294911052785343"/>
          <c:w val="0.76215199344426265"/>
          <c:h val="0.45194868498581825"/>
        </c:manualLayout>
      </c:layout>
      <c:bar3DChart>
        <c:barDir val="col"/>
        <c:grouping val="stacked"/>
        <c:ser>
          <c:idx val="0"/>
          <c:order val="0"/>
          <c:tx>
            <c:strRef>
              <c:f>Лист1!$B$1</c:f>
              <c:strCache>
                <c:ptCount val="1"/>
                <c:pt idx="0">
                  <c:v>Республиканский бюджет</c:v>
                </c:pt>
              </c:strCache>
            </c:strRef>
          </c:tx>
          <c:spPr>
            <a:gradFill>
              <a:gsLst>
                <a:gs pos="0">
                  <a:srgbClr val="03D4A8"/>
                </a:gs>
                <a:gs pos="25000">
                  <a:srgbClr val="21D6E0"/>
                </a:gs>
                <a:gs pos="75000">
                  <a:srgbClr val="0087E6"/>
                </a:gs>
                <a:gs pos="100000">
                  <a:srgbClr val="005CBF"/>
                </a:gs>
              </a:gsLst>
              <a:lin ang="5400000" scaled="0"/>
            </a:gradFill>
          </c:spPr>
          <c:dLbls>
            <c:dLbl>
              <c:idx val="0"/>
              <c:layout>
                <c:manualLayout>
                  <c:x val="6.7571258389749304E-3"/>
                  <c:y val="0"/>
                </c:manualLayout>
              </c:layout>
              <c:tx>
                <c:rich>
                  <a:bodyPr/>
                  <a:lstStyle/>
                  <a:p>
                    <a:r>
                      <a:rPr lang="ru-RU" b="1"/>
                      <a:t>64,7</a:t>
                    </a:r>
                    <a:r>
                      <a:rPr lang="en-US" b="1"/>
                      <a:t>%</a:t>
                    </a:r>
                  </a:p>
                </c:rich>
              </c:tx>
              <c:showVal val="1"/>
              <c:extLst>
                <c:ext xmlns:c15="http://schemas.microsoft.com/office/drawing/2012/chart" uri="{CE6537A1-D6FC-4f65-9D91-7224C49458BB}">
                  <c15:layout/>
                </c:ext>
              </c:extLst>
            </c:dLbl>
            <c:dLbl>
              <c:idx val="1"/>
              <c:tx>
                <c:rich>
                  <a:bodyPr/>
                  <a:lstStyle/>
                  <a:p>
                    <a:r>
                      <a:rPr lang="ru-RU" b="1"/>
                      <a:t>72,8</a:t>
                    </a:r>
                    <a:r>
                      <a:rPr lang="en-US" b="1"/>
                      <a:t>%</a:t>
                    </a:r>
                  </a:p>
                </c:rich>
              </c:tx>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Лист1!$B$2:$B$3</c:f>
              <c:numCache>
                <c:formatCode>#,##0.00</c:formatCode>
                <c:ptCount val="2"/>
                <c:pt idx="0">
                  <c:v>64.7</c:v>
                </c:pt>
                <c:pt idx="1">
                  <c:v>72.8</c:v>
                </c:pt>
              </c:numCache>
            </c:numRef>
          </c:val>
        </c:ser>
        <c:ser>
          <c:idx val="1"/>
          <c:order val="1"/>
          <c:tx>
            <c:strRef>
              <c:f>Лист1!$C$1</c:f>
              <c:strCache>
                <c:ptCount val="1"/>
                <c:pt idx="0">
                  <c:v>Местный бюджет</c:v>
                </c:pt>
              </c:strCache>
            </c:strRef>
          </c:tx>
          <c:spPr>
            <a:solidFill>
              <a:schemeClr val="accent3">
                <a:lumMod val="40000"/>
                <a:lumOff val="60000"/>
              </a:schemeClr>
            </a:solidFill>
          </c:spPr>
          <c:dLbls>
            <c:dLbl>
              <c:idx val="0"/>
              <c:layout>
                <c:manualLayout>
                  <c:x val="1.8370766384829241E-3"/>
                  <c:y val="0"/>
                </c:manualLayout>
              </c:layout>
              <c:tx>
                <c:rich>
                  <a:bodyPr/>
                  <a:lstStyle/>
                  <a:p>
                    <a:r>
                      <a:rPr lang="ru-RU" b="1"/>
                      <a:t>35,3</a:t>
                    </a:r>
                    <a:r>
                      <a:rPr lang="en-US" b="1"/>
                      <a:t>%</a:t>
                    </a:r>
                  </a:p>
                </c:rich>
              </c:tx>
              <c:showVal val="1"/>
              <c:extLst>
                <c:ext xmlns:c15="http://schemas.microsoft.com/office/drawing/2012/chart" uri="{CE6537A1-D6FC-4f65-9D91-7224C49458BB}">
                  <c15:layout/>
                </c:ext>
              </c:extLst>
            </c:dLbl>
            <c:dLbl>
              <c:idx val="1"/>
              <c:tx>
                <c:rich>
                  <a:bodyPr/>
                  <a:lstStyle/>
                  <a:p>
                    <a:r>
                      <a:rPr lang="ru-RU" b="1"/>
                      <a:t>27,2</a:t>
                    </a:r>
                    <a:r>
                      <a:rPr lang="en-US" b="1"/>
                      <a:t>%</a:t>
                    </a:r>
                  </a:p>
                </c:rich>
              </c:tx>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Лист1!$C$2:$C$3</c:f>
              <c:numCache>
                <c:formatCode>#,##0.00</c:formatCode>
                <c:ptCount val="2"/>
                <c:pt idx="0">
                  <c:v>35.300000000000004</c:v>
                </c:pt>
                <c:pt idx="1">
                  <c:v>27.2</c:v>
                </c:pt>
              </c:numCache>
            </c:numRef>
          </c:val>
        </c:ser>
        <c:shape val="cylinder"/>
        <c:axId val="146486784"/>
        <c:axId val="146488320"/>
        <c:axId val="0"/>
      </c:bar3DChart>
      <c:catAx>
        <c:axId val="146486784"/>
        <c:scaling>
          <c:orientation val="minMax"/>
        </c:scaling>
        <c:axPos val="b"/>
        <c:numFmt formatCode="General" sourceLinked="0"/>
        <c:tickLblPos val="nextTo"/>
        <c:txPr>
          <a:bodyPr/>
          <a:lstStyle/>
          <a:p>
            <a:pPr>
              <a:defRPr sz="1000" b="1"/>
            </a:pPr>
            <a:endParaRPr lang="ru-RU"/>
          </a:p>
        </c:txPr>
        <c:crossAx val="146488320"/>
        <c:crosses val="autoZero"/>
        <c:auto val="1"/>
        <c:lblAlgn val="ctr"/>
        <c:lblOffset val="100"/>
      </c:catAx>
      <c:valAx>
        <c:axId val="146488320"/>
        <c:scaling>
          <c:orientation val="minMax"/>
          <c:max val="100"/>
          <c:min val="0"/>
        </c:scaling>
        <c:axPos val="l"/>
        <c:numFmt formatCode="#,##0.00" sourceLinked="1"/>
        <c:tickLblPos val="nextTo"/>
        <c:txPr>
          <a:bodyPr/>
          <a:lstStyle/>
          <a:p>
            <a:pPr>
              <a:defRPr sz="1000" b="1"/>
            </a:pPr>
            <a:endParaRPr lang="ru-RU"/>
          </a:p>
        </c:txPr>
        <c:crossAx val="146486784"/>
        <c:crosses val="autoZero"/>
        <c:crossBetween val="between"/>
        <c:majorUnit val="20"/>
      </c:valAx>
    </c:plotArea>
    <c:legend>
      <c:legendPos val="b"/>
      <c:layout>
        <c:manualLayout>
          <c:xMode val="edge"/>
          <c:yMode val="edge"/>
          <c:x val="2.9390226636608178E-2"/>
          <c:y val="0.84182378244386835"/>
          <c:w val="0.8450733492338357"/>
          <c:h val="0.15817621755614045"/>
        </c:manualLayout>
      </c:layout>
      <c:txPr>
        <a:bodyPr/>
        <a:lstStyle/>
        <a:p>
          <a:pPr>
            <a:defRPr sz="11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Структура поступлений в доходную часть Консолидированного бюджета (%) </a:t>
            </a:r>
            <a:endParaRPr lang="ru-RU" sz="1100">
              <a:solidFill>
                <a:srgbClr val="FF0000"/>
              </a:solidFill>
              <a:latin typeface="Times New Roman" pitchFamily="18" charset="0"/>
              <a:cs typeface="Times New Roman" pitchFamily="18" charset="0"/>
            </a:endParaRPr>
          </a:p>
        </c:rich>
      </c:tx>
      <c:layout>
        <c:manualLayout>
          <c:xMode val="edge"/>
          <c:yMode val="edge"/>
          <c:x val="0.13278094381848679"/>
          <c:y val="0"/>
        </c:manualLayout>
      </c:layout>
      <c:spPr>
        <a:noFill/>
      </c:spPr>
    </c:title>
    <c:plotArea>
      <c:layout>
        <c:manualLayout>
          <c:layoutTarget val="inner"/>
          <c:xMode val="edge"/>
          <c:yMode val="edge"/>
          <c:x val="0.12302614804728394"/>
          <c:y val="7.7215995059441281E-2"/>
          <c:w val="0.52481250370019539"/>
          <c:h val="0.78437877618238894"/>
        </c:manualLayout>
      </c:layout>
      <c:barChart>
        <c:barDir val="col"/>
        <c:grouping val="stacked"/>
        <c:ser>
          <c:idx val="0"/>
          <c:order val="0"/>
          <c:tx>
            <c:strRef>
              <c:f>Лист1!$B$1</c:f>
              <c:strCache>
                <c:ptCount val="1"/>
                <c:pt idx="0">
                  <c:v>Налоговые доходы</c:v>
                </c:pt>
              </c:strCache>
            </c:strRef>
          </c:tx>
          <c:spPr>
            <a:solidFill>
              <a:schemeClr val="accent5">
                <a:lumMod val="75000"/>
              </a:schemeClr>
            </a:solidFill>
          </c:spPr>
          <c:dLbls>
            <c:dLbl>
              <c:idx val="0"/>
              <c:layout>
                <c:manualLayout>
                  <c:x val="-9.6118299445471372E-2"/>
                  <c:y val="-5.4200542005420054E-3"/>
                </c:manualLayout>
              </c:layout>
              <c:showVal val="1"/>
              <c:extLst>
                <c:ext xmlns:c15="http://schemas.microsoft.com/office/drawing/2012/chart" uri="{CE6537A1-D6FC-4f65-9D91-7224C49458BB}">
                  <c15:layout/>
                </c:ext>
              </c:extLst>
            </c:dLbl>
            <c:dLbl>
              <c:idx val="1"/>
              <c:layout>
                <c:manualLayout>
                  <c:x val="-0.10351201478743063"/>
                  <c:y val="0"/>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Лист1!$B$2:$B$3</c:f>
              <c:numCache>
                <c:formatCode>General</c:formatCode>
                <c:ptCount val="2"/>
                <c:pt idx="0">
                  <c:v>70.8</c:v>
                </c:pt>
                <c:pt idx="1">
                  <c:v>74.900000000000006</c:v>
                </c:pt>
              </c:numCache>
            </c:numRef>
          </c:val>
        </c:ser>
        <c:ser>
          <c:idx val="1"/>
          <c:order val="1"/>
          <c:tx>
            <c:strRef>
              <c:f>Лист1!$C$1</c:f>
              <c:strCache>
                <c:ptCount val="1"/>
                <c:pt idx="0">
                  <c:v>Неналоговые доходы</c:v>
                </c:pt>
              </c:strCache>
            </c:strRef>
          </c:tx>
          <c:spPr>
            <a:solidFill>
              <a:srgbClr val="FFFF00"/>
            </a:solidFill>
          </c:spPr>
          <c:dLbls>
            <c:dLbl>
              <c:idx val="0"/>
              <c:layout>
                <c:manualLayout>
                  <c:x val="8.8724584103513568E-2"/>
                  <c:y val="5.4200542005420054E-3"/>
                </c:manualLayout>
              </c:layout>
              <c:showVal val="1"/>
              <c:extLst>
                <c:ext xmlns:c15="http://schemas.microsoft.com/office/drawing/2012/chart" uri="{CE6537A1-D6FC-4f65-9D91-7224C49458BB}">
                  <c15:layout/>
                </c:ext>
              </c:extLst>
            </c:dLbl>
            <c:dLbl>
              <c:idx val="1"/>
              <c:layout>
                <c:manualLayout>
                  <c:x val="9.118915588416511E-2"/>
                  <c:y val="0"/>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Лист1!$C$2:$C$3</c:f>
              <c:numCache>
                <c:formatCode>0.0</c:formatCode>
                <c:ptCount val="2"/>
                <c:pt idx="0">
                  <c:v>2.8</c:v>
                </c:pt>
                <c:pt idx="1">
                  <c:v>9.3600000000000048</c:v>
                </c:pt>
              </c:numCache>
            </c:numRef>
          </c:val>
        </c:ser>
        <c:ser>
          <c:idx val="2"/>
          <c:order val="2"/>
          <c:tx>
            <c:strRef>
              <c:f>Лист1!$D$1</c:f>
              <c:strCache>
                <c:ptCount val="1"/>
                <c:pt idx="0">
                  <c:v>Доходы целевых бюджетных фондов</c:v>
                </c:pt>
              </c:strCache>
            </c:strRef>
          </c:tx>
          <c:spPr>
            <a:solidFill>
              <a:schemeClr val="accent6">
                <a:lumMod val="50000"/>
              </a:schemeClr>
            </a:solidFill>
          </c:spPr>
          <c:dLbls>
            <c:dLbl>
              <c:idx val="0"/>
              <c:layout>
                <c:manualLayout>
                  <c:x val="-9.118915588416511E-2"/>
                  <c:y val="0"/>
                </c:manualLayout>
              </c:layout>
              <c:showVal val="1"/>
              <c:extLst>
                <c:ext xmlns:c15="http://schemas.microsoft.com/office/drawing/2012/chart" uri="{CE6537A1-D6FC-4f65-9D91-7224C49458BB}">
                  <c15:layout/>
                </c:ext>
              </c:extLst>
            </c:dLbl>
            <c:dLbl>
              <c:idx val="1"/>
              <c:layout>
                <c:manualLayout>
                  <c:x val="-9.6118299445471331E-2"/>
                  <c:y val="0"/>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Лист1!$D$2:$D$3</c:f>
              <c:numCache>
                <c:formatCode>General</c:formatCode>
                <c:ptCount val="2"/>
                <c:pt idx="0">
                  <c:v>9.3000000000000007</c:v>
                </c:pt>
                <c:pt idx="1">
                  <c:v>8.2000000000000011</c:v>
                </c:pt>
              </c:numCache>
            </c:numRef>
          </c:val>
        </c:ser>
        <c:ser>
          <c:idx val="3"/>
          <c:order val="3"/>
          <c:tx>
            <c:strRef>
              <c:f>Лист1!$E$1</c:f>
              <c:strCache>
                <c:ptCount val="1"/>
                <c:pt idx="0">
                  <c:v>Доходы от предприн. и иной принос. доход деятельности</c:v>
                </c:pt>
              </c:strCache>
            </c:strRef>
          </c:tx>
          <c:spPr>
            <a:solidFill>
              <a:schemeClr val="accent2">
                <a:lumMod val="40000"/>
                <a:lumOff val="60000"/>
              </a:schemeClr>
            </a:solidFill>
          </c:spPr>
          <c:dLbls>
            <c:dLbl>
              <c:idx val="0"/>
              <c:layout>
                <c:manualLayout>
                  <c:x val="9.1747594050743661E-2"/>
                  <c:y val="5.420186113099499E-3"/>
                </c:manualLayout>
              </c:layout>
              <c:showVal val="1"/>
              <c:extLst>
                <c:ext xmlns:c15="http://schemas.microsoft.com/office/drawing/2012/chart" uri="{CE6537A1-D6FC-4f65-9D91-7224C49458BB}">
                  <c15:layout/>
                </c:ext>
              </c:extLst>
            </c:dLbl>
            <c:dLbl>
              <c:idx val="1"/>
              <c:layout>
                <c:manualLayout>
                  <c:x val="8.8724600334050399E-2"/>
                  <c:y val="-2.4671916010498896E-3"/>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Лист1!$E$2:$E$3</c:f>
              <c:numCache>
                <c:formatCode>General</c:formatCode>
                <c:ptCount val="2"/>
                <c:pt idx="0">
                  <c:v>9.4</c:v>
                </c:pt>
                <c:pt idx="1">
                  <c:v>6.6</c:v>
                </c:pt>
              </c:numCache>
            </c:numRef>
          </c:val>
        </c:ser>
        <c:ser>
          <c:idx val="4"/>
          <c:order val="4"/>
          <c:tx>
            <c:strRef>
              <c:f>Лист1!$F$1</c:f>
              <c:strCache>
                <c:ptCount val="1"/>
                <c:pt idx="0">
                  <c:v>Безвозмездные перечисления</c:v>
                </c:pt>
              </c:strCache>
            </c:strRef>
          </c:tx>
          <c:dLbls>
            <c:dLbl>
              <c:idx val="0"/>
              <c:layout>
                <c:manualLayout>
                  <c:x val="-9.119821348298314E-2"/>
                  <c:y val="-1.4015548436673553E-3"/>
                </c:manualLayout>
              </c:layout>
              <c:showVal val="1"/>
              <c:extLst>
                <c:ext xmlns:c15="http://schemas.microsoft.com/office/drawing/2012/chart" uri="{CE6537A1-D6FC-4f65-9D91-7224C49458BB}">
                  <c15:layout/>
                </c:ext>
              </c:extLst>
            </c:dLbl>
            <c:dLbl>
              <c:idx val="1"/>
              <c:layout>
                <c:manualLayout>
                  <c:x val="-8.3795371033167226E-2"/>
                  <c:y val="-1.8727124626663223E-2"/>
                </c:manualLayout>
              </c:layout>
              <c:showVal val="1"/>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Лист1!$F$2:$F$3</c:f>
              <c:numCache>
                <c:formatCode>General</c:formatCode>
                <c:ptCount val="2"/>
                <c:pt idx="0">
                  <c:v>0.1</c:v>
                </c:pt>
                <c:pt idx="1">
                  <c:v>0.9</c:v>
                </c:pt>
              </c:numCache>
            </c:numRef>
          </c:val>
        </c:ser>
        <c:ser>
          <c:idx val="5"/>
          <c:order val="5"/>
          <c:tx>
            <c:strRef>
              <c:f>Лист1!$G$1</c:f>
              <c:strCache>
                <c:ptCount val="1"/>
                <c:pt idx="0">
                  <c:v>ССФ</c:v>
                </c:pt>
              </c:strCache>
            </c:strRef>
          </c:tx>
          <c:spPr>
            <a:solidFill>
              <a:srgbClr val="EEECE1">
                <a:lumMod val="50000"/>
              </a:srgbClr>
            </a:solidFill>
          </c:spPr>
          <c:dLbls>
            <c:dLbl>
              <c:idx val="0"/>
              <c:layout>
                <c:manualLayout>
                  <c:x val="8.8397790055248698E-2"/>
                  <c:y val="-1.5209125475285325E-2"/>
                </c:manualLayout>
              </c:layou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dLbl>
              <c:idx val="1"/>
              <c:layout>
                <c:manualLayout>
                  <c:x val="9.3750000000001568E-2"/>
                  <c:y val="-2.4242424242424229E-2"/>
                </c:manualLayout>
              </c:layout>
              <c:spPr/>
              <c:txPr>
                <a:bodyPr/>
                <a:lstStyle/>
                <a:p>
                  <a:pPr>
                    <a:defRPr>
                      <a:latin typeface="Times New Roman" pitchFamily="18" charset="0"/>
                      <a:cs typeface="Times New Roman" pitchFamily="18" charset="0"/>
                    </a:defRPr>
                  </a:pPr>
                  <a:endParaRPr lang="ru-RU"/>
                </a:p>
              </c:txPr>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Лист1!$G$2:$G$3</c:f>
              <c:numCache>
                <c:formatCode>General</c:formatCode>
                <c:ptCount val="2"/>
                <c:pt idx="0">
                  <c:v>7.5</c:v>
                </c:pt>
              </c:numCache>
            </c:numRef>
          </c:val>
        </c:ser>
        <c:overlap val="100"/>
        <c:axId val="146683776"/>
        <c:axId val="146685312"/>
      </c:barChart>
      <c:catAx>
        <c:axId val="146683776"/>
        <c:scaling>
          <c:orientation val="minMax"/>
        </c:scaling>
        <c:axPos val="b"/>
        <c:numFmt formatCode="General" sourceLinked="0"/>
        <c:tickLblPos val="nextTo"/>
        <c:txPr>
          <a:bodyPr/>
          <a:lstStyle/>
          <a:p>
            <a:pPr>
              <a:defRPr b="1">
                <a:latin typeface="Times New Roman" pitchFamily="18" charset="0"/>
                <a:cs typeface="Times New Roman" pitchFamily="18" charset="0"/>
              </a:defRPr>
            </a:pPr>
            <a:endParaRPr lang="ru-RU"/>
          </a:p>
        </c:txPr>
        <c:crossAx val="146685312"/>
        <c:crosses val="autoZero"/>
        <c:auto val="1"/>
        <c:lblAlgn val="ctr"/>
        <c:lblOffset val="100"/>
      </c:catAx>
      <c:valAx>
        <c:axId val="146685312"/>
        <c:scaling>
          <c:orientation val="minMax"/>
          <c:max val="110"/>
          <c:min val="0"/>
        </c:scaling>
        <c:axPos val="l"/>
        <c:majorGridlines>
          <c:spPr>
            <a:ln>
              <a:noFill/>
            </a:ln>
          </c:spPr>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146683776"/>
        <c:crosses val="autoZero"/>
        <c:crossBetween val="between"/>
      </c:valAx>
    </c:plotArea>
    <c:legend>
      <c:legendPos val="b"/>
      <c:layout>
        <c:manualLayout>
          <c:xMode val="edge"/>
          <c:yMode val="edge"/>
          <c:x val="0.63597298956414983"/>
          <c:y val="0.15612945720188021"/>
          <c:w val="0.36063050129784002"/>
          <c:h val="0.81381475604522824"/>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7.7951558882746838E-2"/>
          <c:y val="2.5247943066437212E-2"/>
          <c:w val="0.59981762917933057"/>
          <c:h val="0.8026945412311266"/>
        </c:manualLayout>
      </c:layout>
      <c:barChart>
        <c:barDir val="col"/>
        <c:grouping val="clustered"/>
        <c:ser>
          <c:idx val="0"/>
          <c:order val="0"/>
          <c:tx>
            <c:strRef>
              <c:f>Лист1!$B$1</c:f>
              <c:strCache>
                <c:ptCount val="1"/>
                <c:pt idx="0">
                  <c:v>Налог на доходы организаций по отрасли( подотрасли, виду деятельности)</c:v>
                </c:pt>
              </c:strCache>
            </c:strRef>
          </c:tx>
          <c:spPr>
            <a:solidFill>
              <a:sysClr val="window" lastClr="FFFFFF">
                <a:lumMod val="65000"/>
              </a:sysClr>
            </a:solidFill>
            <a:ln>
              <a:solidFill>
                <a:sysClr val="windowText" lastClr="000000"/>
              </a:solidFill>
            </a:ln>
          </c:spPr>
          <c:dLbls>
            <c:dLbl>
              <c:idx val="0"/>
              <c:layout>
                <c:manualLayout>
                  <c:x val="0.17708100412653649"/>
                  <c:y val="0.42632512172300413"/>
                </c:manualLayout>
              </c:layout>
              <c:tx>
                <c:rich>
                  <a:bodyPr/>
                  <a:lstStyle/>
                  <a:p>
                    <a:r>
                      <a:rPr lang="ru-RU" sz="800" b="1"/>
                      <a:t>89,0</a:t>
                    </a:r>
                    <a:r>
                      <a:rPr lang="en-US" sz="800" b="1"/>
                      <a:t>%*</a:t>
                    </a:r>
                  </a:p>
                </c:rich>
              </c:tx>
              <c:showVal val="1"/>
              <c:extLst>
                <c:ext xmlns:c15="http://schemas.microsoft.com/office/drawing/2012/chart" uri="{CE6537A1-D6FC-4f65-9D91-7224C49458BB}">
                  <c15:layout/>
                </c:ext>
              </c:extLst>
            </c:dLbl>
            <c:dLbl>
              <c:idx val="1"/>
              <c:layout>
                <c:manualLayout>
                  <c:x val="0.17831681042910091"/>
                  <c:y val="0.42107194845988882"/>
                </c:manualLayout>
              </c:layout>
              <c:tx>
                <c:rich>
                  <a:bodyPr/>
                  <a:lstStyle/>
                  <a:p>
                    <a:r>
                      <a:rPr lang="en-US" sz="800" b="1"/>
                      <a:t>1</a:t>
                    </a:r>
                    <a:r>
                      <a:rPr lang="ru-RU" sz="800" b="1"/>
                      <a:t>17,1</a:t>
                    </a:r>
                    <a:r>
                      <a:rPr lang="en-US" sz="800" b="1"/>
                      <a:t>%*</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Лист1!$B$2:$B$3</c:f>
              <c:numCache>
                <c:formatCode>0.0</c:formatCode>
                <c:ptCount val="2"/>
                <c:pt idx="0">
                  <c:v>676.4</c:v>
                </c:pt>
                <c:pt idx="1">
                  <c:v>733.2</c:v>
                </c:pt>
              </c:numCache>
            </c:numRef>
          </c:val>
        </c:ser>
        <c:ser>
          <c:idx val="1"/>
          <c:order val="1"/>
          <c:tx>
            <c:strRef>
              <c:f>Лист1!$C$1</c:f>
              <c:strCache>
                <c:ptCount val="1"/>
                <c:pt idx="0">
                  <c:v>Подоходный налог с физических лиц</c:v>
                </c:pt>
              </c:strCache>
            </c:strRef>
          </c:tx>
          <c:spPr>
            <a:solidFill>
              <a:srgbClr val="8064A2">
                <a:lumMod val="40000"/>
                <a:lumOff val="60000"/>
              </a:srgbClr>
            </a:solidFill>
            <a:ln>
              <a:solidFill>
                <a:sysClr val="windowText" lastClr="000000"/>
              </a:solidFill>
            </a:ln>
          </c:spPr>
          <c:dLbls>
            <c:dLbl>
              <c:idx val="0"/>
              <c:layout>
                <c:manualLayout>
                  <c:x val="2.0265276205022872E-2"/>
                  <c:y val="1.7543228482502289E-2"/>
                </c:manualLayout>
              </c:layout>
              <c:tx>
                <c:rich>
                  <a:bodyPr/>
                  <a:lstStyle/>
                  <a:p>
                    <a:r>
                      <a:rPr lang="en-US" sz="800" b="1"/>
                      <a:t>10</a:t>
                    </a:r>
                    <a:r>
                      <a:rPr lang="ru-RU" sz="800" b="1"/>
                      <a:t>0</a:t>
                    </a:r>
                    <a:r>
                      <a:rPr lang="en-US" sz="800" b="1"/>
                      <a:t>,2%*</a:t>
                    </a:r>
                  </a:p>
                </c:rich>
              </c:tx>
              <c:showVal val="1"/>
              <c:extLst>
                <c:ext xmlns:c15="http://schemas.microsoft.com/office/drawing/2012/chart" uri="{CE6537A1-D6FC-4f65-9D91-7224C49458BB}">
                  <c15:layout/>
                </c:ext>
              </c:extLst>
            </c:dLbl>
            <c:dLbl>
              <c:idx val="1"/>
              <c:layout>
                <c:manualLayout>
                  <c:x val="1.2155047964702194E-2"/>
                  <c:y val="5.9482150064319424E-3"/>
                </c:manualLayout>
              </c:layout>
              <c:tx>
                <c:rich>
                  <a:bodyPr/>
                  <a:lstStyle/>
                  <a:p>
                    <a:r>
                      <a:rPr lang="ru-RU" sz="800" b="1"/>
                      <a:t>99,1</a:t>
                    </a:r>
                    <a:r>
                      <a:rPr lang="en-US" sz="800" b="1"/>
                      <a:t>%*</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Лист1!$C$2:$C$3</c:f>
              <c:numCache>
                <c:formatCode>General</c:formatCode>
                <c:ptCount val="2"/>
                <c:pt idx="0">
                  <c:v>349.2</c:v>
                </c:pt>
                <c:pt idx="1">
                  <c:v>346.1</c:v>
                </c:pt>
              </c:numCache>
            </c:numRef>
          </c:val>
        </c:ser>
        <c:ser>
          <c:idx val="2"/>
          <c:order val="2"/>
          <c:tx>
            <c:strRef>
              <c:f>Лист1!$D$1</c:f>
              <c:strCache>
                <c:ptCount val="1"/>
                <c:pt idx="0">
                  <c:v>Налоги на товары и услуги, лицензионные и регистрационные сборы</c:v>
                </c:pt>
              </c:strCache>
            </c:strRef>
          </c:tx>
          <c:spPr>
            <a:solidFill>
              <a:srgbClr val="EEECE1">
                <a:lumMod val="50000"/>
              </a:srgbClr>
            </a:solidFill>
            <a:ln>
              <a:solidFill>
                <a:sysClr val="windowText" lastClr="000000"/>
              </a:solidFill>
            </a:ln>
          </c:spPr>
          <c:dLbls>
            <c:dLbl>
              <c:idx val="0"/>
              <c:layout>
                <c:manualLayout>
                  <c:x val="1.4184237608596799E-2"/>
                  <c:y val="1.4746195941193625E-2"/>
                </c:manualLayout>
              </c:layout>
              <c:tx>
                <c:rich>
                  <a:bodyPr/>
                  <a:lstStyle/>
                  <a:p>
                    <a:r>
                      <a:rPr lang="en-US" sz="800" b="1"/>
                      <a:t>7</a:t>
                    </a:r>
                    <a:r>
                      <a:rPr lang="ru-RU" sz="800" b="1"/>
                      <a:t>1,2</a:t>
                    </a:r>
                    <a:r>
                      <a:rPr lang="en-US" sz="800" b="1"/>
                      <a:t>%*</a:t>
                    </a:r>
                  </a:p>
                </c:rich>
              </c:tx>
              <c:showVal val="1"/>
              <c:extLst>
                <c:ext xmlns:c15="http://schemas.microsoft.com/office/drawing/2012/chart" uri="{CE6537A1-D6FC-4f65-9D91-7224C49458BB}">
                  <c15:layout/>
                </c:ext>
              </c:extLst>
            </c:dLbl>
            <c:dLbl>
              <c:idx val="1"/>
              <c:layout>
                <c:manualLayout>
                  <c:x val="8.1028865006954748E-3"/>
                  <c:y val="1.0927785495425186E-2"/>
                </c:manualLayout>
              </c:layout>
              <c:tx>
                <c:rich>
                  <a:bodyPr/>
                  <a:lstStyle/>
                  <a:p>
                    <a:r>
                      <a:rPr lang="ru-RU" sz="800" b="1"/>
                      <a:t>в 6,5 р.</a:t>
                    </a:r>
                    <a:r>
                      <a:rPr lang="en-US" sz="800" b="1"/>
                      <a:t>*</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Лист1!$D$2:$D$3</c:f>
              <c:numCache>
                <c:formatCode>0.0</c:formatCode>
                <c:ptCount val="2"/>
                <c:pt idx="0">
                  <c:v>99.2</c:v>
                </c:pt>
                <c:pt idx="1">
                  <c:v>643.20000000000005</c:v>
                </c:pt>
              </c:numCache>
            </c:numRef>
          </c:val>
        </c:ser>
        <c:ser>
          <c:idx val="3"/>
          <c:order val="3"/>
          <c:tx>
            <c:strRef>
              <c:f>Лист1!$E$1</c:f>
              <c:strCache>
                <c:ptCount val="1"/>
                <c:pt idx="0">
                  <c:v>Налог на игорную деятельность</c:v>
                </c:pt>
              </c:strCache>
            </c:strRef>
          </c:tx>
          <c:dLbls>
            <c:dLbl>
              <c:idx val="0"/>
              <c:layout>
                <c:manualLayout>
                  <c:x val="1.0131552704848064E-2"/>
                  <c:y val="1.4628171478565457E-2"/>
                </c:manualLayout>
              </c:layout>
              <c:tx>
                <c:rich>
                  <a:bodyPr/>
                  <a:lstStyle/>
                  <a:p>
                    <a:r>
                      <a:rPr lang="ru-RU" sz="800" b="1"/>
                      <a:t>101,1</a:t>
                    </a:r>
                    <a:r>
                      <a:rPr lang="en-US" sz="800" b="1"/>
                      <a:t>%*</a:t>
                    </a:r>
                  </a:p>
                </c:rich>
              </c:tx>
              <c:showVal val="1"/>
              <c:extLst>
                <c:ext xmlns:c15="http://schemas.microsoft.com/office/drawing/2012/chart" uri="{CE6537A1-D6FC-4f65-9D91-7224C49458BB}">
                  <c15:layout/>
                </c:ext>
              </c:extLst>
            </c:dLbl>
            <c:dLbl>
              <c:idx val="1"/>
              <c:layout>
                <c:manualLayout>
                  <c:x val="1.2158054711246199E-2"/>
                  <c:y val="2.2175561388159851E-2"/>
                </c:manualLayout>
              </c:layout>
              <c:tx>
                <c:rich>
                  <a:bodyPr/>
                  <a:lstStyle/>
                  <a:p>
                    <a:r>
                      <a:rPr lang="ru-RU" sz="800" b="1"/>
                      <a:t>63,3</a:t>
                    </a:r>
                    <a:r>
                      <a:rPr lang="en-US" sz="800" b="1"/>
                      <a:t>%*</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Лист1!$E$2:$E$3</c:f>
              <c:numCache>
                <c:formatCode>General</c:formatCode>
                <c:ptCount val="2"/>
                <c:pt idx="0" formatCode="0.0">
                  <c:v>9</c:v>
                </c:pt>
                <c:pt idx="1">
                  <c:v>5.7</c:v>
                </c:pt>
              </c:numCache>
            </c:numRef>
          </c:val>
        </c:ser>
        <c:ser>
          <c:idx val="4"/>
          <c:order val="4"/>
          <c:tx>
            <c:strRef>
              <c:f>Лист1!$F$1</c:f>
              <c:strCache>
                <c:ptCount val="1"/>
                <c:pt idx="0">
                  <c:v>Платежи за пользование природными ресурсами</c:v>
                </c:pt>
              </c:strCache>
            </c:strRef>
          </c:tx>
          <c:spPr>
            <a:solidFill>
              <a:srgbClr val="4F81BD">
                <a:lumMod val="20000"/>
                <a:lumOff val="80000"/>
              </a:srgbClr>
            </a:solidFill>
            <a:ln>
              <a:solidFill>
                <a:sysClr val="windowText" lastClr="000000"/>
              </a:solidFill>
            </a:ln>
          </c:spPr>
          <c:dLbls>
            <c:dLbl>
              <c:idx val="0"/>
              <c:layout>
                <c:manualLayout>
                  <c:x val="4.0526849037487338E-3"/>
                  <c:y val="1.1629183606951239E-2"/>
                </c:manualLayout>
              </c:layout>
              <c:tx>
                <c:rich>
                  <a:bodyPr/>
                  <a:lstStyle/>
                  <a:p>
                    <a:r>
                      <a:rPr lang="en-US" sz="800" b="1"/>
                      <a:t>10</a:t>
                    </a:r>
                    <a:r>
                      <a:rPr lang="ru-RU" sz="800" b="1"/>
                      <a:t>1,6</a:t>
                    </a:r>
                    <a:r>
                      <a:rPr lang="en-US" sz="800" b="1"/>
                      <a:t>%*</a:t>
                    </a:r>
                  </a:p>
                </c:rich>
              </c:tx>
              <c:showVal val="1"/>
              <c:extLst>
                <c:ext xmlns:c15="http://schemas.microsoft.com/office/drawing/2012/chart" uri="{CE6537A1-D6FC-4f65-9D91-7224C49458BB}">
                  <c15:layout/>
                </c:ext>
              </c:extLst>
            </c:dLbl>
            <c:dLbl>
              <c:idx val="1"/>
              <c:layout>
                <c:manualLayout>
                  <c:x val="-4.0559919368546573E-3"/>
                  <c:y val="1.2171544404520946E-2"/>
                </c:manualLayout>
              </c:layout>
              <c:tx>
                <c:rich>
                  <a:bodyPr/>
                  <a:lstStyle/>
                  <a:p>
                    <a:r>
                      <a:rPr lang="en-US" sz="800" b="1"/>
                      <a:t>1</a:t>
                    </a:r>
                    <a:r>
                      <a:rPr lang="ru-RU" sz="800" b="1"/>
                      <a:t>21,3</a:t>
                    </a:r>
                    <a:r>
                      <a:rPr lang="en-US" sz="800" b="1"/>
                      <a:t>%*</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Лист1!$F$2:$F$3</c:f>
              <c:numCache>
                <c:formatCode>General</c:formatCode>
                <c:ptCount val="2"/>
                <c:pt idx="0">
                  <c:v>114.3</c:v>
                </c:pt>
                <c:pt idx="1">
                  <c:v>138.69999999999999</c:v>
                </c:pt>
              </c:numCache>
            </c:numRef>
          </c:val>
        </c:ser>
        <c:ser>
          <c:idx val="5"/>
          <c:order val="5"/>
          <c:tx>
            <c:strRef>
              <c:f>Лист1!$G$1</c:f>
              <c:strCache>
                <c:ptCount val="1"/>
                <c:pt idx="0">
                  <c:v>Налоги на внешнюю торговлю и внешнеэкономические операции</c:v>
                </c:pt>
              </c:strCache>
            </c:strRef>
          </c:tx>
          <c:spPr>
            <a:blipFill>
              <a:blip xmlns:r="http://schemas.openxmlformats.org/officeDocument/2006/relationships" r:embed="rId2"/>
              <a:tile tx="0" ty="0" sx="100000" sy="100000" flip="none" algn="tl"/>
            </a:blipFill>
            <a:ln>
              <a:solidFill>
                <a:sysClr val="windowText" lastClr="000000"/>
              </a:solidFill>
            </a:ln>
          </c:spPr>
          <c:dLbls>
            <c:dLbl>
              <c:idx val="0"/>
              <c:layout>
                <c:manualLayout>
                  <c:x val="-0.17426544698027208"/>
                  <c:y val="-0.40060706560268988"/>
                </c:manualLayout>
              </c:layout>
              <c:tx>
                <c:rich>
                  <a:bodyPr/>
                  <a:lstStyle/>
                  <a:p>
                    <a:r>
                      <a:rPr lang="ru-RU" sz="800" b="1"/>
                      <a:t>92,1</a:t>
                    </a:r>
                    <a:r>
                      <a:rPr lang="en-US" sz="800" b="1"/>
                      <a:t>%*</a:t>
                    </a:r>
                  </a:p>
                </c:rich>
              </c:tx>
              <c:showVal val="1"/>
              <c:extLst>
                <c:ext xmlns:c15="http://schemas.microsoft.com/office/drawing/2012/chart" uri="{CE6537A1-D6FC-4f65-9D91-7224C49458BB}">
                  <c15:layout/>
                </c:ext>
              </c:extLst>
            </c:dLbl>
            <c:dLbl>
              <c:idx val="1"/>
              <c:layout>
                <c:manualLayout>
                  <c:x val="-0.17831813576494637"/>
                  <c:y val="-0.4518549397011648"/>
                </c:manualLayout>
              </c:layout>
              <c:tx>
                <c:rich>
                  <a:bodyPr/>
                  <a:lstStyle/>
                  <a:p>
                    <a:r>
                      <a:rPr lang="en-US" sz="800" b="1"/>
                      <a:t>10</a:t>
                    </a:r>
                    <a:r>
                      <a:rPr lang="ru-RU" sz="800" b="1"/>
                      <a:t>8,4</a:t>
                    </a:r>
                    <a:r>
                      <a:rPr lang="en-US" sz="800" b="1"/>
                      <a:t>%*</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Лист1!$G$2:$G$3</c:f>
              <c:numCache>
                <c:formatCode>0.0</c:formatCode>
                <c:ptCount val="2"/>
                <c:pt idx="0" formatCode="General">
                  <c:v>291.3</c:v>
                </c:pt>
                <c:pt idx="1">
                  <c:v>341</c:v>
                </c:pt>
              </c:numCache>
            </c:numRef>
          </c:val>
        </c:ser>
        <c:ser>
          <c:idx val="6"/>
          <c:order val="6"/>
          <c:tx>
            <c:strRef>
              <c:f>Лист1!$H$1</c:f>
              <c:strCache>
                <c:ptCount val="1"/>
                <c:pt idx="0">
                  <c:v>Прочие налоги, пошлины и сборы</c:v>
                </c:pt>
              </c:strCache>
            </c:strRef>
          </c:tx>
          <c:spPr>
            <a:blipFill>
              <a:blip xmlns:r="http://schemas.openxmlformats.org/officeDocument/2006/relationships" r:embed="rId3"/>
              <a:tile tx="0" ty="0" sx="100000" sy="100000" flip="none" algn="tl"/>
            </a:blipFill>
            <a:ln>
              <a:solidFill>
                <a:sysClr val="windowText" lastClr="000000"/>
              </a:solidFill>
            </a:ln>
          </c:spPr>
          <c:dLbls>
            <c:dLbl>
              <c:idx val="0"/>
              <c:layout>
                <c:manualLayout>
                  <c:x val="1.2158080422373456E-2"/>
                  <c:y val="1.2916167203038963E-2"/>
                </c:manualLayout>
              </c:layout>
              <c:tx>
                <c:rich>
                  <a:bodyPr/>
                  <a:lstStyle/>
                  <a:p>
                    <a:r>
                      <a:rPr lang="ru-RU" sz="800" b="1"/>
                      <a:t>90,7</a:t>
                    </a:r>
                    <a:r>
                      <a:rPr lang="en-US" sz="800" b="1"/>
                      <a:t>%*</a:t>
                    </a:r>
                  </a:p>
                </c:rich>
              </c:tx>
              <c:showVal val="1"/>
              <c:extLst>
                <c:ext xmlns:c15="http://schemas.microsoft.com/office/drawing/2012/chart" uri="{CE6537A1-D6FC-4f65-9D91-7224C49458BB}">
                  <c15:layout/>
                </c:ext>
              </c:extLst>
            </c:dLbl>
            <c:dLbl>
              <c:idx val="1"/>
              <c:layout>
                <c:manualLayout>
                  <c:x val="1.4185677383212521E-2"/>
                  <c:y val="1.3012608401872593E-2"/>
                </c:manualLayout>
              </c:layout>
              <c:tx>
                <c:rich>
                  <a:bodyPr/>
                  <a:lstStyle/>
                  <a:p>
                    <a:r>
                      <a:rPr lang="ru-RU" sz="800" b="1"/>
                      <a:t>126,5</a:t>
                    </a:r>
                    <a:r>
                      <a:rPr lang="en-US" sz="800" b="1"/>
                      <a:t>%*</a:t>
                    </a:r>
                  </a:p>
                </c:rich>
              </c:tx>
              <c:showVal val="1"/>
              <c:extLst>
                <c:ext xmlns:c15="http://schemas.microsoft.com/office/drawing/2012/chart" uri="{CE6537A1-D6FC-4f65-9D91-7224C49458BB}">
                  <c15:layout/>
                </c:ext>
              </c:extLst>
            </c:dLbl>
            <c:spPr>
              <a:noFill/>
              <a:ln>
                <a:noFill/>
              </a:ln>
              <a:effectLst/>
            </c:spPr>
            <c:txPr>
              <a:bodyPr/>
              <a:lstStyle/>
              <a:p>
                <a:pPr>
                  <a:defRPr sz="800" b="1"/>
                </a:pPr>
                <a:endParaRPr lang="ru-RU"/>
              </a:p>
            </c:txPr>
            <c:showVal val="1"/>
            <c:extLst>
              <c:ext xmlns:c15="http://schemas.microsoft.com/office/drawing/2012/chart" uri="{CE6537A1-D6FC-4f65-9D91-7224C49458BB}">
                <c15:showLeaderLines val="0"/>
              </c:ext>
            </c:extLst>
          </c:dLbls>
          <c:cat>
            <c:strRef>
              <c:f>Лист1!$A$2:$A$3</c:f>
              <c:strCache>
                <c:ptCount val="2"/>
                <c:pt idx="0">
                  <c:v>2016 год</c:v>
                </c:pt>
                <c:pt idx="1">
                  <c:v>2017 год</c:v>
                </c:pt>
              </c:strCache>
            </c:strRef>
          </c:cat>
          <c:val>
            <c:numRef>
              <c:f>Лист1!$H$2:$H$3</c:f>
              <c:numCache>
                <c:formatCode>0.0</c:formatCode>
                <c:ptCount val="2"/>
                <c:pt idx="0" formatCode="General">
                  <c:v>91.6</c:v>
                </c:pt>
                <c:pt idx="1">
                  <c:v>115.9</c:v>
                </c:pt>
              </c:numCache>
            </c:numRef>
          </c:val>
        </c:ser>
        <c:axId val="147008128"/>
        <c:axId val="147042688"/>
      </c:barChart>
      <c:catAx>
        <c:axId val="147008128"/>
        <c:scaling>
          <c:orientation val="minMax"/>
        </c:scaling>
        <c:axPos val="b"/>
        <c:numFmt formatCode="General" sourceLinked="0"/>
        <c:tickLblPos val="nextTo"/>
        <c:txPr>
          <a:bodyPr/>
          <a:lstStyle/>
          <a:p>
            <a:pPr>
              <a:defRPr b="1"/>
            </a:pPr>
            <a:endParaRPr lang="ru-RU"/>
          </a:p>
        </c:txPr>
        <c:crossAx val="147042688"/>
        <c:crosses val="autoZero"/>
        <c:auto val="1"/>
        <c:lblAlgn val="ctr"/>
        <c:lblOffset val="100"/>
      </c:catAx>
      <c:valAx>
        <c:axId val="147042688"/>
        <c:scaling>
          <c:orientation val="minMax"/>
          <c:max val="750"/>
        </c:scaling>
        <c:axPos val="l"/>
        <c:numFmt formatCode="0.0" sourceLinked="1"/>
        <c:tickLblPos val="nextTo"/>
        <c:txPr>
          <a:bodyPr/>
          <a:lstStyle/>
          <a:p>
            <a:pPr>
              <a:defRPr b="1"/>
            </a:pPr>
            <a:endParaRPr lang="ru-RU"/>
          </a:p>
        </c:txPr>
        <c:crossAx val="147008128"/>
        <c:crosses val="autoZero"/>
        <c:crossBetween val="between"/>
        <c:majorUnit val="50"/>
      </c:valAx>
    </c:plotArea>
    <c:legend>
      <c:legendPos val="r"/>
      <c:layout>
        <c:manualLayout>
          <c:xMode val="edge"/>
          <c:yMode val="edge"/>
          <c:x val="0.67933130699089406"/>
          <c:y val="0"/>
          <c:w val="0.31772539070914552"/>
          <c:h val="0.92282958199356913"/>
        </c:manualLayout>
      </c:layout>
      <c:spPr>
        <a:solidFill>
          <a:schemeClr val="bg1"/>
        </a:solidFill>
      </c:sp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4"/>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a:t>2016 год</a:t>
            </a:r>
          </a:p>
        </c:rich>
      </c:tx>
      <c:layout>
        <c:manualLayout>
          <c:xMode val="edge"/>
          <c:yMode val="edge"/>
          <c:x val="0.37520417721636545"/>
          <c:y val="0"/>
        </c:manualLayout>
      </c:layout>
      <c:spPr>
        <a:solidFill>
          <a:schemeClr val="bg1"/>
        </a:solidFill>
      </c:spPr>
    </c:title>
    <c:view3D>
      <c:rotX val="30"/>
      <c:perspective val="30"/>
    </c:view3D>
    <c:plotArea>
      <c:layout>
        <c:manualLayout>
          <c:layoutTarget val="inner"/>
          <c:xMode val="edge"/>
          <c:yMode val="edge"/>
          <c:x val="0.13921037255502214"/>
          <c:y val="4.8713910761154873E-4"/>
          <c:w val="0.73542342542871175"/>
          <c:h val="0.99951286089238323"/>
        </c:manualLayout>
      </c:layout>
      <c:pie3DChart>
        <c:varyColors val="1"/>
        <c:ser>
          <c:idx val="0"/>
          <c:order val="0"/>
          <c:tx>
            <c:strRef>
              <c:f>Лист1!$B$1</c:f>
              <c:strCache>
                <c:ptCount val="1"/>
                <c:pt idx="0">
                  <c:v>2016 год</c:v>
                </c:pt>
              </c:strCache>
            </c:strRef>
          </c:tx>
          <c:explosion val="25"/>
          <c:dPt>
            <c:idx val="0"/>
            <c:explosion val="13"/>
            <c:spPr>
              <a:blipFill>
                <a:blip xmlns:r="http://schemas.openxmlformats.org/officeDocument/2006/relationships" r:embed="rId1"/>
                <a:tile tx="0" ty="0" sx="100000" sy="100000" flip="none" algn="tl"/>
              </a:blipFill>
              <a:ln>
                <a:solidFill>
                  <a:schemeClr val="tx1"/>
                </a:solidFill>
              </a:ln>
            </c:spPr>
          </c:dPt>
          <c:dPt>
            <c:idx val="1"/>
            <c:explosion val="20"/>
            <c:spPr>
              <a:solidFill>
                <a:schemeClr val="accent5">
                  <a:lumMod val="40000"/>
                  <a:lumOff val="60000"/>
                </a:schemeClr>
              </a:solidFill>
              <a:ln>
                <a:solidFill>
                  <a:sysClr val="windowText" lastClr="000000"/>
                </a:solidFill>
              </a:ln>
            </c:spPr>
          </c:dPt>
          <c:dPt>
            <c:idx val="2"/>
            <c:explosion val="17"/>
            <c:spPr>
              <a:blipFill>
                <a:blip xmlns:r="http://schemas.openxmlformats.org/officeDocument/2006/relationships" r:embed="rId2"/>
                <a:tile tx="0" ty="0" sx="100000" sy="100000" flip="none" algn="tl"/>
              </a:blipFill>
              <a:ln>
                <a:solidFill>
                  <a:sysClr val="windowText" lastClr="000000"/>
                </a:solidFill>
              </a:ln>
            </c:spPr>
          </c:dPt>
          <c:dPt>
            <c:idx val="3"/>
            <c:explosion val="18"/>
            <c:spPr>
              <a:blipFill>
                <a:blip xmlns:r="http://schemas.openxmlformats.org/officeDocument/2006/relationships" r:embed="rId3"/>
                <a:tile tx="0" ty="0" sx="100000" sy="100000" flip="none" algn="tl"/>
              </a:blipFill>
              <a:ln>
                <a:solidFill>
                  <a:schemeClr val="tx1"/>
                </a:solidFill>
              </a:ln>
            </c:spPr>
          </c:dPt>
          <c:dLbls>
            <c:dLbl>
              <c:idx val="0"/>
              <c:layout>
                <c:manualLayout>
                  <c:x val="-4.7863628353876832E-3"/>
                  <c:y val="0.13091901694106495"/>
                </c:manualLayout>
              </c:layout>
              <c:showVal val="1"/>
            </c:dLbl>
            <c:dLbl>
              <c:idx val="1"/>
              <c:layout>
                <c:manualLayout>
                  <c:x val="-2.967641412314629E-2"/>
                  <c:y val="5.2663326175137234E-2"/>
                </c:manualLayout>
              </c:layout>
              <c:showVal val="1"/>
            </c:dLbl>
            <c:dLbl>
              <c:idx val="2"/>
              <c:layout>
                <c:manualLayout>
                  <c:x val="-7.4547800169046732E-2"/>
                  <c:y val="2.038904711379165E-2"/>
                </c:manualLayout>
              </c:layout>
              <c:showVal val="1"/>
            </c:dLbl>
            <c:dLbl>
              <c:idx val="3"/>
              <c:layout>
                <c:manualLayout>
                  <c:x val="-1.9093376039859423E-2"/>
                  <c:y val="-5.6738344070627507E-2"/>
                </c:manualLayout>
              </c:layout>
              <c:showVal val="1"/>
            </c:dLbl>
            <c:dLbl>
              <c:idx val="4"/>
              <c:layout>
                <c:manualLayout>
                  <c:x val="7.6163463438037982E-2"/>
                  <c:y val="-3.369102118049197E-2"/>
                </c:manualLayout>
              </c:layout>
              <c:tx>
                <c:rich>
                  <a:bodyPr/>
                  <a:lstStyle/>
                  <a:p>
                    <a:r>
                      <a:rPr lang="en-US"/>
                      <a:t>0,0</a:t>
                    </a:r>
                    <a:r>
                      <a:rPr lang="ru-RU"/>
                      <a:t>06</a:t>
                    </a:r>
                    <a:endParaRPr lang="en-US"/>
                  </a:p>
                </c:rich>
              </c:tx>
              <c:showVal val="1"/>
            </c:dLbl>
            <c:showVal val="1"/>
            <c:showLeaderLines val="1"/>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formatCode="0.0">
                  <c:v>55.3</c:v>
                </c:pt>
                <c:pt idx="1">
                  <c:v>7.3</c:v>
                </c:pt>
                <c:pt idx="2">
                  <c:v>11.4</c:v>
                </c:pt>
                <c:pt idx="3" formatCode="0.0">
                  <c:v>25.9</c:v>
                </c:pt>
              </c:numCache>
            </c:numRef>
          </c:val>
        </c:ser>
      </c:pie3DChart>
    </c:plotArea>
    <c:plotVisOnly val="1"/>
    <c:dispBlanksAs val="zero"/>
  </c:chart>
  <c:spPr>
    <a:ln>
      <a:noFill/>
    </a:ln>
  </c:spPr>
  <c:txPr>
    <a:bodyPr/>
    <a:lstStyle/>
    <a:p>
      <a:pPr>
        <a:defRPr sz="1100">
          <a:latin typeface="Times New Roman" pitchFamily="18" charset="0"/>
          <a:cs typeface="Times New Roman" pitchFamily="18" charset="0"/>
        </a:defRPr>
      </a:pPr>
      <a:endParaRPr lang="ru-RU"/>
    </a:p>
  </c:txPr>
  <c:externalData r:id="rId4"/>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a:t>2017 год </a:t>
            </a:r>
          </a:p>
        </c:rich>
      </c:tx>
      <c:layout>
        <c:manualLayout>
          <c:xMode val="edge"/>
          <c:yMode val="edge"/>
          <c:x val="0.25544588176478089"/>
          <c:y val="0"/>
        </c:manualLayout>
      </c:layout>
      <c:spPr>
        <a:solidFill>
          <a:schemeClr val="bg1"/>
        </a:solidFill>
      </c:spPr>
    </c:title>
    <c:view3D>
      <c:rotX val="30"/>
      <c:perspective val="30"/>
    </c:view3D>
    <c:plotArea>
      <c:layout>
        <c:manualLayout>
          <c:layoutTarget val="inner"/>
          <c:xMode val="edge"/>
          <c:yMode val="edge"/>
          <c:x val="0"/>
          <c:y val="7.1399093295156313E-2"/>
          <c:w val="0.63785683039620189"/>
          <c:h val="0.88851366552153832"/>
        </c:manualLayout>
      </c:layout>
      <c:pie3DChart>
        <c:varyColors val="1"/>
        <c:ser>
          <c:idx val="0"/>
          <c:order val="0"/>
          <c:tx>
            <c:strRef>
              <c:f>Лист1!$B$1</c:f>
              <c:strCache>
                <c:ptCount val="1"/>
                <c:pt idx="0">
                  <c:v>2017 год</c:v>
                </c:pt>
              </c:strCache>
            </c:strRef>
          </c:tx>
          <c:explosion val="25"/>
          <c:dPt>
            <c:idx val="0"/>
            <c:explosion val="13"/>
            <c:spPr>
              <a:blipFill>
                <a:blip xmlns:r="http://schemas.openxmlformats.org/officeDocument/2006/relationships" r:embed="rId2"/>
                <a:tile tx="0" ty="0" sx="100000" sy="100000" flip="none" algn="tl"/>
              </a:blipFill>
              <a:ln>
                <a:solidFill>
                  <a:sysClr val="windowText" lastClr="000000"/>
                </a:solidFill>
              </a:ln>
            </c:spPr>
          </c:dPt>
          <c:dPt>
            <c:idx val="1"/>
            <c:explosion val="20"/>
            <c:spPr>
              <a:solidFill>
                <a:srgbClr val="4BACC6">
                  <a:lumMod val="40000"/>
                  <a:lumOff val="60000"/>
                </a:srgbClr>
              </a:solidFill>
              <a:ln>
                <a:solidFill>
                  <a:sysClr val="windowText" lastClr="000000"/>
                </a:solidFill>
              </a:ln>
            </c:spPr>
          </c:dPt>
          <c:dPt>
            <c:idx val="2"/>
            <c:explosion val="17"/>
            <c:spPr>
              <a:blipFill>
                <a:blip xmlns:r="http://schemas.openxmlformats.org/officeDocument/2006/relationships" r:embed="rId3"/>
                <a:tile tx="0" ty="0" sx="100000" sy="100000" flip="none" algn="tl"/>
              </a:blipFill>
              <a:ln>
                <a:solidFill>
                  <a:sysClr val="windowText" lastClr="000000"/>
                </a:solidFill>
              </a:ln>
            </c:spPr>
          </c:dPt>
          <c:dPt>
            <c:idx val="3"/>
            <c:explosion val="18"/>
            <c:spPr>
              <a:blipFill>
                <a:blip xmlns:r="http://schemas.openxmlformats.org/officeDocument/2006/relationships" r:embed="rId4"/>
                <a:tile tx="0" ty="0" sx="100000" sy="100000" flip="none" algn="tl"/>
              </a:blipFill>
              <a:ln>
                <a:solidFill>
                  <a:sysClr val="windowText" lastClr="000000"/>
                </a:solidFill>
              </a:ln>
            </c:spPr>
          </c:dPt>
          <c:dLbls>
            <c:dLbl>
              <c:idx val="0"/>
              <c:layout>
                <c:manualLayout>
                  <c:x val="-0.12818710161229846"/>
                  <c:y val="8.3948270102600808E-2"/>
                </c:manualLayout>
              </c:layout>
              <c:showVal val="1"/>
              <c:extLst>
                <c:ext xmlns:c15="http://schemas.microsoft.com/office/drawing/2012/chart" uri="{CE6537A1-D6FC-4f65-9D91-7224C49458BB}">
                  <c15:layout/>
                </c:ext>
              </c:extLst>
            </c:dLbl>
            <c:dLbl>
              <c:idx val="1"/>
              <c:layout>
                <c:manualLayout>
                  <c:x val="2.7777777777778078E-2"/>
                  <c:y val="-7.4261989978525594E-2"/>
                </c:manualLayout>
              </c:layout>
              <c:showVal val="1"/>
              <c:extLst>
                <c:ext xmlns:c15="http://schemas.microsoft.com/office/drawing/2012/chart" uri="{CE6537A1-D6FC-4f65-9D91-7224C49458BB}">
                  <c15:layout/>
                </c:ext>
              </c:extLst>
            </c:dLbl>
            <c:dLbl>
              <c:idx val="2"/>
              <c:layout>
                <c:manualLayout>
                  <c:x val="9.7914010748656508E-2"/>
                  <c:y val="-0.11540577427821612"/>
                </c:manualLayout>
              </c:layout>
              <c:showVal val="1"/>
              <c:extLst>
                <c:ext xmlns:c15="http://schemas.microsoft.com/office/drawing/2012/chart" uri="{CE6537A1-D6FC-4f65-9D91-7224C49458BB}">
                  <c15:layout/>
                </c:ext>
              </c:extLst>
            </c:dLbl>
            <c:dLbl>
              <c:idx val="3"/>
              <c:layout>
                <c:manualLayout>
                  <c:x val="0.14811365042784291"/>
                  <c:y val="-6.6115771892149913E-2"/>
                </c:manualLayout>
              </c:layout>
              <c:showVal val="1"/>
              <c:extLst>
                <c:ext xmlns:c15="http://schemas.microsoft.com/office/drawing/2012/chart" uri="{CE6537A1-D6FC-4f65-9D91-7224C49458BB}">
                  <c15:layout/>
                </c:ext>
              </c:extLst>
            </c:dLbl>
            <c:dLbl>
              <c:idx val="4"/>
              <c:layout>
                <c:manualLayout>
                  <c:x val="7.6163463438037982E-2"/>
                  <c:y val="-3.369102118049197E-2"/>
                </c:manualLayout>
              </c:layout>
              <c:tx>
                <c:rich>
                  <a:bodyPr/>
                  <a:lstStyle/>
                  <a:p>
                    <a:r>
                      <a:rPr lang="en-US" sz="1050"/>
                      <a:t>0,0</a:t>
                    </a:r>
                    <a:r>
                      <a:rPr lang="ru-RU" sz="1050"/>
                      <a:t>06</a:t>
                    </a:r>
                    <a:endParaRPr lang="en-US" sz="1050"/>
                  </a:p>
                </c:rich>
              </c:tx>
              <c:showVal val="1"/>
              <c:extLst>
                <c:ext xmlns:c15="http://schemas.microsoft.com/office/drawing/2012/chart" uri="{CE6537A1-D6FC-4f65-9D91-7224C49458BB}"/>
              </c:extLst>
            </c:dLbl>
            <c:spPr>
              <a:noFill/>
              <a:ln>
                <a:noFill/>
              </a:ln>
              <a:effectLst/>
            </c:spPr>
            <c:txPr>
              <a:bodyPr/>
              <a:lstStyle/>
              <a:p>
                <a:pPr>
                  <a:defRPr sz="1050"/>
                </a:pPr>
                <a:endParaRPr lang="ru-RU"/>
              </a:p>
            </c:txPr>
            <c:showVal val="1"/>
            <c:showLeaderLines val="1"/>
            <c:extLst>
              <c:ext xmlns:c15="http://schemas.microsoft.com/office/drawing/2012/chart" uri="{CE6537A1-D6FC-4f65-9D91-7224C49458BB}"/>
            </c:extLst>
          </c:dLbls>
          <c:cat>
            <c:strRef>
              <c:f>Лист1!$A$2:$A$5</c:f>
              <c:strCache>
                <c:ptCount val="4"/>
                <c:pt idx="0">
                  <c:v>Доходы от имущества, наход. в гос. и муницип. собственности</c:v>
                </c:pt>
                <c:pt idx="1">
                  <c:v>Доходы от продажи имущества, наход. в гос. и муницип. собственности</c:v>
                </c:pt>
                <c:pt idx="2">
                  <c:v>Администратиные платежи и сборы</c:v>
                </c:pt>
                <c:pt idx="3">
                  <c:v>Штрафные санкции и возмещение ущерба</c:v>
                </c:pt>
              </c:strCache>
            </c:strRef>
          </c:cat>
          <c:val>
            <c:numRef>
              <c:f>Лист1!$B$2:$B$5</c:f>
              <c:numCache>
                <c:formatCode>General</c:formatCode>
                <c:ptCount val="4"/>
                <c:pt idx="0">
                  <c:v>80.7</c:v>
                </c:pt>
                <c:pt idx="1">
                  <c:v>3.1</c:v>
                </c:pt>
                <c:pt idx="2" formatCode="0.0">
                  <c:v>2.5</c:v>
                </c:pt>
                <c:pt idx="3">
                  <c:v>13.7</c:v>
                </c:pt>
              </c:numCache>
            </c:numRef>
          </c:val>
        </c:ser>
      </c:pie3DChart>
    </c:plotArea>
    <c:legend>
      <c:legendPos val="r"/>
      <c:layout>
        <c:manualLayout>
          <c:xMode val="edge"/>
          <c:yMode val="edge"/>
          <c:x val="0.63405355580552469"/>
          <c:y val="0"/>
          <c:w val="0.36197819022622246"/>
          <c:h val="1"/>
        </c:manualLayout>
      </c:layout>
      <c:txPr>
        <a:bodyPr/>
        <a:lstStyle/>
        <a:p>
          <a:pPr>
            <a:defRPr sz="850" b="1"/>
          </a:pPr>
          <a:endParaRPr lang="ru-RU"/>
        </a:p>
      </c:txPr>
    </c:legend>
    <c:plotVisOnly val="1"/>
    <c:dispBlanksAs val="zero"/>
  </c:chart>
  <c:spPr>
    <a:ln>
      <a:noFill/>
    </a:ln>
  </c:spPr>
  <c:txPr>
    <a:bodyPr/>
    <a:lstStyle/>
    <a:p>
      <a:pPr>
        <a:defRPr sz="1100">
          <a:latin typeface="Times New Roman" pitchFamily="18" charset="0"/>
          <a:cs typeface="Times New Roman" pitchFamily="18" charset="0"/>
        </a:defRPr>
      </a:pPr>
      <a:endParaRPr lang="ru-RU"/>
    </a:p>
  </c:txPr>
  <c:externalData r:id="rId5"/>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100"/>
            </a:pPr>
            <a:r>
              <a:rPr lang="ru-RU" sz="1100"/>
              <a:t>Динамика расходов консолидированного бюджета за 2016 - 2017 года, млн руб.</a:t>
            </a:r>
            <a:endParaRPr lang="ru-RU" sz="1100">
              <a:solidFill>
                <a:srgbClr val="FF0000"/>
              </a:solidFill>
            </a:endParaRPr>
          </a:p>
        </c:rich>
      </c:tx>
      <c:layout>
        <c:manualLayout>
          <c:xMode val="edge"/>
          <c:yMode val="edge"/>
          <c:x val="0.15053050186908454"/>
          <c:y val="2.4377259446342791E-2"/>
        </c:manualLayout>
      </c:layout>
      <c:spPr>
        <a:noFill/>
      </c:spPr>
    </c:title>
    <c:plotArea>
      <c:layout>
        <c:manualLayout>
          <c:layoutTarget val="inner"/>
          <c:xMode val="edge"/>
          <c:yMode val="edge"/>
          <c:x val="0.17724193566713708"/>
          <c:y val="0.263305600950829"/>
          <c:w val="0.76215199344426265"/>
          <c:h val="0.4896845441489675"/>
        </c:manualLayout>
      </c:layout>
      <c:barChart>
        <c:barDir val="col"/>
        <c:grouping val="stacked"/>
        <c:ser>
          <c:idx val="0"/>
          <c:order val="0"/>
          <c:tx>
            <c:strRef>
              <c:f>Лист1!$B$1</c:f>
              <c:strCache>
                <c:ptCount val="1"/>
                <c:pt idx="0">
                  <c:v>Республиканский бюджет</c:v>
                </c:pt>
              </c:strCache>
            </c:strRef>
          </c:tx>
          <c:spPr>
            <a:gradFill>
              <a:gsLst>
                <a:gs pos="0">
                  <a:srgbClr val="D6B19C"/>
                </a:gs>
                <a:gs pos="30000">
                  <a:srgbClr val="D49E6C"/>
                </a:gs>
                <a:gs pos="70000">
                  <a:srgbClr val="A65528"/>
                </a:gs>
                <a:gs pos="100000">
                  <a:srgbClr val="663012"/>
                </a:gs>
              </a:gsLst>
              <a:lin ang="5400000" scaled="0"/>
            </a:gradFill>
            <a:ln>
              <a:solidFill>
                <a:sysClr val="windowText" lastClr="000000"/>
              </a:solidFill>
            </a:ln>
          </c:spPr>
          <c:dLbls>
            <c:txPr>
              <a:bodyPr/>
              <a:lstStyle/>
              <a:p>
                <a:pPr>
                  <a:defRPr sz="1100" b="1"/>
                </a:pPr>
                <a:endParaRPr lang="ru-RU"/>
              </a:p>
            </c:txPr>
            <c:showVal val="1"/>
          </c:dLbls>
          <c:cat>
            <c:strRef>
              <c:f>Лист1!$A$2:$A$3</c:f>
              <c:strCache>
                <c:ptCount val="2"/>
                <c:pt idx="0">
                  <c:v>2016 год</c:v>
                </c:pt>
                <c:pt idx="1">
                  <c:v>2017 год</c:v>
                </c:pt>
              </c:strCache>
            </c:strRef>
          </c:cat>
          <c:val>
            <c:numRef>
              <c:f>Лист1!$B$2:$B$3</c:f>
              <c:numCache>
                <c:formatCode>#,##0.0</c:formatCode>
                <c:ptCount val="2"/>
                <c:pt idx="0">
                  <c:v>69.599999999999994</c:v>
                </c:pt>
                <c:pt idx="1">
                  <c:v>72.400000000000006</c:v>
                </c:pt>
              </c:numCache>
            </c:numRef>
          </c:val>
        </c:ser>
        <c:ser>
          <c:idx val="1"/>
          <c:order val="1"/>
          <c:tx>
            <c:strRef>
              <c:f>Лист1!$C$1</c:f>
              <c:strCache>
                <c:ptCount val="1"/>
                <c:pt idx="0">
                  <c:v>Местный бюджет</c:v>
                </c:pt>
              </c:strCache>
            </c:strRef>
          </c:tx>
          <c:spPr>
            <a:gradFill>
              <a:gsLst>
                <a:gs pos="0">
                  <a:schemeClr val="accent6">
                    <a:lumMod val="60000"/>
                    <a:lumOff val="40000"/>
                  </a:schemeClr>
                </a:gs>
                <a:gs pos="53000">
                  <a:srgbClr val="D4DEFF"/>
                </a:gs>
                <a:gs pos="83000">
                  <a:srgbClr val="D4DEFF"/>
                </a:gs>
                <a:gs pos="100000">
                  <a:srgbClr val="96AB94"/>
                </a:gs>
              </a:gsLst>
              <a:lin ang="1800000" scaled="0"/>
            </a:gradFill>
            <a:ln>
              <a:solidFill>
                <a:sysClr val="windowText" lastClr="000000"/>
              </a:solidFill>
            </a:ln>
          </c:spPr>
          <c:dLbls>
            <c:txPr>
              <a:bodyPr/>
              <a:lstStyle/>
              <a:p>
                <a:pPr>
                  <a:defRPr sz="1100" b="1"/>
                </a:pPr>
                <a:endParaRPr lang="ru-RU"/>
              </a:p>
            </c:txPr>
            <c:showVal val="1"/>
          </c:dLbls>
          <c:cat>
            <c:strRef>
              <c:f>Лист1!$A$2:$A$3</c:f>
              <c:strCache>
                <c:ptCount val="2"/>
                <c:pt idx="0">
                  <c:v>2016 год</c:v>
                </c:pt>
                <c:pt idx="1">
                  <c:v>2017 год</c:v>
                </c:pt>
              </c:strCache>
            </c:strRef>
          </c:cat>
          <c:val>
            <c:numRef>
              <c:f>Лист1!$C$2:$C$3</c:f>
              <c:numCache>
                <c:formatCode>#,##0.0</c:formatCode>
                <c:ptCount val="2"/>
                <c:pt idx="0">
                  <c:v>30.4</c:v>
                </c:pt>
                <c:pt idx="1">
                  <c:v>27.6</c:v>
                </c:pt>
              </c:numCache>
            </c:numRef>
          </c:val>
        </c:ser>
        <c:overlap val="100"/>
        <c:axId val="147452672"/>
        <c:axId val="147454208"/>
      </c:barChart>
      <c:catAx>
        <c:axId val="147452672"/>
        <c:scaling>
          <c:orientation val="minMax"/>
        </c:scaling>
        <c:axPos val="b"/>
        <c:numFmt formatCode="General" sourceLinked="0"/>
        <c:tickLblPos val="nextTo"/>
        <c:txPr>
          <a:bodyPr/>
          <a:lstStyle/>
          <a:p>
            <a:pPr>
              <a:defRPr sz="1000" b="1"/>
            </a:pPr>
            <a:endParaRPr lang="ru-RU"/>
          </a:p>
        </c:txPr>
        <c:crossAx val="147454208"/>
        <c:crosses val="autoZero"/>
        <c:auto val="1"/>
        <c:lblAlgn val="ctr"/>
        <c:lblOffset val="100"/>
      </c:catAx>
      <c:valAx>
        <c:axId val="147454208"/>
        <c:scaling>
          <c:orientation val="minMax"/>
          <c:max val="100"/>
          <c:min val="0"/>
        </c:scaling>
        <c:axPos val="l"/>
        <c:numFmt formatCode="#,##0.0" sourceLinked="1"/>
        <c:tickLblPos val="nextTo"/>
        <c:txPr>
          <a:bodyPr/>
          <a:lstStyle/>
          <a:p>
            <a:pPr>
              <a:defRPr sz="1000" b="1"/>
            </a:pPr>
            <a:endParaRPr lang="ru-RU"/>
          </a:p>
        </c:txPr>
        <c:crossAx val="147452672"/>
        <c:crosses val="autoZero"/>
        <c:crossBetween val="between"/>
        <c:majorUnit val="20"/>
      </c:valAx>
    </c:plotArea>
    <c:legend>
      <c:legendPos val="b"/>
      <c:layout>
        <c:manualLayout>
          <c:xMode val="edge"/>
          <c:yMode val="edge"/>
          <c:x val="6.4021997250344242E-2"/>
          <c:y val="0.87423130079754519"/>
          <c:w val="0.93303050266127163"/>
          <c:h val="0.12412430319321872"/>
        </c:manualLayout>
      </c:layout>
      <c:txPr>
        <a:bodyPr/>
        <a:lstStyle/>
        <a:p>
          <a:pPr>
            <a:defRPr sz="1100" b="1"/>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l">
              <a:defRPr sz="1100"/>
            </a:pPr>
            <a:r>
              <a:rPr lang="ru-RU" sz="1100"/>
              <a:t>2016</a:t>
            </a:r>
            <a:r>
              <a:rPr lang="ru-RU" sz="1100" baseline="0"/>
              <a:t> </a:t>
            </a:r>
            <a:r>
              <a:rPr lang="ru-RU" sz="1100"/>
              <a:t>год</a:t>
            </a:r>
          </a:p>
        </c:rich>
      </c:tx>
      <c:layout>
        <c:manualLayout>
          <c:xMode val="edge"/>
          <c:yMode val="edge"/>
          <c:x val="0.39409572071638427"/>
          <c:y val="5.042872583555497E-4"/>
        </c:manualLayout>
      </c:layout>
      <c:spPr>
        <a:noFill/>
      </c:spPr>
    </c:title>
    <c:view3D>
      <c:rotX val="30"/>
      <c:perspective val="30"/>
    </c:view3D>
    <c:plotArea>
      <c:layout>
        <c:manualLayout>
          <c:layoutTarget val="inner"/>
          <c:xMode val="edge"/>
          <c:yMode val="edge"/>
          <c:x val="0.17598454039398922"/>
          <c:y val="7.864385372881022E-2"/>
          <c:w val="0.68741022756770787"/>
          <c:h val="0.88808833106388063"/>
        </c:manualLayout>
      </c:layout>
      <c:pie3DChart>
        <c:varyColors val="1"/>
        <c:ser>
          <c:idx val="0"/>
          <c:order val="0"/>
          <c:tx>
            <c:strRef>
              <c:f>Лист1!$B$1</c:f>
              <c:strCache>
                <c:ptCount val="1"/>
                <c:pt idx="0">
                  <c:v>16</c:v>
                </c:pt>
              </c:strCache>
            </c:strRef>
          </c:tx>
          <c:explosion val="28"/>
          <c:dPt>
            <c:idx val="0"/>
            <c:explosion val="6"/>
            <c:spPr>
              <a:blipFill>
                <a:blip xmlns:r="http://schemas.openxmlformats.org/officeDocument/2006/relationships" r:embed="rId2"/>
                <a:tile tx="0" ty="0" sx="100000" sy="100000" flip="none" algn="tl"/>
              </a:blipFill>
              <a:ln>
                <a:solidFill>
                  <a:sysClr val="windowText" lastClr="000000"/>
                </a:solidFill>
              </a:ln>
            </c:spPr>
          </c:dPt>
          <c:dPt>
            <c:idx val="1"/>
            <c:spPr>
              <a:blipFill>
                <a:blip xmlns:r="http://schemas.openxmlformats.org/officeDocument/2006/relationships" r:embed="rId3"/>
                <a:tile tx="0" ty="0" sx="100000" sy="100000" flip="none" algn="tl"/>
              </a:blipFill>
              <a:ln>
                <a:solidFill>
                  <a:sysClr val="windowText" lastClr="000000"/>
                </a:solidFill>
              </a:ln>
            </c:spPr>
          </c:dPt>
          <c:dPt>
            <c:idx val="2"/>
            <c:spPr>
              <a:blipFill>
                <a:blip xmlns:r="http://schemas.openxmlformats.org/officeDocument/2006/relationships" r:embed="rId4"/>
                <a:tile tx="0" ty="0" sx="100000" sy="100000" flip="none" algn="tl"/>
              </a:blipFill>
              <a:ln>
                <a:solidFill>
                  <a:sysClr val="windowText" lastClr="000000"/>
                </a:solidFill>
              </a:ln>
            </c:spPr>
          </c:dPt>
          <c:dPt>
            <c:idx val="3"/>
            <c:spPr>
              <a:blipFill>
                <a:blip xmlns:r="http://schemas.openxmlformats.org/officeDocument/2006/relationships" r:embed="rId5"/>
                <a:tile tx="0" ty="0" sx="100000" sy="100000" flip="none" algn="tl"/>
              </a:blipFill>
              <a:ln>
                <a:solidFill>
                  <a:sysClr val="windowText" lastClr="000000"/>
                </a:solidFill>
              </a:ln>
            </c:spPr>
          </c:dPt>
          <c:dPt>
            <c:idx val="4"/>
            <c:spPr>
              <a:solidFill>
                <a:sysClr val="window" lastClr="FFFFFF">
                  <a:lumMod val="85000"/>
                </a:sysClr>
              </a:solidFill>
              <a:ln>
                <a:solidFill>
                  <a:sysClr val="windowText" lastClr="000000"/>
                </a:solidFill>
              </a:ln>
            </c:spPr>
          </c:dPt>
          <c:dPt>
            <c:idx val="5"/>
            <c:spPr>
              <a:solidFill>
                <a:schemeClr val="tx2">
                  <a:lumMod val="50000"/>
                </a:schemeClr>
              </a:solidFill>
              <a:ln>
                <a:solidFill>
                  <a:sysClr val="windowText" lastClr="000000"/>
                </a:solidFill>
              </a:ln>
            </c:spPr>
          </c:dPt>
          <c:dLbls>
            <c:dLbl>
              <c:idx val="0"/>
              <c:layout>
                <c:manualLayout>
                  <c:x val="-2.8665385666922238E-2"/>
                  <c:y val="-0.14117021593702903"/>
                </c:manualLayout>
              </c:layout>
              <c:showVal val="1"/>
              <c:extLst>
                <c:ext xmlns:c15="http://schemas.microsoft.com/office/drawing/2012/chart" uri="{CE6537A1-D6FC-4f65-9D91-7224C49458BB}">
                  <c15:layout/>
                </c:ext>
              </c:extLst>
            </c:dLbl>
            <c:dLbl>
              <c:idx val="1"/>
              <c:layout>
                <c:manualLayout>
                  <c:x val="-5.2764112450545533E-2"/>
                  <c:y val="3.1687475529648103E-2"/>
                </c:manualLayout>
              </c:layout>
              <c:showVal val="1"/>
              <c:extLst>
                <c:ext xmlns:c15="http://schemas.microsoft.com/office/drawing/2012/chart" uri="{CE6537A1-D6FC-4f65-9D91-7224C49458BB}">
                  <c15:layout/>
                </c:ext>
              </c:extLst>
            </c:dLbl>
            <c:dLbl>
              <c:idx val="2"/>
              <c:layout>
                <c:manualLayout>
                  <c:x val="-2.2685836836767212E-2"/>
                  <c:y val="5.4410463885384924E-2"/>
                </c:manualLayout>
              </c:layout>
              <c:showVal val="1"/>
              <c:extLst>
                <c:ext xmlns:c15="http://schemas.microsoft.com/office/drawing/2012/chart" uri="{CE6537A1-D6FC-4f65-9D91-7224C49458BB}">
                  <c15:layout/>
                </c:ext>
              </c:extLst>
            </c:dLbl>
            <c:dLbl>
              <c:idx val="3"/>
              <c:layout>
                <c:manualLayout>
                  <c:x val="-3.4188034188034191E-2"/>
                  <c:y val="-9.7396246521816346E-2"/>
                </c:manualLayout>
              </c:layout>
              <c:showVal val="1"/>
              <c:extLst>
                <c:ext xmlns:c15="http://schemas.microsoft.com/office/drawing/2012/chart" uri="{CE6537A1-D6FC-4f65-9D91-7224C49458BB}">
                  <c15:layout/>
                </c:ext>
              </c:extLst>
            </c:dLbl>
            <c:dLbl>
              <c:idx val="4"/>
              <c:layout>
                <c:manualLayout>
                  <c:x val="-1.4596465826957221E-2"/>
                  <c:y val="-7.3986903231154283E-2"/>
                </c:manualLayout>
              </c:layout>
              <c:showVal val="1"/>
              <c:extLst>
                <c:ext xmlns:c15="http://schemas.microsoft.com/office/drawing/2012/chart" uri="{CE6537A1-D6FC-4f65-9D91-7224C49458BB}">
                  <c15:layout/>
                </c:ext>
              </c:extLst>
            </c:dLbl>
            <c:dLbl>
              <c:idx val="5"/>
              <c:layout>
                <c:manualLayout>
                  <c:x val="0.1328206767221296"/>
                  <c:y val="-5.7019984883632621E-2"/>
                </c:manualLayout>
              </c:layout>
              <c:showVal val="1"/>
              <c:extLst>
                <c:ext xmlns:c15="http://schemas.microsoft.com/office/drawing/2012/chart" uri="{CE6537A1-D6FC-4f65-9D91-7224C49458BB}">
                  <c15:layout/>
                </c:ext>
              </c:extLst>
            </c:dLbl>
            <c:spPr>
              <a:noFill/>
              <a:ln>
                <a:noFill/>
              </a:ln>
              <a:effectLst/>
            </c:spPr>
            <c:showVal val="1"/>
            <c:showLeaderLines val="1"/>
            <c:extLst>
              <c:ext xmlns:c15="http://schemas.microsoft.com/office/drawing/2012/chart" uri="{CE6537A1-D6FC-4f65-9D91-7224C49458BB}"/>
            </c:extLst>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43.8</c:v>
                </c:pt>
                <c:pt idx="1">
                  <c:v>15.5</c:v>
                </c:pt>
                <c:pt idx="2" formatCode="0.0">
                  <c:v>10.8</c:v>
                </c:pt>
                <c:pt idx="3" formatCode="0.0">
                  <c:v>12.3</c:v>
                </c:pt>
                <c:pt idx="4">
                  <c:v>10.4</c:v>
                </c:pt>
                <c:pt idx="5" formatCode="0.0">
                  <c:v>7.2</c:v>
                </c:pt>
              </c:numCache>
            </c:numRef>
          </c:val>
        </c:ser>
      </c:pie3D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6"/>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3">
                <a:latin typeface="Times New Roman" pitchFamily="18" charset="0"/>
                <a:cs typeface="Times New Roman" pitchFamily="18" charset="0"/>
              </a:defRPr>
            </a:pPr>
            <a:r>
              <a:rPr lang="ru-RU" sz="1203"/>
              <a:t>2017 год</a:t>
            </a:r>
          </a:p>
        </c:rich>
      </c:tx>
      <c:layout>
        <c:manualLayout>
          <c:xMode val="edge"/>
          <c:yMode val="edge"/>
          <c:x val="0.24749974191247776"/>
          <c:y val="1.7818333455981582E-3"/>
        </c:manualLayout>
      </c:layout>
      <c:spPr>
        <a:noFill/>
        <a:ln w="41036">
          <a:noFill/>
        </a:ln>
      </c:spPr>
    </c:title>
    <c:view3D>
      <c:rotX val="30"/>
      <c:perspective val="30"/>
    </c:view3D>
    <c:plotArea>
      <c:layout>
        <c:manualLayout>
          <c:layoutTarget val="inner"/>
          <c:xMode val="edge"/>
          <c:yMode val="edge"/>
          <c:x val="0.10140643623361219"/>
          <c:y val="0.1745490224936837"/>
          <c:w val="0.7562065826396257"/>
          <c:h val="0.74009615620478075"/>
        </c:manualLayout>
      </c:layout>
      <c:pie3DChart>
        <c:varyColors val="1"/>
        <c:ser>
          <c:idx val="0"/>
          <c:order val="0"/>
          <c:tx>
            <c:strRef>
              <c:f>Лист1!$B$1</c:f>
              <c:strCache>
                <c:ptCount val="1"/>
                <c:pt idx="0">
                  <c:v>2017 год</c:v>
                </c:pt>
              </c:strCache>
            </c:strRef>
          </c:tx>
          <c:spPr>
            <a:ln>
              <a:solidFill>
                <a:sysClr val="windowText" lastClr="000000">
                  <a:lumMod val="85000"/>
                  <a:lumOff val="15000"/>
                </a:sysClr>
              </a:solidFill>
            </a:ln>
          </c:spPr>
          <c:explosion val="19"/>
          <c:dPt>
            <c:idx val="0"/>
            <c:explosion val="16"/>
            <c:spPr>
              <a:solidFill>
                <a:sysClr val="windowText" lastClr="000000">
                  <a:lumMod val="50000"/>
                  <a:lumOff val="50000"/>
                </a:sysClr>
              </a:solidFill>
              <a:ln>
                <a:solidFill>
                  <a:sysClr val="windowText" lastClr="000000">
                    <a:lumMod val="85000"/>
                    <a:lumOff val="15000"/>
                  </a:sysClr>
                </a:solidFill>
              </a:ln>
            </c:spPr>
          </c:dPt>
          <c:dPt>
            <c:idx val="1"/>
            <c:spPr>
              <a:blipFill>
                <a:blip xmlns:r="http://schemas.openxmlformats.org/officeDocument/2006/relationships" r:embed="rId2"/>
                <a:tile tx="0" ty="0" sx="100000" sy="100000" flip="none" algn="tl"/>
              </a:blipFill>
              <a:ln>
                <a:solidFill>
                  <a:sysClr val="windowText" lastClr="000000">
                    <a:lumMod val="85000"/>
                    <a:lumOff val="15000"/>
                  </a:sysClr>
                </a:solidFill>
              </a:ln>
            </c:spPr>
          </c:dPt>
          <c:dPt>
            <c:idx val="2"/>
            <c:explosion val="14"/>
            <c:spPr>
              <a:solidFill>
                <a:sysClr val="window" lastClr="FFFFFF">
                  <a:lumMod val="85000"/>
                </a:sysClr>
              </a:solidFill>
              <a:ln>
                <a:solidFill>
                  <a:sysClr val="windowText" lastClr="000000">
                    <a:lumMod val="85000"/>
                    <a:lumOff val="15000"/>
                  </a:sysClr>
                </a:solidFill>
              </a:ln>
            </c:spPr>
          </c:dPt>
          <c:dPt>
            <c:idx val="3"/>
            <c:spPr>
              <a:solidFill>
                <a:sysClr val="windowText" lastClr="000000">
                  <a:lumMod val="85000"/>
                  <a:lumOff val="15000"/>
                </a:sysClr>
              </a:solidFill>
              <a:ln>
                <a:solidFill>
                  <a:sysClr val="windowText" lastClr="000000">
                    <a:lumMod val="85000"/>
                    <a:lumOff val="15000"/>
                  </a:sysClr>
                </a:solidFill>
              </a:ln>
            </c:spPr>
          </c:dPt>
          <c:dPt>
            <c:idx val="4"/>
            <c:spPr>
              <a:blipFill>
                <a:blip xmlns:r="http://schemas.openxmlformats.org/officeDocument/2006/relationships" r:embed="rId3"/>
                <a:tile tx="0" ty="0" sx="100000" sy="100000" flip="none" algn="tl"/>
              </a:blipFill>
              <a:ln>
                <a:solidFill>
                  <a:sysClr val="windowText" lastClr="000000">
                    <a:lumMod val="85000"/>
                    <a:lumOff val="15000"/>
                  </a:sysClr>
                </a:solidFill>
              </a:ln>
            </c:spPr>
          </c:dPt>
          <c:dPt>
            <c:idx val="5"/>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a:ln>
                <a:solidFill>
                  <a:sysClr val="windowText" lastClr="000000">
                    <a:lumMod val="85000"/>
                    <a:lumOff val="15000"/>
                  </a:sysClr>
                </a:solidFill>
              </a:ln>
            </c:spPr>
          </c:dPt>
          <c:dLbls>
            <c:dLbl>
              <c:idx val="0"/>
              <c:layout>
                <c:manualLayout>
                  <c:x val="-5.0255855422651645E-2"/>
                  <c:y val="-9.5033328381124868E-2"/>
                </c:manualLayout>
              </c:layout>
              <c:tx>
                <c:rich>
                  <a:bodyPr/>
                  <a:lstStyle/>
                  <a:p>
                    <a:r>
                      <a:rPr lang="ru-RU" sz="902"/>
                      <a:t>29,3</a:t>
                    </a:r>
                    <a:r>
                      <a:rPr lang="en-US" sz="902"/>
                      <a:t>%</a:t>
                    </a:r>
                  </a:p>
                </c:rich>
              </c:tx>
              <c:dLblPos val="bestFit"/>
            </c:dLbl>
            <c:dLbl>
              <c:idx val="1"/>
              <c:layout>
                <c:manualLayout>
                  <c:x val="-4.5650858528178746E-2"/>
                  <c:y val="7.6052704467217999E-2"/>
                </c:manualLayout>
              </c:layout>
              <c:tx>
                <c:rich>
                  <a:bodyPr/>
                  <a:lstStyle/>
                  <a:p>
                    <a:r>
                      <a:rPr lang="en-US" sz="902">
                        <a:latin typeface="Times New Roman" pitchFamily="18" charset="0"/>
                        <a:cs typeface="Times New Roman" pitchFamily="18" charset="0"/>
                      </a:rPr>
                      <a:t>3</a:t>
                    </a:r>
                    <a:r>
                      <a:rPr lang="ru-RU" sz="902">
                        <a:latin typeface="Times New Roman" pitchFamily="18" charset="0"/>
                        <a:cs typeface="Times New Roman" pitchFamily="18" charset="0"/>
                      </a:rPr>
                      <a:t>0,8</a:t>
                    </a:r>
                    <a:r>
                      <a:rPr lang="en-US" sz="902">
                        <a:latin typeface="Times New Roman" pitchFamily="18" charset="0"/>
                        <a:cs typeface="Times New Roman" pitchFamily="18" charset="0"/>
                      </a:rPr>
                      <a:t>%</a:t>
                    </a:r>
                  </a:p>
                </c:rich>
              </c:tx>
              <c:dLblPos val="bestFit"/>
            </c:dLbl>
            <c:dLbl>
              <c:idx val="2"/>
              <c:layout>
                <c:manualLayout>
                  <c:x val="4.8646589021425983E-2"/>
                  <c:y val="0.12947663258510644"/>
                </c:manualLayout>
              </c:layout>
              <c:tx>
                <c:rich>
                  <a:bodyPr/>
                  <a:lstStyle/>
                  <a:p>
                    <a:r>
                      <a:rPr lang="ru-RU" sz="902"/>
                      <a:t>4,8</a:t>
                    </a:r>
                    <a:r>
                      <a:rPr lang="en-US" sz="902"/>
                      <a:t>%</a:t>
                    </a:r>
                  </a:p>
                </c:rich>
              </c:tx>
              <c:dLblPos val="bestFit"/>
            </c:dLbl>
            <c:dLbl>
              <c:idx val="3"/>
              <c:layout>
                <c:manualLayout>
                  <c:x val="2.310764917826141E-2"/>
                  <c:y val="0.14206382096974718"/>
                </c:manualLayout>
              </c:layout>
              <c:tx>
                <c:rich>
                  <a:bodyPr/>
                  <a:lstStyle/>
                  <a:p>
                    <a:r>
                      <a:rPr lang="en-US" sz="902"/>
                      <a:t>1</a:t>
                    </a:r>
                    <a:r>
                      <a:rPr lang="ru-RU" sz="902"/>
                      <a:t>3,5</a:t>
                    </a:r>
                    <a:r>
                      <a:rPr lang="en-US" sz="902"/>
                      <a:t>%</a:t>
                    </a:r>
                  </a:p>
                </c:rich>
              </c:tx>
              <c:dLblPos val="bestFit"/>
            </c:dLbl>
            <c:dLbl>
              <c:idx val="4"/>
              <c:layout>
                <c:manualLayout>
                  <c:x val="-2.2291636070598812E-2"/>
                  <c:y val="-8.4259486660284724E-2"/>
                </c:manualLayout>
              </c:layout>
              <c:tx>
                <c:rich>
                  <a:bodyPr/>
                  <a:lstStyle/>
                  <a:p>
                    <a:r>
                      <a:rPr lang="en-US" sz="902"/>
                      <a:t>1</a:t>
                    </a:r>
                    <a:r>
                      <a:rPr lang="ru-RU" sz="902"/>
                      <a:t>3,3</a:t>
                    </a:r>
                    <a:r>
                      <a:rPr lang="en-US" sz="902"/>
                      <a:t>%</a:t>
                    </a:r>
                  </a:p>
                </c:rich>
              </c:tx>
              <c:dLblPos val="bestFit"/>
            </c:dLbl>
            <c:dLbl>
              <c:idx val="5"/>
              <c:layout>
                <c:manualLayout>
                  <c:x val="5.4186860071472415E-2"/>
                  <c:y val="-5.4736187893764922E-2"/>
                </c:manualLayout>
              </c:layout>
              <c:tx>
                <c:rich>
                  <a:bodyPr/>
                  <a:lstStyle/>
                  <a:p>
                    <a:r>
                      <a:rPr lang="en-US" sz="902"/>
                      <a:t>8,</a:t>
                    </a:r>
                    <a:r>
                      <a:rPr lang="ru-RU" sz="902"/>
                      <a:t>3</a:t>
                    </a:r>
                    <a:r>
                      <a:rPr lang="en-US" sz="902"/>
                      <a:t>%</a:t>
                    </a:r>
                  </a:p>
                </c:rich>
              </c:tx>
              <c:dLblPos val="bestFit"/>
            </c:dLbl>
            <c:dLbl>
              <c:idx val="6"/>
              <c:delete val="1"/>
            </c:dLbl>
            <c:spPr>
              <a:noFill/>
              <a:ln w="41036">
                <a:noFill/>
              </a:ln>
            </c:spPr>
            <c:txPr>
              <a:bodyPr/>
              <a:lstStyle/>
              <a:p>
                <a:pPr>
                  <a:defRPr sz="902">
                    <a:latin typeface="Times New Roman" pitchFamily="18" charset="0"/>
                    <a:cs typeface="Times New Roman" pitchFamily="18" charset="0"/>
                  </a:defRPr>
                </a:pPr>
                <a:endParaRPr lang="ru-RU"/>
              </a:p>
            </c:txPr>
            <c:showVal val="1"/>
            <c:showLeaderLines val="1"/>
          </c:dLbls>
          <c:cat>
            <c:strRef>
              <c:f>Лист1!$A$2:$A$7</c:f>
              <c:strCache>
                <c:ptCount val="6"/>
                <c:pt idx="0">
                  <c:v>черная металлургия</c:v>
                </c:pt>
                <c:pt idx="1">
                  <c:v>электроэнергетика</c:v>
                </c:pt>
                <c:pt idx="2">
                  <c:v>промышленность строительных материалов</c:v>
                </c:pt>
                <c:pt idx="3">
                  <c:v>легкая промышленность</c:v>
                </c:pt>
                <c:pt idx="4">
                  <c:v>пищевая промышленность</c:v>
                </c:pt>
                <c:pt idx="5">
                  <c:v>прочие</c:v>
                </c:pt>
              </c:strCache>
            </c:strRef>
          </c:cat>
          <c:val>
            <c:numRef>
              <c:f>Лист1!$B$2:$B$7</c:f>
              <c:numCache>
                <c:formatCode>0.0</c:formatCode>
                <c:ptCount val="6"/>
                <c:pt idx="0" formatCode="General">
                  <c:v>2925.9</c:v>
                </c:pt>
                <c:pt idx="1">
                  <c:v>3066.5</c:v>
                </c:pt>
                <c:pt idx="2">
                  <c:v>479.6</c:v>
                </c:pt>
                <c:pt idx="3">
                  <c:v>1349.5</c:v>
                </c:pt>
                <c:pt idx="4" formatCode="General">
                  <c:v>1325.2</c:v>
                </c:pt>
                <c:pt idx="5">
                  <c:v>824.8000000000003</c:v>
                </c:pt>
              </c:numCache>
            </c:numRef>
          </c:val>
        </c:ser>
      </c:pie3DChart>
      <c:spPr>
        <a:noFill/>
        <a:ln w="25460">
          <a:noFill/>
        </a:ln>
      </c:spPr>
    </c:plotArea>
    <c:plotVisOnly val="1"/>
    <c:dispBlanksAs val="zero"/>
  </c:chart>
  <c:spPr>
    <a:ln>
      <a:noFill/>
    </a:ln>
  </c:spPr>
  <c:externalData r:id="rId4"/>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a:t>2017</a:t>
            </a:r>
            <a:r>
              <a:rPr lang="ru-RU" sz="1100" baseline="0"/>
              <a:t> </a:t>
            </a:r>
            <a:r>
              <a:rPr lang="ru-RU" sz="1100"/>
              <a:t>год</a:t>
            </a:r>
          </a:p>
        </c:rich>
      </c:tx>
      <c:layout>
        <c:manualLayout>
          <c:xMode val="edge"/>
          <c:yMode val="edge"/>
          <c:x val="0.24095444970840693"/>
          <c:y val="0"/>
        </c:manualLayout>
      </c:layout>
      <c:spPr>
        <a:noFill/>
      </c:spPr>
    </c:title>
    <c:view3D>
      <c:rotX val="30"/>
      <c:perspective val="30"/>
    </c:view3D>
    <c:plotArea>
      <c:layout>
        <c:manualLayout>
          <c:layoutTarget val="inner"/>
          <c:xMode val="edge"/>
          <c:yMode val="edge"/>
          <c:x val="0.10654573342562361"/>
          <c:y val="0.15573280439181744"/>
          <c:w val="0.54087075479201452"/>
          <c:h val="0.69303976813324852"/>
        </c:manualLayout>
      </c:layout>
      <c:pie3DChart>
        <c:varyColors val="1"/>
        <c:ser>
          <c:idx val="0"/>
          <c:order val="0"/>
          <c:tx>
            <c:strRef>
              <c:f>Лист1!$B$1</c:f>
              <c:strCache>
                <c:ptCount val="1"/>
                <c:pt idx="0">
                  <c:v>2017</c:v>
                </c:pt>
              </c:strCache>
            </c:strRef>
          </c:tx>
          <c:explosion val="25"/>
          <c:dPt>
            <c:idx val="0"/>
            <c:explosion val="1"/>
            <c:spPr>
              <a:blipFill>
                <a:blip xmlns:r="http://schemas.openxmlformats.org/officeDocument/2006/relationships" r:embed="rId2"/>
                <a:tile tx="0" ty="0" sx="100000" sy="100000" flip="none" algn="tl"/>
              </a:blipFill>
              <a:ln>
                <a:solidFill>
                  <a:sysClr val="windowText" lastClr="000000"/>
                </a:solidFill>
              </a:ln>
            </c:spPr>
          </c:dPt>
          <c:dPt>
            <c:idx val="1"/>
            <c:explosion val="17"/>
            <c:spPr>
              <a:blipFill>
                <a:blip xmlns:r="http://schemas.openxmlformats.org/officeDocument/2006/relationships" r:embed="rId3"/>
                <a:tile tx="0" ty="0" sx="100000" sy="100000" flip="none" algn="tl"/>
              </a:blipFill>
              <a:ln>
                <a:solidFill>
                  <a:sysClr val="windowText" lastClr="000000"/>
                </a:solidFill>
              </a:ln>
            </c:spPr>
          </c:dPt>
          <c:dPt>
            <c:idx val="2"/>
            <c:spPr>
              <a:blipFill>
                <a:blip xmlns:r="http://schemas.openxmlformats.org/officeDocument/2006/relationships" r:embed="rId4"/>
                <a:tile tx="0" ty="0" sx="100000" sy="100000" flip="none" algn="tl"/>
              </a:blipFill>
              <a:ln>
                <a:solidFill>
                  <a:sysClr val="windowText" lastClr="000000"/>
                </a:solidFill>
              </a:ln>
            </c:spPr>
          </c:dPt>
          <c:dPt>
            <c:idx val="3"/>
            <c:spPr>
              <a:blipFill>
                <a:blip xmlns:r="http://schemas.openxmlformats.org/officeDocument/2006/relationships" r:embed="rId5"/>
                <a:tile tx="0" ty="0" sx="100000" sy="100000" flip="none" algn="tl"/>
              </a:blipFill>
              <a:ln>
                <a:solidFill>
                  <a:sysClr val="windowText" lastClr="000000"/>
                </a:solidFill>
              </a:ln>
            </c:spPr>
          </c:dPt>
          <c:dPt>
            <c:idx val="4"/>
            <c:spPr>
              <a:solidFill>
                <a:sysClr val="window" lastClr="FFFFFF">
                  <a:lumMod val="85000"/>
                </a:sysClr>
              </a:solidFill>
              <a:ln>
                <a:solidFill>
                  <a:sysClr val="windowText" lastClr="000000"/>
                </a:solidFill>
              </a:ln>
            </c:spPr>
          </c:dPt>
          <c:dPt>
            <c:idx val="5"/>
            <c:spPr>
              <a:solidFill>
                <a:schemeClr val="tx2">
                  <a:lumMod val="50000"/>
                </a:schemeClr>
              </a:solidFill>
              <a:ln>
                <a:solidFill>
                  <a:sysClr val="windowText" lastClr="000000"/>
                </a:solidFill>
              </a:ln>
            </c:spPr>
          </c:dPt>
          <c:dLbls>
            <c:dLbl>
              <c:idx val="0"/>
              <c:layout>
                <c:manualLayout>
                  <c:x val="-5.0296228634986513E-2"/>
                  <c:y val="-0.11867524193063753"/>
                </c:manualLayout>
              </c:layout>
              <c:showVal val="1"/>
              <c:extLst>
                <c:ext xmlns:c15="http://schemas.microsoft.com/office/drawing/2012/chart" uri="{CE6537A1-D6FC-4f65-9D91-7224C49458BB}">
                  <c15:layout/>
                </c:ext>
              </c:extLst>
            </c:dLbl>
            <c:dLbl>
              <c:idx val="1"/>
              <c:layout>
                <c:manualLayout>
                  <c:x val="-0.11595418808836475"/>
                  <c:y val="5.8892428522770532E-2"/>
                </c:manualLayout>
              </c:layout>
              <c:showVal val="1"/>
              <c:extLst>
                <c:ext xmlns:c15="http://schemas.microsoft.com/office/drawing/2012/chart" uri="{CE6537A1-D6FC-4f65-9D91-7224C49458BB}">
                  <c15:layout/>
                </c:ext>
              </c:extLst>
            </c:dLbl>
            <c:dLbl>
              <c:idx val="2"/>
              <c:layout>
                <c:manualLayout>
                  <c:x val="-3.321968249114491E-2"/>
                  <c:y val="-5.1576978292078085E-3"/>
                </c:manualLayout>
              </c:layout>
              <c:showVal val="1"/>
              <c:extLst>
                <c:ext xmlns:c15="http://schemas.microsoft.com/office/drawing/2012/chart" uri="{CE6537A1-D6FC-4f65-9D91-7224C49458BB}">
                  <c15:layout/>
                </c:ext>
              </c:extLst>
            </c:dLbl>
            <c:dLbl>
              <c:idx val="3"/>
              <c:layout>
                <c:manualLayout>
                  <c:x val="-1.5675375873250325E-2"/>
                  <c:y val="9.6241309530965116E-2"/>
                </c:manualLayout>
              </c:layout>
              <c:showVal val="1"/>
              <c:extLst>
                <c:ext xmlns:c15="http://schemas.microsoft.com/office/drawing/2012/chart" uri="{CE6537A1-D6FC-4f65-9D91-7224C49458BB}">
                  <c15:layout/>
                </c:ext>
              </c:extLst>
            </c:dLbl>
            <c:dLbl>
              <c:idx val="4"/>
              <c:layout>
                <c:manualLayout>
                  <c:x val="-4.99302595719298E-2"/>
                  <c:y val="-5.4648073570956295E-2"/>
                </c:manualLayout>
              </c:layout>
              <c:showVal val="1"/>
              <c:extLst>
                <c:ext xmlns:c15="http://schemas.microsoft.com/office/drawing/2012/chart" uri="{CE6537A1-D6FC-4f65-9D91-7224C49458BB}">
                  <c15:layout/>
                </c:ext>
              </c:extLst>
            </c:dLbl>
            <c:dLbl>
              <c:idx val="5"/>
              <c:layout>
                <c:manualLayout>
                  <c:x val="8.8514282211780704E-2"/>
                  <c:y val="-5.6334675722786574E-2"/>
                </c:manualLayout>
              </c:layout>
              <c:showVal val="1"/>
              <c:extLst>
                <c:ext xmlns:c15="http://schemas.microsoft.com/office/drawing/2012/chart" uri="{CE6537A1-D6FC-4f65-9D91-7224C49458BB}">
                  <c15:layout/>
                </c:ext>
              </c:extLst>
            </c:dLbl>
            <c:spPr>
              <a:noFill/>
              <a:ln>
                <a:noFill/>
              </a:ln>
              <a:effectLst/>
            </c:spPr>
            <c:showVal val="1"/>
            <c:showLeaderLines val="1"/>
            <c:extLst>
              <c:ext xmlns:c15="http://schemas.microsoft.com/office/drawing/2012/chart" uri="{CE6537A1-D6FC-4f65-9D91-7224C49458BB}"/>
            </c:extLst>
          </c:dLbls>
          <c:cat>
            <c:strRef>
              <c:f>Лист1!$A$2:$A$7</c:f>
              <c:strCache>
                <c:ptCount val="6"/>
                <c:pt idx="0">
                  <c:v>социальные отрасли</c:v>
                </c:pt>
                <c:pt idx="1">
                  <c:v>силовые структуры</c:v>
                </c:pt>
                <c:pt idx="2">
                  <c:v>инфраструктура</c:v>
                </c:pt>
                <c:pt idx="3">
                  <c:v>прочие расходы </c:v>
                </c:pt>
                <c:pt idx="4">
                  <c:v>финансовая помощь другим бюджетам</c:v>
                </c:pt>
                <c:pt idx="5">
                  <c:v>функционирование государства</c:v>
                </c:pt>
              </c:strCache>
            </c:strRef>
          </c:cat>
          <c:val>
            <c:numRef>
              <c:f>Лист1!$B$2:$B$7</c:f>
              <c:numCache>
                <c:formatCode>General</c:formatCode>
                <c:ptCount val="6"/>
                <c:pt idx="0" formatCode="#,##0.0">
                  <c:v>35.300000000000004</c:v>
                </c:pt>
                <c:pt idx="1">
                  <c:v>12.6</c:v>
                </c:pt>
                <c:pt idx="2" formatCode="0.0">
                  <c:v>10.3</c:v>
                </c:pt>
                <c:pt idx="3" formatCode="0.0">
                  <c:v>28.9</c:v>
                </c:pt>
                <c:pt idx="4">
                  <c:v>7.2</c:v>
                </c:pt>
                <c:pt idx="5">
                  <c:v>5.7</c:v>
                </c:pt>
              </c:numCache>
            </c:numRef>
          </c:val>
        </c:ser>
      </c:pie3DChart>
    </c:plotArea>
    <c:legend>
      <c:legendPos val="r"/>
      <c:layout>
        <c:manualLayout>
          <c:xMode val="edge"/>
          <c:yMode val="edge"/>
          <c:x val="0.6290403870456367"/>
          <c:y val="0"/>
          <c:w val="0.36527177692532031"/>
          <c:h val="0.99973028233350203"/>
        </c:manualLayout>
      </c:layout>
      <c:txPr>
        <a:bodyPr/>
        <a:lstStyle/>
        <a:p>
          <a:pPr>
            <a:defRPr sz="900" b="1"/>
          </a:pPr>
          <a:endParaRPr lang="ru-RU"/>
        </a:p>
      </c:txP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6"/>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b="1" i="0" baseline="0"/>
              <a:t>2016 год</a:t>
            </a:r>
            <a:endParaRPr lang="ru-RU" sz="1100"/>
          </a:p>
        </c:rich>
      </c:tx>
      <c:layout>
        <c:manualLayout>
          <c:xMode val="edge"/>
          <c:yMode val="edge"/>
          <c:x val="0.31622693715010214"/>
          <c:y val="4.0508820118415431E-2"/>
        </c:manualLayout>
      </c:layout>
      <c:spPr>
        <a:noFill/>
        <a:ln w="25095">
          <a:noFill/>
        </a:ln>
      </c:spPr>
    </c:title>
    <c:view3D>
      <c:rotX val="30"/>
      <c:perspective val="30"/>
    </c:view3D>
    <c:plotArea>
      <c:layout>
        <c:manualLayout>
          <c:layoutTarget val="inner"/>
          <c:xMode val="edge"/>
          <c:yMode val="edge"/>
          <c:x val="7.5798217530501988E-4"/>
          <c:y val="0.18245772557118894"/>
          <c:w val="0.75441579417957905"/>
          <c:h val="0.81754227442881544"/>
        </c:manualLayout>
      </c:layout>
      <c:pie3DChart>
        <c:varyColors val="1"/>
        <c:ser>
          <c:idx val="0"/>
          <c:order val="0"/>
          <c:tx>
            <c:strRef>
              <c:f>Лист1!$B$1</c:f>
              <c:strCache>
                <c:ptCount val="1"/>
                <c:pt idx="0">
                  <c:v>2016 год</c:v>
                </c:pt>
              </c:strCache>
            </c:strRef>
          </c:tx>
          <c:spPr>
            <a:solidFill>
              <a:srgbClr val="F79646">
                <a:lumMod val="75000"/>
              </a:srgbClr>
            </a:solidFill>
          </c:spPr>
          <c:explosion val="10"/>
          <c:dPt>
            <c:idx val="0"/>
            <c:spPr>
              <a:blipFill>
                <a:blip xmlns:r="http://schemas.openxmlformats.org/officeDocument/2006/relationships" r:embed="rId2"/>
                <a:tile tx="0" ty="0" sx="100000" sy="100000" flip="none" algn="tl"/>
              </a:blipFill>
              <a:ln>
                <a:solidFill>
                  <a:sysClr val="window" lastClr="FFFFFF">
                    <a:lumMod val="75000"/>
                  </a:sysClr>
                </a:solidFill>
              </a:ln>
            </c:spPr>
          </c:dPt>
          <c:dPt>
            <c:idx val="1"/>
            <c:spPr>
              <a:solidFill>
                <a:sysClr val="window" lastClr="FFFFFF">
                  <a:lumMod val="75000"/>
                </a:sysClr>
              </a:solidFill>
              <a:ln>
                <a:solidFill>
                  <a:sysClr val="window" lastClr="FFFFFF">
                    <a:lumMod val="75000"/>
                  </a:sysClr>
                </a:solidFill>
              </a:ln>
            </c:spPr>
          </c:dPt>
          <c:dLbls>
            <c:dLbl>
              <c:idx val="0"/>
              <c:layout>
                <c:manualLayout>
                  <c:x val="7.3764817859307188E-3"/>
                  <c:y val="-5.843122068757799E-3"/>
                </c:manualLayout>
              </c:layout>
              <c:tx>
                <c:rich>
                  <a:bodyPr/>
                  <a:lstStyle/>
                  <a:p>
                    <a:r>
                      <a:rPr lang="en-US"/>
                      <a:t>12,9; </a:t>
                    </a:r>
                    <a:endParaRPr lang="ru-RU"/>
                  </a:p>
                  <a:p>
                    <a:r>
                      <a:rPr lang="en-US"/>
                      <a:t>28</a:t>
                    </a:r>
                    <a:r>
                      <a:rPr lang="ru-RU"/>
                      <a:t>,5</a:t>
                    </a:r>
                    <a:r>
                      <a:rPr lang="en-US"/>
                      <a:t>%</a:t>
                    </a:r>
                  </a:p>
                </c:rich>
              </c:tx>
              <c:dLblPos val="ctr"/>
              <c:showVal val="1"/>
              <c:showPercent val="1"/>
              <c:separator>; </c:separator>
            </c:dLbl>
            <c:dLbl>
              <c:idx val="1"/>
              <c:layout>
                <c:manualLayout>
                  <c:x val="1.8365183690881828E-2"/>
                  <c:y val="6.7085953878406934E-2"/>
                </c:manualLayout>
              </c:layout>
              <c:tx>
                <c:rich>
                  <a:bodyPr/>
                  <a:lstStyle/>
                  <a:p>
                    <a:r>
                      <a:rPr lang="en-US"/>
                      <a:t>32,5;</a:t>
                    </a:r>
                    <a:endParaRPr lang="ru-RU"/>
                  </a:p>
                  <a:p>
                    <a:r>
                      <a:rPr lang="en-US"/>
                      <a:t> 7</a:t>
                    </a:r>
                    <a:r>
                      <a:rPr lang="ru-RU"/>
                      <a:t>1,5</a:t>
                    </a:r>
                    <a:r>
                      <a:rPr lang="en-US"/>
                      <a:t>%</a:t>
                    </a:r>
                  </a:p>
                </c:rich>
              </c:tx>
              <c:dLblPos val="ctr"/>
              <c:showVal val="1"/>
              <c:showPercent val="1"/>
              <c:separator>; </c:separator>
            </c:dLbl>
            <c:txPr>
              <a:bodyPr rot="0" vert="horz" anchor="ctr" anchorCtr="1"/>
              <a:lstStyle/>
              <a:p>
                <a:pPr>
                  <a:defRPr sz="1000" b="1"/>
                </a:pPr>
                <a:endParaRPr lang="ru-RU"/>
              </a:p>
            </c:txPr>
            <c:dLblPos val="ctr"/>
            <c:showVal val="1"/>
            <c:showPercent val="1"/>
            <c:separator>; </c:separator>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12.9</c:v>
                </c:pt>
                <c:pt idx="1">
                  <c:v>32.5</c:v>
                </c:pt>
              </c:numCache>
            </c:numRef>
          </c:val>
        </c:ser>
        <c:dLbls>
          <c:showVal val="1"/>
        </c:dLbls>
      </c:pie3DChart>
      <c:spPr>
        <a:noFill/>
        <a:ln w="25398">
          <a:noFill/>
        </a:ln>
      </c:spPr>
    </c:plotArea>
    <c:legend>
      <c:legendPos val="r"/>
      <c:layout>
        <c:manualLayout>
          <c:xMode val="edge"/>
          <c:yMode val="edge"/>
          <c:x val="0.71498579206524804"/>
          <c:y val="4.0844517076874795E-2"/>
          <c:w val="0.27965814190581878"/>
          <c:h val="0.9574354149127585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3"/>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b="1" i="0" baseline="0"/>
              <a:t>2017 год</a:t>
            </a:r>
            <a:endParaRPr lang="ru-RU" sz="1100"/>
          </a:p>
        </c:rich>
      </c:tx>
      <c:layout>
        <c:manualLayout>
          <c:xMode val="edge"/>
          <c:yMode val="edge"/>
          <c:x val="0.31837129733784086"/>
          <c:y val="1.6561920585614873E-2"/>
        </c:manualLayout>
      </c:layout>
      <c:spPr>
        <a:noFill/>
        <a:ln w="25101">
          <a:noFill/>
        </a:ln>
      </c:spPr>
    </c:title>
    <c:view3D>
      <c:rotX val="30"/>
      <c:perspective val="30"/>
    </c:view3D>
    <c:plotArea>
      <c:layout>
        <c:manualLayout>
          <c:layoutTarget val="inner"/>
          <c:xMode val="edge"/>
          <c:yMode val="edge"/>
          <c:x val="3.4481627296587936E-2"/>
          <c:y val="0.17137380853709094"/>
          <c:w val="0.85169707445106635"/>
          <c:h val="0.82862619146290928"/>
        </c:manualLayout>
      </c:layout>
      <c:pie3DChart>
        <c:varyColors val="1"/>
        <c:ser>
          <c:idx val="0"/>
          <c:order val="0"/>
          <c:tx>
            <c:strRef>
              <c:f>Лист1!$B$1</c:f>
              <c:strCache>
                <c:ptCount val="1"/>
                <c:pt idx="0">
                  <c:v>2017 год</c:v>
                </c:pt>
              </c:strCache>
            </c:strRef>
          </c:tx>
          <c:spPr>
            <a:solidFill>
              <a:srgbClr val="4BACC6">
                <a:lumMod val="75000"/>
              </a:srgbClr>
            </a:solidFill>
          </c:spPr>
          <c:explosion val="2"/>
          <c:dPt>
            <c:idx val="0"/>
            <c:explosion val="9"/>
            <c:spPr>
              <a:blipFill>
                <a:blip xmlns:r="http://schemas.openxmlformats.org/officeDocument/2006/relationships" r:embed="rId2"/>
                <a:tile tx="0" ty="0" sx="100000" sy="100000" flip="none" algn="tl"/>
              </a:blipFill>
              <a:ln>
                <a:solidFill>
                  <a:sysClr val="window" lastClr="FFFFFF">
                    <a:lumMod val="75000"/>
                  </a:sysClr>
                </a:solidFill>
              </a:ln>
            </c:spPr>
          </c:dPt>
          <c:dPt>
            <c:idx val="1"/>
            <c:explosion val="6"/>
            <c:spPr>
              <a:solidFill>
                <a:sysClr val="window" lastClr="FFFFFF">
                  <a:lumMod val="75000"/>
                </a:sysClr>
              </a:solidFill>
              <a:ln>
                <a:solidFill>
                  <a:sysClr val="window" lastClr="FFFFFF">
                    <a:lumMod val="75000"/>
                  </a:sysClr>
                </a:solidFill>
              </a:ln>
            </c:spPr>
          </c:dPt>
          <c:dLbls>
            <c:dLbl>
              <c:idx val="0"/>
              <c:layout>
                <c:manualLayout>
                  <c:x val="1.1065006915629319E-2"/>
                  <c:y val="-2.3809523809523812E-2"/>
                </c:manualLayout>
              </c:layout>
              <c:numFmt formatCode="0.0%" sourceLinked="0"/>
              <c:spPr/>
              <c:txPr>
                <a:bodyPr/>
                <a:lstStyle/>
                <a:p>
                  <a:pPr algn="just">
                    <a:defRPr sz="1000" b="1"/>
                  </a:pPr>
                  <a:endParaRPr lang="ru-RU"/>
                </a:p>
              </c:txPr>
              <c:dLblPos val="ctr"/>
              <c:showVal val="1"/>
              <c:showPercent val="1"/>
              <c:separator>; </c:separator>
            </c:dLbl>
            <c:dLbl>
              <c:idx val="1"/>
              <c:numFmt formatCode="0.0%" sourceLinked="0"/>
              <c:spPr/>
              <c:txPr>
                <a:bodyPr/>
                <a:lstStyle/>
                <a:p>
                  <a:pPr algn="just">
                    <a:defRPr sz="1000" b="1"/>
                  </a:pPr>
                  <a:endParaRPr lang="ru-RU"/>
                </a:p>
              </c:txPr>
            </c:dLbl>
            <c:numFmt formatCode="0.0%" sourceLinked="0"/>
            <c:txPr>
              <a:bodyPr/>
              <a:lstStyle/>
              <a:p>
                <a:pPr algn="just">
                  <a:defRPr sz="1000"/>
                </a:pPr>
                <a:endParaRPr lang="ru-RU"/>
              </a:p>
            </c:txPr>
            <c:dLblPos val="ctr"/>
            <c:showVal val="1"/>
            <c:showPercent val="1"/>
            <c:separator>; </c:separator>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12.551</c:v>
                </c:pt>
                <c:pt idx="1">
                  <c:v>32.132000000000012</c:v>
                </c:pt>
              </c:numCache>
            </c:numRef>
          </c:val>
        </c:ser>
        <c:dLbls>
          <c:showVal val="1"/>
        </c:dLbls>
      </c:pie3DChart>
      <c:spPr>
        <a:noFill/>
        <a:ln w="25401">
          <a:noFill/>
        </a:ln>
      </c:spPr>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2">
                <a:latin typeface="Times New Roman" pitchFamily="18" charset="0"/>
                <a:cs typeface="Times New Roman" pitchFamily="18" charset="0"/>
              </a:defRPr>
            </a:pPr>
            <a:r>
              <a:rPr lang="ru-RU" sz="1202"/>
              <a:t>2016 год</a:t>
            </a:r>
            <a:endParaRPr lang="ru-RU" sz="1200" b="0"/>
          </a:p>
        </c:rich>
      </c:tx>
      <c:layout>
        <c:manualLayout>
          <c:xMode val="edge"/>
          <c:yMode val="edge"/>
          <c:x val="0.25810959239252901"/>
          <c:y val="3.8377517220827856E-2"/>
        </c:manualLayout>
      </c:layout>
      <c:spPr>
        <a:noFill/>
        <a:ln w="40792">
          <a:noFill/>
        </a:ln>
      </c:spPr>
    </c:title>
    <c:view3D>
      <c:rotX val="30"/>
      <c:perspective val="30"/>
    </c:view3D>
    <c:plotArea>
      <c:layout>
        <c:manualLayout>
          <c:layoutTarget val="inner"/>
          <c:xMode val="edge"/>
          <c:yMode val="edge"/>
          <c:x val="4.3280904383266587E-2"/>
          <c:y val="0.26204039712427663"/>
          <c:w val="0.50776425674063452"/>
          <c:h val="0.62391976623545864"/>
        </c:manualLayout>
      </c:layout>
      <c:pie3DChart>
        <c:varyColors val="1"/>
        <c:ser>
          <c:idx val="0"/>
          <c:order val="0"/>
          <c:tx>
            <c:strRef>
              <c:f>Лист1!$B$1</c:f>
              <c:strCache>
                <c:ptCount val="1"/>
                <c:pt idx="0">
                  <c:v>2016 год</c:v>
                </c:pt>
              </c:strCache>
            </c:strRef>
          </c:tx>
          <c:spPr>
            <a:ln>
              <a:solidFill>
                <a:sysClr val="windowText" lastClr="000000">
                  <a:lumMod val="85000"/>
                  <a:lumOff val="15000"/>
                </a:sysClr>
              </a:solidFill>
            </a:ln>
          </c:spPr>
          <c:explosion val="19"/>
          <c:dPt>
            <c:idx val="0"/>
            <c:spPr>
              <a:solidFill>
                <a:sysClr val="windowText" lastClr="000000">
                  <a:lumMod val="50000"/>
                  <a:lumOff val="50000"/>
                </a:sysClr>
              </a:solidFill>
              <a:ln>
                <a:solidFill>
                  <a:sysClr val="windowText" lastClr="000000">
                    <a:lumMod val="85000"/>
                    <a:lumOff val="15000"/>
                  </a:sysClr>
                </a:solidFill>
              </a:ln>
            </c:spPr>
          </c:dPt>
          <c:dPt>
            <c:idx val="1"/>
            <c:spPr>
              <a:blipFill>
                <a:blip xmlns:r="http://schemas.openxmlformats.org/officeDocument/2006/relationships" r:embed="rId2"/>
                <a:tile tx="0" ty="0" sx="100000" sy="100000" flip="none" algn="tl"/>
              </a:blipFill>
              <a:ln>
                <a:solidFill>
                  <a:sysClr val="windowText" lastClr="000000">
                    <a:lumMod val="85000"/>
                    <a:lumOff val="15000"/>
                  </a:sysClr>
                </a:solidFill>
              </a:ln>
            </c:spPr>
          </c:dPt>
          <c:dPt>
            <c:idx val="2"/>
            <c:spPr>
              <a:solidFill>
                <a:sysClr val="window" lastClr="FFFFFF">
                  <a:lumMod val="85000"/>
                </a:sysClr>
              </a:solidFill>
              <a:ln>
                <a:solidFill>
                  <a:sysClr val="windowText" lastClr="000000">
                    <a:lumMod val="85000"/>
                    <a:lumOff val="15000"/>
                  </a:sysClr>
                </a:solidFill>
              </a:ln>
            </c:spPr>
          </c:dPt>
          <c:dPt>
            <c:idx val="3"/>
            <c:spPr>
              <a:solidFill>
                <a:sysClr val="windowText" lastClr="000000">
                  <a:lumMod val="85000"/>
                  <a:lumOff val="15000"/>
                </a:sysClr>
              </a:solidFill>
              <a:ln>
                <a:solidFill>
                  <a:sysClr val="windowText" lastClr="000000">
                    <a:lumMod val="85000"/>
                    <a:lumOff val="15000"/>
                  </a:sysClr>
                </a:solidFill>
              </a:ln>
            </c:spPr>
          </c:dPt>
          <c:dPt>
            <c:idx val="4"/>
            <c:spPr>
              <a:blipFill>
                <a:blip xmlns:r="http://schemas.openxmlformats.org/officeDocument/2006/relationships" r:embed="rId3"/>
                <a:tile tx="0" ty="0" sx="100000" sy="100000" flip="none" algn="tl"/>
              </a:blipFill>
              <a:ln>
                <a:solidFill>
                  <a:sysClr val="windowText" lastClr="000000">
                    <a:lumMod val="85000"/>
                    <a:lumOff val="15000"/>
                  </a:sysClr>
                </a:solidFill>
              </a:ln>
            </c:spPr>
          </c:dPt>
          <c:dPt>
            <c:idx val="5"/>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gradFill>
              <a:ln>
                <a:solidFill>
                  <a:sysClr val="windowText" lastClr="000000">
                    <a:lumMod val="85000"/>
                    <a:lumOff val="15000"/>
                  </a:sysClr>
                </a:solidFill>
              </a:ln>
            </c:spPr>
          </c:dPt>
          <c:dLbls>
            <c:dLbl>
              <c:idx val="0"/>
              <c:layout>
                <c:manualLayout>
                  <c:x val="-5.4225592808269975E-2"/>
                  <c:y val="-5.8985735478717327E-2"/>
                </c:manualLayout>
              </c:layout>
              <c:tx>
                <c:rich>
                  <a:bodyPr/>
                  <a:lstStyle/>
                  <a:p>
                    <a:r>
                      <a:rPr lang="ru-RU" sz="901"/>
                      <a:t>9,9</a:t>
                    </a:r>
                    <a:r>
                      <a:rPr lang="en-US" sz="901"/>
                      <a:t>%</a:t>
                    </a:r>
                  </a:p>
                </c:rich>
              </c:tx>
              <c:dLblPos val="bestFit"/>
            </c:dLbl>
            <c:dLbl>
              <c:idx val="1"/>
              <c:layout>
                <c:manualLayout>
                  <c:x val="-8.2251595083729798E-2"/>
                  <c:y val="0.14434626425260996"/>
                </c:manualLayout>
              </c:layout>
              <c:tx>
                <c:rich>
                  <a:bodyPr/>
                  <a:lstStyle/>
                  <a:p>
                    <a:r>
                      <a:rPr lang="ru-RU" sz="901"/>
                      <a:t>50,2</a:t>
                    </a:r>
                    <a:r>
                      <a:rPr lang="en-US" sz="901"/>
                      <a:t>%</a:t>
                    </a:r>
                  </a:p>
                </c:rich>
              </c:tx>
              <c:dLblPos val="bestFit"/>
            </c:dLbl>
            <c:dLbl>
              <c:idx val="2"/>
              <c:layout>
                <c:manualLayout>
                  <c:x val="4.2105928405141102E-2"/>
                  <c:y val="0.13765035351442528"/>
                </c:manualLayout>
              </c:layout>
              <c:tx>
                <c:rich>
                  <a:bodyPr/>
                  <a:lstStyle/>
                  <a:p>
                    <a:r>
                      <a:rPr lang="ru-RU" sz="901"/>
                      <a:t>4,6</a:t>
                    </a:r>
                    <a:r>
                      <a:rPr lang="en-US" sz="901"/>
                      <a:t>%</a:t>
                    </a:r>
                  </a:p>
                </c:rich>
              </c:tx>
              <c:dLblPos val="bestFit"/>
            </c:dLbl>
            <c:dLbl>
              <c:idx val="3"/>
              <c:layout>
                <c:manualLayout>
                  <c:x val="0"/>
                  <c:y val="0.16534287592869618"/>
                </c:manualLayout>
              </c:layout>
              <c:tx>
                <c:rich>
                  <a:bodyPr/>
                  <a:lstStyle/>
                  <a:p>
                    <a:r>
                      <a:rPr lang="en-US" sz="901"/>
                      <a:t>14,</a:t>
                    </a:r>
                    <a:r>
                      <a:rPr lang="ru-RU" sz="901"/>
                      <a:t>8</a:t>
                    </a:r>
                    <a:r>
                      <a:rPr lang="en-US" sz="901"/>
                      <a:t>%</a:t>
                    </a:r>
                  </a:p>
                </c:rich>
              </c:tx>
              <c:dLblPos val="bestFit"/>
            </c:dLbl>
            <c:dLbl>
              <c:idx val="4"/>
              <c:layout>
                <c:manualLayout>
                  <c:x val="-2.4852788740736924E-2"/>
                  <c:y val="-4.8132069031085981E-2"/>
                </c:manualLayout>
              </c:layout>
              <c:tx>
                <c:rich>
                  <a:bodyPr/>
                  <a:lstStyle/>
                  <a:p>
                    <a:r>
                      <a:rPr lang="en-US" sz="901"/>
                      <a:t>1</a:t>
                    </a:r>
                    <a:r>
                      <a:rPr lang="ru-RU" sz="901"/>
                      <a:t>3</a:t>
                    </a:r>
                    <a:r>
                      <a:rPr lang="en-US" sz="901"/>
                      <a:t>,</a:t>
                    </a:r>
                    <a:r>
                      <a:rPr lang="ru-RU" sz="901"/>
                      <a:t>1</a:t>
                    </a:r>
                    <a:r>
                      <a:rPr lang="en-US" sz="901"/>
                      <a:t>%</a:t>
                    </a:r>
                  </a:p>
                </c:rich>
              </c:tx>
              <c:dLblPos val="bestFit"/>
            </c:dLbl>
            <c:dLbl>
              <c:idx val="5"/>
              <c:layout>
                <c:manualLayout>
                  <c:x val="2.3040105244829696E-2"/>
                  <c:y val="-5.5175878134850365E-2"/>
                </c:manualLayout>
              </c:layout>
              <c:tx>
                <c:rich>
                  <a:bodyPr/>
                  <a:lstStyle/>
                  <a:p>
                    <a:r>
                      <a:rPr lang="ru-RU" sz="901"/>
                      <a:t>7,4</a:t>
                    </a:r>
                    <a:r>
                      <a:rPr lang="en-US" sz="901"/>
                      <a:t>%</a:t>
                    </a:r>
                  </a:p>
                </c:rich>
              </c:tx>
              <c:dLblPos val="bestFit"/>
            </c:dLbl>
            <c:spPr>
              <a:noFill/>
              <a:ln w="40792">
                <a:noFill/>
              </a:ln>
            </c:spPr>
            <c:txPr>
              <a:bodyPr/>
              <a:lstStyle/>
              <a:p>
                <a:pPr>
                  <a:defRPr sz="901">
                    <a:latin typeface="Times New Roman" pitchFamily="18" charset="0"/>
                    <a:cs typeface="Times New Roman" pitchFamily="18" charset="0"/>
                  </a:defRPr>
                </a:pPr>
                <a:endParaRPr lang="ru-RU"/>
              </a:p>
            </c:txPr>
            <c:showVal val="1"/>
            <c:showLeaderLines val="1"/>
          </c:dLbls>
          <c:cat>
            <c:strRef>
              <c:f>Лист1!$A$2:$A$7</c:f>
              <c:strCache>
                <c:ptCount val="6"/>
                <c:pt idx="0">
                  <c:v>черная металлургия</c:v>
                </c:pt>
                <c:pt idx="1">
                  <c:v>электроэнергетика</c:v>
                </c:pt>
                <c:pt idx="2">
                  <c:v>промышленность строительных материалов</c:v>
                </c:pt>
                <c:pt idx="3">
                  <c:v>легкая промышленность</c:v>
                </c:pt>
                <c:pt idx="4">
                  <c:v>пищевая промышленность</c:v>
                </c:pt>
                <c:pt idx="5">
                  <c:v>прочие</c:v>
                </c:pt>
              </c:strCache>
            </c:strRef>
          </c:cat>
          <c:val>
            <c:numRef>
              <c:f>Лист1!$B$2:$B$7</c:f>
              <c:numCache>
                <c:formatCode>0.0</c:formatCode>
                <c:ptCount val="6"/>
                <c:pt idx="0">
                  <c:v>802.1</c:v>
                </c:pt>
                <c:pt idx="1">
                  <c:v>4048.7</c:v>
                </c:pt>
                <c:pt idx="2">
                  <c:v>369.1</c:v>
                </c:pt>
                <c:pt idx="3">
                  <c:v>1192.4000000000001</c:v>
                </c:pt>
                <c:pt idx="4" formatCode="General">
                  <c:v>1057.0999999999999</c:v>
                </c:pt>
                <c:pt idx="5">
                  <c:v>596.99999999999943</c:v>
                </c:pt>
              </c:numCache>
            </c:numRef>
          </c:val>
        </c:ser>
      </c:pie3DChart>
      <c:spPr>
        <a:noFill/>
        <a:ln w="25441">
          <a:noFill/>
        </a:ln>
      </c:spPr>
    </c:plotArea>
    <c:legend>
      <c:legendPos val="r"/>
      <c:legendEntry>
        <c:idx val="2"/>
        <c:txPr>
          <a:bodyPr/>
          <a:lstStyle/>
          <a:p>
            <a:pPr>
              <a:spcAft>
                <a:spcPts val="200"/>
              </a:spcAft>
              <a:defRPr sz="1002">
                <a:latin typeface="Times New Roman" pitchFamily="18" charset="0"/>
                <a:cs typeface="Times New Roman" pitchFamily="18" charset="0"/>
              </a:defRPr>
            </a:pPr>
            <a:endParaRPr lang="ru-RU"/>
          </a:p>
        </c:txPr>
      </c:legendEntry>
      <c:layout>
        <c:manualLayout>
          <c:xMode val="edge"/>
          <c:yMode val="edge"/>
          <c:x val="0.5501301176273653"/>
          <c:y val="0.17800095442615141"/>
          <c:w val="0.42845230200681228"/>
          <c:h val="0.79078453829634943"/>
        </c:manualLayout>
      </c:layout>
      <c:txPr>
        <a:bodyPr/>
        <a:lstStyle/>
        <a:p>
          <a:pPr>
            <a:defRPr sz="1002">
              <a:latin typeface="Times New Roman" pitchFamily="18" charset="0"/>
              <a:cs typeface="Times New Roman" pitchFamily="18" charset="0"/>
            </a:defRPr>
          </a:pPr>
          <a:endParaRPr lang="ru-RU"/>
        </a:p>
      </c:txPr>
    </c:legend>
    <c:plotVisOnly val="1"/>
    <c:dispBlanksAs val="zero"/>
  </c:chart>
  <c:spPr>
    <a:ln>
      <a:noFill/>
    </a:ln>
  </c:spPr>
  <c:externalData r:id="rId4"/>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Динамика промышленного производства </a:t>
            </a:r>
          </a:p>
          <a:p>
            <a:pPr>
              <a:defRPr/>
            </a:pPr>
            <a:r>
              <a:rPr lang="ru-RU" sz="1200"/>
              <a:t>(в сопоставимых ценах), млн</a:t>
            </a:r>
            <a:r>
              <a:rPr lang="ru-RU" sz="1200" baseline="0"/>
              <a:t> руб.</a:t>
            </a:r>
            <a:endParaRPr lang="ru-RU" sz="1200"/>
          </a:p>
        </c:rich>
      </c:tx>
      <c:layout>
        <c:manualLayout>
          <c:xMode val="edge"/>
          <c:yMode val="edge"/>
          <c:x val="0.29623446553716881"/>
          <c:y val="0"/>
        </c:manualLayout>
      </c:layout>
    </c:title>
    <c:plotArea>
      <c:layout>
        <c:manualLayout>
          <c:layoutTarget val="inner"/>
          <c:xMode val="edge"/>
          <c:yMode val="edge"/>
          <c:x val="6.8713579572269548E-2"/>
          <c:y val="0.20500978286805074"/>
          <c:w val="0.93128642042773047"/>
          <c:h val="0.47413676738683597"/>
        </c:manualLayout>
      </c:layout>
      <c:lineChart>
        <c:grouping val="standard"/>
        <c:ser>
          <c:idx val="0"/>
          <c:order val="0"/>
          <c:tx>
            <c:strRef>
              <c:f>Лист1!$B$1</c:f>
              <c:strCache>
                <c:ptCount val="1"/>
                <c:pt idx="0">
                  <c:v>2017г.</c:v>
                </c:pt>
              </c:strCache>
            </c:strRef>
          </c:tx>
          <c:spPr>
            <a:ln>
              <a:solidFill>
                <a:schemeClr val="tx1"/>
              </a:solidFill>
            </a:ln>
          </c:spPr>
          <c:marker>
            <c:spPr>
              <a:solidFill>
                <a:schemeClr val="tx1"/>
              </a:solidFill>
              <a:ln>
                <a:solidFill>
                  <a:sysClr val="windowText" lastClr="000000"/>
                </a:solidFill>
              </a:ln>
            </c:spPr>
          </c:marker>
          <c:dLbls>
            <c:dLbl>
              <c:idx val="0"/>
              <c:layout>
                <c:manualLayout>
                  <c:x val="-4.8370136698212406E-2"/>
                  <c:y val="-5.2568697729988796E-2"/>
                </c:manualLayout>
              </c:layout>
              <c:tx>
                <c:rich>
                  <a:bodyPr/>
                  <a:lstStyle/>
                  <a:p>
                    <a:r>
                      <a:rPr lang="ru-RU" sz="800" i="0"/>
                      <a:t>103,4*</a:t>
                    </a:r>
                    <a:endParaRPr lang="en-US" sz="800" i="0"/>
                  </a:p>
                </c:rich>
              </c:tx>
              <c:dLblPos val="r"/>
              <c:showVal val="1"/>
            </c:dLbl>
            <c:dLbl>
              <c:idx val="1"/>
              <c:layout>
                <c:manualLayout>
                  <c:x val="-3.1545741324921252E-2"/>
                  <c:y val="4.7789725209080064E-2"/>
                </c:manualLayout>
              </c:layout>
              <c:tx>
                <c:rich>
                  <a:bodyPr/>
                  <a:lstStyle/>
                  <a:p>
                    <a:r>
                      <a:rPr lang="ru-RU" sz="800" i="0"/>
                      <a:t>78,0*</a:t>
                    </a:r>
                    <a:endParaRPr lang="en-US" sz="800" i="0"/>
                  </a:p>
                </c:rich>
              </c:tx>
              <c:dLblPos val="r"/>
              <c:showVal val="1"/>
            </c:dLbl>
            <c:dLbl>
              <c:idx val="2"/>
              <c:layout>
                <c:manualLayout>
                  <c:x val="-3.9957939011566801E-2"/>
                  <c:y val="5.7347670250896932E-2"/>
                </c:manualLayout>
              </c:layout>
              <c:tx>
                <c:rich>
                  <a:bodyPr/>
                  <a:lstStyle/>
                  <a:p>
                    <a:r>
                      <a:rPr lang="en-US" sz="800" i="0"/>
                      <a:t>8</a:t>
                    </a:r>
                    <a:r>
                      <a:rPr lang="ru-RU" sz="800" i="0"/>
                      <a:t>2,8*</a:t>
                    </a:r>
                    <a:endParaRPr lang="en-US" sz="800" i="0"/>
                  </a:p>
                </c:rich>
              </c:tx>
              <c:dLblPos val="r"/>
              <c:showVal val="1"/>
            </c:dLbl>
            <c:dLbl>
              <c:idx val="3"/>
              <c:layout>
                <c:manualLayout>
                  <c:x val="-3.7854889589905752E-2"/>
                  <c:y val="4.7789725209080064E-2"/>
                </c:manualLayout>
              </c:layout>
              <c:tx>
                <c:rich>
                  <a:bodyPr/>
                  <a:lstStyle/>
                  <a:p>
                    <a:r>
                      <a:rPr lang="ru-RU" sz="800" i="0"/>
                      <a:t>78,9*</a:t>
                    </a:r>
                    <a:endParaRPr lang="en-US" sz="800" i="0"/>
                  </a:p>
                </c:rich>
              </c:tx>
              <c:dLblPos val="r"/>
              <c:showVal val="1"/>
            </c:dLbl>
            <c:dLbl>
              <c:idx val="4"/>
              <c:layout>
                <c:manualLayout>
                  <c:x val="-2.7339642481598751E-2"/>
                  <c:y val="5.7347670250896945E-2"/>
                </c:manualLayout>
              </c:layout>
              <c:tx>
                <c:rich>
                  <a:bodyPr/>
                  <a:lstStyle/>
                  <a:p>
                    <a:r>
                      <a:rPr lang="ru-RU" sz="800" i="0"/>
                      <a:t>85,6*</a:t>
                    </a:r>
                    <a:endParaRPr lang="en-US" sz="800" i="0"/>
                  </a:p>
                </c:rich>
              </c:tx>
              <c:dLblPos val="r"/>
              <c:showVal val="1"/>
            </c:dLbl>
            <c:dLbl>
              <c:idx val="5"/>
              <c:layout>
                <c:manualLayout>
                  <c:x val="-4.2060988433228801E-2"/>
                  <c:y val="-4.3010752688172046E-2"/>
                </c:manualLayout>
              </c:layout>
              <c:tx>
                <c:rich>
                  <a:bodyPr/>
                  <a:lstStyle/>
                  <a:p>
                    <a:r>
                      <a:rPr lang="ru-RU" sz="800" i="0"/>
                      <a:t>117,8*</a:t>
                    </a:r>
                    <a:endParaRPr lang="en-US" sz="800" i="0"/>
                  </a:p>
                </c:rich>
              </c:tx>
              <c:dLblPos val="r"/>
              <c:showVal val="1"/>
            </c:dLbl>
            <c:dLbl>
              <c:idx val="6"/>
              <c:layout>
                <c:manualLayout>
                  <c:x val="-4.8393053832389524E-2"/>
                  <c:y val="-7.5337703205947598E-2"/>
                </c:manualLayout>
              </c:layout>
              <c:tx>
                <c:rich>
                  <a:bodyPr/>
                  <a:lstStyle/>
                  <a:p>
                    <a:r>
                      <a:rPr lang="ru-RU" sz="800" i="0"/>
                      <a:t>138,6*</a:t>
                    </a:r>
                    <a:endParaRPr lang="en-US" sz="800" i="0"/>
                  </a:p>
                </c:rich>
              </c:tx>
              <c:dLblPos val="r"/>
              <c:showVal val="1"/>
            </c:dLbl>
            <c:dLbl>
              <c:idx val="7"/>
              <c:layout>
                <c:manualLayout>
                  <c:x val="-4.4164037854890537E-2"/>
                  <c:y val="-4.3010752688172046E-2"/>
                </c:manualLayout>
              </c:layout>
              <c:tx>
                <c:rich>
                  <a:bodyPr/>
                  <a:lstStyle/>
                  <a:p>
                    <a:r>
                      <a:rPr lang="ru-RU" sz="800" i="0"/>
                      <a:t>129,4*</a:t>
                    </a:r>
                    <a:endParaRPr lang="en-US" sz="800" i="0"/>
                  </a:p>
                </c:rich>
              </c:tx>
              <c:dLblPos val="r"/>
              <c:showVal val="1"/>
            </c:dLbl>
            <c:dLbl>
              <c:idx val="8"/>
              <c:layout>
                <c:manualLayout>
                  <c:x val="-3.5751840168244092E-2"/>
                  <c:y val="-7.1684562157003098E-2"/>
                </c:manualLayout>
              </c:layout>
              <c:tx>
                <c:rich>
                  <a:bodyPr/>
                  <a:lstStyle/>
                  <a:p>
                    <a:r>
                      <a:rPr lang="ru-RU" sz="800" i="0"/>
                      <a:t>142,6*</a:t>
                    </a:r>
                    <a:endParaRPr lang="en-US" sz="800" i="0"/>
                  </a:p>
                </c:rich>
              </c:tx>
              <c:dLblPos val="r"/>
              <c:showVal val="1"/>
            </c:dLbl>
            <c:dLbl>
              <c:idx val="9"/>
              <c:layout>
                <c:manualLayout>
                  <c:x val="-3.9957939011566801E-2"/>
                  <c:y val="-6.2941223256183884E-2"/>
                </c:manualLayout>
              </c:layout>
              <c:tx>
                <c:rich>
                  <a:bodyPr/>
                  <a:lstStyle/>
                  <a:p>
                    <a:r>
                      <a:rPr lang="ru-RU" sz="800" i="0"/>
                      <a:t>154,2*</a:t>
                    </a:r>
                    <a:endParaRPr lang="en-US" sz="800" i="0"/>
                  </a:p>
                </c:rich>
              </c:tx>
              <c:dLblPos val="r"/>
              <c:showVal val="1"/>
            </c:dLbl>
            <c:dLbl>
              <c:idx val="10"/>
              <c:layout>
                <c:manualLayout>
                  <c:x val="-3.3648790746582544E-2"/>
                  <c:y val="-5.2569160562246774E-2"/>
                </c:manualLayout>
              </c:layout>
              <c:tx>
                <c:rich>
                  <a:bodyPr/>
                  <a:lstStyle/>
                  <a:p>
                    <a:r>
                      <a:rPr lang="ru-RU" sz="800" i="0"/>
                      <a:t>137,6*</a:t>
                    </a:r>
                    <a:endParaRPr lang="en-US" sz="800" i="0"/>
                  </a:p>
                </c:rich>
              </c:tx>
              <c:dLblPos val="r"/>
              <c:showVal val="1"/>
            </c:dLbl>
            <c:dLbl>
              <c:idx val="11"/>
              <c:layout>
                <c:manualLayout>
                  <c:x val="0"/>
                  <c:y val="-4.6457607433217432E-2"/>
                </c:manualLayout>
              </c:layout>
              <c:tx>
                <c:rich>
                  <a:bodyPr/>
                  <a:lstStyle/>
                  <a:p>
                    <a:r>
                      <a:rPr lang="en-US"/>
                      <a:t>1</a:t>
                    </a:r>
                    <a:r>
                      <a:rPr lang="ru-RU"/>
                      <a:t>45,0*</a:t>
                    </a:r>
                  </a:p>
                </c:rich>
              </c:tx>
              <c:dLblPos val="r"/>
              <c:showVal val="1"/>
            </c:dLbl>
            <c:txPr>
              <a:bodyPr/>
              <a:lstStyle/>
              <a:p>
                <a:pPr>
                  <a:defRPr sz="800" i="0"/>
                </a:pPr>
                <a:endParaRPr lang="ru-RU"/>
              </a:p>
            </c:txPr>
            <c:dLblPos val="r"/>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633.70000000000005</c:v>
                </c:pt>
                <c:pt idx="1">
                  <c:v>574.6</c:v>
                </c:pt>
                <c:pt idx="2">
                  <c:v>744.8</c:v>
                </c:pt>
                <c:pt idx="3">
                  <c:v>548.1</c:v>
                </c:pt>
                <c:pt idx="4" formatCode="0.0">
                  <c:v>618.4</c:v>
                </c:pt>
                <c:pt idx="5">
                  <c:v>828.6</c:v>
                </c:pt>
                <c:pt idx="6">
                  <c:v>886.9</c:v>
                </c:pt>
                <c:pt idx="7">
                  <c:v>1025.7</c:v>
                </c:pt>
                <c:pt idx="8">
                  <c:v>917.7</c:v>
                </c:pt>
                <c:pt idx="9" formatCode="0.0">
                  <c:v>999.7</c:v>
                </c:pt>
                <c:pt idx="10" formatCode="0.0">
                  <c:v>994.3</c:v>
                </c:pt>
                <c:pt idx="11">
                  <c:v>1023.8</c:v>
                </c:pt>
              </c:numCache>
            </c:numRef>
          </c:val>
        </c:ser>
        <c:ser>
          <c:idx val="1"/>
          <c:order val="1"/>
          <c:tx>
            <c:strRef>
              <c:f>Лист1!$C$1</c:f>
              <c:strCache>
                <c:ptCount val="1"/>
                <c:pt idx="0">
                  <c:v>2016г.</c:v>
                </c:pt>
              </c:strCache>
            </c:strRef>
          </c:tx>
          <c:spPr>
            <a:ln>
              <a:solidFill>
                <a:schemeClr val="tx1">
                  <a:lumMod val="65000"/>
                  <a:lumOff val="35000"/>
                </a:schemeClr>
              </a:solidFill>
              <a:prstDash val="dash"/>
            </a:ln>
          </c:spPr>
          <c:marker>
            <c:symbol val="circle"/>
            <c:size val="6"/>
            <c:spPr>
              <a:solidFill>
                <a:schemeClr val="tx1">
                  <a:lumMod val="50000"/>
                  <a:lumOff val="50000"/>
                </a:schemeClr>
              </a:solidFill>
              <a:ln>
                <a:solidFill>
                  <a:sysClr val="windowText" lastClr="000000">
                    <a:lumMod val="65000"/>
                    <a:lumOff val="35000"/>
                  </a:sysClr>
                </a:solidFill>
              </a:ln>
            </c:spPr>
          </c:marker>
          <c:dLbls>
            <c:dLbl>
              <c:idx val="0"/>
              <c:layout>
                <c:manualLayout>
                  <c:x val="-3.3648790746582544E-2"/>
                  <c:y val="6.2126642771804047E-2"/>
                </c:manualLayout>
              </c:layout>
              <c:tx>
                <c:rich>
                  <a:bodyPr/>
                  <a:lstStyle/>
                  <a:p>
                    <a:r>
                      <a:rPr lang="ru-RU"/>
                      <a:t>101,9*</a:t>
                    </a:r>
                    <a:endParaRPr lang="en-US"/>
                  </a:p>
                </c:rich>
              </c:tx>
              <c:dLblPos val="r"/>
              <c:showVal val="1"/>
            </c:dLbl>
            <c:dLbl>
              <c:idx val="1"/>
              <c:layout>
                <c:manualLayout>
                  <c:x val="-3.9957906977696432E-2"/>
                  <c:y val="-9.9607810803754249E-2"/>
                </c:manualLayout>
              </c:layout>
              <c:tx>
                <c:rich>
                  <a:bodyPr/>
                  <a:lstStyle/>
                  <a:p>
                    <a:r>
                      <a:rPr lang="ru-RU"/>
                      <a:t>120,5*</a:t>
                    </a:r>
                    <a:endParaRPr lang="en-US"/>
                  </a:p>
                </c:rich>
              </c:tx>
              <c:dLblPos val="r"/>
              <c:showVal val="1"/>
            </c:dLbl>
            <c:dLbl>
              <c:idx val="2"/>
              <c:layout>
                <c:manualLayout>
                  <c:x val="-4.2060988433228738E-2"/>
                  <c:y val="-7.6463734716087334E-2"/>
                </c:manualLayout>
              </c:layout>
              <c:tx>
                <c:rich>
                  <a:bodyPr/>
                  <a:lstStyle/>
                  <a:p>
                    <a:r>
                      <a:rPr lang="ru-RU"/>
                      <a:t>124,4*</a:t>
                    </a:r>
                    <a:endParaRPr lang="en-US"/>
                  </a:p>
                </c:rich>
              </c:tx>
              <c:dLblPos val="r"/>
              <c:showVal val="1"/>
            </c:dLbl>
            <c:dLbl>
              <c:idx val="3"/>
              <c:layout>
                <c:manualLayout>
                  <c:x val="-2.5236593059936911E-2"/>
                  <c:y val="-3.8231780167264216E-2"/>
                </c:manualLayout>
              </c:layout>
              <c:tx>
                <c:rich>
                  <a:bodyPr/>
                  <a:lstStyle/>
                  <a:p>
                    <a:r>
                      <a:rPr lang="ru-RU"/>
                      <a:t>99,9*</a:t>
                    </a:r>
                    <a:endParaRPr lang="en-US"/>
                  </a:p>
                </c:rich>
              </c:tx>
              <c:dLblPos val="r"/>
              <c:showVal val="1"/>
            </c:dLbl>
            <c:dLbl>
              <c:idx val="4"/>
              <c:layout>
                <c:manualLayout>
                  <c:x val="-3.1545741324921252E-2"/>
                  <c:y val="-5.7347670250896932E-2"/>
                </c:manualLayout>
              </c:layout>
              <c:tx>
                <c:rich>
                  <a:bodyPr/>
                  <a:lstStyle/>
                  <a:p>
                    <a:r>
                      <a:rPr lang="ru-RU"/>
                      <a:t>94,0*</a:t>
                    </a:r>
                    <a:endParaRPr lang="en-US"/>
                  </a:p>
                </c:rich>
              </c:tx>
              <c:dLblPos val="r"/>
              <c:showVal val="1"/>
            </c:dLbl>
            <c:dLbl>
              <c:idx val="5"/>
              <c:layout>
                <c:manualLayout>
                  <c:x val="-3.1545741324921252E-2"/>
                  <c:y val="3.8231780167264216E-2"/>
                </c:manualLayout>
              </c:layout>
              <c:tx>
                <c:rich>
                  <a:bodyPr/>
                  <a:lstStyle/>
                  <a:p>
                    <a:r>
                      <a:rPr lang="ru-RU"/>
                      <a:t>81,6*</a:t>
                    </a:r>
                    <a:endParaRPr lang="en-US"/>
                  </a:p>
                </c:rich>
              </c:tx>
              <c:dLblPos val="r"/>
              <c:showVal val="1"/>
            </c:dLbl>
            <c:dLbl>
              <c:idx val="6"/>
              <c:layout>
                <c:manualLayout>
                  <c:x val="-2.9442691903259741E-2"/>
                  <c:y val="4.7789725209080064E-2"/>
                </c:manualLayout>
              </c:layout>
              <c:tx>
                <c:rich>
                  <a:bodyPr/>
                  <a:lstStyle/>
                  <a:p>
                    <a:r>
                      <a:rPr lang="ru-RU"/>
                      <a:t>70,6*</a:t>
                    </a:r>
                    <a:endParaRPr lang="en-US"/>
                  </a:p>
                </c:rich>
              </c:tx>
              <c:dLblPos val="r"/>
              <c:showVal val="1"/>
            </c:dLbl>
            <c:dLbl>
              <c:idx val="7"/>
              <c:layout>
                <c:manualLayout>
                  <c:x val="-3.9957939011566801E-2"/>
                  <c:y val="6.2126642771804047E-2"/>
                </c:manualLayout>
              </c:layout>
              <c:tx>
                <c:rich>
                  <a:bodyPr/>
                  <a:lstStyle/>
                  <a:p>
                    <a:r>
                      <a:rPr lang="ru-RU"/>
                      <a:t>103,6*</a:t>
                    </a:r>
                    <a:endParaRPr lang="en-US"/>
                  </a:p>
                </c:rich>
              </c:tx>
              <c:dLblPos val="r"/>
              <c:showVal val="1"/>
            </c:dLbl>
            <c:dLbl>
              <c:idx val="8"/>
              <c:layout>
                <c:manualLayout>
                  <c:x val="-3.1545741324921252E-2"/>
                  <c:y val="4.7789725209080064E-2"/>
                </c:manualLayout>
              </c:layout>
              <c:tx>
                <c:rich>
                  <a:bodyPr/>
                  <a:lstStyle/>
                  <a:p>
                    <a:r>
                      <a:rPr lang="ru-RU"/>
                      <a:t>87,5*</a:t>
                    </a:r>
                    <a:endParaRPr lang="en-US"/>
                  </a:p>
                </c:rich>
              </c:tx>
              <c:dLblPos val="r"/>
              <c:showVal val="1"/>
            </c:dLbl>
            <c:dLbl>
              <c:idx val="9"/>
              <c:layout>
                <c:manualLayout>
                  <c:x val="-2.9373722980415337E-2"/>
                  <c:y val="6.9107199296423033E-2"/>
                </c:manualLayout>
              </c:layout>
              <c:tx>
                <c:rich>
                  <a:bodyPr/>
                  <a:lstStyle/>
                  <a:p>
                    <a:r>
                      <a:rPr lang="ru-RU"/>
                      <a:t>82,7*</a:t>
                    </a:r>
                    <a:endParaRPr lang="en-US"/>
                  </a:p>
                </c:rich>
              </c:tx>
              <c:dLblPos val="r"/>
              <c:showVal val="1"/>
            </c:dLbl>
            <c:dLbl>
              <c:idx val="10"/>
              <c:layout>
                <c:manualLayout>
                  <c:x val="-3.36488672145311E-2"/>
                  <c:y val="8.9492792458534323E-2"/>
                </c:manualLayout>
              </c:layout>
              <c:tx>
                <c:rich>
                  <a:bodyPr/>
                  <a:lstStyle/>
                  <a:p>
                    <a:r>
                      <a:rPr lang="ru-RU"/>
                      <a:t>95,1*</a:t>
                    </a:r>
                    <a:endParaRPr lang="en-US"/>
                  </a:p>
                </c:rich>
              </c:tx>
              <c:dLblPos val="r"/>
              <c:showVal val="1"/>
            </c:dLbl>
            <c:dLbl>
              <c:idx val="11"/>
              <c:layout>
                <c:manualLayout>
                  <c:x val="-1.2618243312409638E-2"/>
                  <c:y val="9.0628959338198159E-2"/>
                </c:manualLayout>
              </c:layout>
              <c:tx>
                <c:rich>
                  <a:bodyPr/>
                  <a:lstStyle/>
                  <a:p>
                    <a:r>
                      <a:rPr lang="ru-RU"/>
                      <a:t>85</a:t>
                    </a:r>
                    <a:r>
                      <a:rPr lang="en-US"/>
                      <a:t>,</a:t>
                    </a:r>
                    <a:r>
                      <a:rPr lang="ru-RU"/>
                      <a:t>3*</a:t>
                    </a:r>
                    <a:endParaRPr lang="en-US"/>
                  </a:p>
                </c:rich>
              </c:tx>
              <c:dLblPos val="r"/>
              <c:showVal val="1"/>
            </c:dLbl>
            <c:txPr>
              <a:bodyPr/>
              <a:lstStyle/>
              <a:p>
                <a:pPr>
                  <a:defRPr sz="800"/>
                </a:pPr>
                <a:endParaRPr lang="ru-RU"/>
              </a:p>
            </c:txPr>
            <c:dLblPos val="r"/>
            <c:showVal val="1"/>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0.0</c:formatCode>
                <c:ptCount val="12"/>
                <c:pt idx="0" formatCode="General">
                  <c:v>612.9</c:v>
                </c:pt>
                <c:pt idx="1">
                  <c:v>736.5</c:v>
                </c:pt>
                <c:pt idx="2" formatCode="General">
                  <c:v>899.1</c:v>
                </c:pt>
                <c:pt idx="3" formatCode="General">
                  <c:v>694.8</c:v>
                </c:pt>
                <c:pt idx="4" formatCode="General">
                  <c:v>722.1</c:v>
                </c:pt>
                <c:pt idx="5" formatCode="General">
                  <c:v>703.2</c:v>
                </c:pt>
                <c:pt idx="6">
                  <c:v>640</c:v>
                </c:pt>
                <c:pt idx="7" formatCode="General">
                  <c:v>792.9</c:v>
                </c:pt>
                <c:pt idx="8" formatCode="General">
                  <c:v>643.6</c:v>
                </c:pt>
                <c:pt idx="9" formatCode="General">
                  <c:v>648.5</c:v>
                </c:pt>
                <c:pt idx="10" formatCode="General">
                  <c:v>722.4</c:v>
                </c:pt>
                <c:pt idx="11" formatCode="General">
                  <c:v>706.1</c:v>
                </c:pt>
              </c:numCache>
            </c:numRef>
          </c:val>
        </c:ser>
        <c:dLbls>
          <c:showVal val="1"/>
        </c:dLbls>
        <c:marker val="1"/>
        <c:axId val="64826368"/>
        <c:axId val="64828160"/>
      </c:lineChart>
      <c:catAx>
        <c:axId val="64826368"/>
        <c:scaling>
          <c:orientation val="minMax"/>
        </c:scaling>
        <c:axPos val="b"/>
        <c:majorTickMark val="cross"/>
        <c:tickLblPos val="nextTo"/>
        <c:spPr>
          <a:ln>
            <a:solidFill>
              <a:sysClr val="windowText" lastClr="000000"/>
            </a:solidFill>
          </a:ln>
        </c:spPr>
        <c:txPr>
          <a:bodyPr/>
          <a:lstStyle/>
          <a:p>
            <a:pPr>
              <a:defRPr sz="900"/>
            </a:pPr>
            <a:endParaRPr lang="ru-RU"/>
          </a:p>
        </c:txPr>
        <c:crossAx val="64828160"/>
        <c:crosses val="autoZero"/>
        <c:auto val="1"/>
        <c:lblAlgn val="ctr"/>
        <c:lblOffset val="100"/>
      </c:catAx>
      <c:valAx>
        <c:axId val="64828160"/>
        <c:scaling>
          <c:orientation val="minMax"/>
        </c:scaling>
        <c:axPos val="l"/>
        <c:majorGridlines/>
        <c:numFmt formatCode="General" sourceLinked="1"/>
        <c:majorTickMark val="cross"/>
        <c:tickLblPos val="nextTo"/>
        <c:spPr>
          <a:ln>
            <a:solidFill>
              <a:sysClr val="windowText" lastClr="000000"/>
            </a:solidFill>
          </a:ln>
        </c:spPr>
        <c:txPr>
          <a:bodyPr/>
          <a:lstStyle/>
          <a:p>
            <a:pPr>
              <a:defRPr sz="900"/>
            </a:pPr>
            <a:endParaRPr lang="ru-RU"/>
          </a:p>
        </c:txPr>
        <c:crossAx val="64826368"/>
        <c:crosses val="autoZero"/>
        <c:crossBetween val="between"/>
      </c:valAx>
    </c:plotArea>
    <c:legend>
      <c:legendPos val="b"/>
      <c:layout>
        <c:manualLayout>
          <c:xMode val="edge"/>
          <c:yMode val="edge"/>
          <c:x val="0.1380326943668124"/>
          <c:y val="0.89652345087298857"/>
          <c:w val="0.29546999842685567"/>
          <c:h val="0.10132089467077485"/>
        </c:manualLayout>
      </c:layout>
    </c:legend>
    <c:plotVisOnly val="1"/>
  </c:chart>
  <c:spPr>
    <a:noFill/>
    <a:ln>
      <a:noFill/>
    </a:ln>
  </c:spPr>
  <c:txPr>
    <a:bodyPr/>
    <a:lstStyle/>
    <a:p>
      <a:pPr>
        <a:defRPr b="1">
          <a:latin typeface="Times New Roman" pitchFamily="18" charset="0"/>
          <a:cs typeface="Times New Roman" pitchFamily="18" charset="0"/>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autoTitleDeleted val="1"/>
    <c:view3D>
      <c:rotX val="0"/>
      <c:rotY val="0"/>
      <c:depthPercent val="100"/>
      <c:perspective val="30"/>
    </c:view3D>
    <c:plotArea>
      <c:layout>
        <c:manualLayout>
          <c:layoutTarget val="inner"/>
          <c:xMode val="edge"/>
          <c:yMode val="edge"/>
          <c:x val="7.0903663885250004E-2"/>
          <c:y val="0.13696412948381453"/>
          <c:w val="0.91969598134820063"/>
          <c:h val="0.30245807815689951"/>
        </c:manualLayout>
      </c:layout>
      <c:bar3DChart>
        <c:barDir val="col"/>
        <c:grouping val="clustered"/>
        <c:ser>
          <c:idx val="0"/>
          <c:order val="0"/>
          <c:tx>
            <c:strRef>
              <c:f>Лист1!$B$1</c:f>
              <c:strCache>
                <c:ptCount val="1"/>
                <c:pt idx="0">
                  <c:v>декабрь 2016 года</c:v>
                </c:pt>
              </c:strCache>
            </c:strRef>
          </c:tx>
          <c:spPr>
            <a:solidFill>
              <a:srgbClr val="4BACC6">
                <a:lumMod val="60000"/>
                <a:lumOff val="40000"/>
              </a:srgbClr>
            </a:solidFill>
          </c:spPr>
          <c:dLbls>
            <c:dLbl>
              <c:idx val="0"/>
              <c:layout>
                <c:manualLayout>
                  <c:x val="1.952352800119726E-3"/>
                  <c:y val="1.4739810801587495E-2"/>
                </c:manualLayout>
              </c:layout>
              <c:tx>
                <c:rich>
                  <a:bodyPr/>
                  <a:lstStyle/>
                  <a:p>
                    <a:r>
                      <a:rPr lang="ru-RU" sz="849" b="1"/>
                      <a:t>99,5</a:t>
                    </a:r>
                    <a:r>
                      <a:rPr lang="en-US" sz="849" b="1"/>
                      <a:t>*</a:t>
                    </a:r>
                  </a:p>
                </c:rich>
              </c:tx>
            </c:dLbl>
            <c:dLbl>
              <c:idx val="1"/>
              <c:layout>
                <c:manualLayout>
                  <c:x val="2.4163944431784992E-3"/>
                  <c:y val="1.0815660821949789E-2"/>
                </c:manualLayout>
              </c:layout>
              <c:tx>
                <c:rich>
                  <a:bodyPr/>
                  <a:lstStyle/>
                  <a:p>
                    <a:r>
                      <a:rPr lang="ru-RU" sz="849" b="1"/>
                      <a:t>37,9</a:t>
                    </a:r>
                    <a:r>
                      <a:rPr lang="en-US" sz="849" b="1"/>
                      <a:t>*</a:t>
                    </a:r>
                  </a:p>
                </c:rich>
              </c:tx>
            </c:dLbl>
            <c:dLbl>
              <c:idx val="2"/>
              <c:layout>
                <c:manualLayout>
                  <c:x val="2.6536053072106192E-3"/>
                  <c:y val="3.9445548539660143E-4"/>
                </c:manualLayout>
              </c:layout>
              <c:tx>
                <c:rich>
                  <a:bodyPr/>
                  <a:lstStyle/>
                  <a:p>
                    <a:r>
                      <a:rPr lang="ru-RU" sz="849" b="1"/>
                      <a:t>94,0*</a:t>
                    </a:r>
                  </a:p>
                </c:rich>
              </c:tx>
            </c:dLbl>
            <c:dLbl>
              <c:idx val="3"/>
              <c:layout>
                <c:manualLayout>
                  <c:x val="9.2758627075697488E-5"/>
                  <c:y val="1.6982381994583209E-2"/>
                </c:manualLayout>
              </c:layout>
              <c:tx>
                <c:rich>
                  <a:bodyPr/>
                  <a:lstStyle/>
                  <a:p>
                    <a:r>
                      <a:rPr lang="en-US" sz="849" b="1"/>
                      <a:t>1</a:t>
                    </a:r>
                    <a:r>
                      <a:rPr lang="ru-RU" sz="849" b="1"/>
                      <a:t>51,6</a:t>
                    </a:r>
                    <a:r>
                      <a:rPr lang="en-US" sz="849" b="1"/>
                      <a:t>*</a:t>
                    </a:r>
                  </a:p>
                </c:rich>
              </c:tx>
            </c:dLbl>
            <c:dLbl>
              <c:idx val="4"/>
              <c:layout>
                <c:manualLayout>
                  <c:x val="4.0257314461458965E-3"/>
                  <c:y val="-7.3738699329251147E-3"/>
                </c:manualLayout>
              </c:layout>
              <c:tx>
                <c:rich>
                  <a:bodyPr/>
                  <a:lstStyle/>
                  <a:p>
                    <a:r>
                      <a:rPr lang="ru-RU" sz="849" b="1"/>
                      <a:t>45,2</a:t>
                    </a:r>
                    <a:r>
                      <a:rPr lang="en-US" sz="849" b="1"/>
                      <a:t>*</a:t>
                    </a:r>
                  </a:p>
                </c:rich>
              </c:tx>
            </c:dLbl>
            <c:dLbl>
              <c:idx val="5"/>
              <c:layout>
                <c:manualLayout>
                  <c:x val="3.0690948907460618E-4"/>
                  <c:y val="-1.0476086322543016E-2"/>
                </c:manualLayout>
              </c:layout>
              <c:tx>
                <c:rich>
                  <a:bodyPr/>
                  <a:lstStyle/>
                  <a:p>
                    <a:r>
                      <a:rPr lang="ru-RU" sz="849" b="1"/>
                      <a:t>146,7</a:t>
                    </a:r>
                    <a:r>
                      <a:rPr lang="en-US" sz="849" b="1"/>
                      <a:t>*</a:t>
                    </a:r>
                  </a:p>
                </c:rich>
              </c:tx>
            </c:dLbl>
            <c:dLbl>
              <c:idx val="6"/>
              <c:layout>
                <c:manualLayout>
                  <c:x val="-1.8173035119076481E-3"/>
                  <c:y val="-4.1345873432487605E-3"/>
                </c:manualLayout>
              </c:layout>
              <c:tx>
                <c:rich>
                  <a:bodyPr/>
                  <a:lstStyle/>
                  <a:p>
                    <a:r>
                      <a:rPr lang="ru-RU" sz="849" b="1"/>
                      <a:t>60,7*</a:t>
                    </a:r>
                    <a:endParaRPr lang="en-US" sz="850" b="1"/>
                  </a:p>
                </c:rich>
              </c:tx>
            </c:dLbl>
            <c:dLbl>
              <c:idx val="7"/>
              <c:layout>
                <c:manualLayout>
                  <c:x val="-6.1668383077025163E-3"/>
                  <c:y val="8.4777741440467246E-3"/>
                </c:manualLayout>
              </c:layout>
              <c:tx>
                <c:rich>
                  <a:bodyPr/>
                  <a:lstStyle/>
                  <a:p>
                    <a:r>
                      <a:rPr lang="ru-RU" sz="849" b="1"/>
                      <a:t>122,8</a:t>
                    </a:r>
                    <a:r>
                      <a:rPr lang="en-US" sz="849" b="1"/>
                      <a:t>*</a:t>
                    </a:r>
                  </a:p>
                </c:rich>
              </c:tx>
            </c:dLbl>
            <c:dLbl>
              <c:idx val="8"/>
              <c:layout>
                <c:manualLayout>
                  <c:x val="-7.5325742406993504E-3"/>
                  <c:y val="6.1804157350024824E-3"/>
                </c:manualLayout>
              </c:layout>
              <c:tx>
                <c:rich>
                  <a:bodyPr/>
                  <a:lstStyle/>
                  <a:p>
                    <a:r>
                      <a:rPr lang="ru-RU" sz="849" b="1"/>
                      <a:t>107,4</a:t>
                    </a:r>
                    <a:r>
                      <a:rPr lang="en-US" sz="849" b="1"/>
                      <a:t>*</a:t>
                    </a:r>
                  </a:p>
                </c:rich>
              </c:tx>
            </c:dLbl>
            <c:dLbl>
              <c:idx val="9"/>
              <c:layout>
                <c:manualLayout>
                  <c:x val="-7.7047634614750699E-3"/>
                  <c:y val="8.5116516984898062E-3"/>
                </c:manualLayout>
              </c:layout>
              <c:tx>
                <c:rich>
                  <a:bodyPr/>
                  <a:lstStyle/>
                  <a:p>
                    <a:r>
                      <a:rPr lang="en-US" sz="849" b="1"/>
                      <a:t>9</a:t>
                    </a:r>
                    <a:r>
                      <a:rPr lang="ru-RU" sz="849" b="1"/>
                      <a:t>1,8</a:t>
                    </a:r>
                    <a:r>
                      <a:rPr lang="en-US" sz="849" b="1"/>
                      <a:t>*</a:t>
                    </a:r>
                  </a:p>
                </c:rich>
              </c:tx>
            </c:dLbl>
            <c:dLbl>
              <c:idx val="10"/>
              <c:layout>
                <c:manualLayout>
                  <c:x val="-1.4766248308419889E-3"/>
                  <c:y val="-3.2805614320786419E-3"/>
                </c:manualLayout>
              </c:layout>
              <c:tx>
                <c:rich>
                  <a:bodyPr/>
                  <a:lstStyle/>
                  <a:p>
                    <a:r>
                      <a:rPr lang="ru-RU" sz="849" b="1">
                        <a:solidFill>
                          <a:sysClr val="windowText" lastClr="000000"/>
                        </a:solidFill>
                      </a:rPr>
                      <a:t>16,6</a:t>
                    </a:r>
                    <a:r>
                      <a:rPr lang="en-US" sz="849" b="1">
                        <a:solidFill>
                          <a:sysClr val="windowText" lastClr="000000"/>
                        </a:solidFill>
                      </a:rPr>
                      <a:t>*</a:t>
                    </a:r>
                  </a:p>
                </c:rich>
              </c:tx>
            </c:dLbl>
            <c:spPr>
              <a:noFill/>
              <a:ln w="25113">
                <a:noFill/>
              </a:ln>
            </c:spPr>
            <c:txPr>
              <a:bodyPr rot="-5400000" vert="horz"/>
              <a:lstStyle/>
              <a:p>
                <a:pPr>
                  <a:defRPr sz="849"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Мукомольно-крупяная и комбикормовая</c:v>
                </c:pt>
                <c:pt idx="10">
                  <c:v>Полиграфическая промышленность</c:v>
                </c:pt>
              </c:strCache>
            </c:strRef>
          </c:cat>
          <c:val>
            <c:numRef>
              <c:f>Лист1!$B$2:$B$12</c:f>
              <c:numCache>
                <c:formatCode>#,##0.0</c:formatCode>
                <c:ptCount val="11"/>
                <c:pt idx="0">
                  <c:v>339</c:v>
                </c:pt>
                <c:pt idx="1">
                  <c:v>71</c:v>
                </c:pt>
                <c:pt idx="2">
                  <c:v>15.8</c:v>
                </c:pt>
                <c:pt idx="3">
                  <c:v>22.9</c:v>
                </c:pt>
                <c:pt idx="4">
                  <c:v>10</c:v>
                </c:pt>
                <c:pt idx="5">
                  <c:v>1.1000000000000001</c:v>
                </c:pt>
                <c:pt idx="6">
                  <c:v>16.7</c:v>
                </c:pt>
                <c:pt idx="7">
                  <c:v>112.9</c:v>
                </c:pt>
                <c:pt idx="8">
                  <c:v>102</c:v>
                </c:pt>
                <c:pt idx="9">
                  <c:v>12</c:v>
                </c:pt>
                <c:pt idx="10">
                  <c:v>2.7</c:v>
                </c:pt>
              </c:numCache>
            </c:numRef>
          </c:val>
        </c:ser>
        <c:ser>
          <c:idx val="1"/>
          <c:order val="1"/>
          <c:tx>
            <c:strRef>
              <c:f>Лист1!$C$1</c:f>
              <c:strCache>
                <c:ptCount val="1"/>
                <c:pt idx="0">
                  <c:v>декабрь 2017 года</c:v>
                </c:pt>
              </c:strCache>
            </c:strRef>
          </c:tx>
          <c:spPr>
            <a:solidFill>
              <a:srgbClr val="4BACC6">
                <a:lumMod val="50000"/>
              </a:srgbClr>
            </a:solidFill>
            <a:ln>
              <a:solidFill>
                <a:sysClr val="windowText" lastClr="000000"/>
              </a:solidFill>
            </a:ln>
          </c:spPr>
          <c:dLbls>
            <c:dLbl>
              <c:idx val="0"/>
              <c:layout>
                <c:manualLayout>
                  <c:x val="8.1965642262553425E-3"/>
                  <c:y val="9.2380469055131417E-3"/>
                </c:manualLayout>
              </c:layout>
              <c:tx>
                <c:rich>
                  <a:bodyPr/>
                  <a:lstStyle/>
                  <a:p>
                    <a:r>
                      <a:rPr lang="ru-RU" sz="849" b="1"/>
                      <a:t>90,4*</a:t>
                    </a:r>
                    <a:endParaRPr lang="en-US" sz="850" b="1"/>
                  </a:p>
                </c:rich>
              </c:tx>
            </c:dLbl>
            <c:dLbl>
              <c:idx val="1"/>
              <c:layout>
                <c:manualLayout>
                  <c:x val="1.9791314429254627E-3"/>
                  <c:y val="7.3053368328958909E-4"/>
                </c:manualLayout>
              </c:layout>
              <c:tx>
                <c:rich>
                  <a:bodyPr/>
                  <a:lstStyle/>
                  <a:p>
                    <a:r>
                      <a:rPr lang="ru-RU" sz="849" b="1"/>
                      <a:t>в</a:t>
                    </a:r>
                    <a:r>
                      <a:rPr lang="ru-RU" sz="849" b="1" baseline="0"/>
                      <a:t> 5,3</a:t>
                    </a:r>
                    <a:r>
                      <a:rPr lang="ru-RU" sz="849" b="1"/>
                      <a:t>р.* </a:t>
                    </a:r>
                  </a:p>
                </c:rich>
              </c:tx>
            </c:dLbl>
            <c:dLbl>
              <c:idx val="2"/>
              <c:layout>
                <c:manualLayout>
                  <c:x val="6.580709265314749E-3"/>
                  <c:y val="-4.1548640285778956E-3"/>
                </c:manualLayout>
              </c:layout>
              <c:tx>
                <c:rich>
                  <a:bodyPr/>
                  <a:lstStyle/>
                  <a:p>
                    <a:r>
                      <a:rPr lang="ru-RU" sz="849" b="1"/>
                      <a:t>88,2</a:t>
                    </a:r>
                    <a:r>
                      <a:rPr lang="en-US" sz="849" b="1"/>
                      <a:t>*</a:t>
                    </a:r>
                  </a:p>
                </c:rich>
              </c:tx>
            </c:dLbl>
            <c:dLbl>
              <c:idx val="3"/>
              <c:layout>
                <c:manualLayout>
                  <c:x val="3.8907943255559636E-3"/>
                  <c:y val="-2.0855205599300429E-3"/>
                </c:manualLayout>
              </c:layout>
              <c:tx>
                <c:rich>
                  <a:bodyPr/>
                  <a:lstStyle/>
                  <a:p>
                    <a:r>
                      <a:rPr lang="ru-RU" sz="849" b="1"/>
                      <a:t>81,7</a:t>
                    </a:r>
                    <a:r>
                      <a:rPr lang="en-US" sz="849" b="1"/>
                      <a:t>*</a:t>
                    </a:r>
                  </a:p>
                </c:rich>
              </c:tx>
            </c:dLbl>
            <c:dLbl>
              <c:idx val="4"/>
              <c:layout>
                <c:manualLayout>
                  <c:x val="5.9983912175617113E-3"/>
                  <c:y val="6.9086731570695194E-3"/>
                </c:manualLayout>
              </c:layout>
              <c:tx>
                <c:rich>
                  <a:bodyPr/>
                  <a:lstStyle/>
                  <a:p>
                    <a:r>
                      <a:rPr lang="ru-RU" sz="849" b="1"/>
                      <a:t>в 2,5р.*</a:t>
                    </a:r>
                  </a:p>
                </c:rich>
              </c:tx>
            </c:dLbl>
            <c:dLbl>
              <c:idx val="5"/>
              <c:layout>
                <c:manualLayout>
                  <c:x val="1.1755867667579708E-4"/>
                  <c:y val="-3.9126898275095804E-3"/>
                </c:manualLayout>
              </c:layout>
              <c:tx>
                <c:rich>
                  <a:bodyPr/>
                  <a:lstStyle/>
                  <a:p>
                    <a:r>
                      <a:rPr lang="ru-RU" sz="849" b="1"/>
                      <a:t>97,1</a:t>
                    </a:r>
                    <a:r>
                      <a:rPr lang="en-US" sz="849" b="1"/>
                      <a:t>*</a:t>
                    </a:r>
                  </a:p>
                </c:rich>
              </c:tx>
            </c:dLbl>
            <c:dLbl>
              <c:idx val="6"/>
              <c:layout>
                <c:manualLayout>
                  <c:x val="-1.5041069043169857E-4"/>
                  <c:y val="1.2817119904740304E-2"/>
                </c:manualLayout>
              </c:layout>
              <c:tx>
                <c:rich>
                  <a:bodyPr/>
                  <a:lstStyle/>
                  <a:p>
                    <a:r>
                      <a:rPr lang="ru-RU" sz="849" b="1"/>
                      <a:t>177,3</a:t>
                    </a:r>
                    <a:r>
                      <a:rPr lang="en-US" sz="849" b="1"/>
                      <a:t>*</a:t>
                    </a:r>
                  </a:p>
                </c:rich>
              </c:tx>
            </c:dLbl>
            <c:dLbl>
              <c:idx val="7"/>
              <c:layout>
                <c:manualLayout>
                  <c:x val="-1.7740087428226841E-3"/>
                  <c:y val="1.4772626265167522E-2"/>
                </c:manualLayout>
              </c:layout>
              <c:tx>
                <c:rich>
                  <a:bodyPr/>
                  <a:lstStyle/>
                  <a:p>
                    <a:r>
                      <a:rPr lang="en-US" sz="849" b="1"/>
                      <a:t>1</a:t>
                    </a:r>
                    <a:r>
                      <a:rPr lang="ru-RU" sz="849" b="1"/>
                      <a:t>00,4*</a:t>
                    </a:r>
                    <a:endParaRPr lang="en-US" sz="850" b="1"/>
                  </a:p>
                </c:rich>
              </c:tx>
            </c:dLbl>
            <c:dLbl>
              <c:idx val="8"/>
              <c:layout>
                <c:manualLayout>
                  <c:x val="-1.7210268186770143E-3"/>
                  <c:y val="1.7864540095427584E-2"/>
                </c:manualLayout>
              </c:layout>
              <c:tx>
                <c:rich>
                  <a:bodyPr/>
                  <a:lstStyle/>
                  <a:p>
                    <a:r>
                      <a:rPr lang="en-US" sz="849" b="1"/>
                      <a:t>1</a:t>
                    </a:r>
                    <a:r>
                      <a:rPr lang="ru-RU" sz="849" b="1"/>
                      <a:t>19,8</a:t>
                    </a:r>
                    <a:r>
                      <a:rPr lang="en-US" sz="849" b="1"/>
                      <a:t>*</a:t>
                    </a:r>
                  </a:p>
                </c:rich>
              </c:tx>
            </c:dLbl>
            <c:dLbl>
              <c:idx val="9"/>
              <c:layout>
                <c:manualLayout>
                  <c:x val="-8.2221470782410568E-3"/>
                  <c:y val="-8.2104841061534008E-3"/>
                </c:manualLayout>
              </c:layout>
              <c:tx>
                <c:rich>
                  <a:bodyPr/>
                  <a:lstStyle/>
                  <a:p>
                    <a:r>
                      <a:rPr lang="ru-RU" sz="849" b="1"/>
                      <a:t>98,4</a:t>
                    </a:r>
                    <a:r>
                      <a:rPr lang="en-US" sz="849" b="1"/>
                      <a:t>*</a:t>
                    </a:r>
                  </a:p>
                </c:rich>
              </c:tx>
            </c:dLbl>
            <c:dLbl>
              <c:idx val="10"/>
              <c:layout>
                <c:manualLayout>
                  <c:x val="3.3937168896832682E-3"/>
                  <c:y val="-6.7064012831730135E-3"/>
                </c:manualLayout>
              </c:layout>
              <c:tx>
                <c:rich>
                  <a:bodyPr/>
                  <a:lstStyle/>
                  <a:p>
                    <a:r>
                      <a:rPr lang="ru-RU" sz="849" b="1" baseline="0"/>
                      <a:t>56,9</a:t>
                    </a:r>
                    <a:r>
                      <a:rPr lang="en-US" sz="849" b="1" baseline="0"/>
                      <a:t>*</a:t>
                    </a:r>
                    <a:endParaRPr lang="en-US" sz="850" b="1"/>
                  </a:p>
                </c:rich>
              </c:tx>
            </c:dLbl>
            <c:spPr>
              <a:noFill/>
              <a:ln w="25113">
                <a:noFill/>
              </a:ln>
            </c:spPr>
            <c:txPr>
              <a:bodyPr rot="-5400000" vert="horz"/>
              <a:lstStyle/>
              <a:p>
                <a:pPr>
                  <a:defRPr sz="849" b="1"/>
                </a:pPr>
                <a:endParaRPr lang="ru-RU"/>
              </a:p>
            </c:txPr>
            <c:showVal val="1"/>
          </c:dLbls>
          <c:cat>
            <c:strRef>
              <c:f>Лист1!$A$2:$A$12</c:f>
              <c:strCache>
                <c:ptCount val="11"/>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Лесная и деревообрабатывающая промышленность</c:v>
                </c:pt>
                <c:pt idx="6">
                  <c:v>Промышленность строительных материалов</c:v>
                </c:pt>
                <c:pt idx="7">
                  <c:v>Легкая промышленность</c:v>
                </c:pt>
                <c:pt idx="8">
                  <c:v>Пищевая промышленность</c:v>
                </c:pt>
                <c:pt idx="9">
                  <c:v>Мукомольно-крупяная и комбикормовая</c:v>
                </c:pt>
                <c:pt idx="10">
                  <c:v>Полиграфическая промышленность</c:v>
                </c:pt>
              </c:strCache>
            </c:strRef>
          </c:cat>
          <c:val>
            <c:numRef>
              <c:f>Лист1!$C$2:$C$12</c:f>
              <c:numCache>
                <c:formatCode>#,##0.0</c:formatCode>
                <c:ptCount val="11"/>
                <c:pt idx="0">
                  <c:v>306</c:v>
                </c:pt>
                <c:pt idx="1">
                  <c:v>380.3</c:v>
                </c:pt>
                <c:pt idx="2">
                  <c:v>13.9</c:v>
                </c:pt>
                <c:pt idx="3">
                  <c:v>18.7</c:v>
                </c:pt>
                <c:pt idx="4">
                  <c:v>24.9</c:v>
                </c:pt>
                <c:pt idx="5">
                  <c:v>1.1000000000000001</c:v>
                </c:pt>
                <c:pt idx="6">
                  <c:v>29.7</c:v>
                </c:pt>
                <c:pt idx="7">
                  <c:v>113.3</c:v>
                </c:pt>
                <c:pt idx="8">
                  <c:v>122.1</c:v>
                </c:pt>
                <c:pt idx="9">
                  <c:v>11.8</c:v>
                </c:pt>
                <c:pt idx="10">
                  <c:v>1.6</c:v>
                </c:pt>
              </c:numCache>
            </c:numRef>
          </c:val>
        </c:ser>
        <c:shape val="cylinder"/>
        <c:axId val="64862464"/>
        <c:axId val="64868352"/>
        <c:axId val="0"/>
      </c:bar3DChart>
      <c:catAx>
        <c:axId val="64862464"/>
        <c:scaling>
          <c:orientation val="minMax"/>
        </c:scaling>
        <c:axPos val="b"/>
        <c:numFmt formatCode="General" sourceLinked="1"/>
        <c:majorTickMark val="cross"/>
        <c:tickLblPos val="nextTo"/>
        <c:spPr>
          <a:ln>
            <a:solidFill>
              <a:sysClr val="windowText" lastClr="000000">
                <a:lumMod val="50000"/>
                <a:lumOff val="50000"/>
              </a:sysClr>
            </a:solidFill>
          </a:ln>
        </c:spPr>
        <c:txPr>
          <a:bodyPr rot="-5400000" vert="horz"/>
          <a:lstStyle/>
          <a:p>
            <a:pPr>
              <a:defRPr sz="899" b="0"/>
            </a:pPr>
            <a:endParaRPr lang="ru-RU"/>
          </a:p>
        </c:txPr>
        <c:crossAx val="64868352"/>
        <c:crosses val="autoZero"/>
        <c:auto val="1"/>
        <c:lblAlgn val="ctr"/>
        <c:lblOffset val="100"/>
      </c:catAx>
      <c:valAx>
        <c:axId val="64868352"/>
        <c:scaling>
          <c:orientation val="minMax"/>
        </c:scaling>
        <c:axPos val="l"/>
        <c:numFmt formatCode="#,##0.0" sourceLinked="1"/>
        <c:tickLblPos val="nextTo"/>
        <c:txPr>
          <a:bodyPr/>
          <a:lstStyle/>
          <a:p>
            <a:pPr>
              <a:defRPr sz="889" b="1"/>
            </a:pPr>
            <a:endParaRPr lang="ru-RU"/>
          </a:p>
        </c:txPr>
        <c:crossAx val="64862464"/>
        <c:crosses val="autoZero"/>
        <c:crossBetween val="between"/>
        <c:majorUnit val="50"/>
      </c:valAx>
      <c:spPr>
        <a:noFill/>
        <a:ln w="25385">
          <a:noFill/>
        </a:ln>
      </c:spPr>
    </c:plotArea>
    <c:legend>
      <c:legendPos val="r"/>
      <c:legendEntry>
        <c:idx val="0"/>
        <c:txPr>
          <a:bodyPr/>
          <a:lstStyle/>
          <a:p>
            <a:pPr>
              <a:defRPr sz="1050" b="1"/>
            </a:pPr>
            <a:endParaRPr lang="ru-RU"/>
          </a:p>
        </c:txPr>
      </c:legendEntry>
      <c:legendEntry>
        <c:idx val="1"/>
        <c:txPr>
          <a:bodyPr/>
          <a:lstStyle/>
          <a:p>
            <a:pPr>
              <a:defRPr sz="1050" b="1"/>
            </a:pPr>
            <a:endParaRPr lang="ru-RU"/>
          </a:p>
        </c:txPr>
      </c:legendEntry>
      <c:layout>
        <c:manualLayout>
          <c:xMode val="edge"/>
          <c:yMode val="edge"/>
          <c:x val="7.8169785645332002E-2"/>
          <c:y val="0.93103438993202148"/>
          <c:w val="0.83797822758617801"/>
          <c:h val="6.8965636721152301E-2"/>
        </c:manualLayout>
      </c:layout>
      <c:spPr>
        <a:noFill/>
      </c:spPr>
      <c:txPr>
        <a:bodyPr/>
        <a:lstStyle/>
        <a:p>
          <a:pPr>
            <a:defRPr sz="1050"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0.49842</cdr:x>
      <cdr:y>0.88673</cdr:y>
    </cdr:from>
    <cdr:to>
      <cdr:x>0.92429</cdr:x>
      <cdr:y>0.94766</cdr:y>
    </cdr:to>
    <cdr:sp macro="" textlink="">
      <cdr:nvSpPr>
        <cdr:cNvPr id="2" name="TextBox 1"/>
        <cdr:cNvSpPr txBox="1"/>
      </cdr:nvSpPr>
      <cdr:spPr>
        <a:xfrm xmlns:a="http://schemas.openxmlformats.org/drawingml/2006/main">
          <a:off x="3223519" y="1554075"/>
          <a:ext cx="2754303" cy="10678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1">
              <a:latin typeface="Times New Roman" pitchFamily="18" charset="0"/>
              <a:cs typeface="Times New Roman" pitchFamily="18" charset="0"/>
            </a:rPr>
            <a:t>* -темп</a:t>
          </a:r>
          <a:r>
            <a:rPr lang="ru-RU" sz="1000" b="1" baseline="0">
              <a:latin typeface="Times New Roman" pitchFamily="18" charset="0"/>
              <a:cs typeface="Times New Roman" pitchFamily="18" charset="0"/>
            </a:rPr>
            <a:t> роста к предыдущему году, %</a:t>
          </a:r>
          <a:endParaRPr lang="ru-RU" sz="10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0.92717</cdr:y>
    </cdr:from>
    <cdr:to>
      <cdr:x>0.1892</cdr:x>
      <cdr:y>1</cdr:y>
    </cdr:to>
    <cdr:sp macro="" textlink="">
      <cdr:nvSpPr>
        <cdr:cNvPr id="2" name="TextBox 1"/>
        <cdr:cNvSpPr txBox="1"/>
      </cdr:nvSpPr>
      <cdr:spPr>
        <a:xfrm xmlns:a="http://schemas.openxmlformats.org/drawingml/2006/main">
          <a:off x="0" y="3152775"/>
          <a:ext cx="1123950" cy="24764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0.74558</cdr:x>
      <cdr:y>0</cdr:y>
    </cdr:from>
    <cdr:to>
      <cdr:x>1</cdr:x>
      <cdr:y>0.18403</cdr:y>
    </cdr:to>
    <cdr:sp macro="" textlink="">
      <cdr:nvSpPr>
        <cdr:cNvPr id="3" name="TextBox 2"/>
        <cdr:cNvSpPr txBox="1"/>
      </cdr:nvSpPr>
      <cdr:spPr>
        <a:xfrm xmlns:a="http://schemas.openxmlformats.org/drawingml/2006/main">
          <a:off x="4630275" y="0"/>
          <a:ext cx="1580025" cy="50483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850" b="1">
              <a:latin typeface="Times New Roman" pitchFamily="18" charset="0"/>
              <a:cs typeface="Times New Roman" pitchFamily="18" charset="0"/>
            </a:rPr>
            <a:t>*</a:t>
          </a:r>
          <a:r>
            <a:rPr lang="en-US" sz="850" b="1" baseline="0">
              <a:latin typeface="Times New Roman" pitchFamily="18" charset="0"/>
              <a:cs typeface="Times New Roman" pitchFamily="18" charset="0"/>
            </a:rPr>
            <a:t> - </a:t>
          </a:r>
          <a:r>
            <a:rPr lang="ru-RU" sz="850" b="1" baseline="0">
              <a:latin typeface="Times New Roman" pitchFamily="18" charset="0"/>
              <a:cs typeface="Times New Roman" pitchFamily="18" charset="0"/>
            </a:rPr>
            <a:t>темп роста в</a:t>
          </a:r>
        </a:p>
        <a:p xmlns:a="http://schemas.openxmlformats.org/drawingml/2006/main">
          <a:r>
            <a:rPr lang="ru-RU" sz="850" b="1" baseline="0">
              <a:latin typeface="Times New Roman" pitchFamily="18" charset="0"/>
              <a:cs typeface="Times New Roman" pitchFamily="18" charset="0"/>
            </a:rPr>
            <a:t> сопоставимых ценах к </a:t>
          </a:r>
        </a:p>
        <a:p xmlns:a="http://schemas.openxmlformats.org/drawingml/2006/main">
          <a:r>
            <a:rPr lang="ru-RU" sz="850" b="1" baseline="0">
              <a:latin typeface="Times New Roman" pitchFamily="18" charset="0"/>
              <a:cs typeface="Times New Roman" pitchFamily="18" charset="0"/>
            </a:rPr>
            <a:t>соответствующему периоду</a:t>
          </a:r>
        </a:p>
        <a:p xmlns:a="http://schemas.openxmlformats.org/drawingml/2006/main">
          <a:r>
            <a:rPr lang="ru-RU" sz="850" b="1" baseline="0">
              <a:latin typeface="Times New Roman" pitchFamily="18" charset="0"/>
              <a:cs typeface="Times New Roman" pitchFamily="18" charset="0"/>
            </a:rPr>
            <a:t> прошлого года,%</a:t>
          </a:r>
          <a:endParaRPr lang="ru-RU" sz="85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cdr:x>
      <cdr:y>0</cdr:y>
    </cdr:to>
    <cdr:pic>
      <cdr:nvPicPr>
        <cdr:cNvPr id="102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1032750" y="-2645855"/>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0.01565</cdr:x>
      <cdr:y>0.21294</cdr:y>
    </cdr:from>
    <cdr:to>
      <cdr:x>0.26858</cdr:x>
      <cdr:y>0.60647</cdr:y>
    </cdr:to>
    <cdr:sp macro="" textlink="">
      <cdr:nvSpPr>
        <cdr:cNvPr id="3" name="TextBox 2"/>
        <cdr:cNvSpPr txBox="1"/>
      </cdr:nvSpPr>
      <cdr:spPr>
        <a:xfrm xmlns:a="http://schemas.openxmlformats.org/drawingml/2006/main">
          <a:off x="91440" y="601980"/>
          <a:ext cx="1478280" cy="11125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0.1043</cdr:x>
      <cdr:y>0.2938</cdr:y>
    </cdr:from>
    <cdr:to>
      <cdr:x>0.26076</cdr:x>
      <cdr:y>0.61725</cdr:y>
    </cdr:to>
    <cdr:sp macro="" textlink="">
      <cdr:nvSpPr>
        <cdr:cNvPr id="4" name="TextBox 3"/>
        <cdr:cNvSpPr txBox="1"/>
      </cdr:nvSpPr>
      <cdr:spPr>
        <a:xfrm xmlns:a="http://schemas.openxmlformats.org/drawingml/2006/main">
          <a:off x="609600" y="83058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0.05863</cdr:x>
      <cdr:y>0.42625</cdr:y>
    </cdr:from>
    <cdr:to>
      <cdr:x>0.25928</cdr:x>
      <cdr:y>0.65174</cdr:y>
    </cdr:to>
    <cdr:sp macro="" textlink="">
      <cdr:nvSpPr>
        <cdr:cNvPr id="5" name="TextBox 4"/>
        <cdr:cNvSpPr txBox="1"/>
      </cdr:nvSpPr>
      <cdr:spPr>
        <a:xfrm xmlns:a="http://schemas.openxmlformats.org/drawingml/2006/main">
          <a:off x="342900" y="1051560"/>
          <a:ext cx="1173479" cy="5562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900">
              <a:latin typeface="Times New Roman" pitchFamily="18" charset="0"/>
              <a:cs typeface="Times New Roman" pitchFamily="18" charset="0"/>
            </a:rPr>
            <a:t>*- темп роста </a:t>
          </a:r>
        </a:p>
        <a:p xmlns:a="http://schemas.openxmlformats.org/drawingml/2006/main">
          <a:pPr algn="ctr"/>
          <a:r>
            <a:rPr lang="ru-RU" sz="900">
              <a:latin typeface="Times New Roman" pitchFamily="18" charset="0"/>
              <a:cs typeface="Times New Roman" pitchFamily="18" charset="0"/>
            </a:rPr>
            <a:t> приведен к уточненным </a:t>
          </a:r>
        </a:p>
        <a:p xmlns:a="http://schemas.openxmlformats.org/drawingml/2006/main">
          <a:pPr algn="ctr"/>
          <a:r>
            <a:rPr lang="ru-RU" sz="900">
              <a:latin typeface="Times New Roman" pitchFamily="18" charset="0"/>
              <a:cs typeface="Times New Roman" pitchFamily="18" charset="0"/>
            </a:rPr>
            <a:t>данным ГСС ПМР, %</a:t>
          </a:r>
        </a:p>
      </cdr:txBody>
    </cdr:sp>
  </cdr:relSizeAnchor>
</c:userShapes>
</file>

<file path=word/drawings/drawing4.xml><?xml version="1.0" encoding="utf-8"?>
<c:userShapes xmlns:c="http://schemas.openxmlformats.org/drawingml/2006/chart">
  <cdr:relSizeAnchor xmlns:cdr="http://schemas.openxmlformats.org/drawingml/2006/chartDrawing">
    <cdr:from>
      <cdr:x>0.12296</cdr:x>
      <cdr:y>0.18112</cdr:y>
    </cdr:from>
    <cdr:to>
      <cdr:x>0.30615</cdr:x>
      <cdr:y>0.34242</cdr:y>
    </cdr:to>
    <cdr:sp macro="" textlink="">
      <cdr:nvSpPr>
        <cdr:cNvPr id="2" name="TextBox 1"/>
        <cdr:cNvSpPr txBox="1"/>
      </cdr:nvSpPr>
      <cdr:spPr>
        <a:xfrm xmlns:a="http://schemas.openxmlformats.org/drawingml/2006/main">
          <a:off x="746753" y="455444"/>
          <a:ext cx="1112539" cy="4056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0.02038</cdr:x>
      <cdr:y>0.85821</cdr:y>
    </cdr:from>
    <cdr:to>
      <cdr:x>0.44201</cdr:x>
      <cdr:y>1</cdr:y>
    </cdr:to>
    <cdr:sp macro="" textlink="">
      <cdr:nvSpPr>
        <cdr:cNvPr id="3" name="TextBox 2"/>
        <cdr:cNvSpPr txBox="1"/>
      </cdr:nvSpPr>
      <cdr:spPr>
        <a:xfrm xmlns:a="http://schemas.openxmlformats.org/drawingml/2006/main">
          <a:off x="123848" y="2190750"/>
          <a:ext cx="2562202"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latin typeface="Times New Roman" pitchFamily="18" charset="0"/>
              <a:cs typeface="Times New Roman" pitchFamily="18" charset="0"/>
            </a:rPr>
            <a:t>*-темп роста</a:t>
          </a:r>
        </a:p>
        <a:p xmlns:a="http://schemas.openxmlformats.org/drawingml/2006/main">
          <a:r>
            <a:rPr lang="ru-RU" sz="900">
              <a:latin typeface="Times New Roman" pitchFamily="18" charset="0"/>
              <a:cs typeface="Times New Roman" pitchFamily="18" charset="0"/>
            </a:rPr>
            <a:t> к прошлому году,%</a:t>
          </a:r>
        </a:p>
      </cdr:txBody>
    </cdr:sp>
  </cdr:relSizeAnchor>
</c:userShapes>
</file>

<file path=word/drawings/drawing5.xml><?xml version="1.0" encoding="utf-8"?>
<c:userShapes xmlns:c="http://schemas.openxmlformats.org/drawingml/2006/chart">
  <cdr:relSizeAnchor xmlns:cdr="http://schemas.openxmlformats.org/drawingml/2006/chartDrawing">
    <cdr:from>
      <cdr:x>0.01391</cdr:x>
      <cdr:y>0.91442</cdr:y>
    </cdr:from>
    <cdr:to>
      <cdr:x>0.49068</cdr:x>
      <cdr:y>1</cdr:y>
    </cdr:to>
    <cdr:sp macro="" textlink="">
      <cdr:nvSpPr>
        <cdr:cNvPr id="3" name="TextBox 2"/>
        <cdr:cNvSpPr txBox="1"/>
      </cdr:nvSpPr>
      <cdr:spPr>
        <a:xfrm xmlns:a="http://schemas.openxmlformats.org/drawingml/2006/main">
          <a:off x="85325" y="2647794"/>
          <a:ext cx="2924555" cy="24780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900" b="1" i="1">
              <a:latin typeface="Times New Roman" pitchFamily="18" charset="0"/>
              <a:cs typeface="Times New Roman" pitchFamily="18" charset="0"/>
            </a:rPr>
            <a:t>*- Удельный вес в общем объеме</a:t>
          </a:r>
          <a:r>
            <a:rPr lang="ru-RU" sz="900" b="1" i="1" baseline="0">
              <a:latin typeface="Times New Roman" pitchFamily="18" charset="0"/>
              <a:cs typeface="Times New Roman" pitchFamily="18" charset="0"/>
            </a:rPr>
            <a:t> </a:t>
          </a:r>
          <a:r>
            <a:rPr lang="ru-RU" sz="900" b="1" i="1">
              <a:latin typeface="Times New Roman" pitchFamily="18" charset="0"/>
              <a:cs typeface="Times New Roman" pitchFamily="18" charset="0"/>
            </a:rPr>
            <a:t> доходов, %</a:t>
          </a:r>
        </a:p>
      </cdr:txBody>
    </cdr:sp>
  </cdr:relSizeAnchor>
  <cdr:relSizeAnchor xmlns:cdr="http://schemas.openxmlformats.org/drawingml/2006/chartDrawing">
    <cdr:from>
      <cdr:x>0.11353</cdr:x>
      <cdr:y>0.19528</cdr:y>
    </cdr:from>
    <cdr:to>
      <cdr:x>0.19727</cdr:x>
      <cdr:y>0.25658</cdr:y>
    </cdr:to>
    <cdr:sp macro="" textlink="">
      <cdr:nvSpPr>
        <cdr:cNvPr id="4" name="TextBox 3"/>
        <cdr:cNvSpPr txBox="1"/>
      </cdr:nvSpPr>
      <cdr:spPr>
        <a:xfrm xmlns:a="http://schemas.openxmlformats.org/drawingml/2006/main">
          <a:off x="696404" y="543123"/>
          <a:ext cx="513670" cy="1704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*22,8</a:t>
          </a:r>
        </a:p>
      </cdr:txBody>
    </cdr:sp>
  </cdr:relSizeAnchor>
  <cdr:relSizeAnchor xmlns:cdr="http://schemas.openxmlformats.org/drawingml/2006/chartDrawing">
    <cdr:from>
      <cdr:x>0.40092</cdr:x>
      <cdr:y>0.12833</cdr:y>
    </cdr:from>
    <cdr:to>
      <cdr:x>0.48041</cdr:x>
      <cdr:y>0.18313</cdr:y>
    </cdr:to>
    <cdr:sp macro="" textlink="">
      <cdr:nvSpPr>
        <cdr:cNvPr id="5" name="TextBox 4"/>
        <cdr:cNvSpPr txBox="1"/>
      </cdr:nvSpPr>
      <cdr:spPr>
        <a:xfrm xmlns:a="http://schemas.openxmlformats.org/drawingml/2006/main">
          <a:off x="2459295" y="386255"/>
          <a:ext cx="487599" cy="1649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*37,3</a:t>
          </a:r>
        </a:p>
      </cdr:txBody>
    </cdr:sp>
  </cdr:relSizeAnchor>
  <cdr:relSizeAnchor xmlns:cdr="http://schemas.openxmlformats.org/drawingml/2006/chartDrawing">
    <cdr:from>
      <cdr:x>0.54242</cdr:x>
      <cdr:y>0.16965</cdr:y>
    </cdr:from>
    <cdr:to>
      <cdr:x>0.62751</cdr:x>
      <cdr:y>0.23238</cdr:y>
    </cdr:to>
    <cdr:sp macro="" textlink="">
      <cdr:nvSpPr>
        <cdr:cNvPr id="7" name="TextBox 6"/>
        <cdr:cNvSpPr txBox="1"/>
      </cdr:nvSpPr>
      <cdr:spPr>
        <a:xfrm xmlns:a="http://schemas.openxmlformats.org/drawingml/2006/main">
          <a:off x="3327260" y="510639"/>
          <a:ext cx="521950" cy="1888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*26,7</a:t>
          </a:r>
        </a:p>
      </cdr:txBody>
    </cdr:sp>
  </cdr:relSizeAnchor>
  <cdr:relSizeAnchor xmlns:cdr="http://schemas.openxmlformats.org/drawingml/2006/chartDrawing">
    <cdr:from>
      <cdr:x>0.68172</cdr:x>
      <cdr:y>0.2684</cdr:y>
    </cdr:from>
    <cdr:to>
      <cdr:x>0.7503</cdr:x>
      <cdr:y>0.32537</cdr:y>
    </cdr:to>
    <cdr:sp macro="" textlink="">
      <cdr:nvSpPr>
        <cdr:cNvPr id="8" name="TextBox 7"/>
        <cdr:cNvSpPr txBox="1"/>
      </cdr:nvSpPr>
      <cdr:spPr>
        <a:xfrm xmlns:a="http://schemas.openxmlformats.org/drawingml/2006/main">
          <a:off x="4181739" y="746494"/>
          <a:ext cx="420676" cy="158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*8,9</a:t>
          </a:r>
        </a:p>
      </cdr:txBody>
    </cdr:sp>
  </cdr:relSizeAnchor>
  <cdr:relSizeAnchor xmlns:cdr="http://schemas.openxmlformats.org/drawingml/2006/chartDrawing">
    <cdr:from>
      <cdr:x>0.26109</cdr:x>
      <cdr:y>0.30312</cdr:y>
    </cdr:from>
    <cdr:to>
      <cdr:x>0.33083</cdr:x>
      <cdr:y>0.35524</cdr:y>
    </cdr:to>
    <cdr:sp macro="" textlink="">
      <cdr:nvSpPr>
        <cdr:cNvPr id="9" name="TextBox 8"/>
        <cdr:cNvSpPr txBox="1"/>
      </cdr:nvSpPr>
      <cdr:spPr>
        <a:xfrm xmlns:a="http://schemas.openxmlformats.org/drawingml/2006/main">
          <a:off x="1601552" y="843060"/>
          <a:ext cx="427792" cy="1449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*4,1</a:t>
          </a:r>
        </a:p>
      </cdr:txBody>
    </cdr:sp>
  </cdr:relSizeAnchor>
  <cdr:relSizeAnchor xmlns:cdr="http://schemas.openxmlformats.org/drawingml/2006/chartDrawing">
    <cdr:from>
      <cdr:x>0.1802</cdr:x>
      <cdr:y>0.20281</cdr:y>
    </cdr:from>
    <cdr:to>
      <cdr:x>0.25911</cdr:x>
      <cdr:y>0.25169</cdr:y>
    </cdr:to>
    <cdr:sp macro="" textlink="">
      <cdr:nvSpPr>
        <cdr:cNvPr id="10" name="TextBox 9"/>
        <cdr:cNvSpPr txBox="1"/>
      </cdr:nvSpPr>
      <cdr:spPr>
        <a:xfrm xmlns:a="http://schemas.openxmlformats.org/drawingml/2006/main">
          <a:off x="1105365" y="564079"/>
          <a:ext cx="484042" cy="135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*21,0</a:t>
          </a:r>
        </a:p>
      </cdr:txBody>
    </cdr:sp>
  </cdr:relSizeAnchor>
  <cdr:relSizeAnchor xmlns:cdr="http://schemas.openxmlformats.org/drawingml/2006/chartDrawing">
    <cdr:from>
      <cdr:x>0.46419</cdr:x>
      <cdr:y>0.14054</cdr:y>
    </cdr:from>
    <cdr:to>
      <cdr:x>0.55103</cdr:x>
      <cdr:y>0.1977</cdr:y>
    </cdr:to>
    <cdr:sp macro="" textlink="">
      <cdr:nvSpPr>
        <cdr:cNvPr id="11" name="TextBox 10"/>
        <cdr:cNvSpPr txBox="1"/>
      </cdr:nvSpPr>
      <cdr:spPr>
        <a:xfrm xmlns:a="http://schemas.openxmlformats.org/drawingml/2006/main">
          <a:off x="2847397" y="424361"/>
          <a:ext cx="532685" cy="1725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*33,2</a:t>
          </a:r>
        </a:p>
      </cdr:txBody>
    </cdr:sp>
  </cdr:relSizeAnchor>
  <cdr:relSizeAnchor xmlns:cdr="http://schemas.openxmlformats.org/drawingml/2006/chartDrawing">
    <cdr:from>
      <cdr:x>0.59718</cdr:x>
      <cdr:y>0.15631</cdr:y>
    </cdr:from>
    <cdr:to>
      <cdr:x>0.67452</cdr:x>
      <cdr:y>0.20969</cdr:y>
    </cdr:to>
    <cdr:sp macro="" textlink="">
      <cdr:nvSpPr>
        <cdr:cNvPr id="12" name="TextBox 11"/>
        <cdr:cNvSpPr txBox="1"/>
      </cdr:nvSpPr>
      <cdr:spPr>
        <a:xfrm xmlns:a="http://schemas.openxmlformats.org/drawingml/2006/main">
          <a:off x="3663173" y="470467"/>
          <a:ext cx="474411" cy="1606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*30,8</a:t>
          </a:r>
        </a:p>
      </cdr:txBody>
    </cdr:sp>
  </cdr:relSizeAnchor>
  <cdr:relSizeAnchor xmlns:cdr="http://schemas.openxmlformats.org/drawingml/2006/chartDrawing">
    <cdr:from>
      <cdr:x>0.74452</cdr:x>
      <cdr:y>0.27147</cdr:y>
    </cdr:from>
    <cdr:to>
      <cdr:x>0.81508</cdr:x>
      <cdr:y>0.32336</cdr:y>
    </cdr:to>
    <cdr:sp macro="" textlink="">
      <cdr:nvSpPr>
        <cdr:cNvPr id="13" name="TextBox 12"/>
        <cdr:cNvSpPr txBox="1"/>
      </cdr:nvSpPr>
      <cdr:spPr>
        <a:xfrm xmlns:a="http://schemas.openxmlformats.org/drawingml/2006/main">
          <a:off x="4566970" y="755030"/>
          <a:ext cx="432822" cy="14432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*9,4</a:t>
          </a:r>
        </a:p>
      </cdr:txBody>
    </cdr:sp>
  </cdr:relSizeAnchor>
  <cdr:relSizeAnchor xmlns:cdr="http://schemas.openxmlformats.org/drawingml/2006/chartDrawing">
    <cdr:from>
      <cdr:x>0.32245</cdr:x>
      <cdr:y>0.28959</cdr:y>
    </cdr:from>
    <cdr:to>
      <cdr:x>0.39707</cdr:x>
      <cdr:y>0.34339</cdr:y>
    </cdr:to>
    <cdr:sp macro="" textlink="">
      <cdr:nvSpPr>
        <cdr:cNvPr id="14" name="TextBox 13"/>
        <cdr:cNvSpPr txBox="1"/>
      </cdr:nvSpPr>
      <cdr:spPr>
        <a:xfrm xmlns:a="http://schemas.openxmlformats.org/drawingml/2006/main">
          <a:off x="1977941" y="805431"/>
          <a:ext cx="457726" cy="1496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*5,4</a:t>
          </a:r>
        </a:p>
      </cdr:txBody>
    </cdr:sp>
  </cdr:relSizeAnchor>
  <cdr:relSizeAnchor xmlns:cdr="http://schemas.openxmlformats.org/drawingml/2006/chartDrawing">
    <cdr:from>
      <cdr:x>0.82086</cdr:x>
      <cdr:y>0.31316</cdr:y>
    </cdr:from>
    <cdr:to>
      <cdr:x>0.89636</cdr:x>
      <cdr:y>0.36392</cdr:y>
    </cdr:to>
    <cdr:sp macro="" textlink="">
      <cdr:nvSpPr>
        <cdr:cNvPr id="15" name="TextBox 14"/>
        <cdr:cNvSpPr txBox="1"/>
      </cdr:nvSpPr>
      <cdr:spPr>
        <a:xfrm xmlns:a="http://schemas.openxmlformats.org/drawingml/2006/main">
          <a:off x="5035220" y="870983"/>
          <a:ext cx="463125" cy="14117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*0,3</a:t>
          </a:r>
        </a:p>
      </cdr:txBody>
    </cdr:sp>
  </cdr:relSizeAnchor>
  <cdr:relSizeAnchor xmlns:cdr="http://schemas.openxmlformats.org/drawingml/2006/chartDrawing">
    <cdr:from>
      <cdr:x>0.87746</cdr:x>
      <cdr:y>0.31061</cdr:y>
    </cdr:from>
    <cdr:to>
      <cdr:x>0.95759</cdr:x>
      <cdr:y>0.36137</cdr:y>
    </cdr:to>
    <cdr:sp macro="" textlink="">
      <cdr:nvSpPr>
        <cdr:cNvPr id="16" name="TextBox 15"/>
        <cdr:cNvSpPr txBox="1"/>
      </cdr:nvSpPr>
      <cdr:spPr>
        <a:xfrm xmlns:a="http://schemas.openxmlformats.org/drawingml/2006/main">
          <a:off x="5382410" y="863890"/>
          <a:ext cx="491526" cy="14117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i="1">
              <a:latin typeface="Times New Roman" pitchFamily="18" charset="0"/>
              <a:cs typeface="Times New Roman" pitchFamily="18" charset="0"/>
            </a:rPr>
            <a:t>*0,3</a:t>
          </a:r>
        </a:p>
      </cdr:txBody>
    </cdr:sp>
  </cdr:relSizeAnchor>
</c:userShapes>
</file>

<file path=word/drawings/drawing6.xml><?xml version="1.0" encoding="utf-8"?>
<c:userShapes xmlns:c="http://schemas.openxmlformats.org/drawingml/2006/chart">
  <cdr:relSizeAnchor xmlns:cdr="http://schemas.openxmlformats.org/drawingml/2006/chartDrawing">
    <cdr:from>
      <cdr:x>0.02829</cdr:x>
      <cdr:y>0.37512</cdr:y>
    </cdr:from>
    <cdr:to>
      <cdr:x>0.29021</cdr:x>
      <cdr:y>0.56079</cdr:y>
    </cdr:to>
    <cdr:sp macro="" textlink="">
      <cdr:nvSpPr>
        <cdr:cNvPr id="2" name="TextBox 1"/>
        <cdr:cNvSpPr txBox="1"/>
      </cdr:nvSpPr>
      <cdr:spPr>
        <a:xfrm xmlns:a="http://schemas.openxmlformats.org/drawingml/2006/main">
          <a:off x="174335" y="893255"/>
          <a:ext cx="1614128" cy="4421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50" b="1">
              <a:latin typeface="Times New Roman" pitchFamily="18" charset="0"/>
              <a:cs typeface="Times New Roman" pitchFamily="18" charset="0"/>
            </a:rPr>
            <a:t>*- </a:t>
          </a:r>
          <a:r>
            <a:rPr lang="ru-RU" sz="950" b="0">
              <a:latin typeface="Times New Roman" pitchFamily="18" charset="0"/>
              <a:cs typeface="Times New Roman" pitchFamily="18" charset="0"/>
            </a:rPr>
            <a:t>удельный вес в общем объеме инвестиций,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5E8A8-2F46-4056-ABF9-BA393D18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65</Pages>
  <Words>25294</Words>
  <Characters>144176</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grecha-m</dc:creator>
  <cp:lastModifiedBy>kovalenko-k</cp:lastModifiedBy>
  <cp:revision>81</cp:revision>
  <cp:lastPrinted>2018-05-10T06:09:00Z</cp:lastPrinted>
  <dcterms:created xsi:type="dcterms:W3CDTF">2018-05-07T06:53:00Z</dcterms:created>
  <dcterms:modified xsi:type="dcterms:W3CDTF">2018-05-10T06:10:00Z</dcterms:modified>
</cp:coreProperties>
</file>