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drawings/drawing5.xml" ContentType="application/vnd.openxmlformats-officedocument.drawingml.chartshapes+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drawings/drawing6.xml" ContentType="application/vnd.openxmlformats-officedocument.drawingml.chartshapes+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theme/themeOverride50.xml" ContentType="application/vnd.openxmlformats-officedocument.themeOverride+xml"/>
  <Override PartName="/word/charts/chart54.xml" ContentType="application/vnd.openxmlformats-officedocument.drawingml.chart+xml"/>
  <Override PartName="/word/theme/themeOverride51.xml" ContentType="application/vnd.openxmlformats-officedocument.themeOverride+xml"/>
  <Override PartName="/word/charts/chart55.xml" ContentType="application/vnd.openxmlformats-officedocument.drawingml.chart+xml"/>
  <Override PartName="/word/theme/themeOverride52.xml" ContentType="application/vnd.openxmlformats-officedocument.themeOverride+xml"/>
  <Override PartName="/word/charts/chart56.xml" ContentType="application/vnd.openxmlformats-officedocument.drawingml.chart+xml"/>
  <Override PartName="/word/theme/themeOverride53.xml" ContentType="application/vnd.openxmlformats-officedocument.themeOverride+xml"/>
  <Override PartName="/word/charts/chart57.xml" ContentType="application/vnd.openxmlformats-officedocument.drawingml.chart+xml"/>
  <Override PartName="/word/theme/themeOverride54.xml" ContentType="application/vnd.openxmlformats-officedocument.themeOverride+xml"/>
  <Override PartName="/word/charts/chart58.xml" ContentType="application/vnd.openxmlformats-officedocument.drawingml.chart+xml"/>
  <Override PartName="/word/theme/themeOverride55.xml" ContentType="application/vnd.openxmlformats-officedocument.themeOverride+xml"/>
  <Override PartName="/word/charts/chart59.xml" ContentType="application/vnd.openxmlformats-officedocument.drawingml.chart+xml"/>
  <Override PartName="/word/theme/themeOverride5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r w:rsidRPr="0080737A">
        <w:rPr>
          <w:rFonts w:ascii="Times New Roman" w:hAnsi="Times New Roman"/>
          <w:b/>
          <w:bCs/>
          <w:sz w:val="28"/>
          <w:szCs w:val="28"/>
        </w:rPr>
        <w:t>МИНИСТЕРСТВО ЭКОНОМИЧЕСКОГО РАЗВИТИЯ</w:t>
      </w: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bCs/>
          <w:sz w:val="28"/>
          <w:szCs w:val="28"/>
        </w:rPr>
        <w:t>ПРИДНЕСТРОВСКОЙ МОЛДАВСКОЙ РЕСПУБЛИКИ</w:t>
      </w: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4"/>
          <w:szCs w:val="44"/>
        </w:rPr>
      </w:pPr>
      <w:r w:rsidRPr="0080737A">
        <w:rPr>
          <w:rFonts w:ascii="Times New Roman" w:hAnsi="Times New Roman"/>
          <w:b/>
          <w:bCs/>
          <w:sz w:val="44"/>
          <w:szCs w:val="44"/>
        </w:rPr>
        <w:t>ДОКЛАД</w:t>
      </w: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80737A">
        <w:rPr>
          <w:rFonts w:ascii="Times New Roman" w:hAnsi="Times New Roman"/>
          <w:b/>
          <w:bCs/>
          <w:sz w:val="48"/>
          <w:szCs w:val="48"/>
        </w:rPr>
        <w:t>«О социально-экономическом развитии</w:t>
      </w: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80737A">
        <w:rPr>
          <w:rFonts w:ascii="Times New Roman" w:hAnsi="Times New Roman"/>
          <w:b/>
          <w:bCs/>
          <w:sz w:val="48"/>
          <w:szCs w:val="48"/>
        </w:rPr>
        <w:t>Приднестровской Молдавской Республики в 201</w:t>
      </w:r>
      <w:r w:rsidR="0078535F">
        <w:rPr>
          <w:rFonts w:ascii="Times New Roman" w:hAnsi="Times New Roman"/>
          <w:b/>
          <w:bCs/>
          <w:sz w:val="48"/>
          <w:szCs w:val="48"/>
        </w:rPr>
        <w:t>8</w:t>
      </w:r>
      <w:r w:rsidRPr="0080737A">
        <w:rPr>
          <w:rFonts w:ascii="Times New Roman" w:hAnsi="Times New Roman"/>
          <w:b/>
          <w:bCs/>
          <w:sz w:val="48"/>
          <w:szCs w:val="48"/>
        </w:rPr>
        <w:t xml:space="preserve"> год</w:t>
      </w:r>
      <w:r w:rsidR="00A11B16">
        <w:rPr>
          <w:rFonts w:ascii="Times New Roman" w:hAnsi="Times New Roman"/>
          <w:b/>
          <w:bCs/>
          <w:sz w:val="48"/>
          <w:szCs w:val="48"/>
        </w:rPr>
        <w:t>у</w:t>
      </w:r>
      <w:r w:rsidRPr="0080737A">
        <w:rPr>
          <w:rFonts w:ascii="Times New Roman" w:hAnsi="Times New Roman"/>
          <w:b/>
          <w:bCs/>
          <w:sz w:val="48"/>
          <w:szCs w:val="48"/>
        </w:rPr>
        <w:t>»</w:t>
      </w: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sz w:val="28"/>
          <w:szCs w:val="28"/>
        </w:rPr>
        <w:t>г. Тирасполь</w:t>
      </w: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sz w:val="28"/>
          <w:szCs w:val="28"/>
        </w:rPr>
        <w:t>201</w:t>
      </w:r>
      <w:r w:rsidR="00A11B16">
        <w:rPr>
          <w:rFonts w:ascii="Times New Roman" w:hAnsi="Times New Roman"/>
          <w:b/>
          <w:sz w:val="28"/>
          <w:szCs w:val="28"/>
        </w:rPr>
        <w:t>9</w:t>
      </w:r>
      <w:r w:rsidRPr="0080737A">
        <w:rPr>
          <w:rFonts w:ascii="Times New Roman" w:hAnsi="Times New Roman"/>
          <w:b/>
          <w:sz w:val="28"/>
          <w:szCs w:val="28"/>
        </w:rPr>
        <w:t xml:space="preserve"> год</w:t>
      </w:r>
    </w:p>
    <w:p w:rsidR="00335844" w:rsidRPr="0080737A" w:rsidRDefault="00335844" w:rsidP="007D3AA7">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7D3AA7">
      <w:pPr>
        <w:spacing w:after="0" w:line="240" w:lineRule="auto"/>
        <w:jc w:val="center"/>
        <w:rPr>
          <w:rFonts w:ascii="Times New Roman" w:hAnsi="Times New Roman"/>
          <w:b/>
          <w:sz w:val="24"/>
          <w:szCs w:val="24"/>
        </w:rPr>
      </w:pPr>
    </w:p>
    <w:p w:rsidR="00335844" w:rsidRPr="0080737A" w:rsidRDefault="00335844" w:rsidP="007D3AA7">
      <w:pPr>
        <w:spacing w:after="0" w:line="240" w:lineRule="auto"/>
        <w:jc w:val="center"/>
        <w:rPr>
          <w:rFonts w:ascii="Times New Roman" w:hAnsi="Times New Roman"/>
          <w:b/>
          <w:sz w:val="24"/>
          <w:szCs w:val="24"/>
        </w:rPr>
      </w:pPr>
    </w:p>
    <w:p w:rsidR="00335844" w:rsidRPr="0080737A" w:rsidRDefault="00335844" w:rsidP="007D3AA7">
      <w:pPr>
        <w:spacing w:after="0" w:line="240" w:lineRule="auto"/>
        <w:jc w:val="center"/>
        <w:rPr>
          <w:rFonts w:ascii="Times New Roman" w:hAnsi="Times New Roman"/>
          <w:b/>
          <w:sz w:val="24"/>
          <w:szCs w:val="24"/>
        </w:rPr>
      </w:pPr>
    </w:p>
    <w:p w:rsidR="00335844" w:rsidRPr="0080737A" w:rsidRDefault="00335844" w:rsidP="007D3AA7">
      <w:pPr>
        <w:spacing w:after="0" w:line="240" w:lineRule="auto"/>
        <w:jc w:val="center"/>
        <w:rPr>
          <w:rFonts w:ascii="Times New Roman" w:hAnsi="Times New Roman"/>
          <w:b/>
          <w:sz w:val="24"/>
          <w:szCs w:val="24"/>
        </w:rPr>
      </w:pPr>
    </w:p>
    <w:p w:rsidR="00335844" w:rsidRPr="0080737A" w:rsidRDefault="00335844" w:rsidP="007D3AA7">
      <w:pPr>
        <w:spacing w:after="0" w:line="240" w:lineRule="auto"/>
        <w:jc w:val="center"/>
        <w:rPr>
          <w:rFonts w:ascii="Times New Roman" w:hAnsi="Times New Roman"/>
          <w:b/>
          <w:sz w:val="24"/>
          <w:szCs w:val="24"/>
        </w:rPr>
      </w:pPr>
    </w:p>
    <w:p w:rsidR="00335844" w:rsidRPr="002A6944" w:rsidRDefault="00335844" w:rsidP="007D3AA7">
      <w:pPr>
        <w:spacing w:after="0" w:line="240" w:lineRule="auto"/>
        <w:jc w:val="center"/>
        <w:rPr>
          <w:rFonts w:ascii="Times New Roman" w:hAnsi="Times New Roman"/>
          <w:b/>
          <w:sz w:val="28"/>
          <w:szCs w:val="28"/>
        </w:rPr>
      </w:pPr>
      <w:r w:rsidRPr="002A6944">
        <w:rPr>
          <w:rFonts w:ascii="Times New Roman" w:hAnsi="Times New Roman"/>
          <w:b/>
          <w:sz w:val="28"/>
          <w:szCs w:val="28"/>
        </w:rPr>
        <w:lastRenderedPageBreak/>
        <w:t>Содержание</w:t>
      </w:r>
    </w:p>
    <w:p w:rsidR="00335844" w:rsidRPr="0080737A" w:rsidRDefault="00335844" w:rsidP="007D3AA7">
      <w:pPr>
        <w:spacing w:after="0" w:line="240" w:lineRule="auto"/>
        <w:ind w:firstLine="851"/>
        <w:jc w:val="both"/>
        <w:rPr>
          <w:rFonts w:ascii="Times New Roman" w:hAnsi="Times New Roman"/>
          <w:b/>
          <w:sz w:val="24"/>
          <w:szCs w:val="24"/>
        </w:rPr>
      </w:pPr>
    </w:p>
    <w:p w:rsidR="00335844" w:rsidRPr="0080737A" w:rsidRDefault="00335844" w:rsidP="007D3AA7">
      <w:pPr>
        <w:spacing w:after="0" w:line="240" w:lineRule="auto"/>
        <w:ind w:firstLine="851"/>
        <w:jc w:val="both"/>
        <w:rPr>
          <w:rFonts w:ascii="Times New Roman" w:hAnsi="Times New Roman"/>
          <w:b/>
          <w:sz w:val="24"/>
          <w:szCs w:val="24"/>
        </w:rPr>
      </w:pPr>
    </w:p>
    <w:tbl>
      <w:tblPr>
        <w:tblW w:w="9434" w:type="dxa"/>
        <w:tblLook w:val="01E0" w:firstRow="1" w:lastRow="1" w:firstColumn="1" w:lastColumn="1" w:noHBand="0" w:noVBand="0"/>
      </w:tblPr>
      <w:tblGrid>
        <w:gridCol w:w="8798"/>
        <w:gridCol w:w="636"/>
      </w:tblGrid>
      <w:tr w:rsidR="003D29EE" w:rsidRPr="0080737A" w:rsidTr="004A34E5">
        <w:tc>
          <w:tcPr>
            <w:tcW w:w="8798" w:type="dxa"/>
          </w:tcPr>
          <w:p w:rsidR="003D29EE" w:rsidRPr="002A6944" w:rsidRDefault="003D29EE" w:rsidP="007D3AA7">
            <w:pPr>
              <w:spacing w:after="0" w:line="240" w:lineRule="auto"/>
              <w:jc w:val="both"/>
              <w:rPr>
                <w:rFonts w:ascii="Times New Roman" w:hAnsi="Times New Roman"/>
                <w:b/>
                <w:sz w:val="28"/>
                <w:szCs w:val="28"/>
              </w:rPr>
            </w:pPr>
            <w:r w:rsidRPr="002A6944">
              <w:rPr>
                <w:rFonts w:ascii="Times New Roman" w:hAnsi="Times New Roman"/>
                <w:b/>
                <w:sz w:val="28"/>
                <w:szCs w:val="28"/>
              </w:rPr>
              <w:t xml:space="preserve">Основные тенденции развития экономики Приднестровской </w:t>
            </w:r>
          </w:p>
          <w:p w:rsidR="003D29EE" w:rsidRPr="002A6944" w:rsidRDefault="003D29EE" w:rsidP="007D3AA7">
            <w:pPr>
              <w:spacing w:after="0" w:line="240" w:lineRule="auto"/>
              <w:jc w:val="both"/>
              <w:rPr>
                <w:rFonts w:ascii="Times New Roman" w:hAnsi="Times New Roman"/>
                <w:sz w:val="28"/>
                <w:szCs w:val="28"/>
              </w:rPr>
            </w:pPr>
            <w:r w:rsidRPr="002A6944">
              <w:rPr>
                <w:rFonts w:ascii="Times New Roman" w:hAnsi="Times New Roman"/>
                <w:b/>
                <w:sz w:val="28"/>
                <w:szCs w:val="28"/>
              </w:rPr>
              <w:t>Молдавской Республики в 201</w:t>
            </w:r>
            <w:r w:rsidR="0078535F" w:rsidRPr="002A6944">
              <w:rPr>
                <w:rFonts w:ascii="Times New Roman" w:hAnsi="Times New Roman"/>
                <w:b/>
                <w:sz w:val="28"/>
                <w:szCs w:val="28"/>
              </w:rPr>
              <w:t>8</w:t>
            </w:r>
            <w:r w:rsidRPr="002A6944">
              <w:rPr>
                <w:rFonts w:ascii="Times New Roman" w:hAnsi="Times New Roman"/>
                <w:b/>
                <w:sz w:val="28"/>
                <w:szCs w:val="28"/>
              </w:rPr>
              <w:t xml:space="preserve"> год</w:t>
            </w:r>
            <w:r w:rsidR="00A11B16">
              <w:rPr>
                <w:rFonts w:ascii="Times New Roman" w:hAnsi="Times New Roman"/>
                <w:b/>
                <w:sz w:val="28"/>
                <w:szCs w:val="28"/>
              </w:rPr>
              <w:t>у……………….</w:t>
            </w:r>
            <w:r w:rsidR="004A34E5" w:rsidRPr="002A6944">
              <w:rPr>
                <w:rFonts w:ascii="Times New Roman" w:hAnsi="Times New Roman"/>
                <w:b/>
                <w:sz w:val="28"/>
                <w:szCs w:val="28"/>
              </w:rPr>
              <w:t>……</w:t>
            </w:r>
            <w:r w:rsidR="002A6944">
              <w:rPr>
                <w:rFonts w:ascii="Times New Roman" w:hAnsi="Times New Roman"/>
                <w:b/>
                <w:sz w:val="28"/>
                <w:szCs w:val="28"/>
              </w:rPr>
              <w:t>………</w:t>
            </w:r>
          </w:p>
        </w:tc>
        <w:tc>
          <w:tcPr>
            <w:tcW w:w="636" w:type="dxa"/>
            <w:vAlign w:val="bottom"/>
          </w:tcPr>
          <w:p w:rsidR="003D29EE" w:rsidRPr="002A6944" w:rsidRDefault="003D29EE" w:rsidP="007D3AA7">
            <w:pPr>
              <w:spacing w:after="0" w:line="240" w:lineRule="auto"/>
              <w:rPr>
                <w:rFonts w:ascii="Times New Roman" w:hAnsi="Times New Roman"/>
                <w:b/>
                <w:sz w:val="28"/>
                <w:szCs w:val="28"/>
              </w:rPr>
            </w:pPr>
            <w:r w:rsidRPr="002A6944">
              <w:rPr>
                <w:rFonts w:ascii="Times New Roman" w:hAnsi="Times New Roman"/>
                <w:b/>
                <w:sz w:val="28"/>
                <w:szCs w:val="28"/>
              </w:rPr>
              <w:t>3</w:t>
            </w:r>
          </w:p>
        </w:tc>
      </w:tr>
      <w:tr w:rsidR="00805A58" w:rsidRPr="0080737A" w:rsidTr="00805A58">
        <w:tc>
          <w:tcPr>
            <w:tcW w:w="8798" w:type="dxa"/>
          </w:tcPr>
          <w:p w:rsidR="00805A58" w:rsidRPr="002A6944" w:rsidRDefault="00805A58" w:rsidP="007D3AA7">
            <w:pPr>
              <w:spacing w:after="0" w:line="240" w:lineRule="auto"/>
              <w:jc w:val="both"/>
              <w:rPr>
                <w:rFonts w:ascii="Times New Roman" w:hAnsi="Times New Roman"/>
                <w:sz w:val="28"/>
                <w:szCs w:val="28"/>
              </w:rPr>
            </w:pPr>
            <w:r w:rsidRPr="002A6944">
              <w:rPr>
                <w:rFonts w:ascii="Times New Roman" w:hAnsi="Times New Roman"/>
                <w:sz w:val="28"/>
                <w:szCs w:val="28"/>
              </w:rPr>
              <w:t>Объем и с</w:t>
            </w:r>
            <w:r w:rsidR="002A6944">
              <w:rPr>
                <w:rFonts w:ascii="Times New Roman" w:hAnsi="Times New Roman"/>
                <w:sz w:val="28"/>
                <w:szCs w:val="28"/>
              </w:rPr>
              <w:t>труктура ВВП…………………………………………….</w:t>
            </w:r>
            <w:r w:rsidR="00D8336A">
              <w:rPr>
                <w:rFonts w:ascii="Times New Roman" w:hAnsi="Times New Roman"/>
                <w:sz w:val="28"/>
                <w:szCs w:val="28"/>
              </w:rPr>
              <w:t>.</w:t>
            </w:r>
          </w:p>
        </w:tc>
        <w:tc>
          <w:tcPr>
            <w:tcW w:w="636" w:type="dxa"/>
          </w:tcPr>
          <w:p w:rsidR="00805A58" w:rsidRPr="002A6944" w:rsidRDefault="00805A58" w:rsidP="007D3AA7">
            <w:pPr>
              <w:spacing w:after="0" w:line="240" w:lineRule="auto"/>
              <w:rPr>
                <w:rFonts w:ascii="Times New Roman" w:hAnsi="Times New Roman"/>
                <w:sz w:val="28"/>
                <w:szCs w:val="28"/>
              </w:rPr>
            </w:pPr>
            <w:r w:rsidRPr="002A6944">
              <w:rPr>
                <w:rFonts w:ascii="Times New Roman" w:hAnsi="Times New Roman"/>
                <w:sz w:val="28"/>
                <w:szCs w:val="28"/>
              </w:rPr>
              <w:t>3</w:t>
            </w:r>
          </w:p>
        </w:tc>
      </w:tr>
      <w:tr w:rsidR="00805A58" w:rsidRPr="0080737A" w:rsidTr="003F67B2">
        <w:tc>
          <w:tcPr>
            <w:tcW w:w="8798" w:type="dxa"/>
          </w:tcPr>
          <w:p w:rsidR="00805A58" w:rsidRPr="0080737A" w:rsidRDefault="00805A58" w:rsidP="007D3AA7">
            <w:pPr>
              <w:spacing w:after="0" w:line="240" w:lineRule="auto"/>
              <w:jc w:val="both"/>
              <w:rPr>
                <w:rFonts w:ascii="Times New Roman" w:hAnsi="Times New Roman"/>
                <w:b/>
                <w:sz w:val="24"/>
                <w:szCs w:val="24"/>
              </w:rPr>
            </w:pPr>
          </w:p>
        </w:tc>
        <w:tc>
          <w:tcPr>
            <w:tcW w:w="636" w:type="dxa"/>
          </w:tcPr>
          <w:p w:rsidR="00805A58" w:rsidRPr="0080737A" w:rsidRDefault="00805A58" w:rsidP="007D3AA7">
            <w:pPr>
              <w:spacing w:after="0" w:line="240" w:lineRule="auto"/>
              <w:jc w:val="both"/>
              <w:rPr>
                <w:rFonts w:ascii="Times New Roman" w:hAnsi="Times New Roman"/>
                <w:b/>
                <w:sz w:val="24"/>
                <w:szCs w:val="24"/>
              </w:rPr>
            </w:pPr>
          </w:p>
        </w:tc>
      </w:tr>
      <w:tr w:rsidR="00805A58" w:rsidRPr="002A6944" w:rsidTr="003F67B2">
        <w:tc>
          <w:tcPr>
            <w:tcW w:w="8798" w:type="dxa"/>
          </w:tcPr>
          <w:p w:rsidR="00805A58" w:rsidRPr="002A6944" w:rsidRDefault="00805A58" w:rsidP="007D3AA7">
            <w:pPr>
              <w:spacing w:after="0" w:line="240" w:lineRule="auto"/>
              <w:jc w:val="both"/>
              <w:rPr>
                <w:rFonts w:ascii="Times New Roman" w:hAnsi="Times New Roman"/>
                <w:b/>
                <w:sz w:val="28"/>
                <w:szCs w:val="28"/>
              </w:rPr>
            </w:pPr>
            <w:r w:rsidRPr="002A6944">
              <w:rPr>
                <w:rFonts w:ascii="Times New Roman" w:hAnsi="Times New Roman"/>
                <w:b/>
                <w:sz w:val="28"/>
                <w:szCs w:val="28"/>
              </w:rPr>
              <w:t>Состояние реального</w:t>
            </w:r>
            <w:r w:rsidR="002A6944">
              <w:rPr>
                <w:rFonts w:ascii="Times New Roman" w:hAnsi="Times New Roman"/>
                <w:b/>
                <w:sz w:val="28"/>
                <w:szCs w:val="28"/>
              </w:rPr>
              <w:t xml:space="preserve"> сектора экономики……………………….</w:t>
            </w:r>
            <w:r w:rsidR="00D8336A">
              <w:rPr>
                <w:rFonts w:ascii="Times New Roman" w:hAnsi="Times New Roman"/>
                <w:b/>
                <w:sz w:val="28"/>
                <w:szCs w:val="28"/>
              </w:rPr>
              <w:t>.</w:t>
            </w:r>
          </w:p>
        </w:tc>
        <w:tc>
          <w:tcPr>
            <w:tcW w:w="636" w:type="dxa"/>
          </w:tcPr>
          <w:p w:rsidR="00805A58" w:rsidRPr="002A6944" w:rsidRDefault="009C1568" w:rsidP="007D3AA7">
            <w:pPr>
              <w:spacing w:after="0" w:line="240" w:lineRule="auto"/>
              <w:jc w:val="both"/>
              <w:rPr>
                <w:rFonts w:ascii="Times New Roman" w:hAnsi="Times New Roman"/>
                <w:b/>
                <w:sz w:val="28"/>
                <w:szCs w:val="28"/>
              </w:rPr>
            </w:pPr>
            <w:r>
              <w:rPr>
                <w:rFonts w:ascii="Times New Roman" w:hAnsi="Times New Roman"/>
                <w:b/>
                <w:sz w:val="28"/>
                <w:szCs w:val="28"/>
              </w:rPr>
              <w:t>7</w:t>
            </w:r>
          </w:p>
        </w:tc>
      </w:tr>
      <w:tr w:rsidR="00805A58" w:rsidRPr="002A6944" w:rsidTr="003F67B2">
        <w:tc>
          <w:tcPr>
            <w:tcW w:w="8798" w:type="dxa"/>
          </w:tcPr>
          <w:p w:rsidR="00805A58" w:rsidRPr="002A6944" w:rsidRDefault="00805A58" w:rsidP="007D3AA7">
            <w:pPr>
              <w:spacing w:after="0" w:line="240" w:lineRule="auto"/>
              <w:jc w:val="both"/>
              <w:rPr>
                <w:rFonts w:ascii="Times New Roman" w:hAnsi="Times New Roman"/>
                <w:sz w:val="28"/>
                <w:szCs w:val="28"/>
              </w:rPr>
            </w:pPr>
            <w:r w:rsidRPr="002A6944">
              <w:rPr>
                <w:rFonts w:ascii="Times New Roman" w:hAnsi="Times New Roman"/>
                <w:sz w:val="28"/>
                <w:szCs w:val="28"/>
              </w:rPr>
              <w:t>Промы</w:t>
            </w:r>
            <w:r w:rsidR="002A6944">
              <w:rPr>
                <w:rFonts w:ascii="Times New Roman" w:hAnsi="Times New Roman"/>
                <w:sz w:val="28"/>
                <w:szCs w:val="28"/>
              </w:rPr>
              <w:t>шленность…………………………………………………….</w:t>
            </w:r>
            <w:r w:rsidR="00D8336A">
              <w:rPr>
                <w:rFonts w:ascii="Times New Roman" w:hAnsi="Times New Roman"/>
                <w:sz w:val="28"/>
                <w:szCs w:val="28"/>
              </w:rPr>
              <w:t>..</w:t>
            </w:r>
          </w:p>
        </w:tc>
        <w:tc>
          <w:tcPr>
            <w:tcW w:w="636" w:type="dxa"/>
          </w:tcPr>
          <w:p w:rsidR="00805A58" w:rsidRPr="002A6944" w:rsidRDefault="009C1568" w:rsidP="007D3AA7">
            <w:pPr>
              <w:spacing w:after="0" w:line="240" w:lineRule="auto"/>
              <w:jc w:val="both"/>
              <w:rPr>
                <w:rFonts w:ascii="Times New Roman" w:hAnsi="Times New Roman"/>
                <w:sz w:val="28"/>
                <w:szCs w:val="28"/>
              </w:rPr>
            </w:pPr>
            <w:r>
              <w:rPr>
                <w:rFonts w:ascii="Times New Roman" w:hAnsi="Times New Roman"/>
                <w:sz w:val="28"/>
                <w:szCs w:val="28"/>
              </w:rPr>
              <w:t>7</w:t>
            </w:r>
          </w:p>
        </w:tc>
      </w:tr>
      <w:tr w:rsidR="00805A58" w:rsidRPr="002A6944" w:rsidTr="003F67B2">
        <w:tc>
          <w:tcPr>
            <w:tcW w:w="8798" w:type="dxa"/>
          </w:tcPr>
          <w:p w:rsidR="00805A58" w:rsidRPr="002A6944" w:rsidRDefault="00805A58" w:rsidP="007D3AA7">
            <w:pPr>
              <w:spacing w:after="0" w:line="240" w:lineRule="auto"/>
              <w:jc w:val="both"/>
              <w:rPr>
                <w:rFonts w:ascii="Times New Roman" w:hAnsi="Times New Roman"/>
                <w:sz w:val="28"/>
                <w:szCs w:val="28"/>
              </w:rPr>
            </w:pPr>
            <w:r w:rsidRPr="002A6944">
              <w:rPr>
                <w:rFonts w:ascii="Times New Roman" w:hAnsi="Times New Roman"/>
                <w:sz w:val="28"/>
                <w:szCs w:val="28"/>
              </w:rPr>
              <w:t>Агропромышл</w:t>
            </w:r>
            <w:r w:rsidR="002A6944">
              <w:rPr>
                <w:rFonts w:ascii="Times New Roman" w:hAnsi="Times New Roman"/>
                <w:sz w:val="28"/>
                <w:szCs w:val="28"/>
              </w:rPr>
              <w:t>енный комплекс…………………………………….</w:t>
            </w:r>
            <w:r w:rsidR="00D8336A">
              <w:rPr>
                <w:rFonts w:ascii="Times New Roman" w:hAnsi="Times New Roman"/>
                <w:sz w:val="28"/>
                <w:szCs w:val="28"/>
              </w:rPr>
              <w:t>.</w:t>
            </w:r>
            <w:r w:rsidR="002A6944">
              <w:rPr>
                <w:rFonts w:ascii="Times New Roman" w:hAnsi="Times New Roman"/>
                <w:sz w:val="28"/>
                <w:szCs w:val="28"/>
              </w:rPr>
              <w:t>..</w:t>
            </w:r>
          </w:p>
        </w:tc>
        <w:tc>
          <w:tcPr>
            <w:tcW w:w="636" w:type="dxa"/>
          </w:tcPr>
          <w:p w:rsidR="00805A58" w:rsidRPr="002A6944" w:rsidRDefault="00090A9B" w:rsidP="007D3AA7">
            <w:pPr>
              <w:spacing w:after="0" w:line="240" w:lineRule="auto"/>
              <w:jc w:val="both"/>
              <w:rPr>
                <w:rFonts w:ascii="Times New Roman" w:hAnsi="Times New Roman"/>
                <w:sz w:val="28"/>
                <w:szCs w:val="28"/>
              </w:rPr>
            </w:pPr>
            <w:r w:rsidRPr="002A6944">
              <w:rPr>
                <w:rFonts w:ascii="Times New Roman" w:hAnsi="Times New Roman"/>
                <w:sz w:val="28"/>
                <w:szCs w:val="28"/>
              </w:rPr>
              <w:t>1</w:t>
            </w:r>
            <w:r w:rsidR="0055204D">
              <w:rPr>
                <w:rFonts w:ascii="Times New Roman" w:hAnsi="Times New Roman"/>
                <w:sz w:val="28"/>
                <w:szCs w:val="28"/>
              </w:rPr>
              <w:t>2</w:t>
            </w:r>
          </w:p>
        </w:tc>
      </w:tr>
      <w:tr w:rsidR="00805A58" w:rsidRPr="002A6944" w:rsidTr="003F67B2">
        <w:tc>
          <w:tcPr>
            <w:tcW w:w="8798" w:type="dxa"/>
          </w:tcPr>
          <w:p w:rsidR="00805A58" w:rsidRPr="002A6944" w:rsidRDefault="00805A58" w:rsidP="007D3AA7">
            <w:pPr>
              <w:widowControl w:val="0"/>
              <w:autoSpaceDE w:val="0"/>
              <w:autoSpaceDN w:val="0"/>
              <w:adjustRightInd w:val="0"/>
              <w:spacing w:after="0" w:line="240" w:lineRule="auto"/>
              <w:jc w:val="both"/>
              <w:rPr>
                <w:rFonts w:ascii="Times New Roman" w:hAnsi="Times New Roman"/>
                <w:sz w:val="28"/>
                <w:szCs w:val="28"/>
              </w:rPr>
            </w:pPr>
            <w:r w:rsidRPr="002A6944">
              <w:rPr>
                <w:rFonts w:ascii="Times New Roman" w:hAnsi="Times New Roman"/>
                <w:sz w:val="28"/>
                <w:szCs w:val="28"/>
              </w:rPr>
              <w:t>Тран</w:t>
            </w:r>
            <w:r w:rsidR="002A6944">
              <w:rPr>
                <w:rFonts w:ascii="Times New Roman" w:hAnsi="Times New Roman"/>
                <w:sz w:val="28"/>
                <w:szCs w:val="28"/>
              </w:rPr>
              <w:t>спорт…………………………………………………………….</w:t>
            </w:r>
            <w:r w:rsidR="00D8336A">
              <w:rPr>
                <w:rFonts w:ascii="Times New Roman" w:hAnsi="Times New Roman"/>
                <w:sz w:val="28"/>
                <w:szCs w:val="28"/>
              </w:rPr>
              <w:t>.</w:t>
            </w:r>
            <w:r w:rsidR="002A6944">
              <w:rPr>
                <w:rFonts w:ascii="Times New Roman" w:hAnsi="Times New Roman"/>
                <w:sz w:val="28"/>
                <w:szCs w:val="28"/>
              </w:rPr>
              <w:t>.</w:t>
            </w:r>
          </w:p>
        </w:tc>
        <w:tc>
          <w:tcPr>
            <w:tcW w:w="636" w:type="dxa"/>
          </w:tcPr>
          <w:p w:rsidR="00805A58" w:rsidRPr="002A6944" w:rsidRDefault="00090A9B" w:rsidP="007D3AA7">
            <w:pPr>
              <w:spacing w:after="0" w:line="240" w:lineRule="auto"/>
              <w:jc w:val="both"/>
              <w:rPr>
                <w:rFonts w:ascii="Times New Roman" w:hAnsi="Times New Roman"/>
                <w:sz w:val="28"/>
                <w:szCs w:val="28"/>
              </w:rPr>
            </w:pPr>
            <w:r w:rsidRPr="002A6944">
              <w:rPr>
                <w:rFonts w:ascii="Times New Roman" w:hAnsi="Times New Roman"/>
                <w:sz w:val="28"/>
                <w:szCs w:val="28"/>
              </w:rPr>
              <w:t>1</w:t>
            </w:r>
            <w:r w:rsidR="0055204D">
              <w:rPr>
                <w:rFonts w:ascii="Times New Roman" w:hAnsi="Times New Roman"/>
                <w:sz w:val="28"/>
                <w:szCs w:val="28"/>
              </w:rPr>
              <w:t>7</w:t>
            </w:r>
          </w:p>
        </w:tc>
      </w:tr>
      <w:tr w:rsidR="00805A58" w:rsidRPr="002A6944" w:rsidTr="003F67B2">
        <w:tc>
          <w:tcPr>
            <w:tcW w:w="8798" w:type="dxa"/>
          </w:tcPr>
          <w:p w:rsidR="00805A58" w:rsidRPr="002A6944" w:rsidRDefault="00805A58" w:rsidP="007D3AA7">
            <w:pPr>
              <w:widowControl w:val="0"/>
              <w:autoSpaceDE w:val="0"/>
              <w:autoSpaceDN w:val="0"/>
              <w:adjustRightInd w:val="0"/>
              <w:spacing w:after="0" w:line="240" w:lineRule="auto"/>
              <w:jc w:val="both"/>
              <w:rPr>
                <w:rFonts w:ascii="Times New Roman" w:hAnsi="Times New Roman"/>
                <w:sz w:val="28"/>
                <w:szCs w:val="28"/>
              </w:rPr>
            </w:pPr>
            <w:r w:rsidRPr="002A6944">
              <w:rPr>
                <w:rFonts w:ascii="Times New Roman" w:hAnsi="Times New Roman"/>
                <w:sz w:val="28"/>
                <w:szCs w:val="28"/>
              </w:rPr>
              <w:t>С</w:t>
            </w:r>
            <w:r w:rsidR="002A6944">
              <w:rPr>
                <w:rFonts w:ascii="Times New Roman" w:hAnsi="Times New Roman"/>
                <w:sz w:val="28"/>
                <w:szCs w:val="28"/>
              </w:rPr>
              <w:t>вязь……………………………………………………………………</w:t>
            </w:r>
          </w:p>
        </w:tc>
        <w:tc>
          <w:tcPr>
            <w:tcW w:w="636" w:type="dxa"/>
          </w:tcPr>
          <w:p w:rsidR="00805A58" w:rsidRPr="002A6944" w:rsidRDefault="0055204D" w:rsidP="006A580E">
            <w:pPr>
              <w:spacing w:after="0" w:line="240" w:lineRule="auto"/>
              <w:jc w:val="both"/>
              <w:rPr>
                <w:rFonts w:ascii="Times New Roman" w:hAnsi="Times New Roman"/>
                <w:sz w:val="28"/>
                <w:szCs w:val="28"/>
              </w:rPr>
            </w:pPr>
            <w:r>
              <w:rPr>
                <w:rFonts w:ascii="Times New Roman" w:hAnsi="Times New Roman"/>
                <w:sz w:val="28"/>
                <w:szCs w:val="28"/>
              </w:rPr>
              <w:t>2</w:t>
            </w:r>
            <w:r w:rsidR="006A580E">
              <w:rPr>
                <w:rFonts w:ascii="Times New Roman" w:hAnsi="Times New Roman"/>
                <w:sz w:val="28"/>
                <w:szCs w:val="28"/>
              </w:rPr>
              <w:t>1</w:t>
            </w:r>
          </w:p>
        </w:tc>
      </w:tr>
      <w:tr w:rsidR="004A34E5" w:rsidRPr="002A6944" w:rsidTr="003F67B2">
        <w:tc>
          <w:tcPr>
            <w:tcW w:w="8798" w:type="dxa"/>
          </w:tcPr>
          <w:p w:rsidR="004A34E5" w:rsidRPr="002A6944" w:rsidRDefault="004A34E5" w:rsidP="007D3AA7">
            <w:pPr>
              <w:widowControl w:val="0"/>
              <w:autoSpaceDE w:val="0"/>
              <w:autoSpaceDN w:val="0"/>
              <w:adjustRightInd w:val="0"/>
              <w:spacing w:after="0" w:line="240" w:lineRule="auto"/>
              <w:jc w:val="both"/>
              <w:rPr>
                <w:rFonts w:ascii="Times New Roman" w:hAnsi="Times New Roman"/>
                <w:sz w:val="28"/>
                <w:szCs w:val="28"/>
              </w:rPr>
            </w:pPr>
            <w:r w:rsidRPr="002A6944">
              <w:rPr>
                <w:rFonts w:ascii="Times New Roman" w:hAnsi="Times New Roman"/>
                <w:sz w:val="28"/>
                <w:szCs w:val="28"/>
              </w:rPr>
              <w:t>Внешнеэкономическ</w:t>
            </w:r>
            <w:r w:rsidR="002A6944">
              <w:rPr>
                <w:rFonts w:ascii="Times New Roman" w:hAnsi="Times New Roman"/>
                <w:sz w:val="28"/>
                <w:szCs w:val="28"/>
              </w:rPr>
              <w:t>ая деятельность………………………………</w:t>
            </w:r>
            <w:r w:rsidR="00D8336A">
              <w:rPr>
                <w:rFonts w:ascii="Times New Roman" w:hAnsi="Times New Roman"/>
                <w:sz w:val="28"/>
                <w:szCs w:val="28"/>
              </w:rPr>
              <w:t>.</w:t>
            </w:r>
            <w:r w:rsidR="002A6944">
              <w:rPr>
                <w:rFonts w:ascii="Times New Roman" w:hAnsi="Times New Roman"/>
                <w:sz w:val="28"/>
                <w:szCs w:val="28"/>
              </w:rPr>
              <w:t>..</w:t>
            </w:r>
          </w:p>
        </w:tc>
        <w:tc>
          <w:tcPr>
            <w:tcW w:w="636" w:type="dxa"/>
          </w:tcPr>
          <w:p w:rsidR="004A34E5" w:rsidRPr="002A6944" w:rsidRDefault="00090A9B" w:rsidP="006A580E">
            <w:pPr>
              <w:spacing w:after="0" w:line="240" w:lineRule="auto"/>
              <w:jc w:val="both"/>
              <w:rPr>
                <w:rFonts w:ascii="Times New Roman" w:hAnsi="Times New Roman"/>
                <w:sz w:val="28"/>
                <w:szCs w:val="28"/>
              </w:rPr>
            </w:pPr>
            <w:r w:rsidRPr="002A6944">
              <w:rPr>
                <w:rFonts w:ascii="Times New Roman" w:hAnsi="Times New Roman"/>
                <w:sz w:val="28"/>
                <w:szCs w:val="28"/>
              </w:rPr>
              <w:t>2</w:t>
            </w:r>
            <w:r w:rsidR="006A580E">
              <w:rPr>
                <w:rFonts w:ascii="Times New Roman" w:hAnsi="Times New Roman"/>
                <w:sz w:val="28"/>
                <w:szCs w:val="28"/>
              </w:rPr>
              <w:t>5</w:t>
            </w:r>
          </w:p>
        </w:tc>
      </w:tr>
      <w:tr w:rsidR="004A34E5" w:rsidRPr="002A6944" w:rsidTr="003F67B2">
        <w:tc>
          <w:tcPr>
            <w:tcW w:w="8798" w:type="dxa"/>
          </w:tcPr>
          <w:p w:rsidR="004A34E5" w:rsidRPr="002A6944" w:rsidRDefault="004A34E5" w:rsidP="007D3AA7">
            <w:pPr>
              <w:widowControl w:val="0"/>
              <w:autoSpaceDE w:val="0"/>
              <w:autoSpaceDN w:val="0"/>
              <w:adjustRightInd w:val="0"/>
              <w:spacing w:after="0" w:line="240" w:lineRule="auto"/>
              <w:jc w:val="both"/>
              <w:rPr>
                <w:rFonts w:ascii="Times New Roman" w:hAnsi="Times New Roman"/>
                <w:sz w:val="28"/>
                <w:szCs w:val="28"/>
              </w:rPr>
            </w:pPr>
            <w:r w:rsidRPr="002A6944">
              <w:rPr>
                <w:rFonts w:ascii="Times New Roman" w:hAnsi="Times New Roman"/>
                <w:sz w:val="28"/>
                <w:szCs w:val="28"/>
              </w:rPr>
              <w:t>Инвестиционная</w:t>
            </w:r>
            <w:r w:rsidR="002A6944">
              <w:rPr>
                <w:rFonts w:ascii="Times New Roman" w:hAnsi="Times New Roman"/>
                <w:sz w:val="28"/>
                <w:szCs w:val="28"/>
              </w:rPr>
              <w:t xml:space="preserve"> деятельность………………………………………</w:t>
            </w:r>
            <w:r w:rsidR="00D8336A">
              <w:rPr>
                <w:rFonts w:ascii="Times New Roman" w:hAnsi="Times New Roman"/>
                <w:sz w:val="28"/>
                <w:szCs w:val="28"/>
              </w:rPr>
              <w:t>.</w:t>
            </w:r>
            <w:r w:rsidR="002A6944">
              <w:rPr>
                <w:rFonts w:ascii="Times New Roman" w:hAnsi="Times New Roman"/>
                <w:sz w:val="28"/>
                <w:szCs w:val="28"/>
              </w:rPr>
              <w:t>.</w:t>
            </w:r>
          </w:p>
        </w:tc>
        <w:tc>
          <w:tcPr>
            <w:tcW w:w="636" w:type="dxa"/>
          </w:tcPr>
          <w:p w:rsidR="004A34E5" w:rsidRPr="002A6944" w:rsidRDefault="0055204D" w:rsidP="006A580E">
            <w:pPr>
              <w:spacing w:after="0" w:line="240" w:lineRule="auto"/>
              <w:jc w:val="both"/>
              <w:rPr>
                <w:rFonts w:ascii="Times New Roman" w:hAnsi="Times New Roman"/>
                <w:sz w:val="28"/>
                <w:szCs w:val="28"/>
              </w:rPr>
            </w:pPr>
            <w:r>
              <w:rPr>
                <w:rFonts w:ascii="Times New Roman" w:hAnsi="Times New Roman"/>
                <w:sz w:val="28"/>
                <w:szCs w:val="28"/>
              </w:rPr>
              <w:t>3</w:t>
            </w:r>
            <w:r w:rsidR="006A580E">
              <w:rPr>
                <w:rFonts w:ascii="Times New Roman" w:hAnsi="Times New Roman"/>
                <w:sz w:val="28"/>
                <w:szCs w:val="28"/>
              </w:rPr>
              <w:t>2</w:t>
            </w:r>
          </w:p>
        </w:tc>
      </w:tr>
      <w:tr w:rsidR="00805A58" w:rsidRPr="002A6944" w:rsidTr="003F67B2">
        <w:tc>
          <w:tcPr>
            <w:tcW w:w="8798" w:type="dxa"/>
          </w:tcPr>
          <w:p w:rsidR="00805A58" w:rsidRPr="002A6944" w:rsidRDefault="00805A58" w:rsidP="007D3AA7">
            <w:pPr>
              <w:spacing w:after="0" w:line="240" w:lineRule="auto"/>
              <w:jc w:val="both"/>
              <w:rPr>
                <w:rFonts w:ascii="Times New Roman" w:hAnsi="Times New Roman"/>
                <w:sz w:val="28"/>
                <w:szCs w:val="28"/>
              </w:rPr>
            </w:pPr>
            <w:r w:rsidRPr="002A6944">
              <w:rPr>
                <w:rFonts w:ascii="Times New Roman" w:hAnsi="Times New Roman"/>
                <w:sz w:val="28"/>
                <w:szCs w:val="28"/>
              </w:rPr>
              <w:t>Малое предпринимательство…………</w:t>
            </w:r>
            <w:r w:rsidR="002A6944">
              <w:rPr>
                <w:rFonts w:ascii="Times New Roman" w:hAnsi="Times New Roman"/>
                <w:sz w:val="28"/>
                <w:szCs w:val="28"/>
              </w:rPr>
              <w:t>………………………………</w:t>
            </w:r>
          </w:p>
        </w:tc>
        <w:tc>
          <w:tcPr>
            <w:tcW w:w="636" w:type="dxa"/>
          </w:tcPr>
          <w:p w:rsidR="00805A58" w:rsidRPr="002A6944" w:rsidRDefault="0055204D" w:rsidP="006A580E">
            <w:pPr>
              <w:spacing w:after="0" w:line="240" w:lineRule="auto"/>
              <w:jc w:val="both"/>
              <w:rPr>
                <w:rFonts w:ascii="Times New Roman" w:hAnsi="Times New Roman"/>
                <w:sz w:val="28"/>
                <w:szCs w:val="28"/>
              </w:rPr>
            </w:pPr>
            <w:r>
              <w:rPr>
                <w:rFonts w:ascii="Times New Roman" w:hAnsi="Times New Roman"/>
                <w:sz w:val="28"/>
                <w:szCs w:val="28"/>
              </w:rPr>
              <w:t>3</w:t>
            </w:r>
            <w:r w:rsidR="006A580E">
              <w:rPr>
                <w:rFonts w:ascii="Times New Roman" w:hAnsi="Times New Roman"/>
                <w:sz w:val="28"/>
                <w:szCs w:val="28"/>
              </w:rPr>
              <w:t>7</w:t>
            </w:r>
          </w:p>
        </w:tc>
      </w:tr>
      <w:tr w:rsidR="004A34E5" w:rsidRPr="002A6944" w:rsidTr="006A3EF7">
        <w:tc>
          <w:tcPr>
            <w:tcW w:w="8798" w:type="dxa"/>
          </w:tcPr>
          <w:p w:rsidR="004A34E5" w:rsidRPr="002A6944" w:rsidRDefault="004A34E5" w:rsidP="007D3AA7">
            <w:pPr>
              <w:widowControl w:val="0"/>
              <w:autoSpaceDE w:val="0"/>
              <w:autoSpaceDN w:val="0"/>
              <w:adjustRightInd w:val="0"/>
              <w:spacing w:after="0" w:line="240" w:lineRule="auto"/>
              <w:jc w:val="both"/>
              <w:rPr>
                <w:rFonts w:ascii="Times New Roman" w:hAnsi="Times New Roman"/>
                <w:sz w:val="28"/>
                <w:szCs w:val="28"/>
              </w:rPr>
            </w:pPr>
            <w:r w:rsidRPr="002A6944">
              <w:rPr>
                <w:rFonts w:ascii="Times New Roman" w:hAnsi="Times New Roman"/>
                <w:sz w:val="28"/>
                <w:szCs w:val="28"/>
              </w:rPr>
              <w:t>Потребите</w:t>
            </w:r>
            <w:r w:rsidR="002A6944">
              <w:rPr>
                <w:rFonts w:ascii="Times New Roman" w:hAnsi="Times New Roman"/>
                <w:sz w:val="28"/>
                <w:szCs w:val="28"/>
              </w:rPr>
              <w:t>льский рынок………………………………………………</w:t>
            </w:r>
          </w:p>
        </w:tc>
        <w:tc>
          <w:tcPr>
            <w:tcW w:w="636" w:type="dxa"/>
          </w:tcPr>
          <w:p w:rsidR="004A34E5" w:rsidRPr="002A6944" w:rsidRDefault="0055204D" w:rsidP="006A580E">
            <w:pPr>
              <w:spacing w:after="0" w:line="240" w:lineRule="auto"/>
              <w:jc w:val="both"/>
              <w:rPr>
                <w:rFonts w:ascii="Times New Roman" w:hAnsi="Times New Roman"/>
                <w:sz w:val="28"/>
                <w:szCs w:val="28"/>
              </w:rPr>
            </w:pPr>
            <w:r>
              <w:rPr>
                <w:rFonts w:ascii="Times New Roman" w:hAnsi="Times New Roman"/>
                <w:sz w:val="28"/>
                <w:szCs w:val="28"/>
              </w:rPr>
              <w:t>4</w:t>
            </w:r>
            <w:r w:rsidR="006A580E">
              <w:rPr>
                <w:rFonts w:ascii="Times New Roman" w:hAnsi="Times New Roman"/>
                <w:sz w:val="28"/>
                <w:szCs w:val="28"/>
              </w:rPr>
              <w:t>2</w:t>
            </w:r>
          </w:p>
        </w:tc>
      </w:tr>
      <w:tr w:rsidR="004A34E5" w:rsidRPr="002A6944" w:rsidTr="006A3EF7">
        <w:tc>
          <w:tcPr>
            <w:tcW w:w="8798" w:type="dxa"/>
          </w:tcPr>
          <w:p w:rsidR="004A34E5" w:rsidRPr="002A6944" w:rsidRDefault="004A34E5" w:rsidP="007D3AA7">
            <w:pPr>
              <w:widowControl w:val="0"/>
              <w:autoSpaceDE w:val="0"/>
              <w:autoSpaceDN w:val="0"/>
              <w:adjustRightInd w:val="0"/>
              <w:spacing w:after="0" w:line="240" w:lineRule="auto"/>
              <w:jc w:val="both"/>
              <w:rPr>
                <w:rFonts w:ascii="Times New Roman" w:hAnsi="Times New Roman"/>
                <w:sz w:val="28"/>
                <w:szCs w:val="28"/>
              </w:rPr>
            </w:pPr>
            <w:r w:rsidRPr="002A6944">
              <w:rPr>
                <w:rFonts w:ascii="Times New Roman" w:hAnsi="Times New Roman"/>
                <w:sz w:val="28"/>
                <w:szCs w:val="28"/>
              </w:rPr>
              <w:t>Ценовая и тариф</w:t>
            </w:r>
            <w:r w:rsidR="002A6944">
              <w:rPr>
                <w:rFonts w:ascii="Times New Roman" w:hAnsi="Times New Roman"/>
                <w:sz w:val="28"/>
                <w:szCs w:val="28"/>
              </w:rPr>
              <w:t>ная политика………………………………………..</w:t>
            </w:r>
          </w:p>
        </w:tc>
        <w:tc>
          <w:tcPr>
            <w:tcW w:w="636" w:type="dxa"/>
          </w:tcPr>
          <w:p w:rsidR="004A34E5" w:rsidRPr="002A6944" w:rsidRDefault="0055204D" w:rsidP="006A580E">
            <w:pPr>
              <w:spacing w:after="0" w:line="240" w:lineRule="auto"/>
              <w:jc w:val="both"/>
              <w:rPr>
                <w:rFonts w:ascii="Times New Roman" w:hAnsi="Times New Roman"/>
                <w:sz w:val="28"/>
                <w:szCs w:val="28"/>
              </w:rPr>
            </w:pPr>
            <w:r>
              <w:rPr>
                <w:rFonts w:ascii="Times New Roman" w:hAnsi="Times New Roman"/>
                <w:sz w:val="28"/>
                <w:szCs w:val="28"/>
              </w:rPr>
              <w:t>4</w:t>
            </w:r>
            <w:r w:rsidR="006A580E">
              <w:rPr>
                <w:rFonts w:ascii="Times New Roman" w:hAnsi="Times New Roman"/>
                <w:sz w:val="28"/>
                <w:szCs w:val="28"/>
              </w:rPr>
              <w:t>5</w:t>
            </w:r>
          </w:p>
        </w:tc>
      </w:tr>
      <w:tr w:rsidR="00805A58" w:rsidRPr="0080737A" w:rsidTr="003F67B2">
        <w:tc>
          <w:tcPr>
            <w:tcW w:w="8798" w:type="dxa"/>
          </w:tcPr>
          <w:p w:rsidR="00805A58" w:rsidRPr="004A34E5" w:rsidRDefault="00805A58" w:rsidP="007D3AA7">
            <w:pPr>
              <w:spacing w:after="0" w:line="240" w:lineRule="auto"/>
              <w:jc w:val="both"/>
              <w:rPr>
                <w:rFonts w:ascii="Times New Roman" w:hAnsi="Times New Roman"/>
                <w:sz w:val="24"/>
                <w:szCs w:val="24"/>
              </w:rPr>
            </w:pPr>
          </w:p>
        </w:tc>
        <w:tc>
          <w:tcPr>
            <w:tcW w:w="636" w:type="dxa"/>
          </w:tcPr>
          <w:p w:rsidR="00805A58" w:rsidRPr="0080737A" w:rsidRDefault="00805A58" w:rsidP="007D3AA7">
            <w:pPr>
              <w:spacing w:after="0" w:line="240" w:lineRule="auto"/>
              <w:jc w:val="both"/>
              <w:rPr>
                <w:rFonts w:ascii="Times New Roman" w:hAnsi="Times New Roman"/>
                <w:b/>
                <w:sz w:val="24"/>
                <w:szCs w:val="24"/>
              </w:rPr>
            </w:pPr>
          </w:p>
        </w:tc>
      </w:tr>
      <w:tr w:rsidR="00805A58" w:rsidRPr="002A6944" w:rsidTr="003F67B2">
        <w:tc>
          <w:tcPr>
            <w:tcW w:w="8798" w:type="dxa"/>
          </w:tcPr>
          <w:p w:rsidR="00805A58" w:rsidRPr="002A6944" w:rsidRDefault="00805A58" w:rsidP="007D3AA7">
            <w:pPr>
              <w:spacing w:after="0" w:line="240" w:lineRule="auto"/>
              <w:jc w:val="both"/>
              <w:rPr>
                <w:rFonts w:ascii="Times New Roman" w:hAnsi="Times New Roman"/>
                <w:b/>
                <w:sz w:val="28"/>
                <w:szCs w:val="28"/>
              </w:rPr>
            </w:pPr>
            <w:r w:rsidRPr="002A6944">
              <w:rPr>
                <w:rFonts w:ascii="Times New Roman" w:hAnsi="Times New Roman"/>
                <w:b/>
                <w:sz w:val="28"/>
                <w:szCs w:val="28"/>
              </w:rPr>
              <w:t>Состояние с</w:t>
            </w:r>
            <w:r w:rsidR="002A6944">
              <w:rPr>
                <w:rFonts w:ascii="Times New Roman" w:hAnsi="Times New Roman"/>
                <w:b/>
                <w:sz w:val="28"/>
                <w:szCs w:val="28"/>
              </w:rPr>
              <w:t>оциальной сферы………………………………………</w:t>
            </w:r>
          </w:p>
        </w:tc>
        <w:tc>
          <w:tcPr>
            <w:tcW w:w="636" w:type="dxa"/>
          </w:tcPr>
          <w:p w:rsidR="00805A58" w:rsidRPr="002A6944" w:rsidRDefault="0055204D" w:rsidP="006A580E">
            <w:pPr>
              <w:spacing w:after="0" w:line="240" w:lineRule="auto"/>
              <w:jc w:val="both"/>
              <w:rPr>
                <w:rFonts w:ascii="Times New Roman" w:hAnsi="Times New Roman"/>
                <w:b/>
                <w:sz w:val="28"/>
                <w:szCs w:val="28"/>
              </w:rPr>
            </w:pPr>
            <w:r>
              <w:rPr>
                <w:rFonts w:ascii="Times New Roman" w:hAnsi="Times New Roman"/>
                <w:b/>
                <w:sz w:val="28"/>
                <w:szCs w:val="28"/>
              </w:rPr>
              <w:t>5</w:t>
            </w:r>
            <w:r w:rsidR="006A580E">
              <w:rPr>
                <w:rFonts w:ascii="Times New Roman" w:hAnsi="Times New Roman"/>
                <w:b/>
                <w:sz w:val="28"/>
                <w:szCs w:val="28"/>
              </w:rPr>
              <w:t>3</w:t>
            </w:r>
          </w:p>
        </w:tc>
      </w:tr>
      <w:tr w:rsidR="00805A58" w:rsidRPr="002A6944" w:rsidTr="003F67B2">
        <w:tc>
          <w:tcPr>
            <w:tcW w:w="8798" w:type="dxa"/>
          </w:tcPr>
          <w:p w:rsidR="00805A58" w:rsidRPr="002A6944" w:rsidRDefault="00805A58" w:rsidP="007D3AA7">
            <w:pPr>
              <w:spacing w:after="0" w:line="240" w:lineRule="auto"/>
              <w:jc w:val="both"/>
              <w:rPr>
                <w:rFonts w:ascii="Times New Roman" w:hAnsi="Times New Roman"/>
                <w:sz w:val="28"/>
                <w:szCs w:val="28"/>
              </w:rPr>
            </w:pPr>
            <w:r w:rsidRPr="002A6944">
              <w:rPr>
                <w:rFonts w:ascii="Times New Roman" w:hAnsi="Times New Roman"/>
                <w:sz w:val="28"/>
                <w:szCs w:val="28"/>
              </w:rPr>
              <w:t>Уровень жиз</w:t>
            </w:r>
            <w:r w:rsidR="002A6944">
              <w:rPr>
                <w:rFonts w:ascii="Times New Roman" w:hAnsi="Times New Roman"/>
                <w:sz w:val="28"/>
                <w:szCs w:val="28"/>
              </w:rPr>
              <w:t>ни населения…………………………………………….</w:t>
            </w:r>
          </w:p>
        </w:tc>
        <w:tc>
          <w:tcPr>
            <w:tcW w:w="636" w:type="dxa"/>
          </w:tcPr>
          <w:p w:rsidR="00805A58" w:rsidRPr="002A6944" w:rsidRDefault="0055204D" w:rsidP="006A580E">
            <w:pPr>
              <w:spacing w:after="0" w:line="240" w:lineRule="auto"/>
              <w:jc w:val="both"/>
              <w:rPr>
                <w:rFonts w:ascii="Times New Roman" w:hAnsi="Times New Roman"/>
                <w:sz w:val="28"/>
                <w:szCs w:val="28"/>
              </w:rPr>
            </w:pPr>
            <w:r>
              <w:rPr>
                <w:rFonts w:ascii="Times New Roman" w:hAnsi="Times New Roman"/>
                <w:sz w:val="28"/>
                <w:szCs w:val="28"/>
              </w:rPr>
              <w:t>5</w:t>
            </w:r>
            <w:r w:rsidR="006A580E">
              <w:rPr>
                <w:rFonts w:ascii="Times New Roman" w:hAnsi="Times New Roman"/>
                <w:sz w:val="28"/>
                <w:szCs w:val="28"/>
              </w:rPr>
              <w:t>3</w:t>
            </w:r>
          </w:p>
        </w:tc>
      </w:tr>
      <w:tr w:rsidR="00805A58" w:rsidRPr="002A6944" w:rsidTr="003F67B2">
        <w:tc>
          <w:tcPr>
            <w:tcW w:w="8798" w:type="dxa"/>
          </w:tcPr>
          <w:p w:rsidR="00805A58" w:rsidRPr="002A6944" w:rsidRDefault="00805A58" w:rsidP="007D3AA7">
            <w:pPr>
              <w:spacing w:after="0" w:line="240" w:lineRule="auto"/>
              <w:jc w:val="both"/>
              <w:rPr>
                <w:rFonts w:ascii="Times New Roman" w:hAnsi="Times New Roman"/>
                <w:sz w:val="28"/>
                <w:szCs w:val="28"/>
              </w:rPr>
            </w:pPr>
            <w:r w:rsidRPr="002A6944">
              <w:rPr>
                <w:rFonts w:ascii="Times New Roman" w:hAnsi="Times New Roman"/>
                <w:sz w:val="28"/>
                <w:szCs w:val="28"/>
              </w:rPr>
              <w:t>Рынок труда и сфера занятости……………………………</w:t>
            </w:r>
            <w:r w:rsidR="002A6944">
              <w:rPr>
                <w:rFonts w:ascii="Times New Roman" w:hAnsi="Times New Roman"/>
                <w:sz w:val="28"/>
                <w:szCs w:val="28"/>
              </w:rPr>
              <w:t>…………</w:t>
            </w:r>
          </w:p>
        </w:tc>
        <w:tc>
          <w:tcPr>
            <w:tcW w:w="636" w:type="dxa"/>
          </w:tcPr>
          <w:p w:rsidR="00805A58" w:rsidRPr="002A6944" w:rsidRDefault="006A580E" w:rsidP="007D3AA7">
            <w:pPr>
              <w:spacing w:after="0" w:line="240" w:lineRule="auto"/>
              <w:jc w:val="both"/>
              <w:rPr>
                <w:rFonts w:ascii="Times New Roman" w:hAnsi="Times New Roman"/>
                <w:sz w:val="28"/>
                <w:szCs w:val="28"/>
              </w:rPr>
            </w:pPr>
            <w:r>
              <w:rPr>
                <w:rFonts w:ascii="Times New Roman" w:hAnsi="Times New Roman"/>
                <w:sz w:val="28"/>
                <w:szCs w:val="28"/>
              </w:rPr>
              <w:t>60</w:t>
            </w:r>
          </w:p>
        </w:tc>
      </w:tr>
      <w:tr w:rsidR="00805A58" w:rsidRPr="0080737A" w:rsidTr="003F67B2">
        <w:tc>
          <w:tcPr>
            <w:tcW w:w="8798" w:type="dxa"/>
          </w:tcPr>
          <w:p w:rsidR="00805A58" w:rsidRPr="004A34E5" w:rsidRDefault="00805A58" w:rsidP="007D3AA7">
            <w:pPr>
              <w:spacing w:after="0" w:line="240" w:lineRule="auto"/>
              <w:jc w:val="both"/>
              <w:rPr>
                <w:rFonts w:ascii="Times New Roman" w:hAnsi="Times New Roman"/>
                <w:b/>
                <w:sz w:val="24"/>
                <w:szCs w:val="24"/>
              </w:rPr>
            </w:pPr>
          </w:p>
        </w:tc>
        <w:tc>
          <w:tcPr>
            <w:tcW w:w="636" w:type="dxa"/>
          </w:tcPr>
          <w:p w:rsidR="00805A58" w:rsidRPr="0080737A" w:rsidRDefault="00805A58" w:rsidP="007D3AA7">
            <w:pPr>
              <w:spacing w:after="0" w:line="240" w:lineRule="auto"/>
              <w:jc w:val="both"/>
              <w:rPr>
                <w:rFonts w:ascii="Times New Roman" w:hAnsi="Times New Roman"/>
                <w:b/>
                <w:sz w:val="24"/>
                <w:szCs w:val="24"/>
              </w:rPr>
            </w:pPr>
          </w:p>
        </w:tc>
      </w:tr>
      <w:tr w:rsidR="00A22BDD" w:rsidRPr="002A6944" w:rsidTr="006A3EF7">
        <w:tc>
          <w:tcPr>
            <w:tcW w:w="8798" w:type="dxa"/>
          </w:tcPr>
          <w:p w:rsidR="00A22BDD" w:rsidRPr="002A6944" w:rsidRDefault="00A22BDD" w:rsidP="007D3AA7">
            <w:pPr>
              <w:widowControl w:val="0"/>
              <w:autoSpaceDE w:val="0"/>
              <w:autoSpaceDN w:val="0"/>
              <w:adjustRightInd w:val="0"/>
              <w:spacing w:after="0" w:line="240" w:lineRule="auto"/>
              <w:jc w:val="both"/>
              <w:rPr>
                <w:rFonts w:ascii="Times New Roman" w:hAnsi="Times New Roman"/>
                <w:b/>
                <w:sz w:val="28"/>
                <w:szCs w:val="28"/>
              </w:rPr>
            </w:pPr>
            <w:r w:rsidRPr="002A6944">
              <w:rPr>
                <w:rFonts w:ascii="Times New Roman" w:hAnsi="Times New Roman"/>
                <w:b/>
                <w:sz w:val="28"/>
                <w:szCs w:val="28"/>
              </w:rPr>
              <w:t>Финансы</w:t>
            </w:r>
            <w:r w:rsidR="00875D3B" w:rsidRPr="002A6944">
              <w:rPr>
                <w:rFonts w:ascii="Times New Roman" w:hAnsi="Times New Roman"/>
                <w:b/>
                <w:sz w:val="28"/>
                <w:szCs w:val="28"/>
              </w:rPr>
              <w:t>………………………………………………………………</w:t>
            </w:r>
            <w:r w:rsidR="002A6944">
              <w:rPr>
                <w:rFonts w:ascii="Times New Roman" w:hAnsi="Times New Roman"/>
                <w:b/>
                <w:sz w:val="28"/>
                <w:szCs w:val="28"/>
              </w:rPr>
              <w:t>.</w:t>
            </w:r>
          </w:p>
        </w:tc>
        <w:tc>
          <w:tcPr>
            <w:tcW w:w="636" w:type="dxa"/>
          </w:tcPr>
          <w:p w:rsidR="00A22BDD" w:rsidRPr="002A6944" w:rsidRDefault="0055204D" w:rsidP="006A580E">
            <w:pPr>
              <w:spacing w:after="0" w:line="240" w:lineRule="auto"/>
              <w:rPr>
                <w:rFonts w:ascii="Times New Roman" w:hAnsi="Times New Roman"/>
                <w:b/>
                <w:sz w:val="28"/>
                <w:szCs w:val="28"/>
              </w:rPr>
            </w:pPr>
            <w:r>
              <w:rPr>
                <w:rFonts w:ascii="Times New Roman" w:hAnsi="Times New Roman"/>
                <w:b/>
                <w:sz w:val="28"/>
                <w:szCs w:val="28"/>
              </w:rPr>
              <w:t>6</w:t>
            </w:r>
            <w:r w:rsidR="006A580E">
              <w:rPr>
                <w:rFonts w:ascii="Times New Roman" w:hAnsi="Times New Roman"/>
                <w:b/>
                <w:sz w:val="28"/>
                <w:szCs w:val="28"/>
              </w:rPr>
              <w:t>5</w:t>
            </w:r>
          </w:p>
        </w:tc>
      </w:tr>
      <w:tr w:rsidR="004A34E5" w:rsidRPr="002A6944" w:rsidTr="006A3EF7">
        <w:tc>
          <w:tcPr>
            <w:tcW w:w="8798" w:type="dxa"/>
          </w:tcPr>
          <w:p w:rsidR="004A34E5" w:rsidRPr="002A6944" w:rsidRDefault="004A34E5" w:rsidP="007D3AA7">
            <w:pPr>
              <w:widowControl w:val="0"/>
              <w:autoSpaceDE w:val="0"/>
              <w:autoSpaceDN w:val="0"/>
              <w:adjustRightInd w:val="0"/>
              <w:spacing w:after="0" w:line="240" w:lineRule="auto"/>
              <w:jc w:val="both"/>
              <w:rPr>
                <w:rFonts w:ascii="Times New Roman" w:hAnsi="Times New Roman"/>
                <w:sz w:val="28"/>
                <w:szCs w:val="28"/>
              </w:rPr>
            </w:pPr>
            <w:r w:rsidRPr="002A6944">
              <w:rPr>
                <w:rFonts w:ascii="Times New Roman" w:hAnsi="Times New Roman"/>
                <w:sz w:val="28"/>
                <w:szCs w:val="28"/>
              </w:rPr>
              <w:t>Исполнение Консолидированного бюджета…………………………</w:t>
            </w:r>
          </w:p>
        </w:tc>
        <w:tc>
          <w:tcPr>
            <w:tcW w:w="636" w:type="dxa"/>
          </w:tcPr>
          <w:p w:rsidR="004A34E5" w:rsidRPr="002A6944" w:rsidRDefault="0055204D" w:rsidP="006A580E">
            <w:pPr>
              <w:spacing w:after="0" w:line="240" w:lineRule="auto"/>
              <w:rPr>
                <w:rFonts w:ascii="Times New Roman" w:hAnsi="Times New Roman"/>
                <w:sz w:val="28"/>
                <w:szCs w:val="28"/>
              </w:rPr>
            </w:pPr>
            <w:r>
              <w:rPr>
                <w:rFonts w:ascii="Times New Roman" w:hAnsi="Times New Roman"/>
                <w:sz w:val="28"/>
                <w:szCs w:val="28"/>
              </w:rPr>
              <w:t>6</w:t>
            </w:r>
            <w:r w:rsidR="006A580E">
              <w:rPr>
                <w:rFonts w:ascii="Times New Roman" w:hAnsi="Times New Roman"/>
                <w:sz w:val="28"/>
                <w:szCs w:val="28"/>
              </w:rPr>
              <w:t>5</w:t>
            </w:r>
          </w:p>
        </w:tc>
      </w:tr>
      <w:tr w:rsidR="004A34E5" w:rsidRPr="002A6944" w:rsidTr="006A3EF7">
        <w:tc>
          <w:tcPr>
            <w:tcW w:w="8798" w:type="dxa"/>
          </w:tcPr>
          <w:p w:rsidR="004A34E5" w:rsidRPr="002A6944" w:rsidRDefault="004A34E5" w:rsidP="007D3AA7">
            <w:pPr>
              <w:spacing w:after="0" w:line="240" w:lineRule="auto"/>
              <w:jc w:val="both"/>
              <w:rPr>
                <w:rFonts w:ascii="Times New Roman" w:hAnsi="Times New Roman"/>
                <w:sz w:val="28"/>
                <w:szCs w:val="28"/>
              </w:rPr>
            </w:pPr>
            <w:r w:rsidRPr="002A6944">
              <w:rPr>
                <w:rFonts w:ascii="Times New Roman" w:hAnsi="Times New Roman"/>
                <w:sz w:val="28"/>
                <w:szCs w:val="28"/>
              </w:rPr>
              <w:t>Денежно-кредитная политика………………………………………</w:t>
            </w:r>
            <w:r w:rsidR="002A6944">
              <w:rPr>
                <w:rFonts w:ascii="Times New Roman" w:hAnsi="Times New Roman"/>
                <w:sz w:val="28"/>
                <w:szCs w:val="28"/>
              </w:rPr>
              <w:t>…</w:t>
            </w:r>
          </w:p>
        </w:tc>
        <w:tc>
          <w:tcPr>
            <w:tcW w:w="636" w:type="dxa"/>
          </w:tcPr>
          <w:p w:rsidR="004A34E5" w:rsidRPr="002A6944" w:rsidRDefault="006A580E" w:rsidP="007D3AA7">
            <w:pPr>
              <w:spacing w:after="0" w:line="240" w:lineRule="auto"/>
              <w:rPr>
                <w:rFonts w:ascii="Times New Roman" w:hAnsi="Times New Roman"/>
                <w:sz w:val="28"/>
                <w:szCs w:val="28"/>
              </w:rPr>
            </w:pPr>
            <w:r>
              <w:rPr>
                <w:rFonts w:ascii="Times New Roman" w:hAnsi="Times New Roman"/>
                <w:sz w:val="28"/>
                <w:szCs w:val="28"/>
              </w:rPr>
              <w:t>71</w:t>
            </w:r>
          </w:p>
        </w:tc>
      </w:tr>
      <w:tr w:rsidR="004A34E5" w:rsidRPr="0080737A" w:rsidTr="003F67B2">
        <w:tc>
          <w:tcPr>
            <w:tcW w:w="8798" w:type="dxa"/>
          </w:tcPr>
          <w:p w:rsidR="004A34E5" w:rsidRPr="004A34E5" w:rsidRDefault="004A34E5" w:rsidP="007D3AA7">
            <w:pPr>
              <w:spacing w:after="0" w:line="240" w:lineRule="auto"/>
              <w:jc w:val="both"/>
              <w:rPr>
                <w:rFonts w:ascii="Times New Roman" w:hAnsi="Times New Roman"/>
                <w:b/>
                <w:sz w:val="24"/>
                <w:szCs w:val="24"/>
              </w:rPr>
            </w:pPr>
          </w:p>
        </w:tc>
        <w:tc>
          <w:tcPr>
            <w:tcW w:w="636" w:type="dxa"/>
          </w:tcPr>
          <w:p w:rsidR="004A34E5" w:rsidRPr="0080737A" w:rsidRDefault="004A34E5" w:rsidP="007D3AA7">
            <w:pPr>
              <w:spacing w:after="0" w:line="240" w:lineRule="auto"/>
              <w:jc w:val="both"/>
              <w:rPr>
                <w:rFonts w:ascii="Times New Roman" w:hAnsi="Times New Roman"/>
                <w:b/>
                <w:sz w:val="24"/>
                <w:szCs w:val="24"/>
              </w:rPr>
            </w:pPr>
          </w:p>
        </w:tc>
      </w:tr>
      <w:tr w:rsidR="004A34E5" w:rsidRPr="0080737A" w:rsidTr="003F67B2">
        <w:tc>
          <w:tcPr>
            <w:tcW w:w="8798" w:type="dxa"/>
          </w:tcPr>
          <w:p w:rsidR="004A34E5" w:rsidRPr="002A6944" w:rsidRDefault="004A34E5" w:rsidP="007D3AA7">
            <w:pPr>
              <w:spacing w:after="0" w:line="240" w:lineRule="auto"/>
              <w:jc w:val="both"/>
              <w:rPr>
                <w:rFonts w:ascii="Times New Roman" w:hAnsi="Times New Roman"/>
                <w:b/>
                <w:sz w:val="28"/>
                <w:szCs w:val="28"/>
              </w:rPr>
            </w:pPr>
            <w:r w:rsidRPr="002A6944">
              <w:rPr>
                <w:rFonts w:ascii="Times New Roman" w:hAnsi="Times New Roman"/>
                <w:sz w:val="28"/>
                <w:szCs w:val="28"/>
              </w:rPr>
              <w:t>Экология………………………………………………………………</w:t>
            </w:r>
            <w:r w:rsidR="002A6944">
              <w:rPr>
                <w:rFonts w:ascii="Times New Roman" w:hAnsi="Times New Roman"/>
                <w:sz w:val="28"/>
                <w:szCs w:val="28"/>
              </w:rPr>
              <w:t>..</w:t>
            </w:r>
          </w:p>
        </w:tc>
        <w:tc>
          <w:tcPr>
            <w:tcW w:w="636" w:type="dxa"/>
          </w:tcPr>
          <w:p w:rsidR="004A34E5" w:rsidRPr="002A6944" w:rsidRDefault="0055204D" w:rsidP="006A580E">
            <w:pPr>
              <w:spacing w:after="0" w:line="240" w:lineRule="auto"/>
              <w:jc w:val="both"/>
              <w:rPr>
                <w:rFonts w:ascii="Times New Roman" w:hAnsi="Times New Roman"/>
                <w:b/>
                <w:sz w:val="28"/>
                <w:szCs w:val="28"/>
              </w:rPr>
            </w:pPr>
            <w:r>
              <w:rPr>
                <w:rFonts w:ascii="Times New Roman" w:hAnsi="Times New Roman"/>
                <w:b/>
                <w:sz w:val="28"/>
                <w:szCs w:val="28"/>
              </w:rPr>
              <w:t>7</w:t>
            </w:r>
            <w:r w:rsidR="006A580E">
              <w:rPr>
                <w:rFonts w:ascii="Times New Roman" w:hAnsi="Times New Roman"/>
                <w:b/>
                <w:sz w:val="28"/>
                <w:szCs w:val="28"/>
              </w:rPr>
              <w:t>6</w:t>
            </w:r>
          </w:p>
        </w:tc>
      </w:tr>
      <w:tr w:rsidR="004A34E5" w:rsidRPr="0080737A" w:rsidTr="003F67B2">
        <w:tc>
          <w:tcPr>
            <w:tcW w:w="8798" w:type="dxa"/>
          </w:tcPr>
          <w:p w:rsidR="004A34E5" w:rsidRPr="0080737A" w:rsidRDefault="004A34E5" w:rsidP="007D3AA7">
            <w:pPr>
              <w:spacing w:after="0" w:line="240" w:lineRule="auto"/>
              <w:jc w:val="both"/>
              <w:rPr>
                <w:rFonts w:ascii="Times New Roman" w:hAnsi="Times New Roman"/>
                <w:b/>
                <w:sz w:val="24"/>
                <w:szCs w:val="24"/>
              </w:rPr>
            </w:pPr>
          </w:p>
        </w:tc>
        <w:tc>
          <w:tcPr>
            <w:tcW w:w="636" w:type="dxa"/>
          </w:tcPr>
          <w:p w:rsidR="004A34E5" w:rsidRPr="0080737A" w:rsidRDefault="004A34E5" w:rsidP="007D3AA7">
            <w:pPr>
              <w:spacing w:after="0" w:line="240" w:lineRule="auto"/>
              <w:jc w:val="both"/>
              <w:rPr>
                <w:rFonts w:ascii="Times New Roman" w:hAnsi="Times New Roman"/>
                <w:b/>
                <w:sz w:val="24"/>
                <w:szCs w:val="24"/>
              </w:rPr>
            </w:pPr>
          </w:p>
        </w:tc>
      </w:tr>
      <w:tr w:rsidR="00805A58" w:rsidRPr="0080737A" w:rsidTr="003F67B2">
        <w:tc>
          <w:tcPr>
            <w:tcW w:w="8798" w:type="dxa"/>
          </w:tcPr>
          <w:p w:rsidR="00805A58" w:rsidRPr="0080737A" w:rsidRDefault="00805A58" w:rsidP="007D3AA7">
            <w:pPr>
              <w:spacing w:after="0" w:line="240" w:lineRule="auto"/>
              <w:jc w:val="both"/>
              <w:rPr>
                <w:rFonts w:ascii="Times New Roman" w:hAnsi="Times New Roman"/>
                <w:sz w:val="24"/>
                <w:szCs w:val="24"/>
              </w:rPr>
            </w:pPr>
          </w:p>
        </w:tc>
        <w:tc>
          <w:tcPr>
            <w:tcW w:w="636" w:type="dxa"/>
          </w:tcPr>
          <w:p w:rsidR="00805A58" w:rsidRPr="0080737A" w:rsidRDefault="00805A58" w:rsidP="007D3AA7">
            <w:pPr>
              <w:spacing w:after="0" w:line="240" w:lineRule="auto"/>
              <w:jc w:val="both"/>
              <w:rPr>
                <w:rFonts w:ascii="Times New Roman" w:hAnsi="Times New Roman"/>
                <w:sz w:val="24"/>
                <w:szCs w:val="24"/>
              </w:rPr>
            </w:pPr>
          </w:p>
        </w:tc>
      </w:tr>
      <w:tr w:rsidR="00805A58" w:rsidRPr="0080737A" w:rsidTr="00805A58">
        <w:tc>
          <w:tcPr>
            <w:tcW w:w="8798" w:type="dxa"/>
          </w:tcPr>
          <w:p w:rsidR="002A6944" w:rsidRPr="002A6944" w:rsidRDefault="00805A58" w:rsidP="007D3AA7">
            <w:pPr>
              <w:spacing w:after="0" w:line="240" w:lineRule="auto"/>
              <w:jc w:val="both"/>
              <w:rPr>
                <w:rFonts w:ascii="Times New Roman" w:hAnsi="Times New Roman"/>
                <w:bCs/>
                <w:color w:val="000000"/>
                <w:sz w:val="28"/>
                <w:szCs w:val="28"/>
              </w:rPr>
            </w:pPr>
            <w:r w:rsidRPr="002A6944">
              <w:rPr>
                <w:rFonts w:ascii="Times New Roman" w:hAnsi="Times New Roman"/>
                <w:b/>
                <w:sz w:val="28"/>
                <w:szCs w:val="28"/>
              </w:rPr>
              <w:t>Приложение №1</w:t>
            </w:r>
            <w:r w:rsidR="00851087" w:rsidRPr="002A6944">
              <w:rPr>
                <w:rFonts w:ascii="Times New Roman" w:hAnsi="Times New Roman"/>
                <w:b/>
                <w:sz w:val="28"/>
                <w:szCs w:val="28"/>
              </w:rPr>
              <w:t xml:space="preserve"> </w:t>
            </w:r>
            <w:r w:rsidRPr="002A6944">
              <w:rPr>
                <w:rFonts w:ascii="Times New Roman" w:hAnsi="Times New Roman"/>
                <w:bCs/>
                <w:color w:val="000000"/>
                <w:sz w:val="28"/>
                <w:szCs w:val="28"/>
              </w:rPr>
              <w:t>Основные макроэкономические показатели</w:t>
            </w:r>
          </w:p>
          <w:p w:rsidR="00805A58" w:rsidRPr="0080737A" w:rsidRDefault="00805A58" w:rsidP="007D3AA7">
            <w:pPr>
              <w:spacing w:after="0" w:line="240" w:lineRule="auto"/>
              <w:jc w:val="both"/>
              <w:rPr>
                <w:rFonts w:ascii="Times New Roman" w:hAnsi="Times New Roman"/>
                <w:sz w:val="24"/>
                <w:szCs w:val="24"/>
              </w:rPr>
            </w:pPr>
            <w:r w:rsidRPr="002A6944">
              <w:rPr>
                <w:rFonts w:ascii="Times New Roman" w:hAnsi="Times New Roman"/>
                <w:bCs/>
                <w:color w:val="000000"/>
                <w:sz w:val="28"/>
                <w:szCs w:val="28"/>
              </w:rPr>
              <w:t>Приднестровской Молдавской Республики за 201</w:t>
            </w:r>
            <w:r w:rsidR="0078535F" w:rsidRPr="002A6944">
              <w:rPr>
                <w:rFonts w:ascii="Times New Roman" w:hAnsi="Times New Roman"/>
                <w:bCs/>
                <w:color w:val="000000"/>
                <w:sz w:val="28"/>
                <w:szCs w:val="28"/>
              </w:rPr>
              <w:t>8</w:t>
            </w:r>
            <w:r w:rsidRPr="002A6944">
              <w:rPr>
                <w:rFonts w:ascii="Times New Roman" w:hAnsi="Times New Roman"/>
                <w:bCs/>
                <w:color w:val="000000"/>
                <w:sz w:val="28"/>
                <w:szCs w:val="28"/>
              </w:rPr>
              <w:t xml:space="preserve"> год.............</w:t>
            </w:r>
            <w:r w:rsidR="00A11B16">
              <w:rPr>
                <w:rFonts w:ascii="Times New Roman" w:hAnsi="Times New Roman"/>
                <w:bCs/>
                <w:color w:val="000000"/>
                <w:sz w:val="28"/>
                <w:szCs w:val="28"/>
              </w:rPr>
              <w:t>....</w:t>
            </w:r>
            <w:r w:rsidR="0096398B">
              <w:rPr>
                <w:rFonts w:ascii="Times New Roman" w:hAnsi="Times New Roman"/>
                <w:bCs/>
                <w:color w:val="000000"/>
                <w:sz w:val="28"/>
                <w:szCs w:val="28"/>
              </w:rPr>
              <w:t>.</w:t>
            </w:r>
            <w:r w:rsidR="00A11B16">
              <w:rPr>
                <w:rFonts w:ascii="Times New Roman" w:hAnsi="Times New Roman"/>
                <w:bCs/>
                <w:color w:val="000000"/>
                <w:sz w:val="28"/>
                <w:szCs w:val="28"/>
              </w:rPr>
              <w:t>...</w:t>
            </w:r>
          </w:p>
        </w:tc>
        <w:tc>
          <w:tcPr>
            <w:tcW w:w="636" w:type="dxa"/>
            <w:vAlign w:val="bottom"/>
          </w:tcPr>
          <w:p w:rsidR="00805A58" w:rsidRPr="002A6944" w:rsidRDefault="006A580E" w:rsidP="007D3AA7">
            <w:pPr>
              <w:spacing w:after="0" w:line="240" w:lineRule="auto"/>
              <w:rPr>
                <w:rFonts w:ascii="Times New Roman" w:hAnsi="Times New Roman"/>
                <w:sz w:val="28"/>
                <w:szCs w:val="28"/>
              </w:rPr>
            </w:pPr>
            <w:r>
              <w:rPr>
                <w:rFonts w:ascii="Times New Roman" w:hAnsi="Times New Roman"/>
                <w:sz w:val="28"/>
                <w:szCs w:val="28"/>
              </w:rPr>
              <w:t>80</w:t>
            </w:r>
          </w:p>
        </w:tc>
      </w:tr>
      <w:tr w:rsidR="00805A58" w:rsidRPr="0080737A" w:rsidTr="003F67B2">
        <w:tc>
          <w:tcPr>
            <w:tcW w:w="8798" w:type="dxa"/>
          </w:tcPr>
          <w:p w:rsidR="002A6944" w:rsidRPr="002A6944" w:rsidRDefault="00805A58" w:rsidP="007D3AA7">
            <w:pPr>
              <w:spacing w:after="0" w:line="240" w:lineRule="auto"/>
              <w:jc w:val="both"/>
              <w:rPr>
                <w:rFonts w:ascii="Times New Roman" w:hAnsi="Times New Roman"/>
                <w:sz w:val="28"/>
                <w:szCs w:val="28"/>
              </w:rPr>
            </w:pPr>
            <w:r w:rsidRPr="002A6944">
              <w:rPr>
                <w:rFonts w:ascii="Times New Roman" w:hAnsi="Times New Roman"/>
                <w:b/>
                <w:sz w:val="28"/>
                <w:szCs w:val="28"/>
              </w:rPr>
              <w:t xml:space="preserve">Приложение №2 </w:t>
            </w:r>
            <w:r w:rsidRPr="002A6944">
              <w:rPr>
                <w:rFonts w:ascii="Times New Roman" w:hAnsi="Times New Roman"/>
                <w:sz w:val="28"/>
                <w:szCs w:val="28"/>
              </w:rPr>
              <w:t xml:space="preserve">Динамика и структура промышленного </w:t>
            </w:r>
          </w:p>
          <w:p w:rsidR="002A6944" w:rsidRPr="002A6944" w:rsidRDefault="00805A58" w:rsidP="007D3AA7">
            <w:pPr>
              <w:spacing w:after="0" w:line="240" w:lineRule="auto"/>
              <w:jc w:val="both"/>
              <w:rPr>
                <w:rFonts w:ascii="Times New Roman" w:hAnsi="Times New Roman"/>
                <w:sz w:val="28"/>
                <w:szCs w:val="28"/>
              </w:rPr>
            </w:pPr>
            <w:r w:rsidRPr="002A6944">
              <w:rPr>
                <w:rFonts w:ascii="Times New Roman" w:hAnsi="Times New Roman"/>
                <w:sz w:val="28"/>
                <w:szCs w:val="28"/>
              </w:rPr>
              <w:t>производства и реализации продукции по отраслям промышленности</w:t>
            </w:r>
          </w:p>
          <w:p w:rsidR="00805A58" w:rsidRPr="0080737A" w:rsidRDefault="003910AF" w:rsidP="007D3AA7">
            <w:pPr>
              <w:spacing w:after="0" w:line="240" w:lineRule="auto"/>
              <w:jc w:val="both"/>
              <w:rPr>
                <w:rFonts w:ascii="Times New Roman" w:hAnsi="Times New Roman"/>
                <w:sz w:val="24"/>
                <w:szCs w:val="24"/>
              </w:rPr>
            </w:pPr>
            <w:r w:rsidRPr="002A6944">
              <w:rPr>
                <w:rFonts w:ascii="Times New Roman" w:hAnsi="Times New Roman"/>
                <w:sz w:val="28"/>
                <w:szCs w:val="28"/>
              </w:rPr>
              <w:t>за</w:t>
            </w:r>
            <w:r w:rsidR="00805A58" w:rsidRPr="002A6944">
              <w:rPr>
                <w:rFonts w:ascii="Times New Roman" w:hAnsi="Times New Roman"/>
                <w:sz w:val="28"/>
                <w:szCs w:val="28"/>
              </w:rPr>
              <w:t xml:space="preserve"> 201</w:t>
            </w:r>
            <w:r w:rsidR="0078535F" w:rsidRPr="002A6944">
              <w:rPr>
                <w:rFonts w:ascii="Times New Roman" w:hAnsi="Times New Roman"/>
                <w:sz w:val="28"/>
                <w:szCs w:val="28"/>
              </w:rPr>
              <w:t>8</w:t>
            </w:r>
            <w:r w:rsidR="00805A58" w:rsidRPr="002A6944">
              <w:rPr>
                <w:rFonts w:ascii="Times New Roman" w:hAnsi="Times New Roman"/>
                <w:sz w:val="28"/>
                <w:szCs w:val="28"/>
              </w:rPr>
              <w:t xml:space="preserve"> год</w:t>
            </w:r>
            <w:r w:rsidR="00A11B16">
              <w:rPr>
                <w:rFonts w:ascii="Times New Roman" w:hAnsi="Times New Roman"/>
                <w:sz w:val="28"/>
                <w:szCs w:val="28"/>
              </w:rPr>
              <w:t xml:space="preserve"> </w:t>
            </w:r>
            <w:r w:rsidR="00805A58" w:rsidRPr="002A6944">
              <w:rPr>
                <w:rFonts w:ascii="Times New Roman" w:hAnsi="Times New Roman"/>
                <w:sz w:val="28"/>
                <w:szCs w:val="28"/>
              </w:rPr>
              <w:t>…………………………………………</w:t>
            </w:r>
            <w:r w:rsidR="00A11B16">
              <w:rPr>
                <w:rFonts w:ascii="Times New Roman" w:hAnsi="Times New Roman"/>
                <w:sz w:val="28"/>
                <w:szCs w:val="28"/>
              </w:rPr>
              <w:t>………………...</w:t>
            </w:r>
            <w:r w:rsidR="00805A58" w:rsidRPr="002A6944">
              <w:rPr>
                <w:rFonts w:ascii="Times New Roman" w:hAnsi="Times New Roman"/>
                <w:sz w:val="28"/>
                <w:szCs w:val="28"/>
              </w:rPr>
              <w:t>…</w:t>
            </w:r>
            <w:r w:rsidR="002A6944">
              <w:rPr>
                <w:rFonts w:ascii="Times New Roman" w:hAnsi="Times New Roman"/>
                <w:sz w:val="28"/>
                <w:szCs w:val="28"/>
              </w:rPr>
              <w:t>..</w:t>
            </w:r>
          </w:p>
        </w:tc>
        <w:tc>
          <w:tcPr>
            <w:tcW w:w="636" w:type="dxa"/>
            <w:vAlign w:val="bottom"/>
          </w:tcPr>
          <w:p w:rsidR="00805A58" w:rsidRPr="002A6944" w:rsidRDefault="006A580E" w:rsidP="007D3AA7">
            <w:pPr>
              <w:spacing w:after="0" w:line="240" w:lineRule="auto"/>
              <w:rPr>
                <w:rFonts w:ascii="Times New Roman" w:hAnsi="Times New Roman"/>
                <w:sz w:val="28"/>
                <w:szCs w:val="28"/>
              </w:rPr>
            </w:pPr>
            <w:r>
              <w:rPr>
                <w:rFonts w:ascii="Times New Roman" w:hAnsi="Times New Roman"/>
                <w:sz w:val="28"/>
                <w:szCs w:val="28"/>
              </w:rPr>
              <w:t>82</w:t>
            </w:r>
          </w:p>
        </w:tc>
      </w:tr>
      <w:tr w:rsidR="00805A58" w:rsidRPr="0080737A" w:rsidTr="003F67B2">
        <w:tc>
          <w:tcPr>
            <w:tcW w:w="8798" w:type="dxa"/>
          </w:tcPr>
          <w:p w:rsidR="00805A58" w:rsidRPr="0080737A" w:rsidRDefault="00805A58" w:rsidP="007D3AA7">
            <w:pPr>
              <w:spacing w:after="0" w:line="240" w:lineRule="auto"/>
              <w:rPr>
                <w:rFonts w:ascii="Times New Roman" w:hAnsi="Times New Roman"/>
                <w:sz w:val="24"/>
                <w:szCs w:val="24"/>
              </w:rPr>
            </w:pPr>
            <w:r w:rsidRPr="002A6944">
              <w:rPr>
                <w:rFonts w:ascii="Times New Roman" w:hAnsi="Times New Roman"/>
                <w:b/>
                <w:sz w:val="28"/>
                <w:szCs w:val="28"/>
              </w:rPr>
              <w:t>Приложение №3</w:t>
            </w:r>
            <w:r w:rsidRPr="002A6944">
              <w:rPr>
                <w:rFonts w:ascii="Times New Roman" w:hAnsi="Times New Roman"/>
                <w:sz w:val="28"/>
                <w:szCs w:val="28"/>
              </w:rPr>
              <w:t xml:space="preserve"> Основные показатели развити</w:t>
            </w:r>
            <w:r w:rsidR="00A11B16">
              <w:rPr>
                <w:rFonts w:ascii="Times New Roman" w:hAnsi="Times New Roman"/>
                <w:sz w:val="28"/>
                <w:szCs w:val="28"/>
              </w:rPr>
              <w:t>я малого предпринимательства за</w:t>
            </w:r>
            <w:r w:rsidRPr="002A6944">
              <w:rPr>
                <w:rFonts w:ascii="Times New Roman" w:hAnsi="Times New Roman"/>
                <w:sz w:val="28"/>
                <w:szCs w:val="28"/>
              </w:rPr>
              <w:t xml:space="preserve"> 201</w:t>
            </w:r>
            <w:r w:rsidR="0078535F" w:rsidRPr="002A6944">
              <w:rPr>
                <w:rFonts w:ascii="Times New Roman" w:hAnsi="Times New Roman"/>
                <w:sz w:val="28"/>
                <w:szCs w:val="28"/>
              </w:rPr>
              <w:t>8</w:t>
            </w:r>
            <w:r w:rsidR="00A11B16">
              <w:rPr>
                <w:rFonts w:ascii="Times New Roman" w:hAnsi="Times New Roman"/>
                <w:sz w:val="28"/>
                <w:szCs w:val="28"/>
              </w:rPr>
              <w:t xml:space="preserve"> </w:t>
            </w:r>
            <w:r w:rsidRPr="002A6944">
              <w:rPr>
                <w:rFonts w:ascii="Times New Roman" w:hAnsi="Times New Roman"/>
                <w:bCs/>
                <w:color w:val="000000"/>
                <w:sz w:val="28"/>
                <w:szCs w:val="28"/>
              </w:rPr>
              <w:t>год</w:t>
            </w:r>
            <w:r w:rsidR="00A11B16">
              <w:rPr>
                <w:rFonts w:ascii="Times New Roman" w:hAnsi="Times New Roman"/>
                <w:bCs/>
                <w:color w:val="000000"/>
                <w:sz w:val="28"/>
                <w:szCs w:val="28"/>
              </w:rPr>
              <w:t xml:space="preserve"> ………</w:t>
            </w:r>
            <w:r w:rsidR="002A6944" w:rsidRPr="002A6944">
              <w:rPr>
                <w:rFonts w:ascii="Times New Roman" w:hAnsi="Times New Roman"/>
                <w:sz w:val="28"/>
                <w:szCs w:val="28"/>
              </w:rPr>
              <w:t>………</w:t>
            </w:r>
            <w:r w:rsidR="00A11B16">
              <w:rPr>
                <w:rFonts w:ascii="Times New Roman" w:hAnsi="Times New Roman"/>
                <w:sz w:val="28"/>
                <w:szCs w:val="28"/>
              </w:rPr>
              <w:t>………..</w:t>
            </w:r>
            <w:r w:rsidR="002A6944" w:rsidRPr="002A6944">
              <w:rPr>
                <w:rFonts w:ascii="Times New Roman" w:hAnsi="Times New Roman"/>
                <w:sz w:val="28"/>
                <w:szCs w:val="28"/>
              </w:rPr>
              <w:t>……………</w:t>
            </w:r>
            <w:r w:rsidR="002A6944">
              <w:rPr>
                <w:rFonts w:ascii="Times New Roman" w:hAnsi="Times New Roman"/>
                <w:sz w:val="28"/>
                <w:szCs w:val="28"/>
              </w:rPr>
              <w:t>…</w:t>
            </w:r>
          </w:p>
        </w:tc>
        <w:tc>
          <w:tcPr>
            <w:tcW w:w="636" w:type="dxa"/>
            <w:vAlign w:val="bottom"/>
          </w:tcPr>
          <w:p w:rsidR="00805A58" w:rsidRPr="002A6944" w:rsidRDefault="0055204D" w:rsidP="006A580E">
            <w:pPr>
              <w:spacing w:after="0" w:line="240" w:lineRule="auto"/>
              <w:rPr>
                <w:rFonts w:ascii="Times New Roman" w:hAnsi="Times New Roman"/>
                <w:sz w:val="28"/>
                <w:szCs w:val="28"/>
              </w:rPr>
            </w:pPr>
            <w:r>
              <w:rPr>
                <w:rFonts w:ascii="Times New Roman" w:hAnsi="Times New Roman"/>
                <w:sz w:val="28"/>
                <w:szCs w:val="28"/>
              </w:rPr>
              <w:t>8</w:t>
            </w:r>
            <w:r w:rsidR="006A580E">
              <w:rPr>
                <w:rFonts w:ascii="Times New Roman" w:hAnsi="Times New Roman"/>
                <w:sz w:val="28"/>
                <w:szCs w:val="28"/>
              </w:rPr>
              <w:t>3</w:t>
            </w:r>
          </w:p>
        </w:tc>
      </w:tr>
      <w:tr w:rsidR="00805A58" w:rsidRPr="0080737A" w:rsidTr="003F67B2">
        <w:tc>
          <w:tcPr>
            <w:tcW w:w="8798" w:type="dxa"/>
          </w:tcPr>
          <w:p w:rsidR="00805A58" w:rsidRPr="0080737A" w:rsidRDefault="00805A58" w:rsidP="007D3AA7">
            <w:pPr>
              <w:spacing w:after="0" w:line="240" w:lineRule="auto"/>
              <w:rPr>
                <w:rFonts w:ascii="Times New Roman" w:hAnsi="Times New Roman"/>
                <w:sz w:val="24"/>
                <w:szCs w:val="24"/>
              </w:rPr>
            </w:pPr>
          </w:p>
        </w:tc>
        <w:tc>
          <w:tcPr>
            <w:tcW w:w="636" w:type="dxa"/>
            <w:vAlign w:val="bottom"/>
          </w:tcPr>
          <w:p w:rsidR="00805A58" w:rsidRPr="0080737A" w:rsidRDefault="00805A58" w:rsidP="007D3AA7">
            <w:pPr>
              <w:spacing w:after="0" w:line="240" w:lineRule="auto"/>
              <w:rPr>
                <w:rFonts w:ascii="Times New Roman" w:hAnsi="Times New Roman"/>
                <w:sz w:val="24"/>
                <w:szCs w:val="24"/>
              </w:rPr>
            </w:pPr>
          </w:p>
        </w:tc>
      </w:tr>
      <w:tr w:rsidR="00805A58" w:rsidRPr="0080737A" w:rsidTr="003F67B2">
        <w:tc>
          <w:tcPr>
            <w:tcW w:w="8798" w:type="dxa"/>
          </w:tcPr>
          <w:p w:rsidR="00805A58" w:rsidRPr="0080737A" w:rsidRDefault="00805A58" w:rsidP="007D3AA7">
            <w:pPr>
              <w:spacing w:after="0" w:line="240" w:lineRule="auto"/>
              <w:rPr>
                <w:rFonts w:ascii="Times New Roman" w:hAnsi="Times New Roman"/>
                <w:sz w:val="24"/>
                <w:szCs w:val="24"/>
              </w:rPr>
            </w:pPr>
          </w:p>
        </w:tc>
        <w:tc>
          <w:tcPr>
            <w:tcW w:w="636" w:type="dxa"/>
            <w:vAlign w:val="bottom"/>
          </w:tcPr>
          <w:p w:rsidR="00805A58" w:rsidRPr="0080737A" w:rsidRDefault="00805A58" w:rsidP="007D3AA7">
            <w:pPr>
              <w:spacing w:after="0" w:line="240" w:lineRule="auto"/>
              <w:rPr>
                <w:rFonts w:ascii="Times New Roman" w:hAnsi="Times New Roman"/>
                <w:sz w:val="24"/>
                <w:szCs w:val="24"/>
              </w:rPr>
            </w:pPr>
          </w:p>
        </w:tc>
      </w:tr>
      <w:tr w:rsidR="00805A58" w:rsidRPr="0080737A" w:rsidTr="003F67B2">
        <w:tc>
          <w:tcPr>
            <w:tcW w:w="8798" w:type="dxa"/>
          </w:tcPr>
          <w:p w:rsidR="00805A58" w:rsidRPr="0080737A" w:rsidRDefault="00805A58" w:rsidP="007D3AA7">
            <w:pPr>
              <w:spacing w:after="0" w:line="240" w:lineRule="auto"/>
              <w:rPr>
                <w:rFonts w:ascii="Times New Roman" w:hAnsi="Times New Roman"/>
                <w:sz w:val="24"/>
                <w:szCs w:val="24"/>
              </w:rPr>
            </w:pPr>
          </w:p>
        </w:tc>
        <w:tc>
          <w:tcPr>
            <w:tcW w:w="636" w:type="dxa"/>
            <w:vAlign w:val="bottom"/>
          </w:tcPr>
          <w:p w:rsidR="00805A58" w:rsidRPr="0080737A" w:rsidRDefault="00805A58" w:rsidP="007D3AA7">
            <w:pPr>
              <w:spacing w:after="0" w:line="240" w:lineRule="auto"/>
              <w:rPr>
                <w:rFonts w:ascii="Times New Roman" w:hAnsi="Times New Roman"/>
                <w:sz w:val="24"/>
                <w:szCs w:val="24"/>
              </w:rPr>
            </w:pPr>
          </w:p>
        </w:tc>
      </w:tr>
      <w:tr w:rsidR="00805A58" w:rsidRPr="0080737A" w:rsidTr="00805A58">
        <w:tblPrEx>
          <w:tblLook w:val="00A0" w:firstRow="1" w:lastRow="0" w:firstColumn="1" w:lastColumn="0" w:noHBand="0" w:noVBand="0"/>
        </w:tblPrEx>
        <w:tc>
          <w:tcPr>
            <w:tcW w:w="8798" w:type="dxa"/>
          </w:tcPr>
          <w:p w:rsidR="00805A58" w:rsidRPr="000A7EA5" w:rsidRDefault="00805A58" w:rsidP="007D3AA7">
            <w:pPr>
              <w:pStyle w:val="4"/>
              <w:spacing w:before="0" w:after="0"/>
              <w:rPr>
                <w:sz w:val="24"/>
                <w:szCs w:val="24"/>
              </w:rPr>
            </w:pPr>
          </w:p>
        </w:tc>
        <w:tc>
          <w:tcPr>
            <w:tcW w:w="636" w:type="dxa"/>
          </w:tcPr>
          <w:p w:rsidR="00805A58" w:rsidRPr="0080737A" w:rsidRDefault="00805A58" w:rsidP="007D3AA7">
            <w:pPr>
              <w:spacing w:after="0" w:line="240" w:lineRule="auto"/>
              <w:jc w:val="both"/>
              <w:rPr>
                <w:rFonts w:ascii="Times New Roman" w:hAnsi="Times New Roman"/>
                <w:b/>
                <w:sz w:val="24"/>
                <w:szCs w:val="24"/>
              </w:rPr>
            </w:pPr>
          </w:p>
        </w:tc>
      </w:tr>
      <w:tr w:rsidR="00805A58" w:rsidRPr="0080737A" w:rsidTr="003F67B2">
        <w:tblPrEx>
          <w:tblLook w:val="00A0" w:firstRow="1" w:lastRow="0" w:firstColumn="1" w:lastColumn="0" w:noHBand="0" w:noVBand="0"/>
        </w:tblPrEx>
        <w:tc>
          <w:tcPr>
            <w:tcW w:w="8798" w:type="dxa"/>
          </w:tcPr>
          <w:p w:rsidR="00805A58" w:rsidRPr="0080737A" w:rsidRDefault="00805A58" w:rsidP="007D3AA7">
            <w:pPr>
              <w:spacing w:after="0" w:line="240" w:lineRule="auto"/>
              <w:jc w:val="both"/>
              <w:rPr>
                <w:rFonts w:ascii="Times New Roman" w:hAnsi="Times New Roman"/>
                <w:b/>
                <w:sz w:val="24"/>
                <w:szCs w:val="24"/>
              </w:rPr>
            </w:pPr>
          </w:p>
        </w:tc>
        <w:tc>
          <w:tcPr>
            <w:tcW w:w="636" w:type="dxa"/>
          </w:tcPr>
          <w:p w:rsidR="00805A58" w:rsidRPr="0080737A" w:rsidRDefault="00805A58" w:rsidP="007D3AA7">
            <w:pPr>
              <w:spacing w:after="0" w:line="240" w:lineRule="auto"/>
              <w:jc w:val="both"/>
              <w:rPr>
                <w:rFonts w:ascii="Times New Roman" w:hAnsi="Times New Roman"/>
                <w:b/>
                <w:sz w:val="24"/>
                <w:szCs w:val="24"/>
              </w:rPr>
            </w:pPr>
          </w:p>
        </w:tc>
      </w:tr>
      <w:tr w:rsidR="00805A58" w:rsidRPr="0080737A" w:rsidTr="003F67B2">
        <w:tblPrEx>
          <w:tblLook w:val="00A0" w:firstRow="1" w:lastRow="0" w:firstColumn="1" w:lastColumn="0" w:noHBand="0" w:noVBand="0"/>
        </w:tblPrEx>
        <w:tc>
          <w:tcPr>
            <w:tcW w:w="8798" w:type="dxa"/>
          </w:tcPr>
          <w:p w:rsidR="00805A58" w:rsidRPr="0080737A" w:rsidRDefault="00805A58" w:rsidP="007D3AA7">
            <w:pPr>
              <w:spacing w:after="0" w:line="240" w:lineRule="auto"/>
              <w:jc w:val="both"/>
              <w:rPr>
                <w:rFonts w:ascii="Times New Roman" w:hAnsi="Times New Roman"/>
                <w:b/>
                <w:sz w:val="24"/>
                <w:szCs w:val="24"/>
              </w:rPr>
            </w:pPr>
          </w:p>
        </w:tc>
        <w:tc>
          <w:tcPr>
            <w:tcW w:w="636" w:type="dxa"/>
          </w:tcPr>
          <w:p w:rsidR="00805A58" w:rsidRPr="0080737A" w:rsidRDefault="00805A58" w:rsidP="007D3AA7">
            <w:pPr>
              <w:spacing w:after="0" w:line="240" w:lineRule="auto"/>
              <w:jc w:val="both"/>
              <w:rPr>
                <w:rFonts w:ascii="Times New Roman" w:hAnsi="Times New Roman"/>
                <w:b/>
                <w:sz w:val="24"/>
                <w:szCs w:val="24"/>
              </w:rPr>
            </w:pPr>
          </w:p>
        </w:tc>
      </w:tr>
      <w:tr w:rsidR="00805A58" w:rsidRPr="0080737A" w:rsidTr="003F67B2">
        <w:trPr>
          <w:trHeight w:val="87"/>
        </w:trPr>
        <w:tc>
          <w:tcPr>
            <w:tcW w:w="8798" w:type="dxa"/>
          </w:tcPr>
          <w:p w:rsidR="00805A58" w:rsidRPr="0080737A" w:rsidRDefault="00805A58" w:rsidP="007D3AA7">
            <w:pPr>
              <w:spacing w:after="0" w:line="240" w:lineRule="auto"/>
              <w:jc w:val="both"/>
              <w:rPr>
                <w:rFonts w:ascii="Times New Roman" w:hAnsi="Times New Roman"/>
                <w:b/>
                <w:sz w:val="24"/>
                <w:szCs w:val="24"/>
              </w:rPr>
            </w:pPr>
          </w:p>
        </w:tc>
        <w:tc>
          <w:tcPr>
            <w:tcW w:w="636" w:type="dxa"/>
          </w:tcPr>
          <w:p w:rsidR="00805A58" w:rsidRPr="0080737A" w:rsidRDefault="00805A58" w:rsidP="007D3AA7">
            <w:pPr>
              <w:spacing w:after="0" w:line="240" w:lineRule="auto"/>
              <w:jc w:val="both"/>
              <w:rPr>
                <w:rFonts w:ascii="Times New Roman" w:hAnsi="Times New Roman"/>
                <w:b/>
                <w:sz w:val="24"/>
                <w:szCs w:val="24"/>
              </w:rPr>
            </w:pPr>
          </w:p>
        </w:tc>
      </w:tr>
      <w:tr w:rsidR="00805A58" w:rsidRPr="0080737A" w:rsidTr="003F67B2">
        <w:tc>
          <w:tcPr>
            <w:tcW w:w="8798" w:type="dxa"/>
          </w:tcPr>
          <w:p w:rsidR="00805A58" w:rsidRPr="0080737A" w:rsidRDefault="00805A58" w:rsidP="007D3AA7">
            <w:pPr>
              <w:spacing w:after="0" w:line="240" w:lineRule="auto"/>
              <w:jc w:val="both"/>
              <w:rPr>
                <w:rFonts w:ascii="Times New Roman" w:hAnsi="Times New Roman"/>
                <w:b/>
                <w:sz w:val="24"/>
                <w:szCs w:val="24"/>
              </w:rPr>
            </w:pPr>
          </w:p>
        </w:tc>
        <w:tc>
          <w:tcPr>
            <w:tcW w:w="636" w:type="dxa"/>
          </w:tcPr>
          <w:p w:rsidR="00805A58" w:rsidRPr="0080737A" w:rsidRDefault="00805A58" w:rsidP="007D3AA7">
            <w:pPr>
              <w:spacing w:after="0" w:line="240" w:lineRule="auto"/>
              <w:jc w:val="both"/>
              <w:rPr>
                <w:rFonts w:ascii="Times New Roman" w:hAnsi="Times New Roman"/>
                <w:b/>
                <w:sz w:val="24"/>
                <w:szCs w:val="24"/>
              </w:rPr>
            </w:pPr>
          </w:p>
        </w:tc>
      </w:tr>
      <w:tr w:rsidR="00805A58" w:rsidRPr="0080737A" w:rsidTr="003F67B2">
        <w:trPr>
          <w:trHeight w:val="87"/>
        </w:trPr>
        <w:tc>
          <w:tcPr>
            <w:tcW w:w="8798" w:type="dxa"/>
          </w:tcPr>
          <w:p w:rsidR="00805A58" w:rsidRPr="0080737A" w:rsidRDefault="00805A58" w:rsidP="007D3AA7">
            <w:pPr>
              <w:spacing w:after="0" w:line="240" w:lineRule="auto"/>
              <w:jc w:val="both"/>
              <w:rPr>
                <w:rFonts w:ascii="Times New Roman" w:hAnsi="Times New Roman"/>
                <w:b/>
                <w:sz w:val="24"/>
                <w:szCs w:val="24"/>
              </w:rPr>
            </w:pPr>
          </w:p>
        </w:tc>
        <w:tc>
          <w:tcPr>
            <w:tcW w:w="636" w:type="dxa"/>
          </w:tcPr>
          <w:p w:rsidR="00805A58" w:rsidRPr="0080737A" w:rsidRDefault="00805A58" w:rsidP="007D3AA7">
            <w:pPr>
              <w:spacing w:after="0" w:line="240" w:lineRule="auto"/>
              <w:jc w:val="both"/>
              <w:rPr>
                <w:rFonts w:ascii="Times New Roman" w:hAnsi="Times New Roman"/>
                <w:b/>
                <w:sz w:val="24"/>
                <w:szCs w:val="24"/>
              </w:rPr>
            </w:pPr>
          </w:p>
        </w:tc>
      </w:tr>
    </w:tbl>
    <w:p w:rsidR="00335844" w:rsidRPr="0080737A" w:rsidRDefault="00335844" w:rsidP="007D3AA7">
      <w:pPr>
        <w:spacing w:after="0" w:line="240" w:lineRule="auto"/>
        <w:ind w:firstLine="851"/>
        <w:rPr>
          <w:rFonts w:ascii="Times New Roman" w:hAnsi="Times New Roman"/>
          <w:sz w:val="24"/>
          <w:szCs w:val="24"/>
        </w:rPr>
      </w:pPr>
    </w:p>
    <w:p w:rsidR="00335844" w:rsidRPr="0080737A" w:rsidRDefault="00335844" w:rsidP="007D3AA7">
      <w:pPr>
        <w:spacing w:after="0" w:line="240" w:lineRule="auto"/>
        <w:ind w:firstLine="851"/>
        <w:rPr>
          <w:rFonts w:ascii="Times New Roman" w:hAnsi="Times New Roman"/>
          <w:sz w:val="24"/>
          <w:szCs w:val="24"/>
        </w:rPr>
      </w:pPr>
    </w:p>
    <w:p w:rsidR="00335844" w:rsidRPr="0080737A" w:rsidRDefault="00335844" w:rsidP="007D3AA7">
      <w:pPr>
        <w:spacing w:after="0" w:line="240" w:lineRule="auto"/>
        <w:ind w:firstLine="851"/>
        <w:rPr>
          <w:rFonts w:ascii="Times New Roman" w:hAnsi="Times New Roman"/>
          <w:sz w:val="24"/>
          <w:szCs w:val="24"/>
        </w:rPr>
        <w:sectPr w:rsidR="00335844" w:rsidRPr="0080737A" w:rsidSect="006E6307">
          <w:footerReference w:type="even" r:id="rId8"/>
          <w:footerReference w:type="default" r:id="rId9"/>
          <w:pgSz w:w="11906" w:h="16838" w:code="9"/>
          <w:pgMar w:top="993" w:right="851" w:bottom="1134" w:left="1701" w:header="709" w:footer="709" w:gutter="0"/>
          <w:pgNumType w:start="1"/>
          <w:cols w:space="708"/>
          <w:titlePg/>
          <w:docGrid w:linePitch="360"/>
        </w:sectPr>
      </w:pPr>
    </w:p>
    <w:p w:rsidR="008A7A73" w:rsidRDefault="0097231B" w:rsidP="007D3AA7">
      <w:pPr>
        <w:pStyle w:val="a6"/>
        <w:spacing w:after="0" w:line="240" w:lineRule="atLeast"/>
        <w:ind w:left="0"/>
        <w:jc w:val="center"/>
        <w:rPr>
          <w:rFonts w:ascii="Times New Roman" w:hAnsi="Times New Roman"/>
          <w:b/>
          <w:sz w:val="28"/>
          <w:szCs w:val="28"/>
        </w:rPr>
      </w:pPr>
      <w:r w:rsidRPr="00E71F62">
        <w:rPr>
          <w:rFonts w:ascii="Times New Roman" w:hAnsi="Times New Roman"/>
          <w:b/>
          <w:sz w:val="28"/>
          <w:szCs w:val="28"/>
        </w:rPr>
        <w:lastRenderedPageBreak/>
        <w:t xml:space="preserve">Основные тенденции развития экономики </w:t>
      </w:r>
    </w:p>
    <w:p w:rsidR="0097231B" w:rsidRPr="00E71F62" w:rsidRDefault="0097231B" w:rsidP="007D3AA7">
      <w:pPr>
        <w:pStyle w:val="a6"/>
        <w:spacing w:after="0" w:line="240" w:lineRule="atLeast"/>
        <w:ind w:left="0"/>
        <w:jc w:val="center"/>
        <w:rPr>
          <w:rFonts w:ascii="Times New Roman" w:hAnsi="Times New Roman"/>
          <w:b/>
          <w:sz w:val="28"/>
          <w:szCs w:val="28"/>
        </w:rPr>
      </w:pPr>
      <w:r w:rsidRPr="00E71F62">
        <w:rPr>
          <w:rFonts w:ascii="Times New Roman" w:hAnsi="Times New Roman"/>
          <w:b/>
          <w:sz w:val="28"/>
          <w:szCs w:val="28"/>
        </w:rPr>
        <w:t>Приднестровской Молдавской Республики в 2018 год</w:t>
      </w:r>
      <w:r w:rsidR="00A11B16">
        <w:rPr>
          <w:rFonts w:ascii="Times New Roman" w:hAnsi="Times New Roman"/>
          <w:b/>
          <w:sz w:val="28"/>
          <w:szCs w:val="28"/>
        </w:rPr>
        <w:t>у</w:t>
      </w:r>
    </w:p>
    <w:p w:rsidR="0097231B" w:rsidRDefault="0097231B" w:rsidP="007D3AA7">
      <w:pPr>
        <w:pStyle w:val="a6"/>
        <w:spacing w:after="0" w:line="240" w:lineRule="atLeast"/>
        <w:ind w:left="0" w:firstLine="709"/>
        <w:jc w:val="center"/>
        <w:rPr>
          <w:rFonts w:ascii="Times New Roman" w:hAnsi="Times New Roman"/>
          <w:b/>
          <w:sz w:val="24"/>
          <w:szCs w:val="24"/>
        </w:rPr>
      </w:pPr>
    </w:p>
    <w:p w:rsidR="002A20E2" w:rsidRPr="00C713EE" w:rsidRDefault="002A20E2" w:rsidP="002A20E2">
      <w:pPr>
        <w:tabs>
          <w:tab w:val="left" w:pos="851"/>
          <w:tab w:val="left" w:pos="993"/>
        </w:tabs>
        <w:spacing w:after="0" w:line="240" w:lineRule="auto"/>
        <w:ind w:firstLine="426"/>
        <w:jc w:val="both"/>
        <w:rPr>
          <w:rFonts w:ascii="Times New Roman" w:hAnsi="Times New Roman"/>
          <w:sz w:val="28"/>
          <w:szCs w:val="28"/>
        </w:rPr>
      </w:pPr>
      <w:r w:rsidRPr="00C713EE">
        <w:rPr>
          <w:rFonts w:ascii="Times New Roman" w:hAnsi="Times New Roman"/>
          <w:sz w:val="28"/>
          <w:szCs w:val="28"/>
        </w:rPr>
        <w:t xml:space="preserve">В 2018 году активная работа по </w:t>
      </w:r>
      <w:r>
        <w:rPr>
          <w:rFonts w:ascii="Times New Roman" w:hAnsi="Times New Roman"/>
          <w:sz w:val="28"/>
          <w:szCs w:val="28"/>
        </w:rPr>
        <w:t xml:space="preserve">расширению </w:t>
      </w:r>
      <w:r w:rsidRPr="00C713EE">
        <w:rPr>
          <w:rFonts w:ascii="Times New Roman" w:hAnsi="Times New Roman"/>
          <w:sz w:val="28"/>
          <w:szCs w:val="28"/>
        </w:rPr>
        <w:t>взаимодействи</w:t>
      </w:r>
      <w:r>
        <w:rPr>
          <w:rFonts w:ascii="Times New Roman" w:hAnsi="Times New Roman"/>
          <w:sz w:val="28"/>
          <w:szCs w:val="28"/>
        </w:rPr>
        <w:t>я</w:t>
      </w:r>
      <w:r w:rsidRPr="00C713EE">
        <w:rPr>
          <w:rFonts w:ascii="Times New Roman" w:hAnsi="Times New Roman"/>
          <w:sz w:val="28"/>
          <w:szCs w:val="28"/>
        </w:rPr>
        <w:t xml:space="preserve"> бизнеса и государства, модернизация инвестиционного законодательства,</w:t>
      </w:r>
      <w:r>
        <w:rPr>
          <w:rFonts w:ascii="Times New Roman" w:hAnsi="Times New Roman"/>
          <w:sz w:val="28"/>
          <w:szCs w:val="28"/>
        </w:rPr>
        <w:t xml:space="preserve"> в части совершенствования</w:t>
      </w:r>
      <w:r w:rsidRPr="00C713EE">
        <w:rPr>
          <w:rFonts w:ascii="Times New Roman" w:hAnsi="Times New Roman"/>
          <w:sz w:val="28"/>
          <w:szCs w:val="28"/>
        </w:rPr>
        <w:t xml:space="preserve"> правовых норм, направленных на стимулирование обновления основных фондов, проведение мероприятий по снижению административных барьеров, а также поддержка новых бизнес идей способствовали </w:t>
      </w:r>
      <w:r>
        <w:rPr>
          <w:rFonts w:ascii="Times New Roman" w:hAnsi="Times New Roman"/>
          <w:sz w:val="28"/>
          <w:szCs w:val="28"/>
        </w:rPr>
        <w:t xml:space="preserve">закреплению и </w:t>
      </w:r>
      <w:r w:rsidRPr="00C713EE">
        <w:rPr>
          <w:rFonts w:ascii="Times New Roman" w:hAnsi="Times New Roman"/>
          <w:sz w:val="28"/>
          <w:szCs w:val="28"/>
        </w:rPr>
        <w:t xml:space="preserve">развитию </w:t>
      </w:r>
      <w:r>
        <w:rPr>
          <w:rFonts w:ascii="Times New Roman" w:hAnsi="Times New Roman"/>
          <w:sz w:val="28"/>
          <w:szCs w:val="28"/>
        </w:rPr>
        <w:t>положительной динамики воспроизводственных процессов</w:t>
      </w:r>
      <w:r w:rsidRPr="00C713EE">
        <w:rPr>
          <w:rFonts w:ascii="Times New Roman" w:hAnsi="Times New Roman"/>
          <w:sz w:val="28"/>
          <w:szCs w:val="28"/>
        </w:rPr>
        <w:t xml:space="preserve">. </w:t>
      </w:r>
    </w:p>
    <w:p w:rsidR="00A11B16" w:rsidRPr="00C47DFB" w:rsidRDefault="002A20E2" w:rsidP="007D3AA7">
      <w:pPr>
        <w:shd w:val="clear" w:color="auto" w:fill="FFFFFF"/>
        <w:spacing w:after="0" w:line="240" w:lineRule="auto"/>
        <w:ind w:firstLine="426"/>
        <w:jc w:val="both"/>
        <w:rPr>
          <w:rFonts w:ascii="Times New Roman" w:hAnsi="Times New Roman"/>
          <w:sz w:val="28"/>
          <w:szCs w:val="28"/>
        </w:rPr>
      </w:pPr>
      <w:r>
        <w:rPr>
          <w:rFonts w:ascii="Times New Roman" w:hAnsi="Times New Roman"/>
          <w:sz w:val="28"/>
          <w:szCs w:val="28"/>
        </w:rPr>
        <w:t xml:space="preserve">В результате в инвестиционной сфере объем капитальных вложений в основной капитал возрос </w:t>
      </w:r>
      <w:r w:rsidR="00A11B16">
        <w:rPr>
          <w:rFonts w:ascii="Times New Roman" w:hAnsi="Times New Roman"/>
          <w:sz w:val="28"/>
          <w:szCs w:val="28"/>
        </w:rPr>
        <w:t>в 1,7 раза</w:t>
      </w:r>
      <w:r w:rsidR="00A11B16" w:rsidRPr="00C47DFB">
        <w:rPr>
          <w:rFonts w:ascii="Times New Roman" w:hAnsi="Times New Roman"/>
          <w:sz w:val="28"/>
          <w:szCs w:val="28"/>
        </w:rPr>
        <w:t>.</w:t>
      </w:r>
    </w:p>
    <w:p w:rsidR="00A11B16" w:rsidRDefault="00A11B16" w:rsidP="007D3AA7">
      <w:pPr>
        <w:tabs>
          <w:tab w:val="left" w:pos="851"/>
          <w:tab w:val="left" w:pos="993"/>
        </w:tabs>
        <w:spacing w:after="0" w:line="240" w:lineRule="auto"/>
        <w:ind w:firstLine="426"/>
        <w:jc w:val="both"/>
        <w:rPr>
          <w:rFonts w:ascii="Times New Roman" w:hAnsi="Times New Roman"/>
          <w:sz w:val="28"/>
          <w:szCs w:val="28"/>
        </w:rPr>
      </w:pPr>
      <w:r>
        <w:rPr>
          <w:rFonts w:ascii="Times New Roman" w:hAnsi="Times New Roman"/>
          <w:sz w:val="28"/>
          <w:szCs w:val="28"/>
        </w:rPr>
        <w:t xml:space="preserve">Положительной динамикой показателей в большинстве отраслей </w:t>
      </w:r>
      <w:r w:rsidR="00C671AD">
        <w:rPr>
          <w:rFonts w:ascii="Times New Roman" w:hAnsi="Times New Roman"/>
          <w:sz w:val="28"/>
          <w:szCs w:val="28"/>
        </w:rPr>
        <w:t xml:space="preserve">характеризовалась ситуация в индустриальном секторе, прежде всего, </w:t>
      </w:r>
      <w:r>
        <w:rPr>
          <w:rFonts w:ascii="Times New Roman" w:hAnsi="Times New Roman"/>
          <w:sz w:val="28"/>
          <w:szCs w:val="28"/>
        </w:rPr>
        <w:t>в первой половине года</w:t>
      </w:r>
      <w:r w:rsidR="002A20E2">
        <w:rPr>
          <w:rFonts w:ascii="Times New Roman" w:hAnsi="Times New Roman"/>
          <w:sz w:val="28"/>
          <w:szCs w:val="28"/>
        </w:rPr>
        <w:t>.</w:t>
      </w:r>
      <w:r>
        <w:rPr>
          <w:rFonts w:ascii="Times New Roman" w:hAnsi="Times New Roman"/>
          <w:sz w:val="28"/>
          <w:szCs w:val="28"/>
        </w:rPr>
        <w:t xml:space="preserve"> </w:t>
      </w:r>
      <w:r w:rsidR="002A20E2" w:rsidRPr="00C713EE">
        <w:rPr>
          <w:rFonts w:ascii="Times New Roman" w:hAnsi="Times New Roman"/>
          <w:sz w:val="28"/>
          <w:szCs w:val="28"/>
        </w:rPr>
        <w:t xml:space="preserve">Вместе с </w:t>
      </w:r>
      <w:r w:rsidR="002A20E2">
        <w:rPr>
          <w:rFonts w:ascii="Times New Roman" w:hAnsi="Times New Roman"/>
          <w:sz w:val="28"/>
          <w:szCs w:val="28"/>
        </w:rPr>
        <w:t>те</w:t>
      </w:r>
      <w:r w:rsidR="002A20E2" w:rsidRPr="00C713EE">
        <w:rPr>
          <w:rFonts w:ascii="Times New Roman" w:hAnsi="Times New Roman"/>
          <w:sz w:val="28"/>
          <w:szCs w:val="28"/>
        </w:rPr>
        <w:t xml:space="preserve">м, ряд </w:t>
      </w:r>
      <w:r w:rsidR="002A20E2">
        <w:rPr>
          <w:rFonts w:ascii="Times New Roman" w:hAnsi="Times New Roman"/>
          <w:sz w:val="28"/>
          <w:szCs w:val="28"/>
        </w:rPr>
        <w:t xml:space="preserve">ограничительных </w:t>
      </w:r>
      <w:r w:rsidR="002A20E2" w:rsidRPr="00C713EE">
        <w:rPr>
          <w:rFonts w:ascii="Times New Roman" w:hAnsi="Times New Roman"/>
          <w:sz w:val="28"/>
          <w:szCs w:val="28"/>
        </w:rPr>
        <w:t>факторов внешнего характера,</w:t>
      </w:r>
      <w:r w:rsidR="002A20E2">
        <w:rPr>
          <w:rFonts w:ascii="Times New Roman" w:hAnsi="Times New Roman"/>
          <w:sz w:val="28"/>
          <w:szCs w:val="28"/>
        </w:rPr>
        <w:t xml:space="preserve"> включая</w:t>
      </w:r>
      <w:r w:rsidR="002A20E2" w:rsidRPr="00C713EE">
        <w:rPr>
          <w:rFonts w:ascii="Times New Roman" w:hAnsi="Times New Roman"/>
          <w:sz w:val="28"/>
          <w:szCs w:val="28"/>
        </w:rPr>
        <w:t xml:space="preserve"> действие заградительных пошлин</w:t>
      </w:r>
      <w:r w:rsidR="002A20E2">
        <w:rPr>
          <w:rFonts w:ascii="Times New Roman" w:hAnsi="Times New Roman"/>
          <w:sz w:val="28"/>
          <w:szCs w:val="28"/>
        </w:rPr>
        <w:t xml:space="preserve"> в отношении отдельных позиций приднестровского экспорта</w:t>
      </w:r>
      <w:r w:rsidR="002A20E2" w:rsidRPr="00C713EE">
        <w:rPr>
          <w:rFonts w:ascii="Times New Roman" w:hAnsi="Times New Roman"/>
          <w:sz w:val="28"/>
          <w:szCs w:val="28"/>
        </w:rPr>
        <w:t>, переформатирование традиционных экономических связей, торговые войны крупнейших экономик мира, а также нестабильность рынков</w:t>
      </w:r>
      <w:r w:rsidR="002A20E2">
        <w:rPr>
          <w:rFonts w:ascii="Times New Roman" w:hAnsi="Times New Roman"/>
          <w:sz w:val="28"/>
          <w:szCs w:val="28"/>
        </w:rPr>
        <w:t>,</w:t>
      </w:r>
      <w:r w:rsidR="002A20E2" w:rsidRPr="00C713EE">
        <w:rPr>
          <w:rFonts w:ascii="Times New Roman" w:hAnsi="Times New Roman"/>
          <w:sz w:val="28"/>
          <w:szCs w:val="28"/>
        </w:rPr>
        <w:t xml:space="preserve"> </w:t>
      </w:r>
      <w:r w:rsidR="002A20E2">
        <w:rPr>
          <w:rFonts w:ascii="Times New Roman" w:hAnsi="Times New Roman"/>
          <w:sz w:val="28"/>
          <w:szCs w:val="28"/>
        </w:rPr>
        <w:t>оказ</w:t>
      </w:r>
      <w:r w:rsidR="00C671AD">
        <w:rPr>
          <w:rFonts w:ascii="Times New Roman" w:hAnsi="Times New Roman"/>
          <w:sz w:val="28"/>
          <w:szCs w:val="28"/>
        </w:rPr>
        <w:t>а</w:t>
      </w:r>
      <w:r w:rsidR="002A20E2">
        <w:rPr>
          <w:rFonts w:ascii="Times New Roman" w:hAnsi="Times New Roman"/>
          <w:sz w:val="28"/>
          <w:szCs w:val="28"/>
        </w:rPr>
        <w:t xml:space="preserve">ли во втором полугодии сдерживающее влияние на </w:t>
      </w:r>
      <w:r w:rsidR="00C671AD">
        <w:rPr>
          <w:rFonts w:ascii="Times New Roman" w:hAnsi="Times New Roman"/>
          <w:sz w:val="28"/>
          <w:szCs w:val="28"/>
        </w:rPr>
        <w:t>динамику</w:t>
      </w:r>
      <w:r w:rsidR="002A20E2" w:rsidRPr="00C713EE">
        <w:rPr>
          <w:rFonts w:ascii="Times New Roman" w:hAnsi="Times New Roman"/>
          <w:sz w:val="28"/>
          <w:szCs w:val="28"/>
        </w:rPr>
        <w:t xml:space="preserve"> индустриального выпуска, внешнеторговой деятельности.</w:t>
      </w:r>
      <w:r w:rsidR="002A20E2">
        <w:rPr>
          <w:rFonts w:ascii="Times New Roman" w:hAnsi="Times New Roman"/>
          <w:sz w:val="28"/>
          <w:szCs w:val="28"/>
        </w:rPr>
        <w:t xml:space="preserve"> Как следствие,</w:t>
      </w:r>
      <w:r>
        <w:rPr>
          <w:rFonts w:ascii="Times New Roman" w:hAnsi="Times New Roman"/>
          <w:sz w:val="28"/>
          <w:szCs w:val="28"/>
        </w:rPr>
        <w:t xml:space="preserve"> высокие</w:t>
      </w:r>
      <w:r w:rsidRPr="00657CD3">
        <w:rPr>
          <w:rFonts w:ascii="Times New Roman" w:hAnsi="Times New Roman"/>
          <w:sz w:val="28"/>
          <w:szCs w:val="28"/>
        </w:rPr>
        <w:t xml:space="preserve"> темпы роста товарного выпуска в первой половине 2018 года (</w:t>
      </w:r>
      <w:r>
        <w:rPr>
          <w:rFonts w:ascii="Times New Roman" w:hAnsi="Times New Roman"/>
          <w:sz w:val="28"/>
          <w:szCs w:val="28"/>
        </w:rPr>
        <w:t>197,2</w:t>
      </w:r>
      <w:r w:rsidRPr="00657CD3">
        <w:rPr>
          <w:rFonts w:ascii="Times New Roman" w:hAnsi="Times New Roman"/>
          <w:sz w:val="28"/>
          <w:szCs w:val="28"/>
        </w:rPr>
        <w:t xml:space="preserve">%), снизились в целом </w:t>
      </w:r>
      <w:r>
        <w:rPr>
          <w:rFonts w:ascii="Times New Roman" w:hAnsi="Times New Roman"/>
          <w:sz w:val="28"/>
          <w:szCs w:val="28"/>
        </w:rPr>
        <w:t xml:space="preserve">по итогам </w:t>
      </w:r>
      <w:r w:rsidRPr="00657CD3">
        <w:rPr>
          <w:rFonts w:ascii="Times New Roman" w:hAnsi="Times New Roman"/>
          <w:sz w:val="28"/>
          <w:szCs w:val="28"/>
        </w:rPr>
        <w:t>год</w:t>
      </w:r>
      <w:r>
        <w:rPr>
          <w:rFonts w:ascii="Times New Roman" w:hAnsi="Times New Roman"/>
          <w:sz w:val="28"/>
          <w:szCs w:val="28"/>
        </w:rPr>
        <w:t>а</w:t>
      </w:r>
      <w:r w:rsidRPr="00657CD3">
        <w:rPr>
          <w:rFonts w:ascii="Times New Roman" w:hAnsi="Times New Roman"/>
          <w:sz w:val="28"/>
          <w:szCs w:val="28"/>
        </w:rPr>
        <w:t xml:space="preserve"> до 1</w:t>
      </w:r>
      <w:r>
        <w:rPr>
          <w:rFonts w:ascii="Times New Roman" w:hAnsi="Times New Roman"/>
          <w:sz w:val="28"/>
          <w:szCs w:val="28"/>
        </w:rPr>
        <w:t>36,4</w:t>
      </w:r>
      <w:r w:rsidRPr="00657CD3">
        <w:rPr>
          <w:rFonts w:ascii="Times New Roman" w:hAnsi="Times New Roman"/>
          <w:sz w:val="28"/>
          <w:szCs w:val="28"/>
        </w:rPr>
        <w:t>%</w:t>
      </w:r>
      <w:r>
        <w:rPr>
          <w:rFonts w:ascii="Times New Roman" w:hAnsi="Times New Roman"/>
          <w:sz w:val="28"/>
          <w:szCs w:val="28"/>
        </w:rPr>
        <w:t>. Аналогичн</w:t>
      </w:r>
      <w:r w:rsidR="002A20E2">
        <w:rPr>
          <w:rFonts w:ascii="Times New Roman" w:hAnsi="Times New Roman"/>
          <w:sz w:val="28"/>
          <w:szCs w:val="28"/>
        </w:rPr>
        <w:t>ая</w:t>
      </w:r>
      <w:r>
        <w:rPr>
          <w:rFonts w:ascii="Times New Roman" w:hAnsi="Times New Roman"/>
          <w:sz w:val="28"/>
          <w:szCs w:val="28"/>
        </w:rPr>
        <w:t xml:space="preserve"> ситуаци</w:t>
      </w:r>
      <w:r w:rsidR="002A20E2">
        <w:rPr>
          <w:rFonts w:ascii="Times New Roman" w:hAnsi="Times New Roman"/>
          <w:sz w:val="28"/>
          <w:szCs w:val="28"/>
        </w:rPr>
        <w:t>я</w:t>
      </w:r>
      <w:r>
        <w:rPr>
          <w:rFonts w:ascii="Times New Roman" w:hAnsi="Times New Roman"/>
          <w:sz w:val="28"/>
          <w:szCs w:val="28"/>
        </w:rPr>
        <w:t xml:space="preserve"> </w:t>
      </w:r>
      <w:r w:rsidR="002A20E2">
        <w:rPr>
          <w:rFonts w:ascii="Times New Roman" w:hAnsi="Times New Roman"/>
          <w:sz w:val="28"/>
          <w:szCs w:val="28"/>
        </w:rPr>
        <w:t>отмечалась и</w:t>
      </w:r>
      <w:r>
        <w:rPr>
          <w:rFonts w:ascii="Times New Roman" w:hAnsi="Times New Roman"/>
          <w:sz w:val="28"/>
          <w:szCs w:val="28"/>
        </w:rPr>
        <w:t xml:space="preserve"> во внешнеэкономической сфере. После активного расширения внешнеторговых операций </w:t>
      </w:r>
      <w:r w:rsidR="002A20E2">
        <w:rPr>
          <w:rFonts w:ascii="Times New Roman" w:hAnsi="Times New Roman"/>
          <w:sz w:val="28"/>
          <w:szCs w:val="28"/>
        </w:rPr>
        <w:t>в январе-</w:t>
      </w:r>
      <w:r>
        <w:rPr>
          <w:rFonts w:ascii="Times New Roman" w:hAnsi="Times New Roman"/>
          <w:sz w:val="28"/>
          <w:szCs w:val="28"/>
        </w:rPr>
        <w:t>июне (объем экспорта возрос в 1,7 раза, импорта соответственно на 44,4%)</w:t>
      </w:r>
      <w:r w:rsidR="002A20E2">
        <w:rPr>
          <w:rFonts w:ascii="Times New Roman" w:hAnsi="Times New Roman"/>
          <w:sz w:val="28"/>
          <w:szCs w:val="28"/>
        </w:rPr>
        <w:t>,</w:t>
      </w:r>
      <w:r>
        <w:rPr>
          <w:rFonts w:ascii="Times New Roman" w:hAnsi="Times New Roman"/>
          <w:sz w:val="28"/>
          <w:szCs w:val="28"/>
        </w:rPr>
        <w:t xml:space="preserve"> годовые показатели прироста экспорта замедлились до 30,3%, импорта до 23,6%. </w:t>
      </w:r>
    </w:p>
    <w:p w:rsidR="00A11B16" w:rsidRPr="00DE3971" w:rsidRDefault="00A11B16" w:rsidP="007D3AA7">
      <w:pPr>
        <w:spacing w:after="0" w:line="240" w:lineRule="auto"/>
        <w:ind w:firstLine="425"/>
        <w:jc w:val="both"/>
        <w:rPr>
          <w:sz w:val="28"/>
          <w:szCs w:val="28"/>
        </w:rPr>
      </w:pPr>
      <w:r>
        <w:rPr>
          <w:rFonts w:ascii="Times New Roman" w:hAnsi="Times New Roman"/>
          <w:sz w:val="28"/>
          <w:szCs w:val="28"/>
        </w:rPr>
        <w:t>П</w:t>
      </w:r>
      <w:r w:rsidRPr="00B0300E">
        <w:rPr>
          <w:rFonts w:ascii="Times New Roman" w:hAnsi="Times New Roman"/>
          <w:sz w:val="28"/>
          <w:szCs w:val="28"/>
        </w:rPr>
        <w:t>овышение деловой активности в экономике</w:t>
      </w:r>
      <w:r w:rsidRPr="001E5DB0">
        <w:rPr>
          <w:rFonts w:ascii="Times New Roman" w:hAnsi="Times New Roman"/>
          <w:sz w:val="28"/>
          <w:szCs w:val="28"/>
        </w:rPr>
        <w:t xml:space="preserve"> </w:t>
      </w:r>
      <w:r>
        <w:rPr>
          <w:rFonts w:ascii="Times New Roman" w:hAnsi="Times New Roman"/>
          <w:sz w:val="28"/>
          <w:szCs w:val="28"/>
        </w:rPr>
        <w:t xml:space="preserve">и рост доходов населения на фоне умеренных темпов инфляции </w:t>
      </w:r>
      <w:r w:rsidR="002A20E2">
        <w:rPr>
          <w:rFonts w:ascii="Times New Roman" w:hAnsi="Times New Roman"/>
          <w:sz w:val="28"/>
          <w:szCs w:val="28"/>
        </w:rPr>
        <w:t>обусловили формирование</w:t>
      </w:r>
      <w:r>
        <w:rPr>
          <w:rFonts w:ascii="Times New Roman" w:hAnsi="Times New Roman"/>
          <w:sz w:val="28"/>
          <w:szCs w:val="28"/>
        </w:rPr>
        <w:t xml:space="preserve"> повышательн</w:t>
      </w:r>
      <w:r w:rsidR="002A20E2">
        <w:rPr>
          <w:rFonts w:ascii="Times New Roman" w:hAnsi="Times New Roman"/>
          <w:sz w:val="28"/>
          <w:szCs w:val="28"/>
        </w:rPr>
        <w:t>ого</w:t>
      </w:r>
      <w:r>
        <w:rPr>
          <w:rFonts w:ascii="Times New Roman" w:hAnsi="Times New Roman"/>
          <w:sz w:val="28"/>
          <w:szCs w:val="28"/>
        </w:rPr>
        <w:t xml:space="preserve"> тренд</w:t>
      </w:r>
      <w:r w:rsidR="002A20E2">
        <w:rPr>
          <w:rFonts w:ascii="Times New Roman" w:hAnsi="Times New Roman"/>
          <w:sz w:val="28"/>
          <w:szCs w:val="28"/>
        </w:rPr>
        <w:t>а</w:t>
      </w:r>
      <w:r>
        <w:rPr>
          <w:rFonts w:ascii="Times New Roman" w:hAnsi="Times New Roman"/>
          <w:sz w:val="28"/>
          <w:szCs w:val="28"/>
        </w:rPr>
        <w:t xml:space="preserve"> </w:t>
      </w:r>
      <w:r w:rsidRPr="00DE3971">
        <w:rPr>
          <w:rFonts w:ascii="Times New Roman" w:hAnsi="Times New Roman"/>
          <w:sz w:val="28"/>
          <w:szCs w:val="28"/>
        </w:rPr>
        <w:t>потребительской активности в сфер</w:t>
      </w:r>
      <w:r>
        <w:rPr>
          <w:rFonts w:ascii="Times New Roman" w:hAnsi="Times New Roman"/>
          <w:sz w:val="28"/>
          <w:szCs w:val="28"/>
        </w:rPr>
        <w:t>е</w:t>
      </w:r>
      <w:r w:rsidRPr="00DE3971">
        <w:rPr>
          <w:rFonts w:ascii="Times New Roman" w:hAnsi="Times New Roman"/>
          <w:sz w:val="28"/>
          <w:szCs w:val="28"/>
        </w:rPr>
        <w:t xml:space="preserve"> розничных продаж </w:t>
      </w:r>
      <w:r>
        <w:rPr>
          <w:rFonts w:ascii="Times New Roman" w:hAnsi="Times New Roman"/>
          <w:sz w:val="28"/>
          <w:szCs w:val="28"/>
        </w:rPr>
        <w:t xml:space="preserve">(+10,4%) </w:t>
      </w:r>
      <w:r w:rsidRPr="00DE3971">
        <w:rPr>
          <w:rFonts w:ascii="Times New Roman" w:hAnsi="Times New Roman"/>
          <w:sz w:val="28"/>
          <w:szCs w:val="28"/>
        </w:rPr>
        <w:t>и общественного питания</w:t>
      </w:r>
      <w:r>
        <w:rPr>
          <w:rFonts w:ascii="Times New Roman" w:hAnsi="Times New Roman"/>
          <w:sz w:val="28"/>
          <w:szCs w:val="28"/>
        </w:rPr>
        <w:t xml:space="preserve"> (+4,1%)</w:t>
      </w:r>
      <w:r w:rsidRPr="00DE3971">
        <w:rPr>
          <w:rFonts w:ascii="Times New Roman" w:hAnsi="Times New Roman"/>
          <w:sz w:val="28"/>
          <w:szCs w:val="28"/>
        </w:rPr>
        <w:t>.</w:t>
      </w:r>
    </w:p>
    <w:p w:rsidR="0097231B" w:rsidRPr="0097231B" w:rsidRDefault="0097231B" w:rsidP="007D3AA7">
      <w:pPr>
        <w:spacing w:after="0" w:line="240" w:lineRule="auto"/>
        <w:jc w:val="center"/>
        <w:rPr>
          <w:rFonts w:ascii="Times New Roman" w:hAnsi="Times New Roman"/>
          <w:sz w:val="28"/>
          <w:szCs w:val="28"/>
        </w:rPr>
      </w:pPr>
    </w:p>
    <w:p w:rsidR="0097231B" w:rsidRPr="007E1BA9" w:rsidRDefault="0097231B" w:rsidP="007D3AA7">
      <w:pPr>
        <w:spacing w:after="0" w:line="240" w:lineRule="auto"/>
        <w:ind w:firstLine="426"/>
        <w:rPr>
          <w:rFonts w:ascii="Times New Roman" w:hAnsi="Times New Roman"/>
          <w:b/>
          <w:sz w:val="28"/>
          <w:szCs w:val="28"/>
        </w:rPr>
      </w:pPr>
      <w:r>
        <w:rPr>
          <w:rFonts w:ascii="Times New Roman" w:hAnsi="Times New Roman"/>
          <w:b/>
          <w:sz w:val="28"/>
          <w:szCs w:val="28"/>
        </w:rPr>
        <w:t>Объем и структура ВВП</w:t>
      </w:r>
    </w:p>
    <w:p w:rsidR="0097231B" w:rsidRDefault="0097231B" w:rsidP="007D3AA7">
      <w:pPr>
        <w:pStyle w:val="a4"/>
        <w:ind w:firstLine="426"/>
        <w:rPr>
          <w:i/>
          <w:szCs w:val="24"/>
        </w:rPr>
      </w:pPr>
    </w:p>
    <w:p w:rsidR="00A11B16" w:rsidRPr="00E1717D" w:rsidRDefault="00A11B16" w:rsidP="007D3AA7">
      <w:pPr>
        <w:spacing w:after="0" w:line="240" w:lineRule="auto"/>
        <w:ind w:firstLine="426"/>
        <w:jc w:val="both"/>
        <w:rPr>
          <w:rFonts w:ascii="Times New Roman" w:hAnsi="Times New Roman"/>
          <w:i/>
          <w:sz w:val="28"/>
          <w:szCs w:val="28"/>
        </w:rPr>
      </w:pPr>
      <w:r w:rsidRPr="00E1717D">
        <w:rPr>
          <w:rFonts w:ascii="Times New Roman" w:hAnsi="Times New Roman"/>
          <w:i/>
          <w:sz w:val="28"/>
          <w:szCs w:val="28"/>
        </w:rPr>
        <w:t>Итоговая результативность экономики в январе-декабре 2018 года демонстрир</w:t>
      </w:r>
      <w:r w:rsidR="009363B5">
        <w:rPr>
          <w:rFonts w:ascii="Times New Roman" w:hAnsi="Times New Roman"/>
          <w:i/>
          <w:sz w:val="28"/>
          <w:szCs w:val="28"/>
        </w:rPr>
        <w:t>овала</w:t>
      </w:r>
      <w:r w:rsidRPr="00E1717D">
        <w:rPr>
          <w:rFonts w:ascii="Times New Roman" w:hAnsi="Times New Roman"/>
          <w:i/>
          <w:sz w:val="28"/>
          <w:szCs w:val="28"/>
        </w:rPr>
        <w:t xml:space="preserve"> положительную динамику за счет наращивания добавленной стоимости в отраслях товарного производства</w:t>
      </w:r>
      <w:r>
        <w:rPr>
          <w:rFonts w:ascii="Times New Roman" w:hAnsi="Times New Roman"/>
          <w:i/>
          <w:sz w:val="28"/>
          <w:szCs w:val="28"/>
        </w:rPr>
        <w:t xml:space="preserve"> и </w:t>
      </w:r>
      <w:r w:rsidRPr="00E1717D">
        <w:rPr>
          <w:rFonts w:ascii="Times New Roman" w:hAnsi="Times New Roman"/>
          <w:i/>
          <w:sz w:val="28"/>
          <w:szCs w:val="28"/>
        </w:rPr>
        <w:t>главным образом</w:t>
      </w:r>
      <w:r>
        <w:rPr>
          <w:rFonts w:ascii="Times New Roman" w:hAnsi="Times New Roman"/>
          <w:i/>
          <w:sz w:val="28"/>
          <w:szCs w:val="28"/>
        </w:rPr>
        <w:t xml:space="preserve"> – в индустрии и строительстве</w:t>
      </w:r>
      <w:r w:rsidRPr="00E1717D">
        <w:rPr>
          <w:rFonts w:ascii="Times New Roman" w:hAnsi="Times New Roman"/>
          <w:i/>
          <w:sz w:val="28"/>
          <w:szCs w:val="28"/>
        </w:rPr>
        <w:t xml:space="preserve">. Также </w:t>
      </w:r>
      <w:r w:rsidR="00C671AD">
        <w:rPr>
          <w:rFonts w:ascii="Times New Roman" w:hAnsi="Times New Roman"/>
          <w:i/>
          <w:sz w:val="28"/>
          <w:szCs w:val="28"/>
        </w:rPr>
        <w:t xml:space="preserve">весомый </w:t>
      </w:r>
      <w:r w:rsidRPr="00E1717D">
        <w:rPr>
          <w:rFonts w:ascii="Times New Roman" w:hAnsi="Times New Roman"/>
          <w:i/>
          <w:sz w:val="28"/>
          <w:szCs w:val="28"/>
        </w:rPr>
        <w:t xml:space="preserve">вклад в улучшение </w:t>
      </w:r>
      <w:r w:rsidR="009363B5">
        <w:rPr>
          <w:rFonts w:ascii="Times New Roman" w:hAnsi="Times New Roman"/>
          <w:i/>
          <w:sz w:val="28"/>
          <w:szCs w:val="28"/>
        </w:rPr>
        <w:t xml:space="preserve">качества воспроизводственного процесса внёс прирост добавленной стоимости </w:t>
      </w:r>
      <w:r w:rsidRPr="00E1717D">
        <w:rPr>
          <w:rFonts w:ascii="Times New Roman" w:hAnsi="Times New Roman"/>
          <w:i/>
          <w:sz w:val="28"/>
          <w:szCs w:val="28"/>
        </w:rPr>
        <w:t xml:space="preserve"> инфраструктурных компонент</w:t>
      </w:r>
      <w:r w:rsidR="009363B5">
        <w:rPr>
          <w:rFonts w:ascii="Times New Roman" w:hAnsi="Times New Roman"/>
          <w:i/>
          <w:sz w:val="28"/>
          <w:szCs w:val="28"/>
        </w:rPr>
        <w:t xml:space="preserve"> рыночного сегмента</w:t>
      </w:r>
      <w:r w:rsidRPr="00E1717D">
        <w:rPr>
          <w:rFonts w:ascii="Times New Roman" w:hAnsi="Times New Roman"/>
          <w:i/>
          <w:sz w:val="28"/>
          <w:szCs w:val="28"/>
        </w:rPr>
        <w:t xml:space="preserve"> и фискальной составляющей. </w:t>
      </w:r>
    </w:p>
    <w:p w:rsidR="00A11B16" w:rsidRDefault="00A11B16" w:rsidP="007D3AA7">
      <w:pPr>
        <w:pStyle w:val="a4"/>
        <w:ind w:firstLine="426"/>
      </w:pPr>
    </w:p>
    <w:p w:rsidR="00A11B16" w:rsidRPr="00930FAC" w:rsidRDefault="00A11B16" w:rsidP="007D3AA7">
      <w:pPr>
        <w:spacing w:after="0" w:line="240" w:lineRule="auto"/>
        <w:ind w:firstLine="426"/>
        <w:jc w:val="both"/>
        <w:rPr>
          <w:rFonts w:ascii="Times New Roman" w:hAnsi="Times New Roman"/>
          <w:sz w:val="28"/>
          <w:szCs w:val="28"/>
          <w:highlight w:val="yellow"/>
        </w:rPr>
      </w:pPr>
      <w:r w:rsidRPr="00930FAC">
        <w:rPr>
          <w:rFonts w:ascii="Times New Roman" w:hAnsi="Times New Roman"/>
          <w:b/>
          <w:sz w:val="28"/>
          <w:szCs w:val="28"/>
        </w:rPr>
        <w:t>Номинальный объем</w:t>
      </w:r>
      <w:r w:rsidRPr="00930FAC">
        <w:rPr>
          <w:rFonts w:ascii="Times New Roman" w:hAnsi="Times New Roman"/>
          <w:sz w:val="28"/>
          <w:szCs w:val="28"/>
        </w:rPr>
        <w:t xml:space="preserve"> созданного в республике валового внутреннего продукта по итогам </w:t>
      </w:r>
      <w:r>
        <w:rPr>
          <w:rFonts w:ascii="Times New Roman" w:hAnsi="Times New Roman"/>
          <w:sz w:val="28"/>
          <w:szCs w:val="28"/>
        </w:rPr>
        <w:t>2018</w:t>
      </w:r>
      <w:r w:rsidRPr="00930FAC">
        <w:rPr>
          <w:rFonts w:ascii="Times New Roman" w:hAnsi="Times New Roman"/>
          <w:sz w:val="28"/>
          <w:szCs w:val="28"/>
        </w:rPr>
        <w:t xml:space="preserve"> года увеличился относительно базовой отметки </w:t>
      </w:r>
      <w:r w:rsidR="00C671AD">
        <w:rPr>
          <w:rFonts w:ascii="Times New Roman" w:hAnsi="Times New Roman"/>
          <w:sz w:val="28"/>
          <w:szCs w:val="28"/>
        </w:rPr>
        <w:t>предыдущего</w:t>
      </w:r>
      <w:r w:rsidRPr="00930FAC">
        <w:rPr>
          <w:rFonts w:ascii="Times New Roman" w:hAnsi="Times New Roman"/>
          <w:sz w:val="28"/>
          <w:szCs w:val="28"/>
        </w:rPr>
        <w:t xml:space="preserve"> года на </w:t>
      </w:r>
      <w:r>
        <w:rPr>
          <w:rFonts w:ascii="Times New Roman" w:hAnsi="Times New Roman"/>
          <w:sz w:val="28"/>
          <w:szCs w:val="28"/>
        </w:rPr>
        <w:t>12,5</w:t>
      </w:r>
      <w:r w:rsidRPr="00930FAC">
        <w:rPr>
          <w:rFonts w:ascii="Times New Roman" w:hAnsi="Times New Roman"/>
          <w:sz w:val="28"/>
          <w:szCs w:val="28"/>
        </w:rPr>
        <w:t>%</w:t>
      </w:r>
      <w:r w:rsidR="009363B5">
        <w:rPr>
          <w:rFonts w:ascii="Times New Roman" w:hAnsi="Times New Roman"/>
          <w:sz w:val="28"/>
          <w:szCs w:val="28"/>
        </w:rPr>
        <w:t xml:space="preserve"> в номинальном выражении</w:t>
      </w:r>
      <w:r w:rsidRPr="00930FAC">
        <w:rPr>
          <w:rFonts w:ascii="Times New Roman" w:hAnsi="Times New Roman"/>
          <w:sz w:val="28"/>
          <w:szCs w:val="28"/>
        </w:rPr>
        <w:t xml:space="preserve">, сложившись на уровне </w:t>
      </w:r>
      <w:r>
        <w:rPr>
          <w:rFonts w:ascii="Times New Roman" w:hAnsi="Times New Roman"/>
          <w:sz w:val="28"/>
          <w:szCs w:val="28"/>
        </w:rPr>
        <w:t>13 800,1</w:t>
      </w:r>
      <w:r w:rsidRPr="00930FAC">
        <w:rPr>
          <w:rFonts w:ascii="Times New Roman" w:hAnsi="Times New Roman"/>
          <w:sz w:val="28"/>
          <w:szCs w:val="28"/>
        </w:rPr>
        <w:t xml:space="preserve"> млн руб., что в эквиваленте соответствует </w:t>
      </w:r>
      <w:r>
        <w:rPr>
          <w:rFonts w:ascii="Times New Roman" w:hAnsi="Times New Roman"/>
          <w:sz w:val="28"/>
          <w:szCs w:val="28"/>
        </w:rPr>
        <w:t>859,</w:t>
      </w:r>
      <w:r w:rsidR="005A09E4">
        <w:rPr>
          <w:rFonts w:ascii="Times New Roman" w:hAnsi="Times New Roman"/>
          <w:sz w:val="28"/>
          <w:szCs w:val="28"/>
        </w:rPr>
        <w:t>3</w:t>
      </w:r>
      <w:r w:rsidRPr="00930FAC">
        <w:rPr>
          <w:rFonts w:ascii="Times New Roman" w:hAnsi="Times New Roman"/>
          <w:sz w:val="28"/>
          <w:szCs w:val="28"/>
        </w:rPr>
        <w:t xml:space="preserve"> млн долл. </w:t>
      </w:r>
    </w:p>
    <w:p w:rsidR="00A11B16" w:rsidRPr="002F507B" w:rsidRDefault="00A11B16" w:rsidP="007D3AA7">
      <w:pPr>
        <w:spacing w:after="0" w:line="240" w:lineRule="auto"/>
        <w:ind w:firstLine="426"/>
        <w:jc w:val="both"/>
        <w:rPr>
          <w:rFonts w:ascii="Times New Roman" w:hAnsi="Times New Roman"/>
          <w:sz w:val="28"/>
          <w:szCs w:val="28"/>
          <w:highlight w:val="yellow"/>
        </w:rPr>
      </w:pPr>
      <w:r w:rsidRPr="002F507B">
        <w:rPr>
          <w:rFonts w:ascii="Times New Roman" w:hAnsi="Times New Roman"/>
          <w:sz w:val="28"/>
          <w:szCs w:val="28"/>
        </w:rPr>
        <w:t xml:space="preserve">На фоне складывающейся ценовой конъюнктуры в отраслях материального производства и сферы услуг дефлятор ВВП, устанавливающий связь между </w:t>
      </w:r>
      <w:r w:rsidRPr="002F507B">
        <w:rPr>
          <w:rFonts w:ascii="Times New Roman" w:hAnsi="Times New Roman"/>
          <w:sz w:val="28"/>
          <w:szCs w:val="28"/>
        </w:rPr>
        <w:lastRenderedPageBreak/>
        <w:t>показателем в реальном и номинальном выражении, по итогам 2018 года сложился на отметке 1,0867 против 1,1049 в 2017 году. В результате, прирост ВВП в сопоставимых ценах составил 3,6%</w:t>
      </w:r>
      <w:r w:rsidR="00A20606">
        <w:rPr>
          <w:rFonts w:ascii="Times New Roman" w:hAnsi="Times New Roman"/>
          <w:sz w:val="28"/>
          <w:szCs w:val="28"/>
        </w:rPr>
        <w:t xml:space="preserve"> и</w:t>
      </w:r>
      <w:r>
        <w:rPr>
          <w:rFonts w:ascii="Times New Roman" w:hAnsi="Times New Roman"/>
          <w:sz w:val="28"/>
          <w:szCs w:val="28"/>
        </w:rPr>
        <w:t xml:space="preserve"> полностью компенсировал падение 2017 года (-2,5%) </w:t>
      </w:r>
      <w:r w:rsidRPr="002F507B">
        <w:rPr>
          <w:rFonts w:ascii="Times New Roman" w:hAnsi="Times New Roman"/>
          <w:sz w:val="28"/>
          <w:szCs w:val="28"/>
        </w:rPr>
        <w:t>(рис.</w:t>
      </w:r>
      <w:r w:rsidR="0096398B">
        <w:rPr>
          <w:rFonts w:ascii="Times New Roman" w:hAnsi="Times New Roman"/>
          <w:sz w:val="28"/>
          <w:szCs w:val="28"/>
        </w:rPr>
        <w:t xml:space="preserve"> </w:t>
      </w:r>
      <w:r w:rsidRPr="002F507B">
        <w:rPr>
          <w:rFonts w:ascii="Times New Roman" w:hAnsi="Times New Roman"/>
          <w:sz w:val="28"/>
          <w:szCs w:val="28"/>
        </w:rPr>
        <w:t>1).</w:t>
      </w:r>
    </w:p>
    <w:p w:rsidR="00A11B16" w:rsidRPr="0096398B" w:rsidRDefault="00A11B16" w:rsidP="007D3AA7">
      <w:pPr>
        <w:pStyle w:val="a4"/>
        <w:jc w:val="right"/>
        <w:rPr>
          <w:b/>
          <w:i/>
          <w:sz w:val="28"/>
          <w:szCs w:val="28"/>
        </w:rPr>
      </w:pPr>
      <w:r w:rsidRPr="0096398B">
        <w:rPr>
          <w:b/>
          <w:i/>
          <w:sz w:val="28"/>
          <w:szCs w:val="28"/>
        </w:rPr>
        <w:t>Рисунок 1</w:t>
      </w:r>
    </w:p>
    <w:p w:rsidR="00A11B16" w:rsidRPr="00653B80" w:rsidRDefault="00A11B16" w:rsidP="007D3AA7">
      <w:pPr>
        <w:spacing w:after="0" w:line="240" w:lineRule="auto"/>
        <w:ind w:firstLine="709"/>
        <w:jc w:val="center"/>
        <w:rPr>
          <w:rFonts w:ascii="Times New Roman" w:hAnsi="Times New Roman"/>
          <w:b/>
          <w:sz w:val="26"/>
          <w:szCs w:val="26"/>
        </w:rPr>
      </w:pPr>
      <w:r w:rsidRPr="00653B80">
        <w:rPr>
          <w:rFonts w:ascii="Times New Roman" w:hAnsi="Times New Roman"/>
          <w:b/>
          <w:sz w:val="26"/>
          <w:szCs w:val="26"/>
        </w:rPr>
        <w:t>Динамика изменения объема ВВП</w:t>
      </w:r>
    </w:p>
    <w:p w:rsidR="00A11B16" w:rsidRPr="00385475" w:rsidRDefault="00166B49" w:rsidP="004352BD">
      <w:pPr>
        <w:pStyle w:val="11"/>
        <w:ind w:hanging="142"/>
        <w:jc w:val="both"/>
        <w:rPr>
          <w:rFonts w:ascii="Times New Roman" w:hAnsi="Times New Roman"/>
          <w:b/>
          <w:sz w:val="24"/>
          <w:szCs w:val="24"/>
        </w:rPr>
      </w:pPr>
      <w:r>
        <w:rPr>
          <w:rFonts w:ascii="Times New Roman" w:hAnsi="Times New Roman"/>
          <w:b/>
          <w:noProof/>
          <w:sz w:val="24"/>
          <w:szCs w:val="24"/>
        </w:rPr>
        <w:drawing>
          <wp:inline distT="0" distB="0" distL="0" distR="0">
            <wp:extent cx="6686550" cy="1819275"/>
            <wp:effectExtent l="0" t="0" r="0" b="0"/>
            <wp:docPr id="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6398B" w:rsidRPr="0096398B" w:rsidRDefault="0096398B" w:rsidP="007D3AA7">
      <w:pPr>
        <w:spacing w:after="0" w:line="240" w:lineRule="auto"/>
        <w:ind w:firstLine="426"/>
        <w:jc w:val="both"/>
        <w:rPr>
          <w:rFonts w:ascii="Times New Roman" w:hAnsi="Times New Roman"/>
          <w:sz w:val="14"/>
          <w:szCs w:val="14"/>
        </w:rPr>
      </w:pPr>
    </w:p>
    <w:p w:rsidR="00A11B16" w:rsidRDefault="00A11B16" w:rsidP="007D3AA7">
      <w:pPr>
        <w:spacing w:after="0" w:line="240" w:lineRule="auto"/>
        <w:ind w:firstLine="426"/>
        <w:jc w:val="both"/>
        <w:rPr>
          <w:rFonts w:ascii="Times New Roman" w:hAnsi="Times New Roman"/>
          <w:sz w:val="28"/>
          <w:szCs w:val="28"/>
        </w:rPr>
      </w:pPr>
      <w:r>
        <w:rPr>
          <w:rFonts w:ascii="Times New Roman" w:hAnsi="Times New Roman"/>
          <w:sz w:val="28"/>
          <w:szCs w:val="28"/>
        </w:rPr>
        <w:t>Основным фактором, определившим</w:t>
      </w:r>
      <w:r w:rsidRPr="00874BA3">
        <w:rPr>
          <w:rFonts w:ascii="Times New Roman" w:hAnsi="Times New Roman"/>
          <w:sz w:val="28"/>
          <w:szCs w:val="28"/>
        </w:rPr>
        <w:t xml:space="preserve"> итоговую результативность</w:t>
      </w:r>
      <w:r>
        <w:rPr>
          <w:rFonts w:ascii="Times New Roman" w:hAnsi="Times New Roman"/>
          <w:sz w:val="28"/>
          <w:szCs w:val="28"/>
        </w:rPr>
        <w:t xml:space="preserve"> экономики,</w:t>
      </w:r>
      <w:r w:rsidRPr="00874BA3">
        <w:rPr>
          <w:rFonts w:ascii="Times New Roman" w:hAnsi="Times New Roman"/>
          <w:sz w:val="28"/>
          <w:szCs w:val="28"/>
        </w:rPr>
        <w:t xml:space="preserve"> </w:t>
      </w:r>
      <w:r w:rsidR="009363B5">
        <w:rPr>
          <w:rFonts w:ascii="Times New Roman" w:hAnsi="Times New Roman"/>
          <w:sz w:val="28"/>
          <w:szCs w:val="28"/>
        </w:rPr>
        <w:t>стало</w:t>
      </w:r>
      <w:r w:rsidRPr="00874BA3">
        <w:rPr>
          <w:rFonts w:ascii="Times New Roman" w:hAnsi="Times New Roman"/>
          <w:sz w:val="28"/>
          <w:szCs w:val="28"/>
        </w:rPr>
        <w:t xml:space="preserve"> повышение качества реализуемой управленческой политики экономических агентов в ключевых отраслях реального сектора экономики</w:t>
      </w:r>
      <w:r>
        <w:rPr>
          <w:rFonts w:ascii="Times New Roman" w:hAnsi="Times New Roman"/>
          <w:sz w:val="28"/>
          <w:szCs w:val="28"/>
        </w:rPr>
        <w:t xml:space="preserve">, </w:t>
      </w:r>
      <w:r w:rsidRPr="00874BA3">
        <w:rPr>
          <w:rFonts w:ascii="Times New Roman" w:hAnsi="Times New Roman"/>
          <w:sz w:val="28"/>
          <w:szCs w:val="28"/>
        </w:rPr>
        <w:t>предопредели</w:t>
      </w:r>
      <w:r>
        <w:rPr>
          <w:rFonts w:ascii="Times New Roman" w:hAnsi="Times New Roman"/>
          <w:sz w:val="28"/>
          <w:szCs w:val="28"/>
        </w:rPr>
        <w:t>вшее</w:t>
      </w:r>
      <w:r w:rsidRPr="00874BA3">
        <w:rPr>
          <w:rFonts w:ascii="Times New Roman" w:hAnsi="Times New Roman"/>
          <w:sz w:val="28"/>
          <w:szCs w:val="28"/>
        </w:rPr>
        <w:t xml:space="preserve"> </w:t>
      </w:r>
      <w:r>
        <w:rPr>
          <w:rFonts w:ascii="Times New Roman" w:hAnsi="Times New Roman"/>
          <w:sz w:val="28"/>
          <w:szCs w:val="28"/>
        </w:rPr>
        <w:t xml:space="preserve">повышательную </w:t>
      </w:r>
      <w:r w:rsidRPr="00874BA3">
        <w:rPr>
          <w:rFonts w:ascii="Times New Roman" w:hAnsi="Times New Roman"/>
          <w:sz w:val="28"/>
          <w:szCs w:val="28"/>
        </w:rPr>
        <w:t>динамику вновь созданной добавленной стоимости в сегменте производства товаров (</w:t>
      </w:r>
      <w:r>
        <w:rPr>
          <w:rFonts w:ascii="Times New Roman" w:hAnsi="Times New Roman"/>
          <w:sz w:val="28"/>
          <w:szCs w:val="28"/>
        </w:rPr>
        <w:t>+15,8%</w:t>
      </w:r>
      <w:r w:rsidRPr="00874BA3">
        <w:rPr>
          <w:rFonts w:ascii="Times New Roman" w:hAnsi="Times New Roman"/>
          <w:sz w:val="28"/>
          <w:szCs w:val="28"/>
        </w:rPr>
        <w:t xml:space="preserve">), </w:t>
      </w:r>
      <w:r>
        <w:rPr>
          <w:rFonts w:ascii="Times New Roman" w:hAnsi="Times New Roman"/>
          <w:sz w:val="28"/>
          <w:szCs w:val="28"/>
        </w:rPr>
        <w:t xml:space="preserve">что позволило </w:t>
      </w:r>
      <w:r w:rsidRPr="00874BA3">
        <w:rPr>
          <w:rFonts w:ascii="Times New Roman" w:hAnsi="Times New Roman"/>
          <w:sz w:val="28"/>
          <w:szCs w:val="28"/>
        </w:rPr>
        <w:t>сформирова</w:t>
      </w:r>
      <w:r>
        <w:rPr>
          <w:rFonts w:ascii="Times New Roman" w:hAnsi="Times New Roman"/>
          <w:sz w:val="28"/>
          <w:szCs w:val="28"/>
        </w:rPr>
        <w:t>ть</w:t>
      </w:r>
      <w:r w:rsidRPr="00874BA3">
        <w:rPr>
          <w:rFonts w:ascii="Times New Roman" w:hAnsi="Times New Roman"/>
          <w:sz w:val="28"/>
          <w:szCs w:val="28"/>
        </w:rPr>
        <w:t xml:space="preserve"> </w:t>
      </w:r>
      <w:r>
        <w:rPr>
          <w:rFonts w:ascii="Times New Roman" w:hAnsi="Times New Roman"/>
          <w:sz w:val="28"/>
          <w:szCs w:val="28"/>
        </w:rPr>
        <w:t>41,7</w:t>
      </w:r>
      <w:r w:rsidRPr="00874BA3">
        <w:rPr>
          <w:rFonts w:ascii="Times New Roman" w:hAnsi="Times New Roman"/>
          <w:sz w:val="28"/>
          <w:szCs w:val="28"/>
        </w:rPr>
        <w:t>% ВВП (+1</w:t>
      </w:r>
      <w:r>
        <w:rPr>
          <w:rFonts w:ascii="Times New Roman" w:hAnsi="Times New Roman"/>
          <w:sz w:val="28"/>
          <w:szCs w:val="28"/>
        </w:rPr>
        <w:t>,</w:t>
      </w:r>
      <w:r w:rsidRPr="00874BA3">
        <w:rPr>
          <w:rFonts w:ascii="Times New Roman" w:hAnsi="Times New Roman"/>
          <w:sz w:val="28"/>
          <w:szCs w:val="28"/>
        </w:rPr>
        <w:t>2 п.п.) и обеспечи</w:t>
      </w:r>
      <w:r>
        <w:rPr>
          <w:rFonts w:ascii="Times New Roman" w:hAnsi="Times New Roman"/>
          <w:sz w:val="28"/>
          <w:szCs w:val="28"/>
        </w:rPr>
        <w:t>ть</w:t>
      </w:r>
      <w:r w:rsidRPr="00874BA3">
        <w:rPr>
          <w:rFonts w:ascii="Times New Roman" w:hAnsi="Times New Roman"/>
          <w:sz w:val="28"/>
          <w:szCs w:val="28"/>
        </w:rPr>
        <w:t xml:space="preserve"> </w:t>
      </w:r>
      <w:r>
        <w:rPr>
          <w:rFonts w:ascii="Times New Roman" w:hAnsi="Times New Roman"/>
          <w:sz w:val="28"/>
          <w:szCs w:val="28"/>
        </w:rPr>
        <w:t>50,9</w:t>
      </w:r>
      <w:r w:rsidRPr="00874BA3">
        <w:rPr>
          <w:rFonts w:ascii="Times New Roman" w:hAnsi="Times New Roman"/>
          <w:sz w:val="28"/>
          <w:szCs w:val="28"/>
        </w:rPr>
        <w:t>% прироста ВВП. Инфраструктурные отрасли на этом фоне сократили долевое участие в структуре ВВП (-3,</w:t>
      </w:r>
      <w:r>
        <w:rPr>
          <w:rFonts w:ascii="Times New Roman" w:hAnsi="Times New Roman"/>
          <w:sz w:val="28"/>
          <w:szCs w:val="28"/>
        </w:rPr>
        <w:t>4</w:t>
      </w:r>
      <w:r w:rsidRPr="00874BA3">
        <w:rPr>
          <w:rFonts w:ascii="Times New Roman" w:hAnsi="Times New Roman"/>
          <w:sz w:val="28"/>
          <w:szCs w:val="28"/>
        </w:rPr>
        <w:t xml:space="preserve"> п.п.), обеспечив </w:t>
      </w:r>
      <w:r>
        <w:rPr>
          <w:rFonts w:ascii="Times New Roman" w:hAnsi="Times New Roman"/>
          <w:sz w:val="28"/>
          <w:szCs w:val="28"/>
        </w:rPr>
        <w:t>55,3</w:t>
      </w:r>
      <w:r w:rsidRPr="00874BA3">
        <w:rPr>
          <w:rFonts w:ascii="Times New Roman" w:hAnsi="Times New Roman"/>
          <w:sz w:val="28"/>
          <w:szCs w:val="28"/>
        </w:rPr>
        <w:t>% вновь созданной добавленной стоимости. Вклад фискальной составляющей</w:t>
      </w:r>
      <w:r w:rsidR="00A20606">
        <w:rPr>
          <w:rFonts w:ascii="Times New Roman" w:hAnsi="Times New Roman"/>
          <w:sz w:val="28"/>
          <w:szCs w:val="28"/>
        </w:rPr>
        <w:t xml:space="preserve"> –</w:t>
      </w:r>
      <w:r w:rsidRPr="00874BA3">
        <w:rPr>
          <w:rFonts w:ascii="Times New Roman" w:hAnsi="Times New Roman"/>
          <w:sz w:val="28"/>
          <w:szCs w:val="28"/>
        </w:rPr>
        <w:t xml:space="preserve"> «чистые налоги на продукты и импорт»</w:t>
      </w:r>
      <w:r w:rsidR="009363B5">
        <w:rPr>
          <w:rFonts w:ascii="Times New Roman" w:hAnsi="Times New Roman"/>
          <w:sz w:val="28"/>
          <w:szCs w:val="28"/>
        </w:rPr>
        <w:t xml:space="preserve"> –</w:t>
      </w:r>
      <w:r w:rsidRPr="00874BA3">
        <w:rPr>
          <w:rFonts w:ascii="Times New Roman" w:hAnsi="Times New Roman"/>
          <w:sz w:val="28"/>
          <w:szCs w:val="28"/>
        </w:rPr>
        <w:t xml:space="preserve"> </w:t>
      </w:r>
      <w:r>
        <w:rPr>
          <w:rFonts w:ascii="Times New Roman" w:hAnsi="Times New Roman"/>
          <w:sz w:val="28"/>
          <w:szCs w:val="28"/>
        </w:rPr>
        <w:t>расширился до 3,0% против 0,8% в базовом периоде</w:t>
      </w:r>
      <w:r w:rsidRPr="00874BA3">
        <w:rPr>
          <w:rFonts w:ascii="Times New Roman" w:hAnsi="Times New Roman"/>
          <w:sz w:val="28"/>
          <w:szCs w:val="28"/>
        </w:rPr>
        <w:t xml:space="preserve"> (рис.</w:t>
      </w:r>
      <w:r>
        <w:rPr>
          <w:rFonts w:ascii="Times New Roman" w:hAnsi="Times New Roman"/>
          <w:sz w:val="28"/>
          <w:szCs w:val="28"/>
        </w:rPr>
        <w:t xml:space="preserve"> </w:t>
      </w:r>
      <w:r w:rsidRPr="00874BA3">
        <w:rPr>
          <w:rFonts w:ascii="Times New Roman" w:hAnsi="Times New Roman"/>
          <w:sz w:val="28"/>
          <w:szCs w:val="28"/>
        </w:rPr>
        <w:t>2).</w:t>
      </w:r>
    </w:p>
    <w:p w:rsidR="0096398B" w:rsidRPr="0096398B" w:rsidRDefault="0096398B" w:rsidP="007D3AA7">
      <w:pPr>
        <w:spacing w:after="0" w:line="240" w:lineRule="auto"/>
        <w:ind w:firstLine="426"/>
        <w:jc w:val="both"/>
        <w:rPr>
          <w:rFonts w:ascii="Times New Roman" w:hAnsi="Times New Roman"/>
          <w:sz w:val="20"/>
          <w:szCs w:val="20"/>
        </w:rPr>
      </w:pPr>
    </w:p>
    <w:p w:rsidR="00A11B16" w:rsidRPr="00B874F9" w:rsidRDefault="00A11B16" w:rsidP="007D3AA7">
      <w:pPr>
        <w:pStyle w:val="a4"/>
        <w:jc w:val="right"/>
        <w:rPr>
          <w:b/>
          <w:i/>
          <w:sz w:val="28"/>
          <w:szCs w:val="28"/>
        </w:rPr>
      </w:pPr>
      <w:r w:rsidRPr="00B874F9">
        <w:rPr>
          <w:b/>
          <w:i/>
          <w:sz w:val="28"/>
          <w:szCs w:val="28"/>
        </w:rPr>
        <w:t xml:space="preserve">Рисунок </w:t>
      </w:r>
      <w:r w:rsidR="0096398B">
        <w:rPr>
          <w:b/>
          <w:i/>
          <w:sz w:val="28"/>
          <w:szCs w:val="28"/>
        </w:rPr>
        <w:t>2</w:t>
      </w:r>
    </w:p>
    <w:p w:rsidR="00A11B16" w:rsidRDefault="00166B49" w:rsidP="007D3AA7">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6219825" cy="188595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1B16" w:rsidRPr="000D4368" w:rsidRDefault="00A11B16" w:rsidP="007D3AA7">
      <w:pPr>
        <w:pStyle w:val="a4"/>
        <w:ind w:firstLine="426"/>
        <w:rPr>
          <w:sz w:val="28"/>
          <w:szCs w:val="28"/>
        </w:rPr>
      </w:pPr>
      <w:r w:rsidRPr="000D4368">
        <w:rPr>
          <w:sz w:val="28"/>
          <w:szCs w:val="28"/>
        </w:rPr>
        <w:t>Фиксируем</w:t>
      </w:r>
      <w:r w:rsidR="009363B5">
        <w:rPr>
          <w:sz w:val="28"/>
          <w:szCs w:val="28"/>
        </w:rPr>
        <w:t>ое увеличение</w:t>
      </w:r>
      <w:r w:rsidRPr="000D4368">
        <w:rPr>
          <w:sz w:val="28"/>
          <w:szCs w:val="28"/>
        </w:rPr>
        <w:t xml:space="preserve"> </w:t>
      </w:r>
      <w:r w:rsidR="009363B5">
        <w:rPr>
          <w:sz w:val="28"/>
          <w:szCs w:val="28"/>
        </w:rPr>
        <w:t>вклада</w:t>
      </w:r>
      <w:r w:rsidRPr="000D4368">
        <w:rPr>
          <w:sz w:val="28"/>
          <w:szCs w:val="28"/>
        </w:rPr>
        <w:t xml:space="preserve"> </w:t>
      </w:r>
      <w:r w:rsidR="00BB7F27">
        <w:rPr>
          <w:sz w:val="28"/>
          <w:szCs w:val="28"/>
        </w:rPr>
        <w:t>индустриального комплекса</w:t>
      </w:r>
      <w:r w:rsidRPr="000D4368">
        <w:rPr>
          <w:sz w:val="28"/>
          <w:szCs w:val="28"/>
        </w:rPr>
        <w:t xml:space="preserve"> </w:t>
      </w:r>
      <w:r>
        <w:rPr>
          <w:sz w:val="28"/>
          <w:szCs w:val="28"/>
        </w:rPr>
        <w:t>стал</w:t>
      </w:r>
      <w:r w:rsidR="009363B5">
        <w:rPr>
          <w:sz w:val="28"/>
          <w:szCs w:val="28"/>
        </w:rPr>
        <w:t>о</w:t>
      </w:r>
      <w:r>
        <w:rPr>
          <w:sz w:val="28"/>
          <w:szCs w:val="28"/>
        </w:rPr>
        <w:t xml:space="preserve"> отражением </w:t>
      </w:r>
      <w:r w:rsidR="00BB7F27">
        <w:rPr>
          <w:sz w:val="28"/>
          <w:szCs w:val="28"/>
        </w:rPr>
        <w:t>наращивания валового</w:t>
      </w:r>
      <w:r w:rsidRPr="000D4368">
        <w:rPr>
          <w:sz w:val="28"/>
          <w:szCs w:val="28"/>
        </w:rPr>
        <w:t xml:space="preserve"> выпуска на 36,7% до </w:t>
      </w:r>
      <w:r>
        <w:rPr>
          <w:sz w:val="28"/>
          <w:szCs w:val="28"/>
        </w:rPr>
        <w:t>13 843,4</w:t>
      </w:r>
      <w:r w:rsidRPr="000D4368">
        <w:rPr>
          <w:sz w:val="28"/>
          <w:szCs w:val="28"/>
        </w:rPr>
        <w:t xml:space="preserve"> млн руб. </w:t>
      </w:r>
      <w:r w:rsidR="00BB7F27">
        <w:rPr>
          <w:sz w:val="28"/>
          <w:szCs w:val="28"/>
        </w:rPr>
        <w:t>на фоне расширения промежуточного потребления</w:t>
      </w:r>
      <w:r w:rsidRPr="000D4368">
        <w:rPr>
          <w:sz w:val="28"/>
          <w:szCs w:val="28"/>
        </w:rPr>
        <w:t xml:space="preserve"> на 48,0%, что обусловило </w:t>
      </w:r>
      <w:r w:rsidR="00BB7F27">
        <w:rPr>
          <w:sz w:val="28"/>
          <w:szCs w:val="28"/>
        </w:rPr>
        <w:t>формирование</w:t>
      </w:r>
      <w:r w:rsidRPr="000D4368">
        <w:rPr>
          <w:sz w:val="28"/>
          <w:szCs w:val="28"/>
        </w:rPr>
        <w:t xml:space="preserve"> величины добавленной стоимости</w:t>
      </w:r>
      <w:r w:rsidR="00BB7F27">
        <w:rPr>
          <w:sz w:val="28"/>
          <w:szCs w:val="28"/>
        </w:rPr>
        <w:t xml:space="preserve">, созданной в промышленности, </w:t>
      </w:r>
      <w:r w:rsidRPr="000D4368">
        <w:rPr>
          <w:sz w:val="28"/>
          <w:szCs w:val="28"/>
        </w:rPr>
        <w:t xml:space="preserve">на уровне 4 388,3 млн руб. (+17,3%) и </w:t>
      </w:r>
      <w:r w:rsidR="00BB7F27">
        <w:rPr>
          <w:sz w:val="28"/>
          <w:szCs w:val="28"/>
        </w:rPr>
        <w:t>повышение</w:t>
      </w:r>
      <w:r w:rsidRPr="000D4368">
        <w:rPr>
          <w:sz w:val="28"/>
          <w:szCs w:val="28"/>
        </w:rPr>
        <w:t xml:space="preserve"> </w:t>
      </w:r>
      <w:r w:rsidR="00BB7F27">
        <w:rPr>
          <w:sz w:val="28"/>
          <w:szCs w:val="28"/>
        </w:rPr>
        <w:t>доли отрасли в</w:t>
      </w:r>
      <w:r w:rsidRPr="000D4368">
        <w:rPr>
          <w:sz w:val="28"/>
          <w:szCs w:val="28"/>
        </w:rPr>
        <w:t xml:space="preserve"> ВВП на 1,3 п.п. до 31,8%. Относительно благоприятные погодные условия в совокупности с мерами государственной поддержки хозяйствующих субъектов агропромышленного комплекса, обеспечили </w:t>
      </w:r>
      <w:r>
        <w:rPr>
          <w:sz w:val="28"/>
          <w:szCs w:val="28"/>
        </w:rPr>
        <w:t>увеличение валового выпуска</w:t>
      </w:r>
      <w:r w:rsidR="00BB7F27">
        <w:rPr>
          <w:sz w:val="28"/>
          <w:szCs w:val="28"/>
        </w:rPr>
        <w:t xml:space="preserve"> сельскохозяйственных организаций</w:t>
      </w:r>
      <w:r>
        <w:rPr>
          <w:sz w:val="28"/>
          <w:szCs w:val="28"/>
        </w:rPr>
        <w:t xml:space="preserve"> на 21,6%, при этом затраты, включаемые в промежуточное потребление</w:t>
      </w:r>
      <w:r w:rsidR="00BB7F27">
        <w:rPr>
          <w:sz w:val="28"/>
          <w:szCs w:val="28"/>
        </w:rPr>
        <w:t>,</w:t>
      </w:r>
      <w:r>
        <w:rPr>
          <w:sz w:val="28"/>
          <w:szCs w:val="28"/>
        </w:rPr>
        <w:t xml:space="preserve"> выросли на 30,7%, что в целом по </w:t>
      </w:r>
      <w:r>
        <w:rPr>
          <w:sz w:val="28"/>
          <w:szCs w:val="28"/>
        </w:rPr>
        <w:lastRenderedPageBreak/>
        <w:t xml:space="preserve">итогам года предопределило </w:t>
      </w:r>
      <w:r w:rsidRPr="000D4368">
        <w:rPr>
          <w:sz w:val="28"/>
          <w:szCs w:val="28"/>
        </w:rPr>
        <w:t xml:space="preserve">повышение результативности на 6,6% до 1 110,3 млн руб. При этом опережающие темпы роста добавленной стоимости других компонент материального сектора </w:t>
      </w:r>
      <w:r w:rsidR="00BB7F27">
        <w:rPr>
          <w:sz w:val="28"/>
          <w:szCs w:val="28"/>
        </w:rPr>
        <w:t>обусловили</w:t>
      </w:r>
      <w:r w:rsidRPr="000D4368">
        <w:rPr>
          <w:sz w:val="28"/>
          <w:szCs w:val="28"/>
        </w:rPr>
        <w:t xml:space="preserve"> сужение долевого участия в структуре ВВП аграрного </w:t>
      </w:r>
      <w:r>
        <w:rPr>
          <w:sz w:val="28"/>
          <w:szCs w:val="28"/>
        </w:rPr>
        <w:t>сегмента</w:t>
      </w:r>
      <w:r w:rsidRPr="000D4368">
        <w:rPr>
          <w:sz w:val="28"/>
          <w:szCs w:val="28"/>
        </w:rPr>
        <w:t xml:space="preserve"> на 0,4 п. п. до 8,1%.</w:t>
      </w:r>
    </w:p>
    <w:p w:rsidR="00A11B16" w:rsidRPr="000D4368" w:rsidRDefault="00A11B16" w:rsidP="007D3AA7">
      <w:pPr>
        <w:pStyle w:val="a4"/>
        <w:ind w:firstLine="426"/>
        <w:rPr>
          <w:sz w:val="28"/>
          <w:szCs w:val="28"/>
        </w:rPr>
      </w:pPr>
      <w:r w:rsidRPr="000D4368">
        <w:rPr>
          <w:sz w:val="28"/>
          <w:szCs w:val="28"/>
        </w:rPr>
        <w:t xml:space="preserve">Вместе с </w:t>
      </w:r>
      <w:r w:rsidR="00BB7F27">
        <w:rPr>
          <w:sz w:val="28"/>
          <w:szCs w:val="28"/>
        </w:rPr>
        <w:t>те</w:t>
      </w:r>
      <w:r w:rsidRPr="000D4368">
        <w:rPr>
          <w:sz w:val="28"/>
          <w:szCs w:val="28"/>
        </w:rPr>
        <w:t xml:space="preserve">м повышение инвестиционной активности </w:t>
      </w:r>
      <w:r>
        <w:rPr>
          <w:sz w:val="28"/>
          <w:szCs w:val="28"/>
        </w:rPr>
        <w:t xml:space="preserve">в республике </w:t>
      </w:r>
      <w:r w:rsidR="00BB7F27">
        <w:rPr>
          <w:sz w:val="28"/>
          <w:szCs w:val="28"/>
        </w:rPr>
        <w:t>сопровождалось</w:t>
      </w:r>
      <w:r w:rsidRPr="000D4368">
        <w:rPr>
          <w:sz w:val="28"/>
          <w:szCs w:val="28"/>
        </w:rPr>
        <w:t xml:space="preserve"> увеличени</w:t>
      </w:r>
      <w:r w:rsidR="00BB7F27">
        <w:rPr>
          <w:sz w:val="28"/>
          <w:szCs w:val="28"/>
        </w:rPr>
        <w:t>ем</w:t>
      </w:r>
      <w:r w:rsidRPr="000D4368">
        <w:rPr>
          <w:sz w:val="28"/>
          <w:szCs w:val="28"/>
        </w:rPr>
        <w:t xml:space="preserve"> добавленной стоимости </w:t>
      </w:r>
      <w:r w:rsidRPr="000D4368">
        <w:rPr>
          <w:b/>
          <w:sz w:val="28"/>
          <w:szCs w:val="28"/>
        </w:rPr>
        <w:t xml:space="preserve">строительных организаций </w:t>
      </w:r>
      <w:r w:rsidRPr="000D4368">
        <w:rPr>
          <w:sz w:val="28"/>
          <w:szCs w:val="28"/>
        </w:rPr>
        <w:t xml:space="preserve">на 34,7% до 257,0 млн руб., </w:t>
      </w:r>
      <w:r w:rsidR="00C671AD">
        <w:rPr>
          <w:sz w:val="28"/>
          <w:szCs w:val="28"/>
        </w:rPr>
        <w:t>обусловившем</w:t>
      </w:r>
      <w:r w:rsidRPr="000D4368">
        <w:rPr>
          <w:sz w:val="28"/>
          <w:szCs w:val="28"/>
        </w:rPr>
        <w:t xml:space="preserve"> расширение вклада</w:t>
      </w:r>
      <w:r w:rsidR="00C671AD">
        <w:rPr>
          <w:sz w:val="28"/>
          <w:szCs w:val="28"/>
        </w:rPr>
        <w:t xml:space="preserve"> отрасли</w:t>
      </w:r>
      <w:r w:rsidRPr="000D4368">
        <w:rPr>
          <w:sz w:val="28"/>
          <w:szCs w:val="28"/>
        </w:rPr>
        <w:t xml:space="preserve"> в ВВП до 1,9% против 1,6% в 2017 году (рис. 3).</w:t>
      </w:r>
    </w:p>
    <w:p w:rsidR="00A11B16" w:rsidRPr="000D4368" w:rsidRDefault="00A11B16" w:rsidP="007D3AA7">
      <w:pPr>
        <w:pStyle w:val="a4"/>
        <w:jc w:val="right"/>
        <w:rPr>
          <w:b/>
          <w:i/>
          <w:sz w:val="28"/>
          <w:szCs w:val="28"/>
        </w:rPr>
      </w:pPr>
      <w:r w:rsidRPr="000D4368">
        <w:rPr>
          <w:b/>
          <w:i/>
          <w:sz w:val="28"/>
          <w:szCs w:val="28"/>
        </w:rPr>
        <w:t>Рисунок 3</w:t>
      </w:r>
    </w:p>
    <w:p w:rsidR="00A11B16" w:rsidRDefault="00166B49" w:rsidP="007D3AA7">
      <w:pPr>
        <w:pStyle w:val="a6"/>
        <w:spacing w:after="0" w:line="24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6362700" cy="169545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C1B6A" w:rsidRDefault="00A11B16" w:rsidP="007D3AA7">
      <w:pPr>
        <w:spacing w:after="0" w:line="240" w:lineRule="auto"/>
        <w:ind w:firstLine="426"/>
        <w:jc w:val="both"/>
        <w:rPr>
          <w:rFonts w:ascii="Times New Roman" w:hAnsi="Times New Roman"/>
          <w:sz w:val="28"/>
          <w:szCs w:val="28"/>
        </w:rPr>
      </w:pPr>
      <w:r w:rsidRPr="009C5BEA">
        <w:rPr>
          <w:rFonts w:ascii="Times New Roman" w:hAnsi="Times New Roman"/>
          <w:sz w:val="28"/>
          <w:szCs w:val="28"/>
        </w:rPr>
        <w:t xml:space="preserve">В </w:t>
      </w:r>
      <w:r w:rsidR="00C671AD">
        <w:rPr>
          <w:rFonts w:ascii="Times New Roman" w:hAnsi="Times New Roman"/>
          <w:sz w:val="28"/>
          <w:szCs w:val="28"/>
        </w:rPr>
        <w:t>отчётном</w:t>
      </w:r>
      <w:r w:rsidRPr="009C5BEA">
        <w:rPr>
          <w:rFonts w:ascii="Times New Roman" w:hAnsi="Times New Roman"/>
          <w:sz w:val="28"/>
          <w:szCs w:val="28"/>
        </w:rPr>
        <w:t xml:space="preserve"> периоде на фоне </w:t>
      </w:r>
      <w:r w:rsidR="00A502A8">
        <w:rPr>
          <w:rFonts w:ascii="Times New Roman" w:hAnsi="Times New Roman"/>
          <w:sz w:val="28"/>
          <w:szCs w:val="28"/>
        </w:rPr>
        <w:t>опережающих темпов роста</w:t>
      </w:r>
      <w:r w:rsidRPr="009C5BEA">
        <w:rPr>
          <w:rFonts w:ascii="Times New Roman" w:hAnsi="Times New Roman"/>
          <w:sz w:val="28"/>
          <w:szCs w:val="28"/>
        </w:rPr>
        <w:t xml:space="preserve"> сферы материального производства сегмент услуг демонстрировал умеренные темпы развития. </w:t>
      </w:r>
      <w:r>
        <w:rPr>
          <w:rFonts w:ascii="Times New Roman" w:hAnsi="Times New Roman"/>
          <w:sz w:val="28"/>
          <w:szCs w:val="28"/>
        </w:rPr>
        <w:t>Так,</w:t>
      </w:r>
      <w:r w:rsidRPr="009C5BEA">
        <w:rPr>
          <w:rFonts w:ascii="Times New Roman" w:hAnsi="Times New Roman"/>
          <w:sz w:val="28"/>
          <w:szCs w:val="28"/>
        </w:rPr>
        <w:t xml:space="preserve"> более низкая скорость расширения ВДС отраслей </w:t>
      </w:r>
      <w:r w:rsidRPr="009C5BEA">
        <w:rPr>
          <w:rFonts w:ascii="Times New Roman" w:hAnsi="Times New Roman"/>
          <w:b/>
          <w:sz w:val="28"/>
          <w:szCs w:val="28"/>
        </w:rPr>
        <w:t xml:space="preserve">сектора услуг </w:t>
      </w:r>
      <w:r>
        <w:rPr>
          <w:rFonts w:ascii="Times New Roman" w:hAnsi="Times New Roman"/>
          <w:b/>
          <w:sz w:val="28"/>
          <w:szCs w:val="28"/>
        </w:rPr>
        <w:t>(+</w:t>
      </w:r>
      <w:r w:rsidRPr="009C5BEA">
        <w:rPr>
          <w:rFonts w:ascii="Times New Roman" w:hAnsi="Times New Roman"/>
          <w:sz w:val="28"/>
          <w:szCs w:val="28"/>
        </w:rPr>
        <w:t>6,0% до</w:t>
      </w:r>
      <w:r>
        <w:rPr>
          <w:rFonts w:ascii="Times New Roman" w:hAnsi="Times New Roman"/>
          <w:sz w:val="28"/>
          <w:szCs w:val="28"/>
        </w:rPr>
        <w:t xml:space="preserve"> </w:t>
      </w:r>
      <w:r w:rsidRPr="009C5BEA">
        <w:rPr>
          <w:rFonts w:ascii="Times New Roman" w:hAnsi="Times New Roman"/>
          <w:sz w:val="28"/>
          <w:szCs w:val="28"/>
        </w:rPr>
        <w:t>7 627,5 млн руб.</w:t>
      </w:r>
      <w:r>
        <w:rPr>
          <w:rFonts w:ascii="Times New Roman" w:hAnsi="Times New Roman"/>
          <w:sz w:val="28"/>
          <w:szCs w:val="28"/>
        </w:rPr>
        <w:t xml:space="preserve">) </w:t>
      </w:r>
      <w:r w:rsidRPr="009C5BEA">
        <w:rPr>
          <w:rFonts w:ascii="Times New Roman" w:hAnsi="Times New Roman"/>
          <w:sz w:val="28"/>
          <w:szCs w:val="28"/>
        </w:rPr>
        <w:t xml:space="preserve">предопределила сужение </w:t>
      </w:r>
      <w:r w:rsidR="006C1B6A">
        <w:rPr>
          <w:rFonts w:ascii="Times New Roman" w:hAnsi="Times New Roman"/>
          <w:sz w:val="28"/>
          <w:szCs w:val="28"/>
        </w:rPr>
        <w:t xml:space="preserve">его </w:t>
      </w:r>
      <w:r w:rsidRPr="009C5BEA">
        <w:rPr>
          <w:rFonts w:ascii="Times New Roman" w:hAnsi="Times New Roman"/>
          <w:sz w:val="28"/>
          <w:szCs w:val="28"/>
        </w:rPr>
        <w:t>долевого представления в структуре валового внутреннего продукта на 3,4 п.п. до 55,3%.</w:t>
      </w:r>
      <w:r>
        <w:rPr>
          <w:rFonts w:ascii="Times New Roman" w:hAnsi="Times New Roman"/>
          <w:sz w:val="24"/>
          <w:szCs w:val="24"/>
        </w:rPr>
        <w:t xml:space="preserve"> </w:t>
      </w:r>
      <w:r w:rsidRPr="001F4DF8">
        <w:rPr>
          <w:rFonts w:ascii="Times New Roman" w:hAnsi="Times New Roman"/>
          <w:sz w:val="28"/>
          <w:szCs w:val="28"/>
        </w:rPr>
        <w:t xml:space="preserve">Вместе с </w:t>
      </w:r>
      <w:r w:rsidR="00A502A8">
        <w:rPr>
          <w:rFonts w:ascii="Times New Roman" w:hAnsi="Times New Roman"/>
          <w:sz w:val="28"/>
          <w:szCs w:val="28"/>
        </w:rPr>
        <w:t>тем</w:t>
      </w:r>
      <w:r w:rsidRPr="001F4DF8">
        <w:rPr>
          <w:rFonts w:ascii="Times New Roman" w:hAnsi="Times New Roman"/>
          <w:sz w:val="28"/>
          <w:szCs w:val="28"/>
        </w:rPr>
        <w:t xml:space="preserve"> в качестве</w:t>
      </w:r>
      <w:r w:rsidRPr="004C5E26">
        <w:rPr>
          <w:rFonts w:ascii="Times New Roman" w:hAnsi="Times New Roman"/>
          <w:sz w:val="28"/>
          <w:szCs w:val="28"/>
        </w:rPr>
        <w:t xml:space="preserve"> положительного фактора </w:t>
      </w:r>
      <w:r w:rsidR="00A502A8">
        <w:rPr>
          <w:rFonts w:ascii="Times New Roman" w:hAnsi="Times New Roman"/>
          <w:sz w:val="28"/>
          <w:szCs w:val="28"/>
        </w:rPr>
        <w:t>структурных сдвигов</w:t>
      </w:r>
      <w:r w:rsidRPr="004C5E26">
        <w:rPr>
          <w:rFonts w:ascii="Times New Roman" w:hAnsi="Times New Roman"/>
          <w:sz w:val="28"/>
          <w:szCs w:val="28"/>
        </w:rPr>
        <w:t xml:space="preserve"> необходимо отметить </w:t>
      </w:r>
      <w:r w:rsidR="00A502A8" w:rsidRPr="004C5E26">
        <w:rPr>
          <w:rFonts w:ascii="Times New Roman" w:hAnsi="Times New Roman"/>
          <w:sz w:val="28"/>
          <w:szCs w:val="28"/>
        </w:rPr>
        <w:t xml:space="preserve">ослабление влияния на общую динамику ВВП </w:t>
      </w:r>
      <w:r w:rsidR="006C1B6A">
        <w:rPr>
          <w:rFonts w:ascii="Times New Roman" w:hAnsi="Times New Roman"/>
          <w:sz w:val="28"/>
          <w:szCs w:val="28"/>
        </w:rPr>
        <w:t>нерыночного сегмента</w:t>
      </w:r>
      <w:r w:rsidRPr="004C5E26">
        <w:rPr>
          <w:rFonts w:ascii="Times New Roman" w:hAnsi="Times New Roman"/>
          <w:sz w:val="28"/>
          <w:szCs w:val="28"/>
        </w:rPr>
        <w:t xml:space="preserve">. </w:t>
      </w:r>
    </w:p>
    <w:p w:rsidR="00A11B16" w:rsidRDefault="006C1B6A" w:rsidP="007D3AA7">
      <w:pPr>
        <w:spacing w:after="0" w:line="240" w:lineRule="auto"/>
        <w:ind w:firstLine="426"/>
        <w:jc w:val="both"/>
        <w:rPr>
          <w:rFonts w:ascii="Times New Roman" w:hAnsi="Times New Roman"/>
          <w:sz w:val="28"/>
          <w:szCs w:val="28"/>
        </w:rPr>
      </w:pPr>
      <w:r>
        <w:rPr>
          <w:rFonts w:ascii="Times New Roman" w:hAnsi="Times New Roman"/>
          <w:sz w:val="28"/>
          <w:szCs w:val="28"/>
        </w:rPr>
        <w:t>В то же время р</w:t>
      </w:r>
      <w:r w:rsidR="00A11B16" w:rsidRPr="001F4DF8">
        <w:rPr>
          <w:rFonts w:ascii="Times New Roman" w:hAnsi="Times New Roman"/>
          <w:sz w:val="28"/>
          <w:szCs w:val="28"/>
        </w:rPr>
        <w:t xml:space="preserve">ост доходов населения способствовал активизации потребительского спроса и ускорению развития </w:t>
      </w:r>
      <w:r w:rsidR="00A11B16" w:rsidRPr="001F4DF8">
        <w:rPr>
          <w:rFonts w:ascii="Times New Roman" w:hAnsi="Times New Roman"/>
          <w:b/>
          <w:sz w:val="28"/>
          <w:szCs w:val="28"/>
        </w:rPr>
        <w:t>рыночного сегмента услуг,</w:t>
      </w:r>
      <w:r>
        <w:rPr>
          <w:rFonts w:ascii="Times New Roman" w:hAnsi="Times New Roman"/>
          <w:sz w:val="28"/>
          <w:szCs w:val="28"/>
        </w:rPr>
        <w:t xml:space="preserve"> обеспечивших</w:t>
      </w:r>
      <w:r w:rsidR="00A11B16" w:rsidRPr="001F4DF8">
        <w:rPr>
          <w:rFonts w:ascii="Times New Roman" w:hAnsi="Times New Roman"/>
          <w:sz w:val="28"/>
          <w:szCs w:val="28"/>
        </w:rPr>
        <w:t xml:space="preserve"> приращение добавленной стоимости составляющих компонент по итогам года на 13,5% до 4 335,8 млн руб., что соответствует 31,4% совокупного показателя (</w:t>
      </w:r>
      <w:r w:rsidR="00A11B16">
        <w:rPr>
          <w:rFonts w:ascii="Times New Roman" w:hAnsi="Times New Roman"/>
          <w:sz w:val="28"/>
          <w:szCs w:val="28"/>
        </w:rPr>
        <w:t>+</w:t>
      </w:r>
      <w:r w:rsidR="00A11B16" w:rsidRPr="001F4DF8">
        <w:rPr>
          <w:rFonts w:ascii="Times New Roman" w:hAnsi="Times New Roman"/>
          <w:sz w:val="28"/>
          <w:szCs w:val="28"/>
        </w:rPr>
        <w:t>0,27 п.п.) (рис. 4).</w:t>
      </w:r>
    </w:p>
    <w:p w:rsidR="00A11B16" w:rsidRPr="0096398B" w:rsidRDefault="00A11B16" w:rsidP="007D3AA7">
      <w:pPr>
        <w:pStyle w:val="a4"/>
        <w:jc w:val="right"/>
        <w:rPr>
          <w:b/>
          <w:i/>
          <w:sz w:val="28"/>
          <w:szCs w:val="28"/>
        </w:rPr>
      </w:pPr>
      <w:r w:rsidRPr="0096398B">
        <w:rPr>
          <w:b/>
          <w:i/>
          <w:sz w:val="28"/>
          <w:szCs w:val="28"/>
        </w:rPr>
        <w:t>Рисунок 4</w:t>
      </w:r>
    </w:p>
    <w:p w:rsidR="00A11B16" w:rsidRDefault="00166B49" w:rsidP="007D3AA7">
      <w:pPr>
        <w:pStyle w:val="a4"/>
        <w:ind w:firstLine="0"/>
      </w:pPr>
      <w:r>
        <w:rPr>
          <w:noProof/>
        </w:rPr>
        <w:drawing>
          <wp:inline distT="0" distB="0" distL="0" distR="0">
            <wp:extent cx="6048375" cy="3076575"/>
            <wp:effectExtent l="0" t="0" r="0" b="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1B16" w:rsidRDefault="00A11B16" w:rsidP="007D3AA7">
      <w:pPr>
        <w:pStyle w:val="a4"/>
        <w:ind w:firstLine="426"/>
      </w:pPr>
      <w:r w:rsidRPr="008E71DD">
        <w:rPr>
          <w:sz w:val="28"/>
          <w:szCs w:val="28"/>
        </w:rPr>
        <w:lastRenderedPageBreak/>
        <w:t>Доминирующее влияние на динамику рыночного сегмента оказал вектор услуг, предоставл</w:t>
      </w:r>
      <w:r>
        <w:rPr>
          <w:sz w:val="28"/>
          <w:szCs w:val="28"/>
        </w:rPr>
        <w:t>яемых</w:t>
      </w:r>
      <w:r w:rsidRPr="008E71DD">
        <w:rPr>
          <w:sz w:val="28"/>
          <w:szCs w:val="28"/>
        </w:rPr>
        <w:t xml:space="preserve"> организациями </w:t>
      </w:r>
      <w:r w:rsidRPr="008E71DD">
        <w:rPr>
          <w:b/>
          <w:sz w:val="28"/>
          <w:szCs w:val="28"/>
        </w:rPr>
        <w:t xml:space="preserve">торговли и общественного питания, </w:t>
      </w:r>
      <w:r w:rsidRPr="008E71DD">
        <w:rPr>
          <w:sz w:val="28"/>
          <w:szCs w:val="28"/>
        </w:rPr>
        <w:t>по которым отмечалось приращение объема добавленной стоимости до 1 997,3 млн руб.</w:t>
      </w:r>
      <w:r w:rsidR="00C671AD">
        <w:rPr>
          <w:sz w:val="28"/>
          <w:szCs w:val="28"/>
        </w:rPr>
        <w:t xml:space="preserve"> </w:t>
      </w:r>
      <w:r w:rsidRPr="008E71DD">
        <w:rPr>
          <w:sz w:val="28"/>
          <w:szCs w:val="28"/>
        </w:rPr>
        <w:t>(+19,6%), обеспечивш</w:t>
      </w:r>
      <w:r>
        <w:rPr>
          <w:sz w:val="28"/>
          <w:szCs w:val="28"/>
        </w:rPr>
        <w:t>ее</w:t>
      </w:r>
      <w:r w:rsidRPr="008E71DD">
        <w:rPr>
          <w:sz w:val="28"/>
          <w:szCs w:val="28"/>
        </w:rPr>
        <w:t xml:space="preserve"> тем самым 63,</w:t>
      </w:r>
      <w:r>
        <w:rPr>
          <w:sz w:val="28"/>
          <w:szCs w:val="28"/>
        </w:rPr>
        <w:t>5</w:t>
      </w:r>
      <w:r w:rsidRPr="008E71DD">
        <w:rPr>
          <w:sz w:val="28"/>
          <w:szCs w:val="28"/>
        </w:rPr>
        <w:t>% прироста ВДС рыночного сектора и 21,3% совокупного прироста ВВП. Следствием данного повышения, стало расширение структурного участия</w:t>
      </w:r>
      <w:r>
        <w:rPr>
          <w:sz w:val="28"/>
          <w:szCs w:val="28"/>
        </w:rPr>
        <w:t xml:space="preserve"> сферы торговли</w:t>
      </w:r>
      <w:r w:rsidRPr="008E71DD">
        <w:rPr>
          <w:sz w:val="28"/>
          <w:szCs w:val="28"/>
        </w:rPr>
        <w:t xml:space="preserve"> в формировании ВВП на </w:t>
      </w:r>
      <w:r>
        <w:rPr>
          <w:sz w:val="28"/>
          <w:szCs w:val="28"/>
        </w:rPr>
        <w:t>0,9</w:t>
      </w:r>
      <w:r w:rsidRPr="008E71DD">
        <w:rPr>
          <w:sz w:val="28"/>
          <w:szCs w:val="28"/>
        </w:rPr>
        <w:t xml:space="preserve"> п.п. до 14,5%.</w:t>
      </w:r>
      <w:r w:rsidRPr="00A96A46">
        <w:t xml:space="preserve"> </w:t>
      </w:r>
    </w:p>
    <w:p w:rsidR="00A11B16" w:rsidRPr="00A96A46" w:rsidRDefault="00A11B16" w:rsidP="007D3AA7">
      <w:pPr>
        <w:pStyle w:val="a4"/>
        <w:ind w:firstLine="426"/>
        <w:rPr>
          <w:sz w:val="28"/>
          <w:szCs w:val="28"/>
        </w:rPr>
      </w:pPr>
      <w:r w:rsidRPr="00A96A46">
        <w:rPr>
          <w:sz w:val="28"/>
          <w:szCs w:val="28"/>
        </w:rPr>
        <w:t xml:space="preserve">Абсолютная величина добавленной стоимости, созданной </w:t>
      </w:r>
      <w:r w:rsidRPr="00A96A46">
        <w:rPr>
          <w:b/>
          <w:sz w:val="28"/>
          <w:szCs w:val="28"/>
        </w:rPr>
        <w:t xml:space="preserve">транспортными компаниями, </w:t>
      </w:r>
      <w:r w:rsidRPr="00A96A46">
        <w:rPr>
          <w:sz w:val="28"/>
          <w:szCs w:val="28"/>
        </w:rPr>
        <w:t>при расширении валового выпуска на 13,0% и промежуточного потребления на 25,7% выросла на 5,</w:t>
      </w:r>
      <w:r>
        <w:rPr>
          <w:sz w:val="28"/>
          <w:szCs w:val="28"/>
        </w:rPr>
        <w:t>5</w:t>
      </w:r>
      <w:r w:rsidRPr="00A96A46">
        <w:rPr>
          <w:sz w:val="28"/>
          <w:szCs w:val="28"/>
        </w:rPr>
        <w:t>% и сложилась в объеме 350,7 млн руб., что обеспечило 2,5% структурного представления в совокупном показателе</w:t>
      </w:r>
      <w:r w:rsidR="00434F04">
        <w:rPr>
          <w:sz w:val="28"/>
          <w:szCs w:val="28"/>
        </w:rPr>
        <w:t xml:space="preserve"> </w:t>
      </w:r>
      <w:r w:rsidR="00434F04">
        <w:rPr>
          <w:sz w:val="28"/>
          <w:szCs w:val="28"/>
        </w:rPr>
        <w:br/>
      </w:r>
      <w:r w:rsidRPr="00A96A46">
        <w:rPr>
          <w:sz w:val="28"/>
          <w:szCs w:val="28"/>
        </w:rPr>
        <w:t>(-0,2</w:t>
      </w:r>
      <w:r w:rsidR="006C1B6A">
        <w:rPr>
          <w:sz w:val="28"/>
          <w:szCs w:val="28"/>
        </w:rPr>
        <w:t xml:space="preserve"> </w:t>
      </w:r>
      <w:r w:rsidRPr="00A96A46">
        <w:rPr>
          <w:sz w:val="28"/>
          <w:szCs w:val="28"/>
        </w:rPr>
        <w:t xml:space="preserve">п.п.). </w:t>
      </w:r>
    </w:p>
    <w:p w:rsidR="00A11B16" w:rsidRPr="00A96A46" w:rsidRDefault="00A11B16" w:rsidP="007D3AA7">
      <w:pPr>
        <w:pStyle w:val="a4"/>
        <w:ind w:firstLine="426"/>
        <w:rPr>
          <w:sz w:val="28"/>
          <w:szCs w:val="28"/>
        </w:rPr>
      </w:pPr>
      <w:r w:rsidRPr="00A96A46">
        <w:rPr>
          <w:sz w:val="28"/>
          <w:szCs w:val="28"/>
        </w:rPr>
        <w:t xml:space="preserve">Прирост валового выпуска по </w:t>
      </w:r>
      <w:r w:rsidRPr="00A96A46">
        <w:rPr>
          <w:b/>
          <w:sz w:val="28"/>
          <w:szCs w:val="28"/>
        </w:rPr>
        <w:t xml:space="preserve">отрасли «связь» </w:t>
      </w:r>
      <w:r w:rsidRPr="00A96A46">
        <w:rPr>
          <w:sz w:val="28"/>
          <w:szCs w:val="28"/>
        </w:rPr>
        <w:t>на</w:t>
      </w:r>
      <w:r w:rsidRPr="00A96A46">
        <w:rPr>
          <w:b/>
          <w:sz w:val="28"/>
          <w:szCs w:val="28"/>
        </w:rPr>
        <w:t xml:space="preserve"> </w:t>
      </w:r>
      <w:r w:rsidRPr="00A96A46">
        <w:rPr>
          <w:sz w:val="28"/>
          <w:szCs w:val="28"/>
        </w:rPr>
        <w:t>6,6% в совокупности с увеличением сопутствующих расходов, включенных в про</w:t>
      </w:r>
      <w:r w:rsidR="006C1B6A">
        <w:rPr>
          <w:sz w:val="28"/>
          <w:szCs w:val="28"/>
        </w:rPr>
        <w:t>межуточное потребление, (+16,5%)</w:t>
      </w:r>
      <w:r w:rsidRPr="00A96A46">
        <w:rPr>
          <w:sz w:val="28"/>
          <w:szCs w:val="28"/>
        </w:rPr>
        <w:t xml:space="preserve"> определил отставание вновь созданной добавленной стоимости от базисных показателей</w:t>
      </w:r>
      <w:r w:rsidR="006C1B6A">
        <w:rPr>
          <w:sz w:val="28"/>
          <w:szCs w:val="28"/>
        </w:rPr>
        <w:t xml:space="preserve"> </w:t>
      </w:r>
      <w:r w:rsidR="006C1B6A" w:rsidRPr="00A96A46">
        <w:rPr>
          <w:sz w:val="28"/>
          <w:szCs w:val="28"/>
        </w:rPr>
        <w:t xml:space="preserve">(-3,3%) </w:t>
      </w:r>
      <w:r w:rsidRPr="00A96A46">
        <w:rPr>
          <w:sz w:val="28"/>
          <w:szCs w:val="28"/>
        </w:rPr>
        <w:t xml:space="preserve">и сокращение долевого участия в формировании ВВП на 0,4 п.п. до 2,5%. </w:t>
      </w:r>
    </w:p>
    <w:p w:rsidR="00A11B16" w:rsidRPr="00841A9E" w:rsidRDefault="00A11B16" w:rsidP="007D3AA7">
      <w:pPr>
        <w:pStyle w:val="a4"/>
        <w:ind w:firstLine="426"/>
      </w:pPr>
      <w:r w:rsidRPr="00A96A46">
        <w:rPr>
          <w:sz w:val="28"/>
          <w:szCs w:val="28"/>
        </w:rPr>
        <w:t xml:space="preserve">Повышение итоговой результативности хозяйственной деятельности организаций </w:t>
      </w:r>
      <w:r w:rsidRPr="00A96A46">
        <w:rPr>
          <w:b/>
          <w:sz w:val="28"/>
          <w:szCs w:val="28"/>
        </w:rPr>
        <w:t>жилищно-коммунального хозяйства</w:t>
      </w:r>
      <w:r w:rsidRPr="00A96A46">
        <w:rPr>
          <w:sz w:val="28"/>
          <w:szCs w:val="28"/>
        </w:rPr>
        <w:t xml:space="preserve"> на 10,</w:t>
      </w:r>
      <w:r>
        <w:rPr>
          <w:sz w:val="28"/>
          <w:szCs w:val="28"/>
        </w:rPr>
        <w:t>2</w:t>
      </w:r>
      <w:r w:rsidRPr="00A96A46">
        <w:rPr>
          <w:sz w:val="28"/>
          <w:szCs w:val="28"/>
        </w:rPr>
        <w:t xml:space="preserve">% до 395,7 млн руб., обеспечило сохранение долевого участия отрасли в структуре ВВП на </w:t>
      </w:r>
      <w:r w:rsidR="006C1B6A">
        <w:rPr>
          <w:sz w:val="28"/>
          <w:szCs w:val="28"/>
        </w:rPr>
        <w:t xml:space="preserve">базисном </w:t>
      </w:r>
      <w:r w:rsidRPr="00A96A46">
        <w:rPr>
          <w:sz w:val="28"/>
          <w:szCs w:val="28"/>
        </w:rPr>
        <w:t>уровне (2,9%).</w:t>
      </w:r>
      <w:r>
        <w:t xml:space="preserve"> </w:t>
      </w:r>
    </w:p>
    <w:p w:rsidR="00A11B16" w:rsidRDefault="00A11B16" w:rsidP="007D3AA7">
      <w:pPr>
        <w:pStyle w:val="a4"/>
        <w:ind w:firstLine="426"/>
        <w:rPr>
          <w:sz w:val="28"/>
          <w:szCs w:val="28"/>
        </w:rPr>
      </w:pPr>
      <w:r w:rsidRPr="00210E72">
        <w:rPr>
          <w:sz w:val="28"/>
          <w:szCs w:val="28"/>
        </w:rPr>
        <w:t>На фоне стабилизации макроэкономических условий</w:t>
      </w:r>
      <w:r w:rsidR="006C1B6A">
        <w:rPr>
          <w:sz w:val="28"/>
          <w:szCs w:val="28"/>
        </w:rPr>
        <w:t xml:space="preserve"> </w:t>
      </w:r>
      <w:r w:rsidRPr="00210E72">
        <w:rPr>
          <w:sz w:val="28"/>
          <w:szCs w:val="28"/>
        </w:rPr>
        <w:t xml:space="preserve">и </w:t>
      </w:r>
      <w:r w:rsidR="006C1B6A">
        <w:rPr>
          <w:sz w:val="28"/>
          <w:szCs w:val="28"/>
        </w:rPr>
        <w:t xml:space="preserve">формирования </w:t>
      </w:r>
      <w:r w:rsidRPr="00210E72">
        <w:rPr>
          <w:sz w:val="28"/>
          <w:szCs w:val="28"/>
        </w:rPr>
        <w:t>предпосылок повышения результативности деятельности банковской системы незначительным отставанием от базисных показателей характеризовал</w:t>
      </w:r>
      <w:r w:rsidR="006C1B6A">
        <w:rPr>
          <w:sz w:val="28"/>
          <w:szCs w:val="28"/>
        </w:rPr>
        <w:t>о</w:t>
      </w:r>
      <w:r w:rsidRPr="00210E72">
        <w:rPr>
          <w:sz w:val="28"/>
          <w:szCs w:val="28"/>
        </w:rPr>
        <w:t xml:space="preserve">сь </w:t>
      </w:r>
      <w:r w:rsidR="006C1B6A">
        <w:rPr>
          <w:sz w:val="28"/>
          <w:szCs w:val="28"/>
        </w:rPr>
        <w:t>функционирование</w:t>
      </w:r>
      <w:r w:rsidRPr="00210E72">
        <w:rPr>
          <w:sz w:val="28"/>
          <w:szCs w:val="28"/>
        </w:rPr>
        <w:t xml:space="preserve"> организаций </w:t>
      </w:r>
      <w:r w:rsidRPr="00210E72">
        <w:rPr>
          <w:b/>
          <w:sz w:val="28"/>
          <w:szCs w:val="28"/>
        </w:rPr>
        <w:t xml:space="preserve">финансового сектора. </w:t>
      </w:r>
      <w:r w:rsidRPr="00210E72">
        <w:rPr>
          <w:sz w:val="28"/>
          <w:szCs w:val="28"/>
        </w:rPr>
        <w:t>Так</w:t>
      </w:r>
      <w:r>
        <w:rPr>
          <w:sz w:val="28"/>
          <w:szCs w:val="28"/>
        </w:rPr>
        <w:t xml:space="preserve">, </w:t>
      </w:r>
      <w:r w:rsidRPr="00210E72">
        <w:rPr>
          <w:sz w:val="28"/>
          <w:szCs w:val="28"/>
        </w:rPr>
        <w:t>объем добавленной стоимости сформировался на уровне 404,9 млн руб. (-5,9%), что соответствует 2,9% (-0,6 п.п.) в совокупном показателе.</w:t>
      </w:r>
    </w:p>
    <w:p w:rsidR="00A11B16" w:rsidRDefault="00A11B16" w:rsidP="007D3AA7">
      <w:pPr>
        <w:spacing w:after="0" w:line="240" w:lineRule="auto"/>
        <w:ind w:firstLine="426"/>
        <w:jc w:val="both"/>
        <w:rPr>
          <w:rFonts w:ascii="Times New Roman" w:hAnsi="Times New Roman"/>
          <w:sz w:val="28"/>
          <w:szCs w:val="28"/>
        </w:rPr>
      </w:pPr>
      <w:r>
        <w:rPr>
          <w:rFonts w:ascii="Times New Roman" w:hAnsi="Times New Roman"/>
          <w:sz w:val="28"/>
          <w:szCs w:val="28"/>
        </w:rPr>
        <w:t>О</w:t>
      </w:r>
      <w:r w:rsidRPr="00EC016A">
        <w:rPr>
          <w:rFonts w:ascii="Times New Roman" w:hAnsi="Times New Roman"/>
          <w:sz w:val="28"/>
          <w:szCs w:val="28"/>
        </w:rPr>
        <w:t>бъем</w:t>
      </w:r>
      <w:r>
        <w:rPr>
          <w:rFonts w:ascii="Times New Roman" w:hAnsi="Times New Roman"/>
          <w:sz w:val="28"/>
          <w:szCs w:val="28"/>
        </w:rPr>
        <w:t xml:space="preserve"> </w:t>
      </w:r>
      <w:r w:rsidRPr="00EC016A">
        <w:rPr>
          <w:rFonts w:ascii="Times New Roman" w:hAnsi="Times New Roman"/>
          <w:sz w:val="28"/>
          <w:szCs w:val="28"/>
        </w:rPr>
        <w:t xml:space="preserve">вновь созданной добавленной стоимости </w:t>
      </w:r>
      <w:r w:rsidRPr="00771404">
        <w:rPr>
          <w:rFonts w:ascii="Times New Roman" w:hAnsi="Times New Roman"/>
          <w:b/>
          <w:sz w:val="28"/>
          <w:szCs w:val="28"/>
        </w:rPr>
        <w:t>в секторе нерыночных услуг</w:t>
      </w:r>
      <w:r w:rsidRPr="00EC016A">
        <w:rPr>
          <w:rFonts w:ascii="Times New Roman" w:hAnsi="Times New Roman"/>
          <w:sz w:val="28"/>
          <w:szCs w:val="28"/>
        </w:rPr>
        <w:t xml:space="preserve"> сократился</w:t>
      </w:r>
      <w:r>
        <w:rPr>
          <w:rFonts w:ascii="Times New Roman" w:hAnsi="Times New Roman"/>
          <w:sz w:val="28"/>
          <w:szCs w:val="28"/>
        </w:rPr>
        <w:t xml:space="preserve"> </w:t>
      </w:r>
      <w:r w:rsidRPr="00EC016A">
        <w:rPr>
          <w:rFonts w:ascii="Times New Roman" w:hAnsi="Times New Roman"/>
          <w:sz w:val="28"/>
          <w:szCs w:val="28"/>
        </w:rPr>
        <w:t xml:space="preserve">на </w:t>
      </w:r>
      <w:r>
        <w:rPr>
          <w:rFonts w:ascii="Times New Roman" w:hAnsi="Times New Roman"/>
          <w:sz w:val="28"/>
          <w:szCs w:val="28"/>
        </w:rPr>
        <w:t>2,6</w:t>
      </w:r>
      <w:r w:rsidRPr="00EC016A">
        <w:rPr>
          <w:rFonts w:ascii="Times New Roman" w:hAnsi="Times New Roman"/>
          <w:sz w:val="28"/>
          <w:szCs w:val="28"/>
        </w:rPr>
        <w:t xml:space="preserve">% до </w:t>
      </w:r>
      <w:r>
        <w:rPr>
          <w:rFonts w:ascii="Times New Roman" w:hAnsi="Times New Roman"/>
          <w:sz w:val="28"/>
          <w:szCs w:val="28"/>
        </w:rPr>
        <w:t>3 291,7</w:t>
      </w:r>
      <w:r w:rsidRPr="00EC016A">
        <w:rPr>
          <w:rFonts w:ascii="Times New Roman" w:hAnsi="Times New Roman"/>
          <w:sz w:val="28"/>
          <w:szCs w:val="28"/>
        </w:rPr>
        <w:t xml:space="preserve"> млн руб</w:t>
      </w:r>
      <w:r>
        <w:rPr>
          <w:rFonts w:ascii="Times New Roman" w:hAnsi="Times New Roman"/>
          <w:sz w:val="28"/>
          <w:szCs w:val="28"/>
        </w:rPr>
        <w:t xml:space="preserve">., что </w:t>
      </w:r>
      <w:r w:rsidRPr="00EC016A">
        <w:rPr>
          <w:rFonts w:ascii="Times New Roman" w:hAnsi="Times New Roman"/>
          <w:sz w:val="28"/>
          <w:szCs w:val="28"/>
        </w:rPr>
        <w:t xml:space="preserve">на фоне </w:t>
      </w:r>
      <w:r>
        <w:rPr>
          <w:rFonts w:ascii="Times New Roman" w:hAnsi="Times New Roman"/>
          <w:sz w:val="28"/>
          <w:szCs w:val="28"/>
        </w:rPr>
        <w:t xml:space="preserve">проведения взвешенной политики </w:t>
      </w:r>
      <w:r w:rsidRPr="00EC016A">
        <w:rPr>
          <w:rFonts w:ascii="Times New Roman" w:hAnsi="Times New Roman"/>
          <w:sz w:val="28"/>
          <w:szCs w:val="28"/>
        </w:rPr>
        <w:t xml:space="preserve">расходования бюджетных средств выразилось в </w:t>
      </w:r>
      <w:r>
        <w:rPr>
          <w:rFonts w:ascii="Times New Roman" w:hAnsi="Times New Roman"/>
          <w:sz w:val="28"/>
          <w:szCs w:val="28"/>
        </w:rPr>
        <w:t>о</w:t>
      </w:r>
      <w:r w:rsidRPr="00EC016A">
        <w:rPr>
          <w:rFonts w:ascii="Times New Roman" w:hAnsi="Times New Roman"/>
          <w:sz w:val="28"/>
          <w:szCs w:val="28"/>
        </w:rPr>
        <w:t>слаблени</w:t>
      </w:r>
      <w:r>
        <w:rPr>
          <w:rFonts w:ascii="Times New Roman" w:hAnsi="Times New Roman"/>
          <w:sz w:val="28"/>
          <w:szCs w:val="28"/>
        </w:rPr>
        <w:t>и</w:t>
      </w:r>
      <w:r w:rsidRPr="00EC016A">
        <w:rPr>
          <w:rFonts w:ascii="Times New Roman" w:hAnsi="Times New Roman"/>
          <w:sz w:val="28"/>
          <w:szCs w:val="28"/>
        </w:rPr>
        <w:t xml:space="preserve"> влияния </w:t>
      </w:r>
      <w:r w:rsidR="006C1B6A">
        <w:rPr>
          <w:rFonts w:ascii="Times New Roman" w:hAnsi="Times New Roman"/>
          <w:sz w:val="28"/>
          <w:szCs w:val="28"/>
        </w:rPr>
        <w:t>сегмента</w:t>
      </w:r>
      <w:r w:rsidRPr="00EC016A">
        <w:rPr>
          <w:rFonts w:ascii="Times New Roman" w:hAnsi="Times New Roman"/>
          <w:sz w:val="28"/>
          <w:szCs w:val="28"/>
        </w:rPr>
        <w:t xml:space="preserve"> на общую динамику ВВП </w:t>
      </w:r>
      <w:r>
        <w:rPr>
          <w:rFonts w:ascii="Times New Roman" w:hAnsi="Times New Roman"/>
          <w:sz w:val="28"/>
          <w:szCs w:val="28"/>
        </w:rPr>
        <w:t xml:space="preserve">и </w:t>
      </w:r>
      <w:r w:rsidR="006C1B6A">
        <w:rPr>
          <w:rFonts w:ascii="Times New Roman" w:hAnsi="Times New Roman"/>
          <w:sz w:val="28"/>
          <w:szCs w:val="28"/>
        </w:rPr>
        <w:t>в</w:t>
      </w:r>
      <w:r>
        <w:rPr>
          <w:rFonts w:ascii="Times New Roman" w:hAnsi="Times New Roman"/>
          <w:sz w:val="28"/>
          <w:szCs w:val="28"/>
        </w:rPr>
        <w:t xml:space="preserve"> </w:t>
      </w:r>
      <w:r w:rsidRPr="00EC016A">
        <w:rPr>
          <w:rFonts w:ascii="Times New Roman" w:hAnsi="Times New Roman"/>
          <w:sz w:val="28"/>
          <w:szCs w:val="28"/>
        </w:rPr>
        <w:t>уменьшении его доли как в структуре валового</w:t>
      </w:r>
      <w:r w:rsidR="006C1B6A">
        <w:rPr>
          <w:rFonts w:ascii="Times New Roman" w:hAnsi="Times New Roman"/>
          <w:sz w:val="28"/>
          <w:szCs w:val="28"/>
        </w:rPr>
        <w:t xml:space="preserve"> внутреннего</w:t>
      </w:r>
      <w:r w:rsidRPr="00EC016A">
        <w:rPr>
          <w:rFonts w:ascii="Times New Roman" w:hAnsi="Times New Roman"/>
          <w:sz w:val="28"/>
          <w:szCs w:val="28"/>
        </w:rPr>
        <w:t xml:space="preserve"> продукта на 3,</w:t>
      </w:r>
      <w:r>
        <w:rPr>
          <w:rFonts w:ascii="Times New Roman" w:hAnsi="Times New Roman"/>
          <w:sz w:val="28"/>
          <w:szCs w:val="28"/>
        </w:rPr>
        <w:t>7</w:t>
      </w:r>
      <w:r w:rsidRPr="00EC016A">
        <w:rPr>
          <w:rFonts w:ascii="Times New Roman" w:hAnsi="Times New Roman"/>
          <w:sz w:val="28"/>
          <w:szCs w:val="28"/>
        </w:rPr>
        <w:t xml:space="preserve"> п.п. </w:t>
      </w:r>
      <w:r>
        <w:rPr>
          <w:rFonts w:ascii="Times New Roman" w:hAnsi="Times New Roman"/>
          <w:sz w:val="28"/>
          <w:szCs w:val="28"/>
        </w:rPr>
        <w:t>(</w:t>
      </w:r>
      <w:r w:rsidRPr="00EC016A">
        <w:rPr>
          <w:rFonts w:ascii="Times New Roman" w:hAnsi="Times New Roman"/>
          <w:sz w:val="28"/>
          <w:szCs w:val="28"/>
        </w:rPr>
        <w:t xml:space="preserve">до </w:t>
      </w:r>
      <w:r>
        <w:rPr>
          <w:rFonts w:ascii="Times New Roman" w:hAnsi="Times New Roman"/>
          <w:sz w:val="28"/>
          <w:szCs w:val="28"/>
        </w:rPr>
        <w:t>23,9</w:t>
      </w:r>
      <w:r w:rsidRPr="00EC016A">
        <w:rPr>
          <w:rFonts w:ascii="Times New Roman" w:hAnsi="Times New Roman"/>
          <w:sz w:val="28"/>
          <w:szCs w:val="28"/>
        </w:rPr>
        <w:t>%</w:t>
      </w:r>
      <w:r>
        <w:rPr>
          <w:rFonts w:ascii="Times New Roman" w:hAnsi="Times New Roman"/>
          <w:sz w:val="28"/>
          <w:szCs w:val="28"/>
        </w:rPr>
        <w:t xml:space="preserve">), </w:t>
      </w:r>
      <w:r w:rsidRPr="00EC016A">
        <w:rPr>
          <w:rFonts w:ascii="Times New Roman" w:hAnsi="Times New Roman"/>
          <w:sz w:val="28"/>
          <w:szCs w:val="28"/>
        </w:rPr>
        <w:t xml:space="preserve">так и в ВДС сферы услуг </w:t>
      </w:r>
      <w:r>
        <w:rPr>
          <w:rFonts w:ascii="Times New Roman" w:hAnsi="Times New Roman"/>
          <w:sz w:val="28"/>
          <w:szCs w:val="28"/>
        </w:rPr>
        <w:t>(</w:t>
      </w:r>
      <w:r w:rsidRPr="00EC016A">
        <w:rPr>
          <w:rFonts w:ascii="Times New Roman" w:hAnsi="Times New Roman"/>
          <w:sz w:val="28"/>
          <w:szCs w:val="28"/>
        </w:rPr>
        <w:t xml:space="preserve">до </w:t>
      </w:r>
      <w:r>
        <w:rPr>
          <w:rFonts w:ascii="Times New Roman" w:hAnsi="Times New Roman"/>
          <w:sz w:val="28"/>
          <w:szCs w:val="28"/>
        </w:rPr>
        <w:t>43,2</w:t>
      </w:r>
      <w:r w:rsidRPr="00EC016A">
        <w:rPr>
          <w:rFonts w:ascii="Times New Roman" w:hAnsi="Times New Roman"/>
          <w:sz w:val="28"/>
          <w:szCs w:val="28"/>
        </w:rPr>
        <w:t>%</w:t>
      </w:r>
      <w:r>
        <w:rPr>
          <w:rFonts w:ascii="Times New Roman" w:hAnsi="Times New Roman"/>
          <w:sz w:val="28"/>
          <w:szCs w:val="28"/>
        </w:rPr>
        <w:t xml:space="preserve">) </w:t>
      </w:r>
      <w:r w:rsidRPr="00EC016A">
        <w:rPr>
          <w:rFonts w:ascii="Times New Roman" w:hAnsi="Times New Roman"/>
          <w:sz w:val="28"/>
          <w:szCs w:val="28"/>
        </w:rPr>
        <w:t xml:space="preserve">(рис 5). </w:t>
      </w:r>
    </w:p>
    <w:p w:rsidR="006C1B6A" w:rsidRPr="00AD4327" w:rsidRDefault="006C1B6A" w:rsidP="006C1B6A">
      <w:pPr>
        <w:spacing w:after="0" w:line="240" w:lineRule="auto"/>
        <w:ind w:firstLine="426"/>
        <w:jc w:val="both"/>
        <w:rPr>
          <w:rFonts w:ascii="Times New Roman" w:hAnsi="Times New Roman"/>
          <w:sz w:val="28"/>
          <w:szCs w:val="28"/>
        </w:rPr>
      </w:pPr>
      <w:r w:rsidRPr="00AD4327">
        <w:rPr>
          <w:rFonts w:ascii="Times New Roman" w:hAnsi="Times New Roman"/>
          <w:sz w:val="28"/>
          <w:szCs w:val="28"/>
        </w:rPr>
        <w:t xml:space="preserve">Услуги, оказываемые учреждениями </w:t>
      </w:r>
      <w:r w:rsidRPr="00AD4327">
        <w:rPr>
          <w:rFonts w:ascii="Times New Roman" w:hAnsi="Times New Roman"/>
          <w:b/>
          <w:sz w:val="28"/>
          <w:szCs w:val="28"/>
        </w:rPr>
        <w:t>образования</w:t>
      </w:r>
      <w:r w:rsidR="004C78D6">
        <w:rPr>
          <w:rFonts w:ascii="Times New Roman" w:hAnsi="Times New Roman"/>
          <w:b/>
          <w:sz w:val="28"/>
          <w:szCs w:val="28"/>
        </w:rPr>
        <w:t>,</w:t>
      </w:r>
      <w:r w:rsidRPr="00AD4327">
        <w:rPr>
          <w:rFonts w:ascii="Times New Roman" w:hAnsi="Times New Roman"/>
          <w:b/>
          <w:sz w:val="28"/>
          <w:szCs w:val="28"/>
        </w:rPr>
        <w:t xml:space="preserve"> </w:t>
      </w:r>
      <w:r w:rsidRPr="00AD4327">
        <w:rPr>
          <w:rFonts w:ascii="Times New Roman" w:hAnsi="Times New Roman"/>
          <w:sz w:val="28"/>
          <w:szCs w:val="28"/>
        </w:rPr>
        <w:t xml:space="preserve">сформировали 881,8 млн руб. добавленной стоимости (+2,9%), при этом </w:t>
      </w:r>
      <w:r w:rsidR="004C78D6">
        <w:rPr>
          <w:rFonts w:ascii="Times New Roman" w:hAnsi="Times New Roman"/>
          <w:sz w:val="28"/>
          <w:szCs w:val="28"/>
        </w:rPr>
        <w:t>д</w:t>
      </w:r>
      <w:r w:rsidRPr="00AD4327">
        <w:rPr>
          <w:rFonts w:ascii="Times New Roman" w:hAnsi="Times New Roman"/>
          <w:sz w:val="28"/>
          <w:szCs w:val="28"/>
        </w:rPr>
        <w:t>олевое участи</w:t>
      </w:r>
      <w:r w:rsidR="004C78D6">
        <w:rPr>
          <w:rFonts w:ascii="Times New Roman" w:hAnsi="Times New Roman"/>
          <w:sz w:val="28"/>
          <w:szCs w:val="28"/>
        </w:rPr>
        <w:t>е отрасли</w:t>
      </w:r>
      <w:r w:rsidRPr="00AD4327">
        <w:rPr>
          <w:rFonts w:ascii="Times New Roman" w:hAnsi="Times New Roman"/>
          <w:sz w:val="28"/>
          <w:szCs w:val="28"/>
        </w:rPr>
        <w:t xml:space="preserve"> </w:t>
      </w:r>
      <w:r>
        <w:rPr>
          <w:rFonts w:ascii="Times New Roman" w:hAnsi="Times New Roman"/>
          <w:sz w:val="28"/>
          <w:szCs w:val="28"/>
        </w:rPr>
        <w:t>сузилось</w:t>
      </w:r>
      <w:r w:rsidRPr="00AD4327">
        <w:rPr>
          <w:rFonts w:ascii="Times New Roman" w:hAnsi="Times New Roman"/>
          <w:sz w:val="28"/>
          <w:szCs w:val="28"/>
        </w:rPr>
        <w:t xml:space="preserve"> </w:t>
      </w:r>
      <w:r>
        <w:rPr>
          <w:rFonts w:ascii="Times New Roman" w:hAnsi="Times New Roman"/>
          <w:sz w:val="28"/>
          <w:szCs w:val="28"/>
        </w:rPr>
        <w:t>относительно</w:t>
      </w:r>
      <w:r w:rsidRPr="00AD4327">
        <w:rPr>
          <w:rFonts w:ascii="Times New Roman" w:hAnsi="Times New Roman"/>
          <w:sz w:val="28"/>
          <w:szCs w:val="28"/>
        </w:rPr>
        <w:t xml:space="preserve"> базово</w:t>
      </w:r>
      <w:r>
        <w:rPr>
          <w:rFonts w:ascii="Times New Roman" w:hAnsi="Times New Roman"/>
          <w:sz w:val="28"/>
          <w:szCs w:val="28"/>
        </w:rPr>
        <w:t>го</w:t>
      </w:r>
      <w:r w:rsidRPr="00AD4327">
        <w:rPr>
          <w:rFonts w:ascii="Times New Roman" w:hAnsi="Times New Roman"/>
          <w:sz w:val="28"/>
          <w:szCs w:val="28"/>
        </w:rPr>
        <w:t xml:space="preserve"> параметр</w:t>
      </w:r>
      <w:r>
        <w:rPr>
          <w:rFonts w:ascii="Times New Roman" w:hAnsi="Times New Roman"/>
          <w:sz w:val="28"/>
          <w:szCs w:val="28"/>
        </w:rPr>
        <w:t>а на 0,6</w:t>
      </w:r>
      <w:r w:rsidR="004C78D6">
        <w:rPr>
          <w:rFonts w:ascii="Times New Roman" w:hAnsi="Times New Roman"/>
          <w:sz w:val="28"/>
          <w:szCs w:val="28"/>
        </w:rPr>
        <w:t xml:space="preserve"> </w:t>
      </w:r>
      <w:r>
        <w:rPr>
          <w:rFonts w:ascii="Times New Roman" w:hAnsi="Times New Roman"/>
          <w:sz w:val="28"/>
          <w:szCs w:val="28"/>
        </w:rPr>
        <w:t xml:space="preserve">п.п. </w:t>
      </w:r>
    </w:p>
    <w:p w:rsidR="006C1B6A" w:rsidRPr="00AD4327" w:rsidRDefault="006C1B6A" w:rsidP="006C1B6A">
      <w:pPr>
        <w:spacing w:after="0" w:line="240" w:lineRule="auto"/>
        <w:ind w:firstLine="426"/>
        <w:jc w:val="both"/>
        <w:rPr>
          <w:rFonts w:ascii="Times New Roman" w:hAnsi="Times New Roman"/>
          <w:sz w:val="28"/>
          <w:szCs w:val="28"/>
        </w:rPr>
      </w:pPr>
      <w:r w:rsidRPr="00F4552E">
        <w:rPr>
          <w:rFonts w:ascii="Times New Roman" w:hAnsi="Times New Roman"/>
          <w:sz w:val="28"/>
          <w:szCs w:val="28"/>
        </w:rPr>
        <w:t>С</w:t>
      </w:r>
      <w:r w:rsidRPr="00AD4327">
        <w:rPr>
          <w:rFonts w:ascii="Times New Roman" w:hAnsi="Times New Roman"/>
          <w:sz w:val="28"/>
          <w:szCs w:val="28"/>
        </w:rPr>
        <w:t>ущественный</w:t>
      </w:r>
      <w:r w:rsidRPr="00F4552E">
        <w:rPr>
          <w:rFonts w:ascii="Times New Roman" w:hAnsi="Times New Roman"/>
          <w:sz w:val="28"/>
          <w:szCs w:val="28"/>
        </w:rPr>
        <w:t xml:space="preserve"> </w:t>
      </w:r>
      <w:r w:rsidRPr="00AD4327">
        <w:rPr>
          <w:rFonts w:ascii="Times New Roman" w:hAnsi="Times New Roman"/>
          <w:sz w:val="28"/>
          <w:szCs w:val="28"/>
        </w:rPr>
        <w:t>рост</w:t>
      </w:r>
      <w:r w:rsidRPr="00F4552E">
        <w:rPr>
          <w:rFonts w:ascii="Times New Roman" w:hAnsi="Times New Roman"/>
          <w:sz w:val="28"/>
          <w:szCs w:val="28"/>
        </w:rPr>
        <w:t xml:space="preserve"> </w:t>
      </w:r>
      <w:r w:rsidRPr="00AD4327">
        <w:rPr>
          <w:rFonts w:ascii="Times New Roman" w:hAnsi="Times New Roman"/>
          <w:sz w:val="28"/>
          <w:szCs w:val="28"/>
        </w:rPr>
        <w:t>затрат, включаемых</w:t>
      </w:r>
      <w:r w:rsidRPr="00F4552E">
        <w:rPr>
          <w:rFonts w:ascii="Times New Roman" w:hAnsi="Times New Roman"/>
          <w:sz w:val="28"/>
          <w:szCs w:val="28"/>
        </w:rPr>
        <w:t xml:space="preserve"> </w:t>
      </w:r>
      <w:r w:rsidRPr="00AD4327">
        <w:rPr>
          <w:rFonts w:ascii="Times New Roman" w:hAnsi="Times New Roman"/>
          <w:sz w:val="28"/>
          <w:szCs w:val="28"/>
        </w:rPr>
        <w:t>в</w:t>
      </w:r>
      <w:r w:rsidRPr="00F4552E">
        <w:rPr>
          <w:rFonts w:ascii="Times New Roman" w:hAnsi="Times New Roman"/>
          <w:sz w:val="28"/>
          <w:szCs w:val="28"/>
        </w:rPr>
        <w:t xml:space="preserve"> </w:t>
      </w:r>
      <w:r w:rsidRPr="00AD4327">
        <w:rPr>
          <w:rFonts w:ascii="Times New Roman" w:hAnsi="Times New Roman"/>
          <w:sz w:val="28"/>
          <w:szCs w:val="28"/>
        </w:rPr>
        <w:t>промежуточное</w:t>
      </w:r>
      <w:r w:rsidRPr="00F4552E">
        <w:rPr>
          <w:rFonts w:ascii="Times New Roman" w:hAnsi="Times New Roman"/>
          <w:sz w:val="28"/>
          <w:szCs w:val="28"/>
        </w:rPr>
        <w:t xml:space="preserve"> </w:t>
      </w:r>
      <w:r w:rsidRPr="00AD4327">
        <w:rPr>
          <w:rFonts w:ascii="Times New Roman" w:hAnsi="Times New Roman"/>
          <w:sz w:val="28"/>
          <w:szCs w:val="28"/>
        </w:rPr>
        <w:t>потребление</w:t>
      </w:r>
      <w:r w:rsidRPr="00F4552E">
        <w:rPr>
          <w:rFonts w:ascii="Times New Roman" w:hAnsi="Times New Roman"/>
          <w:sz w:val="28"/>
          <w:szCs w:val="28"/>
        </w:rPr>
        <w:t xml:space="preserve"> в </w:t>
      </w:r>
      <w:r w:rsidRPr="00F4552E">
        <w:rPr>
          <w:rFonts w:ascii="Times New Roman" w:hAnsi="Times New Roman"/>
          <w:b/>
          <w:sz w:val="28"/>
          <w:szCs w:val="28"/>
        </w:rPr>
        <w:t xml:space="preserve">здравоохранении, социальном обеспечении </w:t>
      </w:r>
      <w:r w:rsidRPr="00AD4327">
        <w:rPr>
          <w:rFonts w:ascii="Times New Roman" w:hAnsi="Times New Roman"/>
          <w:sz w:val="28"/>
          <w:szCs w:val="28"/>
        </w:rPr>
        <w:t>(</w:t>
      </w:r>
      <w:r w:rsidRPr="00F4552E">
        <w:rPr>
          <w:rFonts w:ascii="Times New Roman" w:hAnsi="Times New Roman"/>
          <w:sz w:val="28"/>
          <w:szCs w:val="28"/>
        </w:rPr>
        <w:t xml:space="preserve">в </w:t>
      </w:r>
      <w:r w:rsidRPr="00AD4327">
        <w:rPr>
          <w:rFonts w:ascii="Times New Roman" w:hAnsi="Times New Roman"/>
          <w:sz w:val="28"/>
          <w:szCs w:val="28"/>
        </w:rPr>
        <w:t>1,7</w:t>
      </w:r>
      <w:r w:rsidRPr="00F4552E">
        <w:rPr>
          <w:rFonts w:ascii="Times New Roman" w:hAnsi="Times New Roman"/>
          <w:sz w:val="28"/>
          <w:szCs w:val="28"/>
        </w:rPr>
        <w:t xml:space="preserve"> раза</w:t>
      </w:r>
      <w:r w:rsidRPr="00AD4327">
        <w:rPr>
          <w:rFonts w:ascii="Times New Roman" w:hAnsi="Times New Roman"/>
          <w:sz w:val="28"/>
          <w:szCs w:val="28"/>
        </w:rPr>
        <w:t xml:space="preserve">), </w:t>
      </w:r>
      <w:r w:rsidRPr="00F4552E">
        <w:rPr>
          <w:rFonts w:ascii="Times New Roman" w:hAnsi="Times New Roman"/>
          <w:sz w:val="28"/>
          <w:szCs w:val="28"/>
        </w:rPr>
        <w:t>обусловленн</w:t>
      </w:r>
      <w:r w:rsidR="004C78D6">
        <w:rPr>
          <w:rFonts w:ascii="Times New Roman" w:hAnsi="Times New Roman"/>
          <w:sz w:val="28"/>
          <w:szCs w:val="28"/>
        </w:rPr>
        <w:t>ый</w:t>
      </w:r>
      <w:r w:rsidRPr="00F4552E">
        <w:rPr>
          <w:rFonts w:ascii="Times New Roman" w:hAnsi="Times New Roman"/>
          <w:sz w:val="28"/>
          <w:szCs w:val="28"/>
        </w:rPr>
        <w:t xml:space="preserve"> расходованием ресурсов по таким направлениям, как закупка </w:t>
      </w:r>
      <w:r w:rsidRPr="00AD4327">
        <w:rPr>
          <w:rFonts w:ascii="Times New Roman" w:hAnsi="Times New Roman"/>
          <w:sz w:val="28"/>
          <w:szCs w:val="28"/>
        </w:rPr>
        <w:t>товаров</w:t>
      </w:r>
      <w:r w:rsidRPr="00F4552E">
        <w:rPr>
          <w:rFonts w:ascii="Times New Roman" w:hAnsi="Times New Roman"/>
          <w:sz w:val="28"/>
          <w:szCs w:val="28"/>
        </w:rPr>
        <w:t xml:space="preserve"> и </w:t>
      </w:r>
      <w:r w:rsidRPr="00AD4327">
        <w:rPr>
          <w:rFonts w:ascii="Times New Roman" w:hAnsi="Times New Roman"/>
          <w:sz w:val="28"/>
          <w:szCs w:val="28"/>
        </w:rPr>
        <w:t>приобретение</w:t>
      </w:r>
      <w:r w:rsidRPr="00F4552E">
        <w:rPr>
          <w:rFonts w:ascii="Times New Roman" w:hAnsi="Times New Roman"/>
          <w:sz w:val="28"/>
          <w:szCs w:val="28"/>
        </w:rPr>
        <w:t xml:space="preserve"> </w:t>
      </w:r>
      <w:r w:rsidRPr="00AD4327">
        <w:rPr>
          <w:rFonts w:ascii="Times New Roman" w:hAnsi="Times New Roman"/>
          <w:sz w:val="28"/>
          <w:szCs w:val="28"/>
        </w:rPr>
        <w:t>расходных</w:t>
      </w:r>
      <w:r w:rsidRPr="00F4552E">
        <w:rPr>
          <w:rFonts w:ascii="Times New Roman" w:hAnsi="Times New Roman"/>
          <w:sz w:val="28"/>
          <w:szCs w:val="28"/>
        </w:rPr>
        <w:t xml:space="preserve"> </w:t>
      </w:r>
      <w:r w:rsidRPr="00AD4327">
        <w:rPr>
          <w:rFonts w:ascii="Times New Roman" w:hAnsi="Times New Roman"/>
          <w:sz w:val="28"/>
          <w:szCs w:val="28"/>
        </w:rPr>
        <w:t>материалов</w:t>
      </w:r>
      <w:r w:rsidRPr="00F4552E">
        <w:rPr>
          <w:rFonts w:ascii="Times New Roman" w:hAnsi="Times New Roman"/>
          <w:sz w:val="28"/>
          <w:szCs w:val="28"/>
        </w:rPr>
        <w:t xml:space="preserve">, обеспечил </w:t>
      </w:r>
      <w:r w:rsidR="004C78D6">
        <w:rPr>
          <w:rFonts w:ascii="Times New Roman" w:hAnsi="Times New Roman"/>
          <w:sz w:val="28"/>
          <w:szCs w:val="28"/>
        </w:rPr>
        <w:t xml:space="preserve">формирование </w:t>
      </w:r>
      <w:r w:rsidRPr="00F4552E">
        <w:rPr>
          <w:rFonts w:ascii="Times New Roman" w:hAnsi="Times New Roman"/>
          <w:sz w:val="28"/>
          <w:szCs w:val="28"/>
        </w:rPr>
        <w:t xml:space="preserve">ВДС отрасли практически на уровне базового параметра (99,9%) в размере 771,7 млн  руб. </w:t>
      </w:r>
      <w:r w:rsidR="004C78D6">
        <w:rPr>
          <w:rFonts w:ascii="Times New Roman" w:hAnsi="Times New Roman"/>
          <w:sz w:val="28"/>
          <w:szCs w:val="28"/>
        </w:rPr>
        <w:t>Д</w:t>
      </w:r>
      <w:r w:rsidRPr="00F4552E">
        <w:rPr>
          <w:rFonts w:ascii="Times New Roman" w:hAnsi="Times New Roman"/>
          <w:sz w:val="28"/>
          <w:szCs w:val="28"/>
        </w:rPr>
        <w:t>олевое участие</w:t>
      </w:r>
      <w:r w:rsidR="004C78D6">
        <w:rPr>
          <w:rFonts w:ascii="Times New Roman" w:hAnsi="Times New Roman"/>
          <w:sz w:val="28"/>
          <w:szCs w:val="28"/>
        </w:rPr>
        <w:t xml:space="preserve"> отрасли</w:t>
      </w:r>
      <w:r w:rsidRPr="00F4552E">
        <w:rPr>
          <w:rFonts w:ascii="Times New Roman" w:hAnsi="Times New Roman"/>
          <w:sz w:val="28"/>
          <w:szCs w:val="28"/>
        </w:rPr>
        <w:t xml:space="preserve"> в структуре ВВП </w:t>
      </w:r>
      <w:r w:rsidR="004C78D6">
        <w:rPr>
          <w:rFonts w:ascii="Times New Roman" w:hAnsi="Times New Roman"/>
          <w:sz w:val="28"/>
          <w:szCs w:val="28"/>
        </w:rPr>
        <w:t xml:space="preserve">при этом уменьшилось </w:t>
      </w:r>
      <w:r w:rsidRPr="00F4552E">
        <w:rPr>
          <w:rFonts w:ascii="Times New Roman" w:hAnsi="Times New Roman"/>
          <w:sz w:val="28"/>
          <w:szCs w:val="28"/>
        </w:rPr>
        <w:t xml:space="preserve">на 0,7 п. п. до 6,4%. </w:t>
      </w:r>
      <w:r w:rsidR="004C78D6">
        <w:rPr>
          <w:rFonts w:ascii="Times New Roman" w:hAnsi="Times New Roman"/>
          <w:sz w:val="28"/>
          <w:szCs w:val="28"/>
        </w:rPr>
        <w:t>Также</w:t>
      </w:r>
      <w:r w:rsidRPr="00F4552E">
        <w:rPr>
          <w:rFonts w:ascii="Times New Roman" w:hAnsi="Times New Roman"/>
          <w:sz w:val="28"/>
          <w:szCs w:val="28"/>
        </w:rPr>
        <w:t xml:space="preserve"> необходимо отметить, что ВДС </w:t>
      </w:r>
      <w:r w:rsidR="004C78D6">
        <w:rPr>
          <w:rFonts w:ascii="Times New Roman" w:hAnsi="Times New Roman"/>
          <w:sz w:val="28"/>
          <w:szCs w:val="28"/>
        </w:rPr>
        <w:t>данных</w:t>
      </w:r>
      <w:r w:rsidRPr="00F4552E">
        <w:rPr>
          <w:rFonts w:ascii="Times New Roman" w:hAnsi="Times New Roman"/>
          <w:sz w:val="28"/>
          <w:szCs w:val="28"/>
        </w:rPr>
        <w:t xml:space="preserve"> компонент (</w:t>
      </w:r>
      <w:r w:rsidRPr="00F4552E">
        <w:rPr>
          <w:rFonts w:ascii="Times New Roman" w:hAnsi="Times New Roman"/>
          <w:b/>
          <w:sz w:val="28"/>
          <w:szCs w:val="28"/>
        </w:rPr>
        <w:t xml:space="preserve">здравоохранения, социального обеспечения, образования) </w:t>
      </w:r>
      <w:r w:rsidRPr="00F4552E">
        <w:rPr>
          <w:rFonts w:ascii="Times New Roman" w:hAnsi="Times New Roman"/>
          <w:sz w:val="28"/>
          <w:szCs w:val="28"/>
        </w:rPr>
        <w:t>сформировала в совокупности 12,0% ВВП и 75,9% валовой добавленной стоимости в сегменте нерыночных услуг, при этом в абсолютном выражении ее номинальная величина выросла на 1,5%</w:t>
      </w:r>
      <w:r w:rsidRPr="00AD4327">
        <w:rPr>
          <w:rFonts w:ascii="Times New Roman" w:hAnsi="Times New Roman"/>
          <w:sz w:val="28"/>
          <w:szCs w:val="28"/>
        </w:rPr>
        <w:t xml:space="preserve">. </w:t>
      </w:r>
    </w:p>
    <w:p w:rsidR="00A11B16" w:rsidRPr="00B2670F" w:rsidRDefault="00A11B16" w:rsidP="007D3AA7">
      <w:pPr>
        <w:pStyle w:val="a4"/>
        <w:jc w:val="right"/>
        <w:rPr>
          <w:b/>
          <w:i/>
          <w:sz w:val="28"/>
          <w:szCs w:val="28"/>
        </w:rPr>
      </w:pPr>
      <w:r w:rsidRPr="00B2670F">
        <w:rPr>
          <w:b/>
          <w:i/>
          <w:sz w:val="28"/>
          <w:szCs w:val="28"/>
        </w:rPr>
        <w:lastRenderedPageBreak/>
        <w:t>Рисунок 5</w:t>
      </w:r>
    </w:p>
    <w:p w:rsidR="00A11B16" w:rsidRDefault="00166B49" w:rsidP="007D3AA7">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5943600" cy="2857500"/>
            <wp:effectExtent l="0" t="0" r="0" b="0"/>
            <wp:docPr id="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1B16" w:rsidRPr="00B232E8" w:rsidRDefault="00A11B16" w:rsidP="007D3AA7">
      <w:pPr>
        <w:spacing w:after="0" w:line="240" w:lineRule="auto"/>
        <w:ind w:firstLine="425"/>
        <w:jc w:val="both"/>
        <w:rPr>
          <w:rFonts w:ascii="Times New Roman" w:hAnsi="Times New Roman"/>
          <w:sz w:val="28"/>
          <w:szCs w:val="28"/>
        </w:rPr>
      </w:pPr>
      <w:r w:rsidRPr="00B232E8">
        <w:rPr>
          <w:rFonts w:ascii="Times New Roman" w:hAnsi="Times New Roman"/>
          <w:sz w:val="28"/>
          <w:szCs w:val="28"/>
        </w:rPr>
        <w:t xml:space="preserve">По таким составляющим нерыночного сектора как культура, искусство, кинематография, наука и научное обслуживание, оборона также </w:t>
      </w:r>
      <w:r w:rsidR="004C78D6">
        <w:rPr>
          <w:rFonts w:ascii="Times New Roman" w:hAnsi="Times New Roman"/>
          <w:sz w:val="28"/>
          <w:szCs w:val="28"/>
        </w:rPr>
        <w:t xml:space="preserve">отмечался </w:t>
      </w:r>
      <w:r w:rsidRPr="00B232E8">
        <w:rPr>
          <w:rFonts w:ascii="Times New Roman" w:hAnsi="Times New Roman"/>
          <w:sz w:val="28"/>
          <w:szCs w:val="28"/>
        </w:rPr>
        <w:t>повыша</w:t>
      </w:r>
      <w:r w:rsidR="004C78D6">
        <w:rPr>
          <w:rFonts w:ascii="Times New Roman" w:hAnsi="Times New Roman"/>
          <w:sz w:val="28"/>
          <w:szCs w:val="28"/>
        </w:rPr>
        <w:t>тельный</w:t>
      </w:r>
      <w:r w:rsidRPr="00B232E8">
        <w:rPr>
          <w:rFonts w:ascii="Times New Roman" w:hAnsi="Times New Roman"/>
          <w:sz w:val="28"/>
          <w:szCs w:val="28"/>
        </w:rPr>
        <w:t xml:space="preserve"> тренд добавленной стоимости (в совокупности +1,8% до 211,9</w:t>
      </w:r>
      <w:r w:rsidR="00434F04">
        <w:rPr>
          <w:rFonts w:ascii="Times New Roman" w:hAnsi="Times New Roman"/>
          <w:sz w:val="28"/>
          <w:szCs w:val="28"/>
        </w:rPr>
        <w:t> </w:t>
      </w:r>
      <w:r w:rsidR="004C78D6">
        <w:rPr>
          <w:rFonts w:ascii="Times New Roman" w:hAnsi="Times New Roman"/>
          <w:sz w:val="28"/>
          <w:szCs w:val="28"/>
        </w:rPr>
        <w:t>млн руб.).</w:t>
      </w:r>
      <w:r w:rsidRPr="00B232E8">
        <w:rPr>
          <w:rFonts w:ascii="Times New Roman" w:hAnsi="Times New Roman"/>
          <w:sz w:val="28"/>
          <w:szCs w:val="28"/>
        </w:rPr>
        <w:t xml:space="preserve"> </w:t>
      </w:r>
      <w:r w:rsidR="004C78D6">
        <w:rPr>
          <w:rFonts w:ascii="Times New Roman" w:hAnsi="Times New Roman"/>
          <w:sz w:val="28"/>
          <w:szCs w:val="28"/>
        </w:rPr>
        <w:t>П</w:t>
      </w:r>
      <w:r w:rsidRPr="00B232E8">
        <w:rPr>
          <w:rFonts w:ascii="Times New Roman" w:hAnsi="Times New Roman"/>
          <w:sz w:val="28"/>
          <w:szCs w:val="28"/>
        </w:rPr>
        <w:t>ри этом долевое представление</w:t>
      </w:r>
      <w:r w:rsidR="004C78D6">
        <w:rPr>
          <w:rFonts w:ascii="Times New Roman" w:hAnsi="Times New Roman"/>
          <w:sz w:val="28"/>
          <w:szCs w:val="28"/>
        </w:rPr>
        <w:t xml:space="preserve"> отраслей</w:t>
      </w:r>
      <w:r w:rsidRPr="00B232E8">
        <w:rPr>
          <w:rFonts w:ascii="Times New Roman" w:hAnsi="Times New Roman"/>
          <w:sz w:val="28"/>
          <w:szCs w:val="28"/>
        </w:rPr>
        <w:t xml:space="preserve"> в структуре ВВП</w:t>
      </w:r>
      <w:r w:rsidR="004C78D6">
        <w:rPr>
          <w:rFonts w:ascii="Times New Roman" w:hAnsi="Times New Roman"/>
          <w:sz w:val="28"/>
          <w:szCs w:val="28"/>
        </w:rPr>
        <w:t xml:space="preserve"> сократилось</w:t>
      </w:r>
      <w:r w:rsidRPr="00B232E8">
        <w:rPr>
          <w:rFonts w:ascii="Times New Roman" w:hAnsi="Times New Roman"/>
          <w:sz w:val="28"/>
          <w:szCs w:val="28"/>
        </w:rPr>
        <w:t xml:space="preserve"> на 0,2</w:t>
      </w:r>
      <w:r w:rsidR="00434F04">
        <w:rPr>
          <w:rFonts w:ascii="Times New Roman" w:hAnsi="Times New Roman"/>
          <w:sz w:val="28"/>
          <w:szCs w:val="28"/>
        </w:rPr>
        <w:t> </w:t>
      </w:r>
      <w:r w:rsidRPr="00B232E8">
        <w:rPr>
          <w:rFonts w:ascii="Times New Roman" w:hAnsi="Times New Roman"/>
          <w:sz w:val="28"/>
          <w:szCs w:val="28"/>
        </w:rPr>
        <w:t xml:space="preserve">п.п. </w:t>
      </w:r>
      <w:r w:rsidR="004C78D6">
        <w:rPr>
          <w:rFonts w:ascii="Times New Roman" w:hAnsi="Times New Roman"/>
          <w:sz w:val="28"/>
          <w:szCs w:val="28"/>
        </w:rPr>
        <w:t xml:space="preserve">до </w:t>
      </w:r>
      <w:r w:rsidRPr="00B232E8">
        <w:rPr>
          <w:rFonts w:ascii="Times New Roman" w:hAnsi="Times New Roman"/>
          <w:sz w:val="28"/>
          <w:szCs w:val="28"/>
        </w:rPr>
        <w:t xml:space="preserve">1,5%. </w:t>
      </w:r>
    </w:p>
    <w:p w:rsidR="00A11B16" w:rsidRDefault="00A11B16" w:rsidP="007D3AA7">
      <w:pPr>
        <w:spacing w:after="0" w:line="240" w:lineRule="auto"/>
        <w:ind w:firstLine="426"/>
        <w:jc w:val="both"/>
        <w:rPr>
          <w:rFonts w:ascii="Times New Roman" w:hAnsi="Times New Roman"/>
          <w:sz w:val="28"/>
          <w:szCs w:val="28"/>
        </w:rPr>
      </w:pPr>
      <w:r w:rsidRPr="004736CB">
        <w:rPr>
          <w:rFonts w:ascii="Times New Roman" w:hAnsi="Times New Roman"/>
          <w:sz w:val="28"/>
          <w:szCs w:val="28"/>
        </w:rPr>
        <w:t>Объем доходов государства, суммируемы</w:t>
      </w:r>
      <w:r w:rsidR="004C78D6">
        <w:rPr>
          <w:rFonts w:ascii="Times New Roman" w:hAnsi="Times New Roman"/>
          <w:sz w:val="28"/>
          <w:szCs w:val="28"/>
        </w:rPr>
        <w:t>х</w:t>
      </w:r>
      <w:r w:rsidRPr="004736CB">
        <w:rPr>
          <w:rFonts w:ascii="Times New Roman" w:hAnsi="Times New Roman"/>
          <w:sz w:val="28"/>
          <w:szCs w:val="28"/>
        </w:rPr>
        <w:t xml:space="preserve"> по статье </w:t>
      </w:r>
      <w:r w:rsidRPr="004736CB">
        <w:rPr>
          <w:rFonts w:ascii="Times New Roman" w:hAnsi="Times New Roman"/>
          <w:b/>
          <w:sz w:val="28"/>
          <w:szCs w:val="28"/>
        </w:rPr>
        <w:t xml:space="preserve">«чистые налоги на продукты и импорт» </w:t>
      </w:r>
      <w:r w:rsidRPr="004736CB">
        <w:rPr>
          <w:rFonts w:ascii="Times New Roman" w:hAnsi="Times New Roman"/>
          <w:sz w:val="28"/>
          <w:szCs w:val="28"/>
        </w:rPr>
        <w:t>(за вычетом субсидий)</w:t>
      </w:r>
      <w:r w:rsidR="004C78D6">
        <w:rPr>
          <w:rFonts w:ascii="Times New Roman" w:hAnsi="Times New Roman"/>
          <w:sz w:val="28"/>
          <w:szCs w:val="28"/>
        </w:rPr>
        <w:t>,</w:t>
      </w:r>
      <w:r w:rsidRPr="004736CB">
        <w:rPr>
          <w:rFonts w:ascii="Times New Roman" w:hAnsi="Times New Roman"/>
          <w:sz w:val="28"/>
          <w:szCs w:val="28"/>
        </w:rPr>
        <w:t xml:space="preserve"> по итогам 2018 года сложился в размере 417,1 млн руб. против 92,1 млн руб. годом ранее</w:t>
      </w:r>
      <w:r>
        <w:rPr>
          <w:rFonts w:ascii="Times New Roman" w:hAnsi="Times New Roman"/>
          <w:sz w:val="28"/>
          <w:szCs w:val="28"/>
        </w:rPr>
        <w:t>,</w:t>
      </w:r>
      <w:r w:rsidRPr="004736CB">
        <w:rPr>
          <w:rFonts w:ascii="Times New Roman" w:hAnsi="Times New Roman"/>
          <w:sz w:val="28"/>
          <w:szCs w:val="28"/>
        </w:rPr>
        <w:t xml:space="preserve"> обеспечив тем самым 3,0% долевого участия в совокупном показателе. </w:t>
      </w:r>
      <w:r w:rsidR="004C78D6">
        <w:rPr>
          <w:rFonts w:ascii="Times New Roman" w:hAnsi="Times New Roman"/>
          <w:sz w:val="28"/>
          <w:szCs w:val="28"/>
        </w:rPr>
        <w:t>Это стало следствием</w:t>
      </w:r>
      <w:r w:rsidRPr="004736CB">
        <w:rPr>
          <w:rFonts w:ascii="Times New Roman" w:hAnsi="Times New Roman"/>
          <w:sz w:val="28"/>
          <w:szCs w:val="28"/>
        </w:rPr>
        <w:t xml:space="preserve"> активизации экономической деятельности </w:t>
      </w:r>
      <w:r w:rsidR="004C78D6">
        <w:rPr>
          <w:rFonts w:ascii="Times New Roman" w:hAnsi="Times New Roman"/>
          <w:sz w:val="28"/>
          <w:szCs w:val="28"/>
        </w:rPr>
        <w:t xml:space="preserve">хозяйствующих субъектов, </w:t>
      </w:r>
      <w:r w:rsidRPr="004736CB">
        <w:rPr>
          <w:rFonts w:ascii="Times New Roman" w:hAnsi="Times New Roman"/>
          <w:sz w:val="28"/>
          <w:szCs w:val="28"/>
        </w:rPr>
        <w:t>обеспечившей прирост поступлений налогов на продукты и импорт на 26,8% до 761,3 млн руб. (сумм</w:t>
      </w:r>
      <w:r w:rsidR="004C78D6">
        <w:rPr>
          <w:rFonts w:ascii="Times New Roman" w:hAnsi="Times New Roman"/>
          <w:sz w:val="28"/>
          <w:szCs w:val="28"/>
        </w:rPr>
        <w:t>ы</w:t>
      </w:r>
      <w:r w:rsidRPr="004736CB">
        <w:rPr>
          <w:rFonts w:ascii="Times New Roman" w:hAnsi="Times New Roman"/>
          <w:sz w:val="28"/>
          <w:szCs w:val="28"/>
        </w:rPr>
        <w:t xml:space="preserve"> уплаченных акцизных сборов </w:t>
      </w:r>
      <w:r w:rsidR="004C78D6">
        <w:rPr>
          <w:rFonts w:ascii="Times New Roman" w:hAnsi="Times New Roman"/>
          <w:sz w:val="28"/>
          <w:szCs w:val="28"/>
        </w:rPr>
        <w:t xml:space="preserve">выросли на </w:t>
      </w:r>
      <w:r>
        <w:rPr>
          <w:rFonts w:ascii="Times New Roman" w:hAnsi="Times New Roman"/>
          <w:sz w:val="28"/>
          <w:szCs w:val="28"/>
        </w:rPr>
        <w:t>62,2%</w:t>
      </w:r>
      <w:r w:rsidR="004C78D6">
        <w:rPr>
          <w:rFonts w:ascii="Times New Roman" w:hAnsi="Times New Roman"/>
          <w:sz w:val="28"/>
          <w:szCs w:val="28"/>
        </w:rPr>
        <w:t>, налоги</w:t>
      </w:r>
      <w:r w:rsidRPr="004736CB">
        <w:rPr>
          <w:rFonts w:ascii="Times New Roman" w:hAnsi="Times New Roman"/>
          <w:sz w:val="28"/>
          <w:szCs w:val="28"/>
        </w:rPr>
        <w:t xml:space="preserve"> на внешнюю торговлю и внешнеэкономические операции</w:t>
      </w:r>
      <w:r w:rsidR="004C78D6">
        <w:rPr>
          <w:rFonts w:ascii="Times New Roman" w:hAnsi="Times New Roman"/>
          <w:sz w:val="28"/>
          <w:szCs w:val="28"/>
        </w:rPr>
        <w:t xml:space="preserve"> – на </w:t>
      </w:r>
      <w:r w:rsidRPr="004736CB">
        <w:rPr>
          <w:rFonts w:ascii="Times New Roman" w:hAnsi="Times New Roman"/>
          <w:sz w:val="28"/>
          <w:szCs w:val="28"/>
        </w:rPr>
        <w:t>2,</w:t>
      </w:r>
      <w:r>
        <w:rPr>
          <w:rFonts w:ascii="Times New Roman" w:hAnsi="Times New Roman"/>
          <w:sz w:val="28"/>
          <w:szCs w:val="28"/>
        </w:rPr>
        <w:t>6</w:t>
      </w:r>
      <w:r w:rsidR="004C78D6">
        <w:rPr>
          <w:rFonts w:ascii="Times New Roman" w:hAnsi="Times New Roman"/>
          <w:sz w:val="28"/>
          <w:szCs w:val="28"/>
        </w:rPr>
        <w:t>%</w:t>
      </w:r>
      <w:r w:rsidRPr="004736CB">
        <w:rPr>
          <w:rFonts w:ascii="Times New Roman" w:hAnsi="Times New Roman"/>
          <w:sz w:val="28"/>
          <w:szCs w:val="28"/>
        </w:rPr>
        <w:t>)</w:t>
      </w:r>
      <w:r w:rsidR="004C78D6">
        <w:rPr>
          <w:rFonts w:ascii="Times New Roman" w:hAnsi="Times New Roman"/>
          <w:sz w:val="28"/>
          <w:szCs w:val="28"/>
        </w:rPr>
        <w:t>,</w:t>
      </w:r>
      <w:r w:rsidRPr="004736CB">
        <w:rPr>
          <w:rFonts w:ascii="Times New Roman" w:hAnsi="Times New Roman"/>
          <w:sz w:val="28"/>
          <w:szCs w:val="28"/>
        </w:rPr>
        <w:t xml:space="preserve"> на фоне сужения объемов субсидирования государством товаров и услуг (-32,3%). </w:t>
      </w:r>
    </w:p>
    <w:p w:rsidR="00A11B16" w:rsidRPr="00261E83" w:rsidRDefault="00A11B16" w:rsidP="007D3AA7">
      <w:pPr>
        <w:spacing w:after="0" w:line="240" w:lineRule="auto"/>
        <w:ind w:firstLine="426"/>
        <w:jc w:val="both"/>
        <w:rPr>
          <w:rFonts w:ascii="Times New Roman" w:hAnsi="Times New Roman"/>
          <w:sz w:val="28"/>
          <w:szCs w:val="28"/>
        </w:rPr>
      </w:pPr>
      <w:r w:rsidRPr="004736CB">
        <w:rPr>
          <w:rFonts w:ascii="Times New Roman" w:hAnsi="Times New Roman"/>
          <w:sz w:val="28"/>
          <w:szCs w:val="28"/>
        </w:rPr>
        <w:t xml:space="preserve">Таким образом, результативность экономики в рассматриваемом периоде определялась </w:t>
      </w:r>
      <w:r>
        <w:rPr>
          <w:rFonts w:ascii="Times New Roman" w:hAnsi="Times New Roman"/>
          <w:sz w:val="28"/>
          <w:szCs w:val="28"/>
        </w:rPr>
        <w:t>наращиванием добавленной стоимости в отраслях материального производства, главным образом</w:t>
      </w:r>
      <w:r w:rsidR="00C671AD">
        <w:rPr>
          <w:rFonts w:ascii="Times New Roman" w:hAnsi="Times New Roman"/>
          <w:sz w:val="28"/>
          <w:szCs w:val="28"/>
        </w:rPr>
        <w:t>,</w:t>
      </w:r>
      <w:r>
        <w:rPr>
          <w:rFonts w:ascii="Times New Roman" w:hAnsi="Times New Roman"/>
          <w:sz w:val="28"/>
          <w:szCs w:val="28"/>
        </w:rPr>
        <w:t xml:space="preserve"> в индустрии и строительстве. </w:t>
      </w:r>
      <w:r w:rsidRPr="00261E83">
        <w:rPr>
          <w:rFonts w:ascii="Times New Roman" w:hAnsi="Times New Roman"/>
          <w:sz w:val="28"/>
          <w:szCs w:val="28"/>
        </w:rPr>
        <w:t>Также к положительным факторам необходимо отнести изменени</w:t>
      </w:r>
      <w:r w:rsidR="004C78D6">
        <w:rPr>
          <w:rFonts w:ascii="Times New Roman" w:hAnsi="Times New Roman"/>
          <w:sz w:val="28"/>
          <w:szCs w:val="28"/>
        </w:rPr>
        <w:t>е</w:t>
      </w:r>
      <w:r w:rsidRPr="00261E83">
        <w:rPr>
          <w:rFonts w:ascii="Times New Roman" w:hAnsi="Times New Roman"/>
          <w:sz w:val="28"/>
          <w:szCs w:val="28"/>
        </w:rPr>
        <w:t xml:space="preserve"> вектора влияния на ВВП составляющих нерыночного сегмента услуг и фискальной составляющей «чистые налоги на продукты и импорт».</w:t>
      </w:r>
    </w:p>
    <w:p w:rsidR="004A34E5" w:rsidRDefault="004A34E5" w:rsidP="007D3AA7">
      <w:pPr>
        <w:spacing w:after="0" w:line="240" w:lineRule="auto"/>
        <w:ind w:firstLine="426"/>
        <w:jc w:val="both"/>
        <w:rPr>
          <w:rFonts w:ascii="Times New Roman" w:hAnsi="Times New Roman"/>
          <w:b/>
          <w:sz w:val="28"/>
          <w:szCs w:val="28"/>
        </w:rPr>
      </w:pPr>
    </w:p>
    <w:p w:rsidR="00146BB8" w:rsidRPr="0078535F" w:rsidRDefault="00146BB8" w:rsidP="007D3AA7">
      <w:pPr>
        <w:spacing w:after="0" w:line="240" w:lineRule="auto"/>
        <w:ind w:firstLine="426"/>
        <w:jc w:val="both"/>
        <w:rPr>
          <w:rFonts w:ascii="Times New Roman" w:hAnsi="Times New Roman"/>
          <w:b/>
          <w:sz w:val="28"/>
          <w:szCs w:val="28"/>
        </w:rPr>
      </w:pPr>
      <w:r w:rsidRPr="0078535F">
        <w:rPr>
          <w:rFonts w:ascii="Times New Roman" w:hAnsi="Times New Roman"/>
          <w:b/>
          <w:sz w:val="28"/>
          <w:szCs w:val="28"/>
        </w:rPr>
        <w:t>Состояние реального сектора экономики</w:t>
      </w:r>
    </w:p>
    <w:p w:rsidR="00146BB8" w:rsidRDefault="00146BB8" w:rsidP="007D3AA7">
      <w:pPr>
        <w:spacing w:after="0" w:line="240" w:lineRule="auto"/>
        <w:ind w:firstLine="426"/>
        <w:jc w:val="both"/>
        <w:rPr>
          <w:rFonts w:ascii="Times New Roman" w:hAnsi="Times New Roman"/>
          <w:b/>
          <w:sz w:val="28"/>
          <w:szCs w:val="28"/>
        </w:rPr>
      </w:pPr>
    </w:p>
    <w:p w:rsidR="00B2670F" w:rsidRPr="00C47D46" w:rsidRDefault="00B2670F" w:rsidP="007D3AA7">
      <w:pPr>
        <w:pStyle w:val="a6"/>
        <w:spacing w:after="0" w:line="240" w:lineRule="auto"/>
        <w:ind w:left="0" w:firstLine="426"/>
        <w:jc w:val="both"/>
        <w:rPr>
          <w:rFonts w:ascii="Times New Roman" w:hAnsi="Times New Roman"/>
          <w:i/>
          <w:sz w:val="28"/>
          <w:szCs w:val="28"/>
        </w:rPr>
      </w:pPr>
      <w:r w:rsidRPr="00C47D46">
        <w:rPr>
          <w:rFonts w:ascii="Times New Roman" w:hAnsi="Times New Roman"/>
          <w:b/>
          <w:sz w:val="28"/>
          <w:szCs w:val="28"/>
        </w:rPr>
        <w:t>Промышленность</w:t>
      </w:r>
    </w:p>
    <w:p w:rsidR="00B2670F" w:rsidRPr="00C47D46" w:rsidRDefault="00B2670F" w:rsidP="007D3AA7">
      <w:pPr>
        <w:pStyle w:val="a6"/>
        <w:spacing w:after="0" w:line="240" w:lineRule="auto"/>
        <w:ind w:left="0" w:firstLine="426"/>
        <w:jc w:val="both"/>
        <w:rPr>
          <w:rFonts w:ascii="Times New Roman" w:hAnsi="Times New Roman"/>
          <w:i/>
          <w:sz w:val="28"/>
          <w:szCs w:val="28"/>
        </w:rPr>
      </w:pPr>
    </w:p>
    <w:p w:rsidR="00B2670F" w:rsidRPr="00A175DF" w:rsidRDefault="00B2670F" w:rsidP="007D3AA7">
      <w:pPr>
        <w:spacing w:after="0" w:line="240" w:lineRule="auto"/>
        <w:ind w:firstLine="426"/>
        <w:jc w:val="both"/>
        <w:rPr>
          <w:sz w:val="28"/>
          <w:szCs w:val="28"/>
        </w:rPr>
      </w:pPr>
      <w:r w:rsidRPr="00A175DF">
        <w:rPr>
          <w:rFonts w:ascii="Times New Roman" w:hAnsi="Times New Roman"/>
          <w:sz w:val="28"/>
          <w:szCs w:val="28"/>
        </w:rPr>
        <w:t xml:space="preserve">Динамика развития индустриального сектора в 2018 году </w:t>
      </w:r>
      <w:r w:rsidR="004C78D6" w:rsidRPr="00A175DF">
        <w:rPr>
          <w:rFonts w:ascii="Times New Roman" w:hAnsi="Times New Roman"/>
          <w:sz w:val="28"/>
          <w:szCs w:val="28"/>
        </w:rPr>
        <w:t xml:space="preserve">на фоне стабилизации отечественной экономики, </w:t>
      </w:r>
      <w:r w:rsidR="004C78D6">
        <w:rPr>
          <w:rFonts w:ascii="Times New Roman" w:hAnsi="Times New Roman"/>
          <w:sz w:val="28"/>
          <w:szCs w:val="28"/>
        </w:rPr>
        <w:t>выхода из валютного кризиса, а также улучшения</w:t>
      </w:r>
      <w:r w:rsidR="004C78D6" w:rsidRPr="00A175DF">
        <w:rPr>
          <w:rFonts w:ascii="Times New Roman" w:hAnsi="Times New Roman"/>
          <w:sz w:val="28"/>
          <w:szCs w:val="28"/>
        </w:rPr>
        <w:t xml:space="preserve"> внутреннего бизнес–климата </w:t>
      </w:r>
      <w:r w:rsidRPr="00A175DF">
        <w:rPr>
          <w:rFonts w:ascii="Times New Roman" w:hAnsi="Times New Roman"/>
          <w:sz w:val="28"/>
          <w:szCs w:val="28"/>
        </w:rPr>
        <w:t xml:space="preserve">характеризовалась сохранением в первой половине отчетного периода </w:t>
      </w:r>
      <w:r w:rsidR="00C671AD">
        <w:rPr>
          <w:rFonts w:ascii="Times New Roman" w:hAnsi="Times New Roman"/>
          <w:sz w:val="28"/>
          <w:szCs w:val="28"/>
        </w:rPr>
        <w:t>восходящих</w:t>
      </w:r>
      <w:r w:rsidRPr="00A175DF">
        <w:rPr>
          <w:rFonts w:ascii="Times New Roman" w:hAnsi="Times New Roman"/>
          <w:sz w:val="28"/>
          <w:szCs w:val="28"/>
        </w:rPr>
        <w:t xml:space="preserve"> трендов</w:t>
      </w:r>
      <w:r w:rsidR="00152465">
        <w:rPr>
          <w:rFonts w:ascii="Times New Roman" w:hAnsi="Times New Roman"/>
          <w:sz w:val="28"/>
          <w:szCs w:val="28"/>
        </w:rPr>
        <w:t>,</w:t>
      </w:r>
      <w:r w:rsidR="004C78D6">
        <w:rPr>
          <w:rFonts w:ascii="Times New Roman" w:hAnsi="Times New Roman"/>
          <w:sz w:val="28"/>
          <w:szCs w:val="28"/>
        </w:rPr>
        <w:t xml:space="preserve"> сформированных во втором</w:t>
      </w:r>
      <w:r w:rsidRPr="00A175DF">
        <w:rPr>
          <w:rFonts w:ascii="Times New Roman" w:hAnsi="Times New Roman"/>
          <w:sz w:val="28"/>
          <w:szCs w:val="28"/>
        </w:rPr>
        <w:t xml:space="preserve"> </w:t>
      </w:r>
      <w:r w:rsidR="004C78D6">
        <w:rPr>
          <w:rFonts w:ascii="Times New Roman" w:hAnsi="Times New Roman"/>
          <w:sz w:val="28"/>
          <w:szCs w:val="28"/>
        </w:rPr>
        <w:t>полугодии</w:t>
      </w:r>
      <w:r w:rsidRPr="00A175DF">
        <w:rPr>
          <w:rFonts w:ascii="Times New Roman" w:hAnsi="Times New Roman"/>
          <w:sz w:val="28"/>
          <w:szCs w:val="28"/>
        </w:rPr>
        <w:t xml:space="preserve"> 2017 года</w:t>
      </w:r>
      <w:r w:rsidR="004C78D6">
        <w:rPr>
          <w:rFonts w:ascii="Times New Roman" w:hAnsi="Times New Roman"/>
          <w:sz w:val="28"/>
          <w:szCs w:val="28"/>
        </w:rPr>
        <w:t xml:space="preserve">. Однако </w:t>
      </w:r>
      <w:r w:rsidRPr="00A175DF">
        <w:rPr>
          <w:rFonts w:ascii="Times New Roman" w:hAnsi="Times New Roman"/>
          <w:sz w:val="28"/>
          <w:szCs w:val="28"/>
        </w:rPr>
        <w:t xml:space="preserve">складывающаяся на внешних рынках конъюнктура, </w:t>
      </w:r>
      <w:r>
        <w:rPr>
          <w:rFonts w:ascii="Times New Roman" w:hAnsi="Times New Roman"/>
          <w:sz w:val="28"/>
          <w:szCs w:val="28"/>
        </w:rPr>
        <w:t xml:space="preserve">усиление санкционных мер, </w:t>
      </w:r>
      <w:r w:rsidRPr="00A175DF">
        <w:rPr>
          <w:rFonts w:ascii="Times New Roman" w:hAnsi="Times New Roman"/>
          <w:sz w:val="28"/>
          <w:szCs w:val="28"/>
        </w:rPr>
        <w:t xml:space="preserve">в совокупности с проведением </w:t>
      </w:r>
      <w:r w:rsidRPr="00A175DF">
        <w:rPr>
          <w:rFonts w:ascii="Times New Roman" w:hAnsi="Times New Roman"/>
          <w:sz w:val="28"/>
          <w:szCs w:val="28"/>
        </w:rPr>
        <w:lastRenderedPageBreak/>
        <w:t>протекционистской политики рядом государств</w:t>
      </w:r>
      <w:r>
        <w:rPr>
          <w:rFonts w:ascii="Times New Roman" w:hAnsi="Times New Roman"/>
          <w:sz w:val="28"/>
          <w:szCs w:val="28"/>
        </w:rPr>
        <w:t>,</w:t>
      </w:r>
      <w:r w:rsidRPr="00A175DF">
        <w:rPr>
          <w:rFonts w:ascii="Times New Roman" w:hAnsi="Times New Roman"/>
          <w:sz w:val="28"/>
          <w:szCs w:val="28"/>
        </w:rPr>
        <w:t xml:space="preserve"> замедлили темпы </w:t>
      </w:r>
      <w:r w:rsidR="00152465">
        <w:rPr>
          <w:rFonts w:ascii="Times New Roman" w:hAnsi="Times New Roman"/>
          <w:sz w:val="28"/>
          <w:szCs w:val="28"/>
        </w:rPr>
        <w:t xml:space="preserve">воспроизводственных процессов </w:t>
      </w:r>
      <w:r>
        <w:rPr>
          <w:rFonts w:ascii="Times New Roman" w:hAnsi="Times New Roman"/>
          <w:sz w:val="28"/>
          <w:szCs w:val="28"/>
        </w:rPr>
        <w:t>во второй половине 2018 года</w:t>
      </w:r>
      <w:r w:rsidRPr="00A175DF">
        <w:rPr>
          <w:rFonts w:ascii="Times New Roman" w:hAnsi="Times New Roman"/>
          <w:sz w:val="28"/>
          <w:szCs w:val="28"/>
        </w:rPr>
        <w:t>.</w:t>
      </w:r>
    </w:p>
    <w:p w:rsidR="00B2670F" w:rsidRPr="00CE6859" w:rsidRDefault="00B2670F" w:rsidP="007D3AA7">
      <w:pPr>
        <w:autoSpaceDE w:val="0"/>
        <w:autoSpaceDN w:val="0"/>
        <w:adjustRightInd w:val="0"/>
        <w:spacing w:after="0" w:line="240" w:lineRule="auto"/>
        <w:ind w:firstLine="426"/>
        <w:jc w:val="both"/>
        <w:rPr>
          <w:rFonts w:ascii="Times New Roman" w:hAnsi="Times New Roman"/>
          <w:snapToGrid w:val="0"/>
          <w:sz w:val="28"/>
          <w:szCs w:val="28"/>
        </w:rPr>
      </w:pPr>
      <w:r w:rsidRPr="00A175DF">
        <w:rPr>
          <w:rFonts w:ascii="Times New Roman" w:hAnsi="Times New Roman"/>
          <w:snapToGrid w:val="0"/>
          <w:sz w:val="28"/>
          <w:szCs w:val="28"/>
        </w:rPr>
        <w:t>В целом в индустриальном комплексе республики, с учетом оценки объемов производства</w:t>
      </w:r>
      <w:r w:rsidRPr="00CE6859">
        <w:rPr>
          <w:rFonts w:ascii="Times New Roman" w:hAnsi="Times New Roman"/>
          <w:snapToGrid w:val="0"/>
          <w:sz w:val="28"/>
          <w:szCs w:val="28"/>
        </w:rPr>
        <w:t xml:space="preserve"> субъектов малого предпринимательства</w:t>
      </w:r>
      <w:r w:rsidR="00F452C3">
        <w:rPr>
          <w:rFonts w:ascii="Times New Roman" w:hAnsi="Times New Roman"/>
          <w:snapToGrid w:val="0"/>
          <w:sz w:val="28"/>
          <w:szCs w:val="28"/>
        </w:rPr>
        <w:t>,</w:t>
      </w:r>
      <w:r w:rsidRPr="00CE6859">
        <w:rPr>
          <w:rFonts w:ascii="Times New Roman" w:hAnsi="Times New Roman"/>
          <w:snapToGrid w:val="0"/>
          <w:sz w:val="28"/>
          <w:szCs w:val="28"/>
        </w:rPr>
        <w:t xml:space="preserve"> по итогам 2018 года было произведено продукции на </w:t>
      </w:r>
      <w:r w:rsidRPr="00CE6859">
        <w:rPr>
          <w:rFonts w:ascii="Times New Roman" w:hAnsi="Times New Roman"/>
          <w:sz w:val="28"/>
          <w:szCs w:val="28"/>
        </w:rPr>
        <w:t>13 848,0</w:t>
      </w:r>
      <w:r w:rsidRPr="00CE6859">
        <w:rPr>
          <w:rFonts w:ascii="Times New Roman" w:hAnsi="Times New Roman"/>
          <w:snapToGrid w:val="0"/>
          <w:sz w:val="28"/>
          <w:szCs w:val="28"/>
        </w:rPr>
        <w:t xml:space="preserve"> млн руб., или 136,6% к уровню предыдущего года.</w:t>
      </w:r>
    </w:p>
    <w:p w:rsidR="00B2670F" w:rsidRPr="00C47D46" w:rsidRDefault="00B2670F" w:rsidP="007D3AA7">
      <w:pPr>
        <w:autoSpaceDE w:val="0"/>
        <w:autoSpaceDN w:val="0"/>
        <w:adjustRightInd w:val="0"/>
        <w:spacing w:after="0" w:line="240" w:lineRule="auto"/>
        <w:ind w:firstLine="426"/>
        <w:jc w:val="both"/>
        <w:rPr>
          <w:rFonts w:ascii="Times New Roman" w:hAnsi="Times New Roman"/>
          <w:snapToGrid w:val="0"/>
          <w:sz w:val="28"/>
          <w:szCs w:val="28"/>
        </w:rPr>
      </w:pPr>
      <w:r w:rsidRPr="00721171">
        <w:rPr>
          <w:rFonts w:ascii="Times New Roman" w:hAnsi="Times New Roman"/>
          <w:snapToGrid w:val="0"/>
          <w:sz w:val="28"/>
          <w:szCs w:val="28"/>
        </w:rPr>
        <w:t>Индекс физического объема важнейших видов промышленной продукции в результате положительной динамики производства крупных электромашин (на 75,6%), клинкера (на 39,8%), проката черных металлов (на 10,3%), стали (на 7,1%), цемента (на 15,5%) составил</w:t>
      </w:r>
      <w:r w:rsidRPr="00CE6859">
        <w:rPr>
          <w:rFonts w:ascii="Times New Roman" w:hAnsi="Times New Roman"/>
          <w:snapToGrid w:val="0"/>
          <w:sz w:val="28"/>
          <w:szCs w:val="28"/>
        </w:rPr>
        <w:t xml:space="preserve"> 105,7% к уровню 2017 года.</w:t>
      </w:r>
    </w:p>
    <w:p w:rsidR="00B2670F" w:rsidRPr="00195493" w:rsidRDefault="00B2670F" w:rsidP="007D3AA7">
      <w:pPr>
        <w:spacing w:after="0" w:line="240" w:lineRule="auto"/>
        <w:ind w:firstLine="426"/>
        <w:jc w:val="both"/>
        <w:rPr>
          <w:rFonts w:ascii="Times New Roman" w:hAnsi="Times New Roman"/>
          <w:sz w:val="28"/>
          <w:szCs w:val="28"/>
        </w:rPr>
      </w:pPr>
      <w:r w:rsidRPr="00085501">
        <w:rPr>
          <w:rFonts w:ascii="Times New Roman" w:hAnsi="Times New Roman"/>
          <w:sz w:val="28"/>
          <w:szCs w:val="28"/>
        </w:rPr>
        <w:t>Объём п</w:t>
      </w:r>
      <w:r w:rsidRPr="00085501">
        <w:rPr>
          <w:rFonts w:ascii="Times New Roman" w:hAnsi="Times New Roman"/>
          <w:snapToGrid w:val="0"/>
          <w:sz w:val="28"/>
          <w:szCs w:val="28"/>
        </w:rPr>
        <w:t>ромышленного производства</w:t>
      </w:r>
      <w:r w:rsidRPr="00231F90">
        <w:rPr>
          <w:rFonts w:ascii="Times New Roman" w:hAnsi="Times New Roman"/>
          <w:b/>
          <w:snapToGrid w:val="0"/>
          <w:sz w:val="28"/>
          <w:szCs w:val="28"/>
        </w:rPr>
        <w:t xml:space="preserve"> </w:t>
      </w:r>
      <w:r w:rsidRPr="00231F90">
        <w:rPr>
          <w:rFonts w:ascii="Times New Roman" w:hAnsi="Times New Roman"/>
          <w:sz w:val="28"/>
          <w:szCs w:val="28"/>
        </w:rPr>
        <w:t xml:space="preserve">по итогам 2018 года (без учёта субъектов малого предпринимательства), по данным Государственной службы статистики Приднестровской Молдавской Республики, </w:t>
      </w:r>
      <w:r w:rsidR="00B35B19">
        <w:rPr>
          <w:rFonts w:ascii="Times New Roman" w:hAnsi="Times New Roman"/>
          <w:sz w:val="28"/>
          <w:szCs w:val="28"/>
        </w:rPr>
        <w:t>сложился на отметке</w:t>
      </w:r>
      <w:r w:rsidRPr="00085501">
        <w:rPr>
          <w:rFonts w:ascii="Times New Roman" w:hAnsi="Times New Roman"/>
          <w:sz w:val="28"/>
          <w:szCs w:val="28"/>
        </w:rPr>
        <w:t xml:space="preserve"> 13 043,3 млн руб.,</w:t>
      </w:r>
      <w:r w:rsidRPr="00231F90">
        <w:rPr>
          <w:rFonts w:ascii="Times New Roman" w:hAnsi="Times New Roman"/>
          <w:sz w:val="28"/>
          <w:szCs w:val="28"/>
        </w:rPr>
        <w:t xml:space="preserve"> увеличившись по отношению к показателю 2017 года в </w:t>
      </w:r>
      <w:r w:rsidRPr="00195493">
        <w:rPr>
          <w:rFonts w:ascii="Times New Roman" w:hAnsi="Times New Roman"/>
          <w:sz w:val="28"/>
          <w:szCs w:val="28"/>
        </w:rPr>
        <w:t xml:space="preserve">текущих ценах на 36,4%, в сопоставимых – на 8,5%. Доход от реализации промышленной продукции возрос на 36,6% до 13 000,2 млн руб. </w:t>
      </w:r>
    </w:p>
    <w:p w:rsidR="00B2670F" w:rsidRPr="00C47D46" w:rsidRDefault="00B2670F" w:rsidP="007D3AA7">
      <w:pPr>
        <w:spacing w:after="0" w:line="240" w:lineRule="auto"/>
        <w:ind w:firstLine="426"/>
        <w:jc w:val="both"/>
        <w:rPr>
          <w:rFonts w:ascii="Times New Roman" w:hAnsi="Times New Roman"/>
          <w:color w:val="000000"/>
          <w:sz w:val="28"/>
          <w:szCs w:val="28"/>
        </w:rPr>
      </w:pPr>
      <w:r w:rsidRPr="00195493">
        <w:rPr>
          <w:rFonts w:ascii="Times New Roman" w:hAnsi="Times New Roman"/>
          <w:color w:val="000000"/>
          <w:sz w:val="28"/>
          <w:szCs w:val="28"/>
        </w:rPr>
        <w:t xml:space="preserve">К концу 2018 года величина остатков готовой продукции на складах </w:t>
      </w:r>
      <w:r>
        <w:rPr>
          <w:rFonts w:ascii="Times New Roman" w:hAnsi="Times New Roman"/>
          <w:color w:val="000000"/>
          <w:sz w:val="28"/>
          <w:szCs w:val="28"/>
        </w:rPr>
        <w:t xml:space="preserve">в целом по республике </w:t>
      </w:r>
      <w:r w:rsidRPr="00195493">
        <w:rPr>
          <w:rFonts w:ascii="Times New Roman" w:hAnsi="Times New Roman"/>
          <w:color w:val="000000"/>
          <w:sz w:val="28"/>
          <w:szCs w:val="28"/>
        </w:rPr>
        <w:t>по сравнению с началом года сократилась на 2,3%, их с</w:t>
      </w:r>
      <w:r w:rsidRPr="00195493">
        <w:rPr>
          <w:rFonts w:ascii="Times New Roman" w:hAnsi="Times New Roman"/>
          <w:sz w:val="28"/>
          <w:szCs w:val="28"/>
        </w:rPr>
        <w:t>тоимостное значение</w:t>
      </w:r>
      <w:r w:rsidRPr="00195493">
        <w:rPr>
          <w:rFonts w:ascii="Times New Roman" w:hAnsi="Times New Roman"/>
          <w:color w:val="000000"/>
          <w:sz w:val="28"/>
          <w:szCs w:val="28"/>
        </w:rPr>
        <w:t xml:space="preserve"> </w:t>
      </w:r>
      <w:r w:rsidRPr="00195493">
        <w:rPr>
          <w:rFonts w:ascii="Times New Roman" w:hAnsi="Times New Roman"/>
          <w:sz w:val="28"/>
          <w:szCs w:val="28"/>
        </w:rPr>
        <w:t xml:space="preserve">по состоянию </w:t>
      </w:r>
      <w:r w:rsidRPr="00195493">
        <w:rPr>
          <w:rFonts w:ascii="Times New Roman" w:hAnsi="Times New Roman"/>
          <w:color w:val="000000"/>
          <w:sz w:val="28"/>
          <w:szCs w:val="28"/>
        </w:rPr>
        <w:t>на 1 января 2019 года составило 315,3</w:t>
      </w:r>
      <w:r w:rsidRPr="00195493">
        <w:rPr>
          <w:rFonts w:ascii="Times New Roman" w:hAnsi="Times New Roman"/>
          <w:sz w:val="28"/>
          <w:szCs w:val="28"/>
        </w:rPr>
        <w:t xml:space="preserve"> </w:t>
      </w:r>
      <w:r w:rsidRPr="00195493">
        <w:rPr>
          <w:rFonts w:ascii="Times New Roman" w:hAnsi="Times New Roman"/>
          <w:color w:val="000000"/>
          <w:sz w:val="28"/>
          <w:szCs w:val="28"/>
        </w:rPr>
        <w:t xml:space="preserve">млн руб. Наибольший удельный вес в составе совокупной величины остатков готовой продукции на складах </w:t>
      </w:r>
      <w:r>
        <w:rPr>
          <w:rFonts w:ascii="Times New Roman" w:hAnsi="Times New Roman"/>
          <w:color w:val="000000"/>
          <w:sz w:val="28"/>
          <w:szCs w:val="28"/>
        </w:rPr>
        <w:t>приходится на</w:t>
      </w:r>
      <w:r w:rsidRPr="00195493">
        <w:rPr>
          <w:rFonts w:ascii="Times New Roman" w:hAnsi="Times New Roman"/>
          <w:color w:val="000000"/>
          <w:sz w:val="28"/>
          <w:szCs w:val="28"/>
        </w:rPr>
        <w:t xml:space="preserve"> легк</w:t>
      </w:r>
      <w:r>
        <w:rPr>
          <w:rFonts w:ascii="Times New Roman" w:hAnsi="Times New Roman"/>
          <w:color w:val="000000"/>
          <w:sz w:val="28"/>
          <w:szCs w:val="28"/>
        </w:rPr>
        <w:t>ую</w:t>
      </w:r>
      <w:r w:rsidRPr="00195493">
        <w:rPr>
          <w:rFonts w:ascii="Times New Roman" w:hAnsi="Times New Roman"/>
          <w:color w:val="000000"/>
          <w:sz w:val="28"/>
          <w:szCs w:val="28"/>
        </w:rPr>
        <w:t xml:space="preserve"> и пищев</w:t>
      </w:r>
      <w:r>
        <w:rPr>
          <w:rFonts w:ascii="Times New Roman" w:hAnsi="Times New Roman"/>
          <w:color w:val="000000"/>
          <w:sz w:val="28"/>
          <w:szCs w:val="28"/>
        </w:rPr>
        <w:t>ую</w:t>
      </w:r>
      <w:r w:rsidRPr="00195493">
        <w:rPr>
          <w:rFonts w:ascii="Times New Roman" w:hAnsi="Times New Roman"/>
          <w:color w:val="000000"/>
          <w:sz w:val="28"/>
          <w:szCs w:val="28"/>
        </w:rPr>
        <w:t xml:space="preserve"> промышленност</w:t>
      </w:r>
      <w:r>
        <w:rPr>
          <w:rFonts w:ascii="Times New Roman" w:hAnsi="Times New Roman"/>
          <w:color w:val="000000"/>
          <w:sz w:val="28"/>
          <w:szCs w:val="28"/>
        </w:rPr>
        <w:t>и</w:t>
      </w:r>
      <w:r w:rsidRPr="00195493">
        <w:rPr>
          <w:rFonts w:ascii="Times New Roman" w:hAnsi="Times New Roman"/>
          <w:color w:val="000000"/>
          <w:sz w:val="28"/>
          <w:szCs w:val="28"/>
        </w:rPr>
        <w:t>, сформировавши</w:t>
      </w:r>
      <w:r w:rsidR="00B35B19">
        <w:rPr>
          <w:rFonts w:ascii="Times New Roman" w:hAnsi="Times New Roman"/>
          <w:color w:val="000000"/>
          <w:sz w:val="28"/>
          <w:szCs w:val="28"/>
        </w:rPr>
        <w:t>х</w:t>
      </w:r>
      <w:r w:rsidRPr="00195493">
        <w:rPr>
          <w:rFonts w:ascii="Times New Roman" w:hAnsi="Times New Roman"/>
          <w:color w:val="000000"/>
          <w:sz w:val="28"/>
          <w:szCs w:val="28"/>
        </w:rPr>
        <w:t xml:space="preserve"> в совокупности порядка 64,4% показателя.</w:t>
      </w:r>
    </w:p>
    <w:p w:rsidR="00B2670F" w:rsidRPr="00274791" w:rsidRDefault="00B2670F" w:rsidP="007D3AA7">
      <w:pPr>
        <w:spacing w:after="0" w:line="240" w:lineRule="auto"/>
        <w:ind w:firstLine="426"/>
        <w:jc w:val="both"/>
        <w:rPr>
          <w:rFonts w:ascii="Times New Roman" w:hAnsi="Times New Roman"/>
          <w:sz w:val="28"/>
          <w:szCs w:val="28"/>
        </w:rPr>
      </w:pPr>
      <w:r w:rsidRPr="00231F90">
        <w:rPr>
          <w:rFonts w:ascii="Times New Roman" w:hAnsi="Times New Roman"/>
          <w:sz w:val="28"/>
          <w:szCs w:val="28"/>
        </w:rPr>
        <w:t xml:space="preserve">Если рассматривать внутригодовую динамику </w:t>
      </w:r>
      <w:r>
        <w:rPr>
          <w:rFonts w:ascii="Times New Roman" w:hAnsi="Times New Roman"/>
          <w:sz w:val="28"/>
          <w:szCs w:val="28"/>
        </w:rPr>
        <w:t>товарного выпуска</w:t>
      </w:r>
      <w:r w:rsidRPr="00231F90">
        <w:rPr>
          <w:rFonts w:ascii="Times New Roman" w:hAnsi="Times New Roman"/>
          <w:sz w:val="28"/>
          <w:szCs w:val="28"/>
        </w:rPr>
        <w:t xml:space="preserve">, то следует отметить значительный прирост объемов производства в текущих ценах во </w:t>
      </w:r>
      <w:r w:rsidRPr="00231F90">
        <w:rPr>
          <w:rFonts w:ascii="Times New Roman" w:hAnsi="Times New Roman"/>
          <w:sz w:val="28"/>
          <w:szCs w:val="28"/>
          <w:lang w:val="en-US"/>
        </w:rPr>
        <w:t>II</w:t>
      </w:r>
      <w:r w:rsidRPr="00231F90">
        <w:rPr>
          <w:rFonts w:ascii="Times New Roman" w:hAnsi="Times New Roman"/>
          <w:sz w:val="28"/>
          <w:szCs w:val="28"/>
        </w:rPr>
        <w:t xml:space="preserve"> квартале, как относительно аналогичного периода 2017 года (+82,6%), так и I квартала 2018 года (+1,3%), до 3 326,5 млн руб., что обеспечило формирование 25,5% годового параметра. Однако уже по итогам третьего квартала отмечалось изменение внутригодового тренда, нисходящая динамика индустриального выпуска сохранилась и в четвертом квартале </w:t>
      </w:r>
      <w:r>
        <w:rPr>
          <w:rFonts w:ascii="Times New Roman" w:hAnsi="Times New Roman"/>
          <w:sz w:val="28"/>
          <w:szCs w:val="28"/>
        </w:rPr>
        <w:t xml:space="preserve">               </w:t>
      </w:r>
      <w:r w:rsidRPr="00231F90">
        <w:rPr>
          <w:rFonts w:ascii="Times New Roman" w:hAnsi="Times New Roman"/>
          <w:sz w:val="28"/>
          <w:szCs w:val="28"/>
        </w:rPr>
        <w:t>(-1,</w:t>
      </w:r>
      <w:r>
        <w:rPr>
          <w:rFonts w:ascii="Times New Roman" w:hAnsi="Times New Roman"/>
          <w:sz w:val="28"/>
          <w:szCs w:val="28"/>
        </w:rPr>
        <w:t>1</w:t>
      </w:r>
      <w:r w:rsidRPr="00B2670F">
        <w:rPr>
          <w:rFonts w:ascii="Times New Roman" w:hAnsi="Times New Roman"/>
          <w:sz w:val="28"/>
          <w:szCs w:val="28"/>
        </w:rPr>
        <w:t>% в текущих ценах относительно значения предыдущего отчетного периода) (рис. 6).</w:t>
      </w:r>
    </w:p>
    <w:p w:rsidR="00B2670F" w:rsidRDefault="00B2670F" w:rsidP="007D3AA7">
      <w:pPr>
        <w:spacing w:after="0" w:line="240" w:lineRule="auto"/>
        <w:ind w:firstLine="426"/>
        <w:jc w:val="both"/>
        <w:rPr>
          <w:rFonts w:ascii="Times New Roman" w:hAnsi="Times New Roman"/>
          <w:sz w:val="28"/>
          <w:szCs w:val="28"/>
        </w:rPr>
      </w:pPr>
      <w:r w:rsidRPr="00231F90">
        <w:rPr>
          <w:rFonts w:ascii="Times New Roman" w:hAnsi="Times New Roman"/>
          <w:sz w:val="28"/>
          <w:szCs w:val="28"/>
        </w:rPr>
        <w:t xml:space="preserve">На результативность индустриального комплекса на протяжении года оказывал влияние комплекс факторов разнонаправленного действия. Так, бизнес-климат внутри республики характеризовался уменьшением административных барьеров, снижением налоговой нагрузки в основных сегментах реального сектора, внедрением дуальной системы образования, стабильной тарифной политикой, что в совокупности оказывало положительное воздействие на деятельность отечественных товаропроизводителей. В то же время внешние факторы в целом носили ограничительный характер. Здесь можно выделить установление рядом государств заградительных пошлин на товары, являющиеся основной составляющей приднестровского экспорта, нестабильность мировых рынков, волатильность валют отдельных стран - ключевых торговых партнеров и т.д. </w:t>
      </w:r>
    </w:p>
    <w:p w:rsidR="00B35B19" w:rsidRDefault="00B35B19" w:rsidP="007D3AA7">
      <w:pPr>
        <w:spacing w:after="0" w:line="240" w:lineRule="auto"/>
        <w:ind w:firstLine="426"/>
        <w:contextualSpacing/>
        <w:jc w:val="right"/>
        <w:rPr>
          <w:rFonts w:ascii="Times New Roman" w:hAnsi="Times New Roman"/>
          <w:b/>
          <w:i/>
          <w:sz w:val="28"/>
          <w:szCs w:val="28"/>
        </w:rPr>
      </w:pPr>
    </w:p>
    <w:p w:rsidR="00AD6E11" w:rsidRDefault="00AD6E11" w:rsidP="007D3AA7">
      <w:pPr>
        <w:spacing w:after="0" w:line="240" w:lineRule="auto"/>
        <w:ind w:firstLine="426"/>
        <w:contextualSpacing/>
        <w:jc w:val="right"/>
        <w:rPr>
          <w:rFonts w:ascii="Times New Roman" w:hAnsi="Times New Roman"/>
          <w:b/>
          <w:i/>
          <w:sz w:val="28"/>
          <w:szCs w:val="28"/>
        </w:rPr>
      </w:pPr>
    </w:p>
    <w:p w:rsidR="00B35B19" w:rsidRDefault="00B35B19" w:rsidP="007D3AA7">
      <w:pPr>
        <w:spacing w:after="0" w:line="240" w:lineRule="auto"/>
        <w:ind w:firstLine="426"/>
        <w:contextualSpacing/>
        <w:jc w:val="right"/>
        <w:rPr>
          <w:rFonts w:ascii="Times New Roman" w:hAnsi="Times New Roman"/>
          <w:b/>
          <w:i/>
          <w:sz w:val="28"/>
          <w:szCs w:val="28"/>
        </w:rPr>
      </w:pPr>
    </w:p>
    <w:p w:rsidR="00B35B19" w:rsidRDefault="00B35B19" w:rsidP="007D3AA7">
      <w:pPr>
        <w:spacing w:after="0" w:line="240" w:lineRule="auto"/>
        <w:ind w:firstLine="426"/>
        <w:contextualSpacing/>
        <w:jc w:val="right"/>
        <w:rPr>
          <w:rFonts w:ascii="Times New Roman" w:hAnsi="Times New Roman"/>
          <w:b/>
          <w:i/>
          <w:sz w:val="28"/>
          <w:szCs w:val="28"/>
        </w:rPr>
      </w:pPr>
    </w:p>
    <w:p w:rsidR="00B2670F" w:rsidRPr="00FA037A" w:rsidRDefault="00B2670F" w:rsidP="007D3AA7">
      <w:pPr>
        <w:spacing w:after="0" w:line="240" w:lineRule="auto"/>
        <w:ind w:firstLine="426"/>
        <w:contextualSpacing/>
        <w:jc w:val="right"/>
        <w:rPr>
          <w:rFonts w:ascii="Times New Roman" w:hAnsi="Times New Roman"/>
          <w:b/>
          <w:i/>
          <w:sz w:val="28"/>
          <w:szCs w:val="28"/>
        </w:rPr>
      </w:pPr>
      <w:r w:rsidRPr="00FA037A">
        <w:rPr>
          <w:rFonts w:ascii="Times New Roman" w:hAnsi="Times New Roman"/>
          <w:b/>
          <w:i/>
          <w:sz w:val="28"/>
          <w:szCs w:val="28"/>
        </w:rPr>
        <w:lastRenderedPageBreak/>
        <w:t xml:space="preserve">Рисунок </w:t>
      </w:r>
      <w:r>
        <w:rPr>
          <w:rFonts w:ascii="Times New Roman" w:hAnsi="Times New Roman"/>
          <w:b/>
          <w:i/>
          <w:sz w:val="28"/>
          <w:szCs w:val="28"/>
        </w:rPr>
        <w:t>6</w:t>
      </w:r>
    </w:p>
    <w:p w:rsidR="00B2670F" w:rsidRPr="00537C47" w:rsidRDefault="00B2670F" w:rsidP="007D3AA7">
      <w:pPr>
        <w:spacing w:after="0" w:line="240" w:lineRule="auto"/>
        <w:contextualSpacing/>
        <w:jc w:val="both"/>
        <w:rPr>
          <w:rFonts w:ascii="Times New Roman" w:hAnsi="Times New Roman"/>
          <w:sz w:val="24"/>
          <w:szCs w:val="24"/>
        </w:rPr>
      </w:pPr>
      <w:r w:rsidRPr="00537C47">
        <w:rPr>
          <w:rFonts w:ascii="Times New Roman" w:hAnsi="Times New Roman"/>
          <w:noProof/>
          <w:sz w:val="24"/>
          <w:szCs w:val="24"/>
        </w:rPr>
        <w:drawing>
          <wp:inline distT="0" distB="0" distL="0" distR="0">
            <wp:extent cx="6162261" cy="2282024"/>
            <wp:effectExtent l="0" t="0" r="0" b="0"/>
            <wp:docPr id="1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670F" w:rsidRPr="00537C47" w:rsidRDefault="00B2670F" w:rsidP="007D3AA7">
      <w:pPr>
        <w:spacing w:after="0" w:line="240" w:lineRule="auto"/>
        <w:ind w:firstLine="426"/>
        <w:jc w:val="both"/>
        <w:rPr>
          <w:rFonts w:ascii="Times New Roman" w:hAnsi="Times New Roman"/>
          <w:sz w:val="16"/>
          <w:szCs w:val="16"/>
        </w:rPr>
      </w:pPr>
    </w:p>
    <w:p w:rsidR="00B2670F" w:rsidRPr="00231F90" w:rsidRDefault="00B2670F" w:rsidP="007D3AA7">
      <w:pPr>
        <w:spacing w:after="0" w:line="240" w:lineRule="auto"/>
        <w:ind w:firstLine="426"/>
        <w:contextualSpacing/>
        <w:jc w:val="both"/>
        <w:rPr>
          <w:rFonts w:ascii="Times New Roman" w:hAnsi="Times New Roman"/>
          <w:sz w:val="28"/>
          <w:szCs w:val="28"/>
        </w:rPr>
      </w:pPr>
      <w:r w:rsidRPr="00231F90">
        <w:rPr>
          <w:rFonts w:ascii="Times New Roman" w:hAnsi="Times New Roman"/>
          <w:sz w:val="28"/>
          <w:szCs w:val="28"/>
        </w:rPr>
        <w:t xml:space="preserve">Отраслевая структура промышленного производства с учётом отмечаемых тенденций по итогам 2018 года сложилась следующим образом. Фиксировалось расширение долевого участия чёрной металлургии в структуре выпуска с 29,4% до 35,5%. На этом фоне отмечалось снижение удельного веса предприятий </w:t>
      </w:r>
      <w:r w:rsidRPr="00B2670F">
        <w:rPr>
          <w:rFonts w:ascii="Times New Roman" w:hAnsi="Times New Roman"/>
          <w:sz w:val="28"/>
          <w:szCs w:val="28"/>
        </w:rPr>
        <w:t>энергетического сектора на 3,2 п.п. до 27,6%, лёгкой и пищевой промышленностей – на 1,7 п.п. до 11,9% и на 1,2 п.п. до 12,1% соответственно (рис. 7).</w:t>
      </w:r>
    </w:p>
    <w:p w:rsidR="00B2670F" w:rsidRPr="00CE6859" w:rsidRDefault="00B2670F" w:rsidP="007D3AA7">
      <w:pPr>
        <w:spacing w:after="0" w:line="240" w:lineRule="auto"/>
        <w:ind w:firstLine="426"/>
        <w:contextualSpacing/>
        <w:jc w:val="right"/>
        <w:rPr>
          <w:rFonts w:ascii="Times New Roman" w:hAnsi="Times New Roman"/>
          <w:b/>
          <w:i/>
          <w:sz w:val="28"/>
          <w:szCs w:val="28"/>
        </w:rPr>
      </w:pPr>
      <w:r w:rsidRPr="00CE6859">
        <w:rPr>
          <w:noProof/>
          <w:sz w:val="28"/>
          <w:szCs w:val="28"/>
        </w:rPr>
        <w:drawing>
          <wp:anchor distT="0" distB="37846" distL="114300" distR="116713" simplePos="0" relativeHeight="251659264" behindDoc="1" locked="0" layoutInCell="1" allowOverlap="1">
            <wp:simplePos x="0" y="0"/>
            <wp:positionH relativeFrom="column">
              <wp:posOffset>33020</wp:posOffset>
            </wp:positionH>
            <wp:positionV relativeFrom="paragraph">
              <wp:posOffset>171450</wp:posOffset>
            </wp:positionV>
            <wp:extent cx="3651250" cy="2066925"/>
            <wp:effectExtent l="19050" t="0" r="6350" b="0"/>
            <wp:wrapTight wrapText="bothSides">
              <wp:wrapPolygon edited="0">
                <wp:start x="-113" y="0"/>
                <wp:lineTo x="-113" y="21301"/>
                <wp:lineTo x="21638" y="21301"/>
                <wp:lineTo x="21638" y="0"/>
                <wp:lineTo x="-113" y="0"/>
              </wp:wrapPolygon>
            </wp:wrapTight>
            <wp:docPr id="1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CE6859">
        <w:rPr>
          <w:rFonts w:ascii="Times New Roman" w:hAnsi="Times New Roman"/>
          <w:b/>
          <w:i/>
          <w:sz w:val="28"/>
          <w:szCs w:val="28"/>
        </w:rPr>
        <w:t xml:space="preserve">Рисунок </w:t>
      </w:r>
      <w:r>
        <w:rPr>
          <w:rFonts w:ascii="Times New Roman" w:hAnsi="Times New Roman"/>
          <w:b/>
          <w:i/>
          <w:sz w:val="28"/>
          <w:szCs w:val="28"/>
        </w:rPr>
        <w:t>7</w:t>
      </w:r>
    </w:p>
    <w:p w:rsidR="00B2670F" w:rsidRPr="00A6091F" w:rsidRDefault="00B2670F" w:rsidP="007D3AA7">
      <w:pPr>
        <w:spacing w:after="0" w:line="240" w:lineRule="auto"/>
        <w:ind w:firstLine="426"/>
        <w:contextualSpacing/>
        <w:jc w:val="both"/>
        <w:rPr>
          <w:rFonts w:ascii="Times New Roman" w:hAnsi="Times New Roman"/>
          <w:sz w:val="28"/>
          <w:szCs w:val="28"/>
          <w:highlight w:val="yellow"/>
        </w:rPr>
      </w:pPr>
      <w:r w:rsidRPr="00CE6859">
        <w:rPr>
          <w:noProof/>
        </w:rPr>
        <w:drawing>
          <wp:anchor distT="0" distB="38100" distL="114300" distR="117983" simplePos="0" relativeHeight="251660288" behindDoc="1" locked="0" layoutInCell="1" allowOverlap="1">
            <wp:simplePos x="0" y="0"/>
            <wp:positionH relativeFrom="column">
              <wp:posOffset>296545</wp:posOffset>
            </wp:positionH>
            <wp:positionV relativeFrom="paragraph">
              <wp:posOffset>75565</wp:posOffset>
            </wp:positionV>
            <wp:extent cx="2541270" cy="1908175"/>
            <wp:effectExtent l="19050" t="0" r="0" b="0"/>
            <wp:wrapTight wrapText="bothSides">
              <wp:wrapPolygon edited="0">
                <wp:start x="-162" y="0"/>
                <wp:lineTo x="-162" y="21348"/>
                <wp:lineTo x="21535" y="21348"/>
                <wp:lineTo x="21535" y="0"/>
                <wp:lineTo x="-162" y="0"/>
              </wp:wrapPolygon>
            </wp:wrapTight>
            <wp:docPr id="2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CE6859">
        <w:rPr>
          <w:rFonts w:ascii="Times New Roman" w:hAnsi="Times New Roman"/>
          <w:sz w:val="28"/>
          <w:szCs w:val="28"/>
        </w:rPr>
        <w:t xml:space="preserve">В целом за </w:t>
      </w:r>
      <w:r w:rsidRPr="00CE6859">
        <w:rPr>
          <w:rFonts w:ascii="Times New Roman" w:hAnsi="Times New Roman"/>
          <w:color w:val="000000"/>
          <w:sz w:val="28"/>
          <w:szCs w:val="28"/>
        </w:rPr>
        <w:t xml:space="preserve">рассматриваемый период </w:t>
      </w:r>
      <w:r w:rsidRPr="00CE6859">
        <w:rPr>
          <w:rFonts w:ascii="Times New Roman" w:hAnsi="Times New Roman"/>
          <w:sz w:val="28"/>
          <w:szCs w:val="28"/>
        </w:rPr>
        <w:t>увеличили выпуск промышленной продукции 43</w:t>
      </w:r>
      <w:r w:rsidRPr="00CE6859">
        <w:rPr>
          <w:rFonts w:ascii="Times New Roman" w:hAnsi="Times New Roman"/>
          <w:color w:val="0000FF"/>
          <w:sz w:val="28"/>
          <w:szCs w:val="28"/>
        </w:rPr>
        <w:t xml:space="preserve"> </w:t>
      </w:r>
      <w:r w:rsidRPr="005836D7">
        <w:rPr>
          <w:rFonts w:ascii="Times New Roman" w:hAnsi="Times New Roman"/>
          <w:sz w:val="28"/>
          <w:szCs w:val="28"/>
        </w:rPr>
        <w:t xml:space="preserve">предприятия, или 57,3% от их общего числа (в </w:t>
      </w:r>
      <w:r w:rsidRPr="005836D7">
        <w:rPr>
          <w:rFonts w:ascii="Times New Roman" w:hAnsi="Times New Roman"/>
          <w:color w:val="000000"/>
          <w:sz w:val="28"/>
          <w:szCs w:val="28"/>
        </w:rPr>
        <w:t xml:space="preserve">2017 году </w:t>
      </w:r>
      <w:r w:rsidRPr="005836D7">
        <w:rPr>
          <w:rFonts w:ascii="Times New Roman" w:hAnsi="Times New Roman"/>
          <w:sz w:val="28"/>
          <w:szCs w:val="28"/>
        </w:rPr>
        <w:t xml:space="preserve">- 50 предприятий), </w:t>
      </w:r>
      <w:r w:rsidRPr="00CE6859">
        <w:rPr>
          <w:rFonts w:ascii="Times New Roman" w:hAnsi="Times New Roman"/>
          <w:sz w:val="28"/>
          <w:szCs w:val="28"/>
        </w:rPr>
        <w:t xml:space="preserve">спад </w:t>
      </w:r>
      <w:r w:rsidRPr="005836D7">
        <w:rPr>
          <w:rFonts w:ascii="Times New Roman" w:hAnsi="Times New Roman"/>
          <w:sz w:val="28"/>
          <w:szCs w:val="28"/>
        </w:rPr>
        <w:t xml:space="preserve">допущен на 30 предприятиях, что составляет 40,0% соответственно (в </w:t>
      </w:r>
      <w:r w:rsidRPr="005836D7">
        <w:rPr>
          <w:rFonts w:ascii="Times New Roman" w:hAnsi="Times New Roman"/>
          <w:color w:val="000000"/>
          <w:sz w:val="28"/>
          <w:szCs w:val="28"/>
        </w:rPr>
        <w:t xml:space="preserve">2017 году </w:t>
      </w:r>
      <w:r w:rsidRPr="005836D7">
        <w:rPr>
          <w:rFonts w:ascii="Times New Roman" w:hAnsi="Times New Roman"/>
          <w:sz w:val="28"/>
          <w:szCs w:val="28"/>
        </w:rPr>
        <w:t>– 28 предприятий).</w:t>
      </w:r>
    </w:p>
    <w:p w:rsidR="00B2670F" w:rsidRPr="007C065B" w:rsidRDefault="00B2670F" w:rsidP="007D3AA7">
      <w:pPr>
        <w:spacing w:after="0" w:line="240" w:lineRule="auto"/>
        <w:ind w:firstLine="426"/>
        <w:jc w:val="both"/>
        <w:rPr>
          <w:rFonts w:ascii="Times New Roman" w:hAnsi="Times New Roman"/>
          <w:sz w:val="28"/>
          <w:szCs w:val="28"/>
        </w:rPr>
      </w:pPr>
      <w:r w:rsidRPr="007C065B">
        <w:rPr>
          <w:rFonts w:ascii="Times New Roman" w:hAnsi="Times New Roman"/>
          <w:sz w:val="28"/>
          <w:szCs w:val="28"/>
        </w:rPr>
        <w:t xml:space="preserve">К выпуску промышленной продукции с начала </w:t>
      </w:r>
      <w:r w:rsidRPr="00AD6E11">
        <w:rPr>
          <w:rFonts w:ascii="Times New Roman" w:hAnsi="Times New Roman"/>
          <w:sz w:val="28"/>
          <w:szCs w:val="28"/>
        </w:rPr>
        <w:t>года не приступил</w:t>
      </w:r>
      <w:r w:rsidR="002D76FB" w:rsidRPr="00AD6E11">
        <w:rPr>
          <w:rFonts w:ascii="Times New Roman" w:hAnsi="Times New Roman"/>
          <w:sz w:val="28"/>
          <w:szCs w:val="28"/>
        </w:rPr>
        <w:t>и</w:t>
      </w:r>
      <w:r w:rsidRPr="00AD6E11">
        <w:rPr>
          <w:rFonts w:ascii="Times New Roman" w:hAnsi="Times New Roman"/>
          <w:sz w:val="28"/>
          <w:szCs w:val="28"/>
        </w:rPr>
        <w:t xml:space="preserve">                                   </w:t>
      </w:r>
      <w:r w:rsidR="002D76FB" w:rsidRPr="00AD6E11">
        <w:rPr>
          <w:rFonts w:ascii="Times New Roman" w:hAnsi="Times New Roman"/>
          <w:sz w:val="28"/>
          <w:szCs w:val="28"/>
        </w:rPr>
        <w:t>следующие предприятия</w:t>
      </w:r>
      <w:r w:rsidRPr="00AD6E11">
        <w:rPr>
          <w:rFonts w:ascii="Times New Roman" w:hAnsi="Times New Roman"/>
          <w:sz w:val="28"/>
          <w:szCs w:val="28"/>
        </w:rPr>
        <w:t>:</w:t>
      </w:r>
    </w:p>
    <w:p w:rsidR="00B2670F" w:rsidRPr="007C065B" w:rsidRDefault="00B2670F" w:rsidP="007D3AA7">
      <w:pPr>
        <w:tabs>
          <w:tab w:val="left" w:pos="1080"/>
        </w:tabs>
        <w:spacing w:after="0" w:line="240" w:lineRule="auto"/>
        <w:ind w:firstLine="426"/>
        <w:jc w:val="both"/>
        <w:rPr>
          <w:rFonts w:ascii="Times New Roman" w:hAnsi="Times New Roman"/>
          <w:sz w:val="28"/>
          <w:szCs w:val="28"/>
        </w:rPr>
      </w:pPr>
      <w:r w:rsidRPr="007C065B">
        <w:rPr>
          <w:rFonts w:ascii="Times New Roman" w:hAnsi="Times New Roman"/>
          <w:sz w:val="28"/>
          <w:szCs w:val="28"/>
        </w:rPr>
        <w:t>–</w:t>
      </w:r>
      <w:r w:rsidRPr="007C065B">
        <w:rPr>
          <w:rFonts w:ascii="Times New Roman" w:hAnsi="Times New Roman"/>
          <w:sz w:val="28"/>
          <w:szCs w:val="28"/>
        </w:rPr>
        <w:tab/>
        <w:t>МУП «Автосервис и торговля» г.Дубоссары, МУП «Ветбиофарм» - находятся в процессе ликвидации;</w:t>
      </w:r>
    </w:p>
    <w:p w:rsidR="00B2670F" w:rsidRPr="00AB5554" w:rsidRDefault="00B2670F" w:rsidP="007D3AA7">
      <w:pPr>
        <w:tabs>
          <w:tab w:val="left" w:pos="1080"/>
        </w:tabs>
        <w:spacing w:after="0" w:line="240" w:lineRule="auto"/>
        <w:ind w:firstLine="426"/>
        <w:jc w:val="both"/>
        <w:rPr>
          <w:rFonts w:ascii="Times New Roman" w:hAnsi="Times New Roman"/>
          <w:sz w:val="28"/>
          <w:szCs w:val="28"/>
        </w:rPr>
      </w:pPr>
      <w:r w:rsidRPr="00AB5554">
        <w:rPr>
          <w:rFonts w:ascii="Times New Roman" w:hAnsi="Times New Roman"/>
          <w:sz w:val="28"/>
          <w:szCs w:val="28"/>
        </w:rPr>
        <w:t>-</w:t>
      </w:r>
      <w:r w:rsidRPr="00AB5554">
        <w:rPr>
          <w:rFonts w:ascii="Times New Roman" w:hAnsi="Times New Roman"/>
          <w:sz w:val="28"/>
          <w:szCs w:val="28"/>
        </w:rPr>
        <w:tab/>
        <w:t>ООО «С/х фирма Рустас» - перешл</w:t>
      </w:r>
      <w:r w:rsidR="00B35B19">
        <w:rPr>
          <w:rFonts w:ascii="Times New Roman" w:hAnsi="Times New Roman"/>
          <w:sz w:val="28"/>
          <w:szCs w:val="28"/>
        </w:rPr>
        <w:t>о</w:t>
      </w:r>
      <w:r w:rsidRPr="00AB5554">
        <w:rPr>
          <w:rFonts w:ascii="Times New Roman" w:hAnsi="Times New Roman"/>
          <w:sz w:val="28"/>
          <w:szCs w:val="28"/>
        </w:rPr>
        <w:t xml:space="preserve"> полностью на производство сельскохозяйственной продукции;</w:t>
      </w:r>
    </w:p>
    <w:p w:rsidR="00B2670F" w:rsidRPr="00AB5554" w:rsidRDefault="00B2670F" w:rsidP="007D3AA7">
      <w:pPr>
        <w:tabs>
          <w:tab w:val="left" w:pos="1080"/>
        </w:tabs>
        <w:spacing w:after="0" w:line="240" w:lineRule="auto"/>
        <w:ind w:firstLine="426"/>
        <w:jc w:val="both"/>
        <w:rPr>
          <w:rFonts w:ascii="Times New Roman" w:hAnsi="Times New Roman"/>
          <w:sz w:val="28"/>
          <w:szCs w:val="28"/>
        </w:rPr>
      </w:pPr>
      <w:r w:rsidRPr="00AB5554">
        <w:rPr>
          <w:rFonts w:ascii="Times New Roman" w:hAnsi="Times New Roman"/>
          <w:sz w:val="28"/>
          <w:szCs w:val="28"/>
        </w:rPr>
        <w:t>-</w:t>
      </w:r>
      <w:r w:rsidRPr="00AB5554">
        <w:rPr>
          <w:rFonts w:ascii="Times New Roman" w:hAnsi="Times New Roman"/>
          <w:sz w:val="28"/>
          <w:szCs w:val="28"/>
        </w:rPr>
        <w:tab/>
        <w:t xml:space="preserve">ЗАО «Тираспольский мясокомбинат» - </w:t>
      </w:r>
      <w:r>
        <w:rPr>
          <w:rFonts w:ascii="Times New Roman" w:hAnsi="Times New Roman"/>
          <w:sz w:val="28"/>
          <w:szCs w:val="28"/>
        </w:rPr>
        <w:t>учитывая сложившуюся</w:t>
      </w:r>
      <w:r w:rsidR="00B35B19">
        <w:rPr>
          <w:rFonts w:ascii="Times New Roman" w:hAnsi="Times New Roman"/>
          <w:sz w:val="28"/>
          <w:szCs w:val="28"/>
        </w:rPr>
        <w:t xml:space="preserve"> на рынке конкуренцию, а также негативное</w:t>
      </w:r>
      <w:r>
        <w:rPr>
          <w:rFonts w:ascii="Times New Roman" w:hAnsi="Times New Roman"/>
          <w:sz w:val="28"/>
          <w:szCs w:val="28"/>
        </w:rPr>
        <w:t xml:space="preserve"> </w:t>
      </w:r>
      <w:r w:rsidRPr="00AB5554">
        <w:rPr>
          <w:rFonts w:ascii="Times New Roman" w:hAnsi="Times New Roman"/>
          <w:sz w:val="28"/>
          <w:szCs w:val="28"/>
        </w:rPr>
        <w:t>финансово</w:t>
      </w:r>
      <w:r>
        <w:rPr>
          <w:rFonts w:ascii="Times New Roman" w:hAnsi="Times New Roman"/>
          <w:sz w:val="28"/>
          <w:szCs w:val="28"/>
        </w:rPr>
        <w:t>е</w:t>
      </w:r>
      <w:r w:rsidRPr="00AB5554">
        <w:rPr>
          <w:rFonts w:ascii="Times New Roman" w:hAnsi="Times New Roman"/>
          <w:sz w:val="28"/>
          <w:szCs w:val="28"/>
        </w:rPr>
        <w:t xml:space="preserve"> положени</w:t>
      </w:r>
      <w:r>
        <w:rPr>
          <w:rFonts w:ascii="Times New Roman" w:hAnsi="Times New Roman"/>
          <w:sz w:val="28"/>
          <w:szCs w:val="28"/>
        </w:rPr>
        <w:t>е,</w:t>
      </w:r>
      <w:r w:rsidRPr="00AB5554">
        <w:rPr>
          <w:rFonts w:ascii="Times New Roman" w:hAnsi="Times New Roman"/>
          <w:sz w:val="28"/>
          <w:szCs w:val="28"/>
        </w:rPr>
        <w:t xml:space="preserve"> выпуск товарной номенклатуры не производился.</w:t>
      </w:r>
    </w:p>
    <w:p w:rsidR="00B2670F" w:rsidRPr="00A6091F"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t>В разрезе подотраслей ситуация в индустриальном комплексе складывалась следующим образом.</w:t>
      </w:r>
    </w:p>
    <w:p w:rsidR="00B2670F" w:rsidRPr="00A6091F"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lastRenderedPageBreak/>
        <w:t xml:space="preserve">В </w:t>
      </w:r>
      <w:r w:rsidRPr="00A6091F">
        <w:rPr>
          <w:rFonts w:ascii="Times New Roman" w:hAnsi="Times New Roman"/>
          <w:b/>
          <w:sz w:val="28"/>
          <w:szCs w:val="28"/>
        </w:rPr>
        <w:t>электроэнергетическом комплексе</w:t>
      </w:r>
      <w:r w:rsidRPr="00A6091F">
        <w:rPr>
          <w:rFonts w:ascii="Times New Roman" w:hAnsi="Times New Roman"/>
          <w:sz w:val="28"/>
          <w:szCs w:val="28"/>
        </w:rPr>
        <w:t xml:space="preserve"> республики на фоне бесперебойных поставок электроэнергии в Республику Молдова по итогам года, а также увеличения контрактной цены поставляемой электроэнергии, фиксировался рост отраслевого выпуска в стоимостном выражении на 35,3% до 3 60</w:t>
      </w:r>
      <w:r>
        <w:rPr>
          <w:rFonts w:ascii="Times New Roman" w:hAnsi="Times New Roman"/>
          <w:sz w:val="28"/>
          <w:szCs w:val="28"/>
        </w:rPr>
        <w:t>3</w:t>
      </w:r>
      <w:r w:rsidRPr="00A6091F">
        <w:rPr>
          <w:rFonts w:ascii="Times New Roman" w:hAnsi="Times New Roman"/>
          <w:sz w:val="28"/>
          <w:szCs w:val="28"/>
        </w:rPr>
        <w:t>,8 млн руб., в реальном выражении на 8,7% к уровню 2017 года. При этом в натуральном выражении выработка электроэнергии возросла на 9,</w:t>
      </w:r>
      <w:r>
        <w:rPr>
          <w:rFonts w:ascii="Times New Roman" w:hAnsi="Times New Roman"/>
          <w:sz w:val="28"/>
          <w:szCs w:val="28"/>
        </w:rPr>
        <w:t>1</w:t>
      </w:r>
      <w:r w:rsidRPr="00A6091F">
        <w:rPr>
          <w:rFonts w:ascii="Times New Roman" w:hAnsi="Times New Roman"/>
          <w:sz w:val="28"/>
          <w:szCs w:val="28"/>
        </w:rPr>
        <w:t>%, или на 3</w:t>
      </w:r>
      <w:r>
        <w:rPr>
          <w:rFonts w:ascii="Times New Roman" w:hAnsi="Times New Roman"/>
          <w:sz w:val="28"/>
          <w:szCs w:val="28"/>
        </w:rPr>
        <w:t>67801</w:t>
      </w:r>
      <w:r w:rsidRPr="00A6091F">
        <w:rPr>
          <w:rFonts w:ascii="Times New Roman" w:hAnsi="Times New Roman"/>
          <w:sz w:val="28"/>
          <w:szCs w:val="28"/>
        </w:rPr>
        <w:t xml:space="preserve"> тыс. кВт/ч., теплоэнергии </w:t>
      </w:r>
      <w:r w:rsidR="00B35B19">
        <w:rPr>
          <w:rFonts w:ascii="Times New Roman" w:hAnsi="Times New Roman"/>
          <w:sz w:val="28"/>
          <w:szCs w:val="28"/>
        </w:rPr>
        <w:t>–</w:t>
      </w:r>
      <w:r w:rsidRPr="00A6091F">
        <w:rPr>
          <w:rFonts w:ascii="Times New Roman" w:hAnsi="Times New Roman"/>
          <w:sz w:val="28"/>
          <w:szCs w:val="28"/>
        </w:rPr>
        <w:t xml:space="preserve"> на </w:t>
      </w:r>
      <w:r>
        <w:rPr>
          <w:rFonts w:ascii="Times New Roman" w:hAnsi="Times New Roman"/>
          <w:sz w:val="28"/>
          <w:szCs w:val="28"/>
        </w:rPr>
        <w:t>1,2</w:t>
      </w:r>
      <w:r w:rsidRPr="00A6091F">
        <w:rPr>
          <w:rFonts w:ascii="Times New Roman" w:hAnsi="Times New Roman"/>
          <w:sz w:val="28"/>
          <w:szCs w:val="28"/>
        </w:rPr>
        <w:t>%.</w:t>
      </w:r>
    </w:p>
    <w:p w:rsidR="00B2670F" w:rsidRPr="00A6091F"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t xml:space="preserve">В </w:t>
      </w:r>
      <w:r w:rsidRPr="00A6091F">
        <w:rPr>
          <w:rFonts w:ascii="Times New Roman" w:hAnsi="Times New Roman"/>
          <w:b/>
          <w:sz w:val="28"/>
          <w:szCs w:val="28"/>
        </w:rPr>
        <w:t xml:space="preserve">чёрной металлургии </w:t>
      </w:r>
      <w:r w:rsidRPr="00A6091F">
        <w:rPr>
          <w:rFonts w:ascii="Times New Roman" w:hAnsi="Times New Roman"/>
          <w:sz w:val="28"/>
          <w:szCs w:val="28"/>
        </w:rPr>
        <w:t>после значительного наращивания производственных показателей в первом полугодии 2018 года, второе полугодие характеризовалось более сдержанной динамикой, что обусловило в четвертом квартале в условиях неблагоприятной внешнеэкономической конъюнктуры снижение параметров выпуска относительно аналогичного периода 2017 года на 27,5% в сопоставимых и на 14,7% в текущих ценах. При этом следует отметить, что снижение показателей в четвертом квартале в значительной степени связано с действием квот на поставку продукции в Европейский Союз, которые были использованы отечественным товаропроизводителем до наступления декабря, что как следствие обеспечило объем производства по итогам декабря 2018 года на минимальном за 2018 год уровне (224,2 млн руб.). В целом по итогам 2018 года выпуск проката черных металлов в натуральном выражении возрос на 10,3% до 497,9 тыс. тонн, что сопровождалось увеличением объёма промышленного производства в стоимостном выражении в текущих ценах на 58,3% до 4 632,3 млн руб., в реальном выражении – на 10,0%.</w:t>
      </w:r>
    </w:p>
    <w:p w:rsidR="00B2670F" w:rsidRPr="00A6091F"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t>В</w:t>
      </w:r>
      <w:r w:rsidRPr="00A6091F">
        <w:rPr>
          <w:rFonts w:ascii="Times New Roman" w:hAnsi="Times New Roman"/>
          <w:b/>
          <w:sz w:val="28"/>
          <w:szCs w:val="28"/>
        </w:rPr>
        <w:t xml:space="preserve"> химической промышленности </w:t>
      </w:r>
      <w:r w:rsidRPr="00A6091F">
        <w:rPr>
          <w:rFonts w:ascii="Times New Roman" w:hAnsi="Times New Roman"/>
          <w:sz w:val="28"/>
          <w:szCs w:val="28"/>
        </w:rPr>
        <w:t>по итогам 2018 года объем отраслевого выпуска достиг 285,</w:t>
      </w:r>
      <w:r>
        <w:rPr>
          <w:rFonts w:ascii="Times New Roman" w:hAnsi="Times New Roman"/>
          <w:sz w:val="28"/>
          <w:szCs w:val="28"/>
        </w:rPr>
        <w:t>1</w:t>
      </w:r>
      <w:r w:rsidRPr="00A6091F">
        <w:rPr>
          <w:rFonts w:ascii="Times New Roman" w:hAnsi="Times New Roman"/>
          <w:sz w:val="28"/>
          <w:szCs w:val="28"/>
        </w:rPr>
        <w:t xml:space="preserve"> млн руб., превысив прошлогодний показатель на 49,0% в текущих и на 41,4% в сопоставимых ценах. В натуральном выражении по отрасли зафиксирован прирост по выпуску пленки полимерной (+</w:t>
      </w:r>
      <w:r>
        <w:rPr>
          <w:rFonts w:ascii="Times New Roman" w:hAnsi="Times New Roman"/>
          <w:sz w:val="28"/>
          <w:szCs w:val="28"/>
        </w:rPr>
        <w:t>56,3</w:t>
      </w:r>
      <w:r w:rsidRPr="00A6091F">
        <w:rPr>
          <w:rFonts w:ascii="Times New Roman" w:hAnsi="Times New Roman"/>
          <w:sz w:val="28"/>
          <w:szCs w:val="28"/>
        </w:rPr>
        <w:t>%), труб и деталей трубопроводов (+</w:t>
      </w:r>
      <w:r>
        <w:rPr>
          <w:rFonts w:ascii="Times New Roman" w:hAnsi="Times New Roman"/>
          <w:sz w:val="28"/>
          <w:szCs w:val="28"/>
        </w:rPr>
        <w:t>3,4</w:t>
      </w:r>
      <w:r w:rsidRPr="00A6091F">
        <w:rPr>
          <w:rFonts w:ascii="Times New Roman" w:hAnsi="Times New Roman"/>
          <w:sz w:val="28"/>
          <w:szCs w:val="28"/>
        </w:rPr>
        <w:t>%), стеклопластика и изделий них (+16,8%). При этом следует отметить, что восстановительный тренд второго полугодия обеспечил прирост индустриального выпуска в четвертом квартале относительно уровня третьего квартала на 39,9% в текущих ценах и на 53,2% в сопоставимых ценах.</w:t>
      </w:r>
    </w:p>
    <w:p w:rsidR="00B2670F" w:rsidRPr="00A6091F"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t xml:space="preserve">На предприятиях </w:t>
      </w:r>
      <w:r w:rsidRPr="00A6091F">
        <w:rPr>
          <w:rFonts w:ascii="Times New Roman" w:hAnsi="Times New Roman"/>
          <w:b/>
          <w:sz w:val="28"/>
          <w:szCs w:val="28"/>
        </w:rPr>
        <w:t>машиностроения и металлообработки,</w:t>
      </w:r>
      <w:r w:rsidRPr="00A6091F">
        <w:rPr>
          <w:rFonts w:ascii="Times New Roman" w:hAnsi="Times New Roman"/>
          <w:sz w:val="28"/>
          <w:szCs w:val="28"/>
        </w:rPr>
        <w:t xml:space="preserve"> деятельность которых в основном ориентирована на российский рынок, принимая во внимание снижение выпуска в сопоставимых ценах в первые месяцы 2018 года, товарный выпуск отрасли увеличился в реальном выражении на 7,1%, при этом в текущих ценах на фоне положительных ценовых тенденций зафиксирован прирост на 27,5% до 375,1 млн руб.</w:t>
      </w:r>
    </w:p>
    <w:p w:rsidR="00B2670F" w:rsidRPr="00A6091F"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t>В</w:t>
      </w:r>
      <w:r w:rsidRPr="00A6091F">
        <w:rPr>
          <w:rFonts w:ascii="Times New Roman" w:hAnsi="Times New Roman"/>
          <w:b/>
          <w:sz w:val="28"/>
          <w:szCs w:val="28"/>
        </w:rPr>
        <w:t xml:space="preserve"> электротехнической промышленности</w:t>
      </w:r>
      <w:r w:rsidRPr="00A6091F">
        <w:rPr>
          <w:rFonts w:ascii="Times New Roman" w:hAnsi="Times New Roman"/>
          <w:sz w:val="28"/>
          <w:szCs w:val="28"/>
        </w:rPr>
        <w:t xml:space="preserve"> объем выработки по итогам 2018 года достиг 239,</w:t>
      </w:r>
      <w:r>
        <w:rPr>
          <w:rFonts w:ascii="Times New Roman" w:hAnsi="Times New Roman"/>
          <w:sz w:val="28"/>
          <w:szCs w:val="28"/>
        </w:rPr>
        <w:t>5</w:t>
      </w:r>
      <w:r w:rsidRPr="00A6091F">
        <w:rPr>
          <w:rFonts w:ascii="Times New Roman" w:hAnsi="Times New Roman"/>
          <w:sz w:val="28"/>
          <w:szCs w:val="28"/>
        </w:rPr>
        <w:t xml:space="preserve"> млн руб., превысив значение предыдущего года в текущих ценах на 30,</w:t>
      </w:r>
      <w:r>
        <w:rPr>
          <w:rFonts w:ascii="Times New Roman" w:hAnsi="Times New Roman"/>
          <w:sz w:val="28"/>
          <w:szCs w:val="28"/>
        </w:rPr>
        <w:t>5</w:t>
      </w:r>
      <w:r w:rsidRPr="00A6091F">
        <w:rPr>
          <w:rFonts w:ascii="Times New Roman" w:hAnsi="Times New Roman"/>
          <w:sz w:val="28"/>
          <w:szCs w:val="28"/>
        </w:rPr>
        <w:t xml:space="preserve">%, в сопоставимых – на </w:t>
      </w:r>
      <w:r>
        <w:rPr>
          <w:rFonts w:ascii="Times New Roman" w:hAnsi="Times New Roman"/>
          <w:sz w:val="28"/>
          <w:szCs w:val="28"/>
        </w:rPr>
        <w:t>8,9</w:t>
      </w:r>
      <w:r w:rsidRPr="00A6091F">
        <w:rPr>
          <w:rFonts w:ascii="Times New Roman" w:hAnsi="Times New Roman"/>
          <w:sz w:val="28"/>
          <w:szCs w:val="28"/>
        </w:rPr>
        <w:t xml:space="preserve">%. В разрезе товарной номенклатуры зафиксирован рост по всем основным видам выпускаемой продукции в натуральном выражении, в том числе выросло производство электромашин крупных – на 75,6%, кабелей силовых с алюминиевой жилкой – на 65,5%, проводов установочных – на 46,2%, электродвигателей взрывобезопасных– на 23,1% и др. Следует отметить, что положительная динамика показателей отрасли, несмотря на волатильность валют основных </w:t>
      </w:r>
      <w:r w:rsidRPr="00A6091F">
        <w:rPr>
          <w:rFonts w:ascii="Times New Roman" w:hAnsi="Times New Roman"/>
          <w:sz w:val="28"/>
          <w:szCs w:val="28"/>
        </w:rPr>
        <w:lastRenderedPageBreak/>
        <w:t>стран партнеров, в значительной степени обусловлена максимальными за последние 10 лет результатами деятельности НП ЗАО «Электромаш», благодаря грамотному менеджменту которого, вся номенклатура электродвигателей асинхронных взрывозащищённых ВАО7, как высоковольтных, так и низковольтных - внесена в «Реестр основных видов продукции, закупаемой ПАО «Транснефть» (Реестр ОВП).</w:t>
      </w:r>
    </w:p>
    <w:p w:rsidR="00B2670F" w:rsidRPr="00A6091F"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t xml:space="preserve">В </w:t>
      </w:r>
      <w:r w:rsidRPr="00A6091F">
        <w:rPr>
          <w:rFonts w:ascii="Times New Roman" w:hAnsi="Times New Roman"/>
          <w:b/>
          <w:sz w:val="28"/>
          <w:szCs w:val="28"/>
        </w:rPr>
        <w:t xml:space="preserve">промышленности строительных материалов </w:t>
      </w:r>
      <w:r w:rsidRPr="00A6091F">
        <w:rPr>
          <w:rFonts w:ascii="Times New Roman" w:hAnsi="Times New Roman"/>
          <w:sz w:val="28"/>
          <w:szCs w:val="28"/>
        </w:rPr>
        <w:t>товарный выпуск по итогам 2018 года расширился в сопоставимых ценах на 12,</w:t>
      </w:r>
      <w:r>
        <w:rPr>
          <w:rFonts w:ascii="Times New Roman" w:hAnsi="Times New Roman"/>
          <w:sz w:val="28"/>
          <w:szCs w:val="28"/>
        </w:rPr>
        <w:t>6</w:t>
      </w:r>
      <w:r w:rsidRPr="00A6091F">
        <w:rPr>
          <w:rFonts w:ascii="Times New Roman" w:hAnsi="Times New Roman"/>
          <w:sz w:val="28"/>
          <w:szCs w:val="28"/>
        </w:rPr>
        <w:t>%, в текущих – на 28,</w:t>
      </w:r>
      <w:r>
        <w:rPr>
          <w:rFonts w:ascii="Times New Roman" w:hAnsi="Times New Roman"/>
          <w:sz w:val="28"/>
          <w:szCs w:val="28"/>
        </w:rPr>
        <w:t>7</w:t>
      </w:r>
      <w:r w:rsidRPr="00A6091F">
        <w:rPr>
          <w:rFonts w:ascii="Times New Roman" w:hAnsi="Times New Roman"/>
          <w:sz w:val="28"/>
          <w:szCs w:val="28"/>
        </w:rPr>
        <w:t>%, достигнув трехлетнего максимума</w:t>
      </w:r>
      <w:r w:rsidR="00B35B19">
        <w:rPr>
          <w:rFonts w:ascii="Times New Roman" w:hAnsi="Times New Roman"/>
          <w:sz w:val="28"/>
          <w:szCs w:val="28"/>
        </w:rPr>
        <w:t xml:space="preserve"> –</w:t>
      </w:r>
      <w:r w:rsidRPr="00A6091F">
        <w:rPr>
          <w:rFonts w:ascii="Times New Roman" w:hAnsi="Times New Roman"/>
          <w:sz w:val="28"/>
          <w:szCs w:val="28"/>
        </w:rPr>
        <w:t xml:space="preserve"> 60</w:t>
      </w:r>
      <w:r>
        <w:rPr>
          <w:rFonts w:ascii="Times New Roman" w:hAnsi="Times New Roman"/>
          <w:sz w:val="28"/>
          <w:szCs w:val="28"/>
        </w:rPr>
        <w:t>9</w:t>
      </w:r>
      <w:r w:rsidRPr="00A6091F">
        <w:rPr>
          <w:rFonts w:ascii="Times New Roman" w:hAnsi="Times New Roman"/>
          <w:sz w:val="28"/>
          <w:szCs w:val="28"/>
        </w:rPr>
        <w:t>,</w:t>
      </w:r>
      <w:r>
        <w:rPr>
          <w:rFonts w:ascii="Times New Roman" w:hAnsi="Times New Roman"/>
          <w:sz w:val="28"/>
          <w:szCs w:val="28"/>
        </w:rPr>
        <w:t xml:space="preserve">5 </w:t>
      </w:r>
      <w:r w:rsidRPr="00A6091F">
        <w:rPr>
          <w:rFonts w:ascii="Times New Roman" w:hAnsi="Times New Roman"/>
          <w:sz w:val="28"/>
          <w:szCs w:val="28"/>
        </w:rPr>
        <w:t>млн руб. Данная динамика обусловлена наращиваем производственных показателей на крупнейшем предприятии отрасли ЗАО «Рыбницкий цементный комбинат» на фоне более емкой и качественной работы на имеющихся рынках и освоения новых рынков сбыта. Данное обстоятельство способствовало увеличени</w:t>
      </w:r>
      <w:r w:rsidR="00B35B19">
        <w:rPr>
          <w:rFonts w:ascii="Times New Roman" w:hAnsi="Times New Roman"/>
          <w:sz w:val="28"/>
          <w:szCs w:val="28"/>
        </w:rPr>
        <w:t>ю</w:t>
      </w:r>
      <w:r w:rsidRPr="00A6091F">
        <w:rPr>
          <w:rFonts w:ascii="Times New Roman" w:hAnsi="Times New Roman"/>
          <w:sz w:val="28"/>
          <w:szCs w:val="28"/>
        </w:rPr>
        <w:t xml:space="preserve"> производства цемента на 15,5%, клинкера – на 39,8%, извести – на 11,1%. При этом, учитывая сезонность производимой продукции, основной объем товарного выпуска при</w:t>
      </w:r>
      <w:r w:rsidR="00B35B19">
        <w:rPr>
          <w:rFonts w:ascii="Times New Roman" w:hAnsi="Times New Roman"/>
          <w:sz w:val="28"/>
          <w:szCs w:val="28"/>
        </w:rPr>
        <w:t>шёл</w:t>
      </w:r>
      <w:r w:rsidRPr="00A6091F">
        <w:rPr>
          <w:rFonts w:ascii="Times New Roman" w:hAnsi="Times New Roman"/>
          <w:sz w:val="28"/>
          <w:szCs w:val="28"/>
        </w:rPr>
        <w:t>ся на второй и третий квартал года, обеспечивши</w:t>
      </w:r>
      <w:r w:rsidR="00B35B19">
        <w:rPr>
          <w:rFonts w:ascii="Times New Roman" w:hAnsi="Times New Roman"/>
          <w:sz w:val="28"/>
          <w:szCs w:val="28"/>
        </w:rPr>
        <w:t>х</w:t>
      </w:r>
      <w:r w:rsidRPr="00A6091F">
        <w:rPr>
          <w:rFonts w:ascii="Times New Roman" w:hAnsi="Times New Roman"/>
          <w:sz w:val="28"/>
          <w:szCs w:val="28"/>
        </w:rPr>
        <w:t xml:space="preserve"> 72,</w:t>
      </w:r>
      <w:r>
        <w:rPr>
          <w:rFonts w:ascii="Times New Roman" w:hAnsi="Times New Roman"/>
          <w:sz w:val="28"/>
          <w:szCs w:val="28"/>
        </w:rPr>
        <w:t>1</w:t>
      </w:r>
      <w:r w:rsidRPr="00A6091F">
        <w:rPr>
          <w:rFonts w:ascii="Times New Roman" w:hAnsi="Times New Roman"/>
          <w:sz w:val="28"/>
          <w:szCs w:val="28"/>
        </w:rPr>
        <w:t>% совокупного отраслевого выпуска.</w:t>
      </w:r>
    </w:p>
    <w:p w:rsidR="00B2670F" w:rsidRPr="00A6091F"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t xml:space="preserve">На предприятиях </w:t>
      </w:r>
      <w:r w:rsidRPr="00A6091F">
        <w:rPr>
          <w:rFonts w:ascii="Times New Roman" w:hAnsi="Times New Roman"/>
          <w:b/>
          <w:sz w:val="28"/>
          <w:szCs w:val="28"/>
        </w:rPr>
        <w:t>лёгкой промышленности</w:t>
      </w:r>
      <w:r w:rsidRPr="00A6091F">
        <w:rPr>
          <w:rFonts w:ascii="Times New Roman" w:hAnsi="Times New Roman"/>
          <w:sz w:val="28"/>
          <w:szCs w:val="28"/>
        </w:rPr>
        <w:t xml:space="preserve"> на фоне роста выпуска брюк на 98,7%, пиджаков – на 77,2%, курток – на 9,6%, одеял – на 3,3%, комплектов постельного белья – на 2,1%, отмечено превышение базовых параметров в текущих ценах на 14,3% до 1 549,8 млн руб., в сопоставимых ценах зафиксировано снижение на 0,4%. При этом, учитывая рост цен на хлопок к концу 2018 года, ситуацию на европейском валютном рынке, а также конкуренцию на товарно-сырьевых рынках, сформировавшиеся по итогам IV квартала 2018 года производственные показатели в текущих ценах снизились по сравнению с уровнем III квартала на 10,9%, II квартала – на 4,0%.</w:t>
      </w:r>
    </w:p>
    <w:p w:rsidR="00B2670F" w:rsidRPr="00A6091F"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t xml:space="preserve">В </w:t>
      </w:r>
      <w:r w:rsidRPr="00A6091F">
        <w:rPr>
          <w:rFonts w:ascii="Times New Roman" w:hAnsi="Times New Roman"/>
          <w:b/>
          <w:sz w:val="28"/>
          <w:szCs w:val="28"/>
        </w:rPr>
        <w:t xml:space="preserve">пищевой промышленности </w:t>
      </w:r>
      <w:r w:rsidRPr="00A6091F">
        <w:rPr>
          <w:rFonts w:ascii="Times New Roman" w:hAnsi="Times New Roman"/>
          <w:sz w:val="28"/>
          <w:szCs w:val="28"/>
        </w:rPr>
        <w:t>в условиях расширения спроса на отечественную продукцию, а также положительных ценовых изменений, в 2018 году зафиксировано наращивание производства в разрезе практически всех крупнейших предприятий отрасли, что предопределило увеличение совокупного по</w:t>
      </w:r>
      <w:r>
        <w:rPr>
          <w:rFonts w:ascii="Times New Roman" w:hAnsi="Times New Roman"/>
          <w:sz w:val="28"/>
          <w:szCs w:val="28"/>
        </w:rPr>
        <w:t>казателя в текущих ценах на 18,6</w:t>
      </w:r>
      <w:r w:rsidRPr="00A6091F">
        <w:rPr>
          <w:rFonts w:ascii="Times New Roman" w:hAnsi="Times New Roman"/>
          <w:sz w:val="28"/>
          <w:szCs w:val="28"/>
        </w:rPr>
        <w:t>% до 1 57</w:t>
      </w:r>
      <w:r>
        <w:rPr>
          <w:rFonts w:ascii="Times New Roman" w:hAnsi="Times New Roman"/>
          <w:sz w:val="28"/>
          <w:szCs w:val="28"/>
        </w:rPr>
        <w:t>5</w:t>
      </w:r>
      <w:r w:rsidRPr="00A6091F">
        <w:rPr>
          <w:rFonts w:ascii="Times New Roman" w:hAnsi="Times New Roman"/>
          <w:sz w:val="28"/>
          <w:szCs w:val="28"/>
        </w:rPr>
        <w:t>,</w:t>
      </w:r>
      <w:r>
        <w:rPr>
          <w:rFonts w:ascii="Times New Roman" w:hAnsi="Times New Roman"/>
          <w:sz w:val="28"/>
          <w:szCs w:val="28"/>
        </w:rPr>
        <w:t>8</w:t>
      </w:r>
      <w:r w:rsidRPr="00A6091F">
        <w:rPr>
          <w:rFonts w:ascii="Times New Roman" w:hAnsi="Times New Roman"/>
          <w:sz w:val="28"/>
          <w:szCs w:val="28"/>
        </w:rPr>
        <w:t xml:space="preserve"> млн руб., в сопоставимых – на 8,0%. В натуральном выражении положительная динамика отмечена по выпуску хлеба и хлебобулочных изделий (+0,6%), кондитерских (+2,7%), макаронных (+6,7%) и колбасных (+6,8%) изделий, мясных полуфабрикатов (+7,9%), вин виноградных (+8,0%), цельномолочной продукции (в пересчете на молоко) (+17,2%), масла животного (+18,5%), масла растительного (+88,6%.) и др.</w:t>
      </w:r>
    </w:p>
    <w:p w:rsidR="00B2670F" w:rsidRPr="00A6091F"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t xml:space="preserve">В </w:t>
      </w:r>
      <w:r w:rsidRPr="00A6091F">
        <w:rPr>
          <w:rFonts w:ascii="Times New Roman" w:hAnsi="Times New Roman"/>
          <w:b/>
          <w:sz w:val="28"/>
          <w:szCs w:val="28"/>
        </w:rPr>
        <w:t xml:space="preserve">мукомольно-крупяной и комбикормовой промышленности </w:t>
      </w:r>
      <w:r w:rsidRPr="00A6091F">
        <w:rPr>
          <w:rFonts w:ascii="Times New Roman" w:hAnsi="Times New Roman"/>
          <w:sz w:val="28"/>
          <w:szCs w:val="28"/>
        </w:rPr>
        <w:t>в текущих ценах отмечается прирост показателя на 15,</w:t>
      </w:r>
      <w:r>
        <w:rPr>
          <w:rFonts w:ascii="Times New Roman" w:hAnsi="Times New Roman"/>
          <w:sz w:val="28"/>
          <w:szCs w:val="28"/>
        </w:rPr>
        <w:t>5</w:t>
      </w:r>
      <w:r w:rsidRPr="00A6091F">
        <w:rPr>
          <w:rFonts w:ascii="Times New Roman" w:hAnsi="Times New Roman"/>
          <w:sz w:val="28"/>
          <w:szCs w:val="28"/>
        </w:rPr>
        <w:t>% до 14</w:t>
      </w:r>
      <w:r>
        <w:rPr>
          <w:rFonts w:ascii="Times New Roman" w:hAnsi="Times New Roman"/>
          <w:sz w:val="28"/>
          <w:szCs w:val="28"/>
        </w:rPr>
        <w:t>1</w:t>
      </w:r>
      <w:r w:rsidRPr="00A6091F">
        <w:rPr>
          <w:rFonts w:ascii="Times New Roman" w:hAnsi="Times New Roman"/>
          <w:sz w:val="28"/>
          <w:szCs w:val="28"/>
        </w:rPr>
        <w:t>,</w:t>
      </w:r>
      <w:r>
        <w:rPr>
          <w:rFonts w:ascii="Times New Roman" w:hAnsi="Times New Roman"/>
          <w:sz w:val="28"/>
          <w:szCs w:val="28"/>
        </w:rPr>
        <w:t>0</w:t>
      </w:r>
      <w:r w:rsidRPr="00A6091F">
        <w:rPr>
          <w:rFonts w:ascii="Times New Roman" w:hAnsi="Times New Roman"/>
          <w:sz w:val="28"/>
          <w:szCs w:val="28"/>
        </w:rPr>
        <w:t xml:space="preserve"> млн руб. При этом в условиях сокращения произ</w:t>
      </w:r>
      <w:r>
        <w:rPr>
          <w:rFonts w:ascii="Times New Roman" w:hAnsi="Times New Roman"/>
          <w:sz w:val="28"/>
          <w:szCs w:val="28"/>
        </w:rPr>
        <w:t>водства муки на 2,1% и круп на 2,3</w:t>
      </w:r>
      <w:r w:rsidRPr="00A6091F">
        <w:rPr>
          <w:rFonts w:ascii="Times New Roman" w:hAnsi="Times New Roman"/>
          <w:sz w:val="28"/>
          <w:szCs w:val="28"/>
        </w:rPr>
        <w:t>% в сопоставимых ценах наблюдалось снижение отраслевого показателя на 1,</w:t>
      </w:r>
      <w:r>
        <w:rPr>
          <w:rFonts w:ascii="Times New Roman" w:hAnsi="Times New Roman"/>
          <w:sz w:val="28"/>
          <w:szCs w:val="28"/>
        </w:rPr>
        <w:t>0</w:t>
      </w:r>
      <w:r w:rsidRPr="00A6091F">
        <w:rPr>
          <w:rFonts w:ascii="Times New Roman" w:hAnsi="Times New Roman"/>
          <w:sz w:val="28"/>
          <w:szCs w:val="28"/>
        </w:rPr>
        <w:t>%.</w:t>
      </w:r>
    </w:p>
    <w:p w:rsidR="00B2670F" w:rsidRPr="007B3A9D" w:rsidRDefault="00B2670F" w:rsidP="007D3AA7">
      <w:pPr>
        <w:spacing w:after="0" w:line="240" w:lineRule="auto"/>
        <w:ind w:firstLine="426"/>
        <w:jc w:val="both"/>
        <w:rPr>
          <w:rFonts w:ascii="Times New Roman" w:hAnsi="Times New Roman"/>
          <w:sz w:val="28"/>
          <w:szCs w:val="28"/>
        </w:rPr>
      </w:pPr>
      <w:r w:rsidRPr="00A6091F">
        <w:rPr>
          <w:rFonts w:ascii="Times New Roman" w:hAnsi="Times New Roman"/>
          <w:sz w:val="28"/>
          <w:szCs w:val="28"/>
        </w:rPr>
        <w:t xml:space="preserve">Объем производства на предприятиях </w:t>
      </w:r>
      <w:r w:rsidRPr="00A6091F">
        <w:rPr>
          <w:rFonts w:ascii="Times New Roman" w:hAnsi="Times New Roman"/>
          <w:b/>
          <w:sz w:val="28"/>
          <w:szCs w:val="28"/>
        </w:rPr>
        <w:t>полиграфической промышленности</w:t>
      </w:r>
      <w:r w:rsidRPr="00A6091F">
        <w:rPr>
          <w:rFonts w:ascii="Times New Roman" w:hAnsi="Times New Roman"/>
          <w:sz w:val="28"/>
          <w:szCs w:val="28"/>
        </w:rPr>
        <w:t xml:space="preserve"> в текущих ценах расширился на 10,</w:t>
      </w:r>
      <w:r>
        <w:rPr>
          <w:rFonts w:ascii="Times New Roman" w:hAnsi="Times New Roman"/>
          <w:sz w:val="28"/>
          <w:szCs w:val="28"/>
        </w:rPr>
        <w:t>7</w:t>
      </w:r>
      <w:r w:rsidRPr="00A6091F">
        <w:rPr>
          <w:rFonts w:ascii="Times New Roman" w:hAnsi="Times New Roman"/>
          <w:sz w:val="28"/>
          <w:szCs w:val="28"/>
        </w:rPr>
        <w:t>% до 23,1 млн руб., в сопоставимых отмечен спад на 6,4%.</w:t>
      </w:r>
    </w:p>
    <w:p w:rsidR="0094410B" w:rsidRDefault="0094410B" w:rsidP="007D3AA7">
      <w:pPr>
        <w:pStyle w:val="a6"/>
        <w:spacing w:after="0" w:line="240" w:lineRule="auto"/>
        <w:ind w:left="0" w:firstLine="426"/>
        <w:jc w:val="both"/>
        <w:rPr>
          <w:rFonts w:ascii="Times New Roman" w:hAnsi="Times New Roman"/>
          <w:sz w:val="28"/>
          <w:szCs w:val="28"/>
        </w:rPr>
      </w:pPr>
    </w:p>
    <w:p w:rsidR="00267EBB" w:rsidRDefault="00267EBB" w:rsidP="007D3AA7">
      <w:pPr>
        <w:pStyle w:val="a6"/>
        <w:spacing w:after="0" w:line="240" w:lineRule="auto"/>
        <w:ind w:left="0" w:firstLine="426"/>
        <w:jc w:val="both"/>
        <w:rPr>
          <w:rFonts w:ascii="Times New Roman" w:hAnsi="Times New Roman"/>
          <w:sz w:val="28"/>
          <w:szCs w:val="28"/>
        </w:rPr>
      </w:pPr>
    </w:p>
    <w:p w:rsidR="00267EBB" w:rsidRPr="00B2670F" w:rsidRDefault="00267EBB" w:rsidP="007D3AA7">
      <w:pPr>
        <w:pStyle w:val="a6"/>
        <w:spacing w:after="0" w:line="240" w:lineRule="auto"/>
        <w:ind w:left="0" w:firstLine="426"/>
        <w:jc w:val="both"/>
        <w:rPr>
          <w:rFonts w:ascii="Times New Roman" w:hAnsi="Times New Roman"/>
          <w:sz w:val="28"/>
          <w:szCs w:val="28"/>
        </w:rPr>
      </w:pPr>
    </w:p>
    <w:p w:rsidR="00B2670F" w:rsidRPr="00B2670F" w:rsidRDefault="00B2670F" w:rsidP="007D3AA7">
      <w:pPr>
        <w:widowControl w:val="0"/>
        <w:autoSpaceDE w:val="0"/>
        <w:autoSpaceDN w:val="0"/>
        <w:adjustRightInd w:val="0"/>
        <w:spacing w:after="0" w:line="240" w:lineRule="auto"/>
        <w:ind w:firstLine="426"/>
        <w:jc w:val="both"/>
        <w:rPr>
          <w:rFonts w:ascii="Times New Roman" w:eastAsia="Calibri" w:hAnsi="Times New Roman" w:cstheme="minorBidi"/>
          <w:b/>
          <w:sz w:val="28"/>
          <w:szCs w:val="28"/>
        </w:rPr>
      </w:pPr>
      <w:r w:rsidRPr="00B2670F">
        <w:rPr>
          <w:rFonts w:ascii="Times New Roman" w:eastAsia="Calibri" w:hAnsi="Times New Roman" w:cstheme="minorBidi"/>
          <w:b/>
          <w:sz w:val="28"/>
          <w:szCs w:val="28"/>
        </w:rPr>
        <w:lastRenderedPageBreak/>
        <w:t>Агропромышленный комплекс</w:t>
      </w:r>
    </w:p>
    <w:p w:rsidR="00B2670F" w:rsidRPr="00B2670F" w:rsidRDefault="00B2670F" w:rsidP="007D3AA7">
      <w:pPr>
        <w:spacing w:after="0" w:line="240" w:lineRule="auto"/>
        <w:jc w:val="both"/>
        <w:rPr>
          <w:rFonts w:ascii="Times New Roman" w:eastAsiaTheme="minorEastAsia" w:hAnsi="Times New Roman" w:cstheme="minorBidi"/>
          <w:sz w:val="28"/>
          <w:szCs w:val="28"/>
        </w:rPr>
      </w:pPr>
    </w:p>
    <w:p w:rsidR="00B2670F" w:rsidRDefault="00B2670F" w:rsidP="007D3AA7">
      <w:pPr>
        <w:spacing w:after="0" w:line="240" w:lineRule="auto"/>
        <w:ind w:firstLine="426"/>
        <w:jc w:val="both"/>
        <w:rPr>
          <w:rFonts w:ascii="Times New Roman" w:eastAsia="Calibri" w:hAnsi="Times New Roman" w:cstheme="minorBidi"/>
          <w:sz w:val="28"/>
          <w:szCs w:val="28"/>
        </w:rPr>
      </w:pPr>
      <w:r w:rsidRPr="00B2670F">
        <w:rPr>
          <w:rFonts w:ascii="Times New Roman" w:eastAsia="Calibri" w:hAnsi="Times New Roman" w:cstheme="minorBidi"/>
          <w:sz w:val="28"/>
          <w:szCs w:val="28"/>
        </w:rPr>
        <w:t>Валовая продукция сельского хозяйства во всех категориях хозяйств в 2018 году оценочно составила 3 365,0 млн руб. (в текущих ценах), что на 21,6% больше сопоставимого показателя базового года</w:t>
      </w:r>
      <w:r>
        <w:rPr>
          <w:rFonts w:ascii="Times New Roman" w:eastAsia="Calibri" w:hAnsi="Times New Roman" w:cstheme="minorBidi"/>
          <w:sz w:val="28"/>
          <w:szCs w:val="28"/>
        </w:rPr>
        <w:t xml:space="preserve"> (рис. 8)</w:t>
      </w:r>
      <w:r w:rsidRPr="00B2670F">
        <w:rPr>
          <w:rFonts w:ascii="Times New Roman" w:eastAsia="Calibri" w:hAnsi="Times New Roman" w:cstheme="minorBidi"/>
          <w:sz w:val="28"/>
          <w:szCs w:val="28"/>
        </w:rPr>
        <w:t xml:space="preserve">. Доля сельского хозяйства в структуре ВВП республики сократилась на 0,4 п.п. </w:t>
      </w:r>
      <w:r w:rsidR="00267EBB">
        <w:rPr>
          <w:rFonts w:ascii="Times New Roman" w:eastAsia="Calibri" w:hAnsi="Times New Roman" w:cstheme="minorBidi"/>
          <w:sz w:val="28"/>
          <w:szCs w:val="28"/>
        </w:rPr>
        <w:t>до</w:t>
      </w:r>
      <w:r w:rsidRPr="00B2670F">
        <w:rPr>
          <w:rFonts w:ascii="Times New Roman" w:eastAsia="Calibri" w:hAnsi="Times New Roman" w:cstheme="minorBidi"/>
          <w:sz w:val="28"/>
          <w:szCs w:val="28"/>
        </w:rPr>
        <w:t xml:space="preserve"> 8,1%. Индекс физического объема продукции сельского хозяйства составил 103,7% к уровню 2017 года, в том числе по продукции растениеводства – 102,7%, животноводства – 110,4</w:t>
      </w:r>
      <w:r>
        <w:rPr>
          <w:rFonts w:ascii="Times New Roman" w:eastAsia="Calibri" w:hAnsi="Times New Roman" w:cstheme="minorBidi"/>
          <w:sz w:val="28"/>
          <w:szCs w:val="28"/>
        </w:rPr>
        <w:t>%.</w:t>
      </w:r>
    </w:p>
    <w:p w:rsidR="00B2670F" w:rsidRPr="00CE6859" w:rsidRDefault="00B2670F" w:rsidP="007D3AA7">
      <w:pPr>
        <w:spacing w:after="0" w:line="240" w:lineRule="auto"/>
        <w:ind w:firstLine="426"/>
        <w:contextualSpacing/>
        <w:jc w:val="right"/>
        <w:rPr>
          <w:rFonts w:ascii="Times New Roman" w:hAnsi="Times New Roman"/>
          <w:b/>
          <w:i/>
          <w:sz w:val="28"/>
          <w:szCs w:val="28"/>
        </w:rPr>
      </w:pPr>
      <w:r w:rsidRPr="00CE6859">
        <w:rPr>
          <w:rFonts w:ascii="Times New Roman" w:hAnsi="Times New Roman"/>
          <w:b/>
          <w:i/>
          <w:sz w:val="28"/>
          <w:szCs w:val="28"/>
        </w:rPr>
        <w:t xml:space="preserve">Рисунок </w:t>
      </w:r>
      <w:r>
        <w:rPr>
          <w:rFonts w:ascii="Times New Roman" w:hAnsi="Times New Roman"/>
          <w:b/>
          <w:i/>
          <w:sz w:val="28"/>
          <w:szCs w:val="28"/>
        </w:rPr>
        <w:t>8</w:t>
      </w:r>
    </w:p>
    <w:p w:rsidR="00B2670F" w:rsidRPr="00B2670F" w:rsidRDefault="00B2670F" w:rsidP="007D3AA7">
      <w:pPr>
        <w:spacing w:after="0" w:line="240" w:lineRule="auto"/>
        <w:ind w:left="-284"/>
        <w:jc w:val="both"/>
        <w:rPr>
          <w:rFonts w:ascii="Times New Roman" w:eastAsiaTheme="minorEastAsia" w:hAnsi="Times New Roman" w:cstheme="minorBidi"/>
          <w:sz w:val="28"/>
          <w:szCs w:val="28"/>
        </w:rPr>
      </w:pPr>
      <w:r w:rsidRPr="00B2670F">
        <w:rPr>
          <w:rFonts w:ascii="Times New Roman" w:eastAsiaTheme="minorEastAsia" w:hAnsi="Times New Roman" w:cstheme="minorBidi"/>
          <w:noProof/>
          <w:sz w:val="28"/>
          <w:szCs w:val="28"/>
        </w:rPr>
        <w:drawing>
          <wp:inline distT="0" distB="0" distL="0" distR="0">
            <wp:extent cx="6410325" cy="2514600"/>
            <wp:effectExtent l="0" t="0" r="0" b="0"/>
            <wp:docPr id="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670F" w:rsidRDefault="00B2670F" w:rsidP="007D3AA7">
      <w:pPr>
        <w:spacing w:after="0" w:line="240" w:lineRule="auto"/>
        <w:ind w:firstLine="426"/>
        <w:jc w:val="both"/>
        <w:rPr>
          <w:rFonts w:ascii="Times New Roman" w:eastAsia="Calibri" w:hAnsi="Times New Roman" w:cstheme="minorBidi"/>
          <w:sz w:val="28"/>
          <w:szCs w:val="28"/>
        </w:rPr>
      </w:pPr>
      <w:r w:rsidRPr="00B2670F">
        <w:rPr>
          <w:rFonts w:ascii="Times New Roman" w:eastAsia="Calibri" w:hAnsi="Times New Roman" w:cstheme="minorBidi"/>
          <w:sz w:val="28"/>
          <w:szCs w:val="28"/>
        </w:rPr>
        <w:t>В отчетном году в структуре валовой продукции сельского хозяйства на долю организаций, осуществляющих сельскохозяйственное производство, при</w:t>
      </w:r>
      <w:r w:rsidR="00267EBB">
        <w:rPr>
          <w:rFonts w:ascii="Times New Roman" w:eastAsia="Calibri" w:hAnsi="Times New Roman" w:cstheme="minorBidi"/>
          <w:sz w:val="28"/>
          <w:szCs w:val="28"/>
        </w:rPr>
        <w:t>шлось</w:t>
      </w:r>
      <w:r w:rsidRPr="00B2670F">
        <w:rPr>
          <w:rFonts w:ascii="Times New Roman" w:eastAsia="Calibri" w:hAnsi="Times New Roman" w:cstheme="minorBidi"/>
          <w:sz w:val="28"/>
          <w:szCs w:val="28"/>
        </w:rPr>
        <w:t xml:space="preserve"> 54,0% от общего объема, хозяйств населения – 34,4%, крестьянских (фермерских) хозяйств и арендаторов – 11,6%</w:t>
      </w:r>
      <w:r w:rsidR="004E7B18">
        <w:rPr>
          <w:rFonts w:ascii="Times New Roman" w:eastAsia="Calibri" w:hAnsi="Times New Roman" w:cstheme="minorBidi"/>
          <w:sz w:val="28"/>
          <w:szCs w:val="28"/>
        </w:rPr>
        <w:t xml:space="preserve"> (рис. 9)</w:t>
      </w:r>
      <w:r w:rsidRPr="00B2670F">
        <w:rPr>
          <w:rFonts w:ascii="Times New Roman" w:eastAsia="Calibri" w:hAnsi="Times New Roman" w:cstheme="minorBidi"/>
          <w:sz w:val="28"/>
          <w:szCs w:val="28"/>
        </w:rPr>
        <w:t>.</w:t>
      </w:r>
    </w:p>
    <w:p w:rsidR="004E7B18" w:rsidRPr="00CE6859" w:rsidRDefault="004E7B18" w:rsidP="004E7B18">
      <w:pPr>
        <w:spacing w:after="0" w:line="240" w:lineRule="auto"/>
        <w:ind w:firstLine="426"/>
        <w:contextualSpacing/>
        <w:jc w:val="right"/>
        <w:rPr>
          <w:rFonts w:ascii="Times New Roman" w:hAnsi="Times New Roman"/>
          <w:b/>
          <w:i/>
          <w:sz w:val="28"/>
          <w:szCs w:val="28"/>
        </w:rPr>
      </w:pPr>
      <w:r w:rsidRPr="00CE6859">
        <w:rPr>
          <w:rFonts w:ascii="Times New Roman" w:hAnsi="Times New Roman"/>
          <w:b/>
          <w:i/>
          <w:sz w:val="28"/>
          <w:szCs w:val="28"/>
        </w:rPr>
        <w:t xml:space="preserve">Рисунок </w:t>
      </w:r>
      <w:r>
        <w:rPr>
          <w:rFonts w:ascii="Times New Roman" w:hAnsi="Times New Roman"/>
          <w:b/>
          <w:i/>
          <w:sz w:val="28"/>
          <w:szCs w:val="28"/>
        </w:rPr>
        <w:t>9</w:t>
      </w:r>
    </w:p>
    <w:p w:rsidR="00B2670F" w:rsidRPr="00B2670F" w:rsidRDefault="00B2670F" w:rsidP="007D3AA7">
      <w:pPr>
        <w:spacing w:after="0" w:line="240" w:lineRule="auto"/>
        <w:ind w:firstLine="720"/>
        <w:jc w:val="center"/>
        <w:rPr>
          <w:rFonts w:ascii="Times New Roman" w:eastAsia="Calibri" w:hAnsi="Times New Roman" w:cstheme="minorBidi"/>
          <w:b/>
          <w:sz w:val="28"/>
          <w:szCs w:val="28"/>
        </w:rPr>
      </w:pPr>
      <w:r w:rsidRPr="00B2670F">
        <w:rPr>
          <w:rFonts w:ascii="Times New Roman" w:eastAsia="Calibri" w:hAnsi="Times New Roman" w:cstheme="minorBidi"/>
          <w:b/>
          <w:sz w:val="28"/>
          <w:szCs w:val="28"/>
        </w:rPr>
        <w:t xml:space="preserve">Структура валовой продукции сельского хозяйства, в процентах </w:t>
      </w:r>
    </w:p>
    <w:p w:rsidR="00B2670F" w:rsidRPr="00B2670F" w:rsidRDefault="00AF7A8D" w:rsidP="007D3AA7">
      <w:pPr>
        <w:spacing w:after="0"/>
        <w:ind w:left="-360" w:right="-185"/>
        <w:jc w:val="center"/>
        <w:rPr>
          <w:rFonts w:asciiTheme="minorHAnsi" w:eastAsia="Calibri" w:hAnsiTheme="minorHAnsi" w:cstheme="minorBidi"/>
          <w:b/>
          <w:sz w:val="28"/>
          <w:szCs w:val="28"/>
        </w:rPr>
      </w:pPr>
      <w:r>
        <w:rPr>
          <w:rFonts w:asciiTheme="minorHAnsi" w:eastAsia="Calibri" w:hAnsiTheme="minorHAnsi" w:cstheme="minorBidi"/>
          <w:noProof/>
          <w:sz w:val="28"/>
          <w:szCs w:val="28"/>
        </w:rPr>
        <w:pict>
          <v:rect id="_x0000_s1033" style="position:absolute;left:0;text-align:left;margin-left:36pt;margin-top:97.3pt;width:18pt;height:13.9pt;z-index:251662336" fillcolor="aqua">
            <v:fill r:id="rId19" o:title="Широкий диагональный 2" type="pattern"/>
          </v:rect>
        </w:pict>
      </w:r>
      <w:r>
        <w:rPr>
          <w:rFonts w:asciiTheme="minorHAnsi" w:eastAsia="Calibri" w:hAnsiTheme="minorHAnsi" w:cstheme="minorBidi"/>
          <w:noProof/>
          <w:sz w:val="28"/>
          <w:szCs w:val="28"/>
        </w:rPr>
        <w:pict>
          <v:rect id="_x0000_s1034" style="position:absolute;left:0;text-align:left;margin-left:63pt;margin-top:97.3pt;width:171pt;height:24.75pt;z-index:251663360" filled="f" stroked="f">
            <v:textbox style="mso-next-textbox:#_x0000_s1034" inset="0,0,0,0">
              <w:txbxContent>
                <w:p w:rsidR="00292D25" w:rsidRPr="00AE1B05" w:rsidRDefault="00292D25" w:rsidP="00B2670F">
                  <w:pPr>
                    <w:spacing w:after="0" w:line="240" w:lineRule="auto"/>
                    <w:rPr>
                      <w:rFonts w:ascii="Times New Roman" w:hAnsi="Times New Roman"/>
                      <w:color w:val="000000"/>
                      <w:sz w:val="18"/>
                      <w:szCs w:val="18"/>
                    </w:rPr>
                  </w:pPr>
                  <w:r w:rsidRPr="00AE1B05">
                    <w:rPr>
                      <w:rFonts w:ascii="Times New Roman" w:hAnsi="Times New Roman"/>
                      <w:color w:val="000000"/>
                      <w:sz w:val="18"/>
                      <w:szCs w:val="18"/>
                    </w:rPr>
                    <w:t xml:space="preserve">Сельскохозяйственные </w:t>
                  </w:r>
                </w:p>
                <w:p w:rsidR="00292D25" w:rsidRPr="00AE1B05" w:rsidRDefault="00292D25" w:rsidP="00B2670F">
                  <w:pPr>
                    <w:spacing w:after="0" w:line="240" w:lineRule="auto"/>
                    <w:rPr>
                      <w:sz w:val="18"/>
                      <w:szCs w:val="18"/>
                    </w:rPr>
                  </w:pPr>
                  <w:r>
                    <w:rPr>
                      <w:rFonts w:ascii="Times New Roman" w:hAnsi="Times New Roman"/>
                      <w:color w:val="000000"/>
                      <w:sz w:val="18"/>
                      <w:szCs w:val="18"/>
                    </w:rPr>
                    <w:t>организации</w:t>
                  </w:r>
                </w:p>
              </w:txbxContent>
            </v:textbox>
          </v:rect>
        </w:pict>
      </w:r>
      <w:r w:rsidR="00B2670F" w:rsidRPr="00B2670F">
        <w:rPr>
          <w:rFonts w:ascii="Times New Roman" w:eastAsia="Calibri" w:hAnsi="Times New Roman" w:cstheme="minorBidi"/>
          <w:noProof/>
          <w:sz w:val="28"/>
          <w:szCs w:val="28"/>
        </w:rPr>
        <w:drawing>
          <wp:inline distT="0" distB="0" distL="0" distR="0">
            <wp:extent cx="3171825" cy="1276350"/>
            <wp:effectExtent l="0" t="0" r="0" b="0"/>
            <wp:docPr id="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B2670F" w:rsidRPr="00B2670F">
        <w:rPr>
          <w:rFonts w:ascii="Times New Roman" w:eastAsia="Calibri" w:hAnsi="Times New Roman" w:cstheme="minorBidi"/>
          <w:noProof/>
          <w:sz w:val="28"/>
          <w:szCs w:val="28"/>
        </w:rPr>
        <w:drawing>
          <wp:inline distT="0" distB="0" distL="0" distR="0">
            <wp:extent cx="3028950" cy="1276350"/>
            <wp:effectExtent l="0" t="0" r="0" b="0"/>
            <wp:docPr id="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670F" w:rsidRPr="00B2670F" w:rsidRDefault="00AF7A8D" w:rsidP="007D3AA7">
      <w:pPr>
        <w:spacing w:after="0"/>
        <w:ind w:left="-360" w:right="-185"/>
        <w:jc w:val="center"/>
        <w:rPr>
          <w:rFonts w:asciiTheme="minorHAnsi" w:eastAsia="Calibri" w:hAnsiTheme="minorHAnsi" w:cstheme="minorBidi"/>
          <w:b/>
          <w:sz w:val="28"/>
          <w:szCs w:val="28"/>
        </w:rPr>
      </w:pPr>
      <w:r>
        <w:rPr>
          <w:rFonts w:asciiTheme="minorHAnsi" w:eastAsia="Calibri" w:hAnsiTheme="minorHAnsi" w:cstheme="minorBidi"/>
          <w:noProof/>
          <w:sz w:val="28"/>
          <w:szCs w:val="28"/>
        </w:rPr>
        <w:pict>
          <v:rect id="_x0000_s1035" style="position:absolute;left:0;text-align:left;margin-left:36pt;margin-top:27.05pt;width:18pt;height:12.55pt;z-index:251664384" fillcolor="#ddd">
            <v:fill r:id="rId22" o:title="Гранит" rotate="t" type="tile"/>
          </v:rect>
        </w:pict>
      </w:r>
      <w:r>
        <w:rPr>
          <w:rFonts w:asciiTheme="minorHAnsi" w:eastAsia="Calibri" w:hAnsiTheme="minorHAnsi" w:cstheme="minorBidi"/>
          <w:noProof/>
          <w:sz w:val="28"/>
          <w:szCs w:val="28"/>
        </w:rPr>
        <w:pict>
          <v:rect id="_x0000_s1036" style="position:absolute;left:0;text-align:left;margin-left:62.7pt;margin-top:27.05pt;width:171pt;height:18pt;z-index:251665408" filled="f" stroked="f">
            <v:textbox style="mso-next-textbox:#_x0000_s1036" inset="0,0,0,0">
              <w:txbxContent>
                <w:p w:rsidR="00292D25" w:rsidRPr="00AE1B05" w:rsidRDefault="00292D25" w:rsidP="00B2670F">
                  <w:pPr>
                    <w:rPr>
                      <w:rFonts w:ascii="Times New Roman" w:hAnsi="Times New Roman"/>
                      <w:sz w:val="18"/>
                      <w:szCs w:val="18"/>
                    </w:rPr>
                  </w:pPr>
                  <w:r w:rsidRPr="00AE1B05">
                    <w:rPr>
                      <w:rFonts w:ascii="Times New Roman" w:hAnsi="Times New Roman"/>
                      <w:color w:val="000000"/>
                      <w:sz w:val="18"/>
                      <w:szCs w:val="18"/>
                    </w:rPr>
                    <w:t>Хозяйства населения</w:t>
                  </w:r>
                </w:p>
              </w:txbxContent>
            </v:textbox>
          </v:rect>
        </w:pict>
      </w:r>
      <w:r>
        <w:rPr>
          <w:rFonts w:asciiTheme="minorHAnsi" w:eastAsia="Calibri" w:hAnsiTheme="minorHAnsi" w:cstheme="minorBidi"/>
          <w:noProof/>
          <w:sz w:val="28"/>
          <w:szCs w:val="28"/>
        </w:rPr>
        <w:pict>
          <v:rect id="_x0000_s1039" style="position:absolute;left:0;text-align:left;margin-left:287.85pt;margin-top:-.45pt;width:135.15pt;height:28.8pt;z-index:251668480" filled="f" stroked="f">
            <v:textbox style="mso-next-textbox:#_x0000_s1039" inset="0,0,0,0">
              <w:txbxContent>
                <w:p w:rsidR="00292D25" w:rsidRPr="00AE1B05" w:rsidRDefault="00292D25" w:rsidP="00B2670F">
                  <w:pPr>
                    <w:spacing w:after="0" w:line="240" w:lineRule="auto"/>
                    <w:rPr>
                      <w:rFonts w:ascii="Times New Roman" w:hAnsi="Times New Roman"/>
                      <w:sz w:val="18"/>
                      <w:szCs w:val="18"/>
                    </w:rPr>
                  </w:pPr>
                  <w:r w:rsidRPr="00AE1B05">
                    <w:rPr>
                      <w:rFonts w:ascii="Times New Roman" w:hAnsi="Times New Roman"/>
                      <w:color w:val="000000"/>
                      <w:sz w:val="18"/>
                      <w:szCs w:val="18"/>
                    </w:rPr>
                    <w:t>Крестьянские (фер</w:t>
                  </w:r>
                  <w:r>
                    <w:rPr>
                      <w:rFonts w:ascii="Times New Roman" w:hAnsi="Times New Roman"/>
                      <w:color w:val="000000"/>
                      <w:sz w:val="18"/>
                      <w:szCs w:val="18"/>
                    </w:rPr>
                    <w:t xml:space="preserve">мерские хозяйства) хозяйства и </w:t>
                  </w:r>
                  <w:r w:rsidRPr="00AE1B05">
                    <w:rPr>
                      <w:rFonts w:ascii="Times New Roman" w:hAnsi="Times New Roman"/>
                      <w:color w:val="000000"/>
                      <w:sz w:val="18"/>
                      <w:szCs w:val="18"/>
                    </w:rPr>
                    <w:t>арендаторы</w:t>
                  </w:r>
                </w:p>
              </w:txbxContent>
            </v:textbox>
          </v:rect>
        </w:pict>
      </w:r>
      <w:r>
        <w:rPr>
          <w:rFonts w:asciiTheme="minorHAnsi" w:eastAsia="Calibri" w:hAnsiTheme="minorHAnsi" w:cstheme="minorBidi"/>
          <w:noProof/>
          <w:sz w:val="28"/>
          <w:szCs w:val="28"/>
        </w:rPr>
        <w:pict>
          <v:rect id="_x0000_s1038" style="position:absolute;left:0;text-align:left;margin-left:256.2pt;margin-top:-.45pt;width:22.8pt;height:16.7pt;flip:y;z-index:251667456" fillcolor="maroon">
            <v:fill color2="#cfc"/>
          </v:rect>
        </w:pict>
      </w:r>
      <w:r>
        <w:rPr>
          <w:rFonts w:asciiTheme="minorHAnsi" w:eastAsia="Calibri" w:hAnsiTheme="minorHAnsi" w:cstheme="minorBidi"/>
          <w:noProof/>
          <w:sz w:val="28"/>
          <w:szCs w:val="28"/>
        </w:rPr>
        <w:pict>
          <v:rect id="_x0000_s1037" style="position:absolute;left:0;text-align:left;margin-left:287.85pt;margin-top:8.05pt;width:171.15pt;height:32.3pt;z-index:251666432" filled="f" stroked="f">
            <v:textbox style="mso-next-textbox:#_x0000_s1037" inset="0,0,0,0">
              <w:txbxContent>
                <w:p w:rsidR="00292D25" w:rsidRPr="00841775" w:rsidRDefault="00292D25" w:rsidP="00B2670F">
                  <w:pPr>
                    <w:rPr>
                      <w:szCs w:val="23"/>
                    </w:rPr>
                  </w:pPr>
                </w:p>
              </w:txbxContent>
            </v:textbox>
          </v:rect>
        </w:pict>
      </w:r>
    </w:p>
    <w:p w:rsidR="00267EBB" w:rsidRDefault="00267EBB" w:rsidP="007D3AA7">
      <w:pPr>
        <w:tabs>
          <w:tab w:val="left" w:pos="4253"/>
          <w:tab w:val="left" w:pos="5529"/>
        </w:tabs>
        <w:spacing w:after="0" w:line="240" w:lineRule="auto"/>
        <w:ind w:firstLine="426"/>
        <w:jc w:val="both"/>
        <w:rPr>
          <w:rFonts w:ascii="Times New Roman" w:eastAsiaTheme="minorEastAsia" w:hAnsi="Times New Roman" w:cstheme="minorBidi"/>
          <w:b/>
          <w:i/>
          <w:sz w:val="28"/>
          <w:szCs w:val="28"/>
        </w:rPr>
      </w:pPr>
    </w:p>
    <w:p w:rsidR="00267EBB" w:rsidRDefault="00267EBB" w:rsidP="007D3AA7">
      <w:pPr>
        <w:tabs>
          <w:tab w:val="left" w:pos="4253"/>
          <w:tab w:val="left" w:pos="5529"/>
        </w:tabs>
        <w:spacing w:after="0" w:line="240" w:lineRule="auto"/>
        <w:ind w:firstLine="426"/>
        <w:jc w:val="both"/>
        <w:rPr>
          <w:rFonts w:ascii="Times New Roman" w:eastAsiaTheme="minorEastAsia" w:hAnsi="Times New Roman" w:cstheme="minorBidi"/>
          <w:b/>
          <w:i/>
          <w:sz w:val="28"/>
          <w:szCs w:val="28"/>
        </w:rPr>
      </w:pPr>
    </w:p>
    <w:p w:rsidR="00B2670F" w:rsidRPr="00B2670F" w:rsidRDefault="00B2670F" w:rsidP="007D3AA7">
      <w:pPr>
        <w:tabs>
          <w:tab w:val="left" w:pos="4253"/>
          <w:tab w:val="left" w:pos="5529"/>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b/>
          <w:i/>
          <w:sz w:val="28"/>
          <w:szCs w:val="28"/>
        </w:rPr>
        <w:t>Растениеводство.</w:t>
      </w:r>
      <w:r w:rsidRPr="00B2670F">
        <w:rPr>
          <w:rFonts w:ascii="Times New Roman" w:eastAsiaTheme="minorEastAsia" w:hAnsi="Times New Roman" w:cstheme="minorBidi"/>
          <w:sz w:val="28"/>
          <w:szCs w:val="28"/>
        </w:rPr>
        <w:t xml:space="preserve"> Подводя итоги прошедшего сельскохозяйственного года, необходимо отметить, что получен хороший результат по производству основных сельскохозяйственных культур. Вместе с </w:t>
      </w:r>
      <w:r w:rsidR="00267EBB">
        <w:rPr>
          <w:rFonts w:ascii="Times New Roman" w:eastAsiaTheme="minorEastAsia" w:hAnsi="Times New Roman" w:cstheme="minorBidi"/>
          <w:sz w:val="28"/>
          <w:szCs w:val="28"/>
        </w:rPr>
        <w:t>те</w:t>
      </w:r>
      <w:r w:rsidRPr="00B2670F">
        <w:rPr>
          <w:rFonts w:ascii="Times New Roman" w:eastAsiaTheme="minorEastAsia" w:hAnsi="Times New Roman" w:cstheme="minorBidi"/>
          <w:sz w:val="28"/>
          <w:szCs w:val="28"/>
        </w:rPr>
        <w:t>м, наблюдалась отрицательная динамика валового сбора подсолнечника на зерно (-9,3%), картофеля (-38,3%) и овощей открытого грунта (-32,3%) к уровню 2017 года.</w:t>
      </w:r>
      <w:r w:rsidRPr="00B2670F">
        <w:rPr>
          <w:rFonts w:ascii="Times New Roman" w:hAnsi="Times New Roman"/>
          <w:color w:val="000000"/>
          <w:sz w:val="28"/>
          <w:szCs w:val="28"/>
        </w:rPr>
        <w:t xml:space="preserve"> </w:t>
      </w:r>
    </w:p>
    <w:p w:rsidR="00B2670F" w:rsidRPr="00B2670F" w:rsidRDefault="00B2670F" w:rsidP="007D3AA7">
      <w:pPr>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xml:space="preserve">Существенное влияние на недобор по овощам (отмечен также и в соседних государствах), оказали неблагоприятные погодные условия 2018 года, спровоцировавшие резкий рост численности вредителей овощных культур в период роста и формирования растений. Особенно это сказалось на таких </w:t>
      </w:r>
      <w:r w:rsidRPr="00B2670F">
        <w:rPr>
          <w:rFonts w:ascii="Times New Roman" w:eastAsiaTheme="minorEastAsia" w:hAnsi="Times New Roman" w:cstheme="minorBidi"/>
          <w:sz w:val="28"/>
          <w:szCs w:val="28"/>
        </w:rPr>
        <w:lastRenderedPageBreak/>
        <w:t xml:space="preserve">культурах как лук на репку, горошек овощной, занимающих большую долю в овощном клине. </w:t>
      </w:r>
      <w:r w:rsidR="00267EBB">
        <w:rPr>
          <w:rFonts w:ascii="Times New Roman" w:eastAsiaTheme="minorEastAsia" w:hAnsi="Times New Roman" w:cstheme="minorBidi"/>
          <w:sz w:val="28"/>
          <w:szCs w:val="28"/>
        </w:rPr>
        <w:t>Также</w:t>
      </w:r>
      <w:r w:rsidRPr="00B2670F">
        <w:rPr>
          <w:rFonts w:ascii="Times New Roman" w:eastAsiaTheme="minorEastAsia" w:hAnsi="Times New Roman" w:cstheme="minorBidi"/>
          <w:sz w:val="28"/>
          <w:szCs w:val="28"/>
        </w:rPr>
        <w:t xml:space="preserve"> необходимо отметить </w:t>
      </w:r>
      <w:r w:rsidR="00267EBB">
        <w:rPr>
          <w:rFonts w:ascii="Times New Roman" w:eastAsiaTheme="minorEastAsia" w:hAnsi="Times New Roman" w:cstheme="minorBidi"/>
          <w:sz w:val="28"/>
          <w:szCs w:val="28"/>
        </w:rPr>
        <w:t>ограниченные</w:t>
      </w:r>
      <w:r w:rsidRPr="00B2670F">
        <w:rPr>
          <w:rFonts w:ascii="Times New Roman" w:eastAsiaTheme="minorEastAsia" w:hAnsi="Times New Roman" w:cstheme="minorBidi"/>
          <w:sz w:val="28"/>
          <w:szCs w:val="28"/>
        </w:rPr>
        <w:t xml:space="preserve"> возможности экспорта овощей, как в свежем, так и консервированном виде, сокращение производства до уровня потребности внутреннего рынка</w:t>
      </w:r>
      <w:r w:rsidR="00267EBB">
        <w:rPr>
          <w:rFonts w:ascii="Times New Roman" w:eastAsiaTheme="minorEastAsia" w:hAnsi="Times New Roman" w:cstheme="minorBidi"/>
          <w:sz w:val="28"/>
          <w:szCs w:val="28"/>
        </w:rPr>
        <w:t>, что сопровождается</w:t>
      </w:r>
      <w:r w:rsidRPr="00B2670F">
        <w:rPr>
          <w:rFonts w:ascii="Times New Roman" w:eastAsiaTheme="minorEastAsia" w:hAnsi="Times New Roman" w:cstheme="minorBidi"/>
          <w:sz w:val="28"/>
          <w:szCs w:val="28"/>
        </w:rPr>
        <w:t xml:space="preserve"> рост</w:t>
      </w:r>
      <w:r w:rsidR="00267EBB">
        <w:rPr>
          <w:rFonts w:ascii="Times New Roman" w:eastAsiaTheme="minorEastAsia" w:hAnsi="Times New Roman" w:cstheme="minorBidi"/>
          <w:sz w:val="28"/>
          <w:szCs w:val="28"/>
        </w:rPr>
        <w:t>ом затрат и снижением экономической эффективности под</w:t>
      </w:r>
      <w:r w:rsidRPr="00B2670F">
        <w:rPr>
          <w:rFonts w:ascii="Times New Roman" w:eastAsiaTheme="minorEastAsia" w:hAnsi="Times New Roman" w:cstheme="minorBidi"/>
          <w:sz w:val="28"/>
          <w:szCs w:val="28"/>
        </w:rPr>
        <w:t xml:space="preserve">отрасли. </w:t>
      </w:r>
    </w:p>
    <w:p w:rsidR="00B2670F" w:rsidRPr="00B2670F" w:rsidRDefault="00B2670F" w:rsidP="007D3AA7">
      <w:pPr>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Полученный урожай зерновых</w:t>
      </w:r>
      <w:r w:rsidR="00267EBB">
        <w:rPr>
          <w:rFonts w:ascii="Times New Roman" w:eastAsiaTheme="minorEastAsia" w:hAnsi="Times New Roman" w:cstheme="minorBidi"/>
          <w:sz w:val="28"/>
          <w:szCs w:val="28"/>
        </w:rPr>
        <w:t>, хоть и сложился</w:t>
      </w:r>
      <w:r w:rsidRPr="00B2670F">
        <w:rPr>
          <w:rFonts w:ascii="Times New Roman" w:eastAsiaTheme="minorEastAsia" w:hAnsi="Times New Roman" w:cstheme="minorBidi"/>
          <w:sz w:val="28"/>
          <w:szCs w:val="28"/>
        </w:rPr>
        <w:t xml:space="preserve"> ниже рекордн</w:t>
      </w:r>
      <w:r w:rsidR="00267EBB">
        <w:rPr>
          <w:rFonts w:ascii="Times New Roman" w:eastAsiaTheme="minorEastAsia" w:hAnsi="Times New Roman" w:cstheme="minorBidi"/>
          <w:sz w:val="28"/>
          <w:szCs w:val="28"/>
        </w:rPr>
        <w:t xml:space="preserve">ого уровня </w:t>
      </w:r>
      <w:r w:rsidRPr="00B2670F">
        <w:rPr>
          <w:rFonts w:ascii="Times New Roman" w:eastAsiaTheme="minorEastAsia" w:hAnsi="Times New Roman" w:cstheme="minorBidi"/>
          <w:sz w:val="28"/>
          <w:szCs w:val="28"/>
        </w:rPr>
        <w:t>2016 года, но</w:t>
      </w:r>
      <w:r w:rsidR="00267EBB">
        <w:rPr>
          <w:rFonts w:ascii="Times New Roman" w:eastAsiaTheme="minorEastAsia" w:hAnsi="Times New Roman" w:cstheme="minorBidi"/>
          <w:sz w:val="28"/>
          <w:szCs w:val="28"/>
        </w:rPr>
        <w:t xml:space="preserve"> в то же время собранный</w:t>
      </w:r>
      <w:r w:rsidRPr="00B2670F">
        <w:rPr>
          <w:rFonts w:ascii="Times New Roman" w:eastAsiaTheme="minorEastAsia" w:hAnsi="Times New Roman" w:cstheme="minorBidi"/>
          <w:sz w:val="28"/>
          <w:szCs w:val="28"/>
        </w:rPr>
        <w:t xml:space="preserve"> объем зерна продовольственной пшеницы позволяет полностью удовлетворить потребность республики в хлебе и обеспечить наличие переходящих запасов и экспорт зерна.</w:t>
      </w:r>
    </w:p>
    <w:p w:rsidR="00B2670F" w:rsidRPr="00B2670F" w:rsidRDefault="00B2670F" w:rsidP="007D3AA7">
      <w:pPr>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xml:space="preserve">Производство и урожайность основных видов продукции растениеводства представлены следующими данными. </w:t>
      </w:r>
    </w:p>
    <w:p w:rsidR="00B2670F" w:rsidRPr="00B2670F" w:rsidRDefault="00B2670F" w:rsidP="007D3AA7">
      <w:pPr>
        <w:spacing w:after="0" w:line="240" w:lineRule="auto"/>
        <w:ind w:firstLine="708"/>
        <w:jc w:val="right"/>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Таблица №</w:t>
      </w:r>
      <w:r>
        <w:rPr>
          <w:rFonts w:ascii="Times New Roman" w:eastAsiaTheme="minorEastAsia" w:hAnsi="Times New Roman" w:cstheme="minorBidi"/>
          <w:sz w:val="28"/>
          <w:szCs w:val="28"/>
        </w:rPr>
        <w:t>1</w:t>
      </w:r>
    </w:p>
    <w:p w:rsidR="00B2670F" w:rsidRPr="00B2670F" w:rsidRDefault="00B2670F" w:rsidP="007D3AA7">
      <w:pPr>
        <w:spacing w:after="0" w:line="240" w:lineRule="auto"/>
        <w:jc w:val="center"/>
        <w:rPr>
          <w:rFonts w:ascii="Times New Roman" w:eastAsia="Calibri" w:hAnsi="Times New Roman" w:cstheme="minorBidi"/>
          <w:b/>
          <w:sz w:val="28"/>
          <w:szCs w:val="28"/>
        </w:rPr>
      </w:pPr>
      <w:r w:rsidRPr="00B2670F">
        <w:rPr>
          <w:rFonts w:ascii="Times New Roman" w:eastAsia="Calibri" w:hAnsi="Times New Roman" w:cstheme="minorBidi"/>
          <w:b/>
          <w:sz w:val="28"/>
          <w:szCs w:val="28"/>
        </w:rPr>
        <w:t xml:space="preserve">Производство основных сельскохозяйственных культур </w:t>
      </w:r>
    </w:p>
    <w:p w:rsidR="00B2670F" w:rsidRPr="00B2670F" w:rsidRDefault="00B2670F" w:rsidP="007D3AA7">
      <w:pPr>
        <w:spacing w:after="0" w:line="240" w:lineRule="auto"/>
        <w:jc w:val="center"/>
        <w:rPr>
          <w:rFonts w:ascii="Times New Roman" w:eastAsia="Calibri" w:hAnsi="Times New Roman" w:cstheme="minorBidi"/>
          <w:b/>
          <w:sz w:val="28"/>
          <w:szCs w:val="28"/>
        </w:rPr>
      </w:pPr>
      <w:r w:rsidRPr="00B2670F">
        <w:rPr>
          <w:rFonts w:ascii="Times New Roman" w:eastAsia="Calibri" w:hAnsi="Times New Roman" w:cstheme="minorBidi"/>
          <w:b/>
          <w:sz w:val="28"/>
          <w:szCs w:val="28"/>
        </w:rPr>
        <w:t>во всех категориях хозяйств за 2017 -2018 годы</w:t>
      </w:r>
    </w:p>
    <w:tbl>
      <w:tblPr>
        <w:tblW w:w="9497" w:type="dxa"/>
        <w:tblInd w:w="108" w:type="dxa"/>
        <w:tblLayout w:type="fixed"/>
        <w:tblLook w:val="0000" w:firstRow="0" w:lastRow="0" w:firstColumn="0" w:lastColumn="0" w:noHBand="0" w:noVBand="0"/>
      </w:tblPr>
      <w:tblGrid>
        <w:gridCol w:w="2694"/>
        <w:gridCol w:w="992"/>
        <w:gridCol w:w="1134"/>
        <w:gridCol w:w="1276"/>
        <w:gridCol w:w="992"/>
        <w:gridCol w:w="992"/>
        <w:gridCol w:w="1417"/>
      </w:tblGrid>
      <w:tr w:rsidR="00B2670F" w:rsidRPr="00B2670F" w:rsidTr="001C054B">
        <w:trPr>
          <w:trHeight w:val="206"/>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2670F" w:rsidRPr="005E63BD" w:rsidRDefault="00B2670F" w:rsidP="007D3AA7">
            <w:pPr>
              <w:spacing w:after="0" w:line="240" w:lineRule="auto"/>
              <w:jc w:val="center"/>
              <w:rPr>
                <w:rFonts w:ascii="Times New Roman" w:eastAsia="Calibri" w:hAnsi="Times New Roman"/>
                <w:bCs/>
                <w:sz w:val="23"/>
                <w:szCs w:val="23"/>
              </w:rPr>
            </w:pPr>
            <w:r w:rsidRPr="005E63BD">
              <w:rPr>
                <w:rFonts w:ascii="Times New Roman" w:eastAsia="Calibri" w:hAnsi="Times New Roman"/>
                <w:bCs/>
                <w:sz w:val="23"/>
                <w:szCs w:val="23"/>
              </w:rPr>
              <w:t>Культуры</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rsidR="00B2670F" w:rsidRPr="005E63BD" w:rsidRDefault="00B2670F" w:rsidP="007D3AA7">
            <w:pPr>
              <w:spacing w:after="0" w:line="240" w:lineRule="auto"/>
              <w:jc w:val="center"/>
              <w:rPr>
                <w:rFonts w:ascii="Times New Roman" w:eastAsia="Calibri" w:hAnsi="Times New Roman"/>
                <w:bCs/>
                <w:sz w:val="23"/>
                <w:szCs w:val="23"/>
              </w:rPr>
            </w:pPr>
            <w:r w:rsidRPr="005E63BD">
              <w:rPr>
                <w:rFonts w:ascii="Times New Roman" w:eastAsia="Calibri" w:hAnsi="Times New Roman"/>
                <w:bCs/>
                <w:sz w:val="23"/>
                <w:szCs w:val="23"/>
              </w:rPr>
              <w:t>Валовой сбор, тыс. тонн</w:t>
            </w:r>
          </w:p>
        </w:tc>
        <w:tc>
          <w:tcPr>
            <w:tcW w:w="3401" w:type="dxa"/>
            <w:gridSpan w:val="3"/>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ind w:left="-288"/>
              <w:jc w:val="center"/>
              <w:rPr>
                <w:rFonts w:ascii="Times New Roman" w:eastAsia="Calibri" w:hAnsi="Times New Roman"/>
                <w:bCs/>
                <w:sz w:val="23"/>
                <w:szCs w:val="23"/>
              </w:rPr>
            </w:pPr>
            <w:r w:rsidRPr="005E63BD">
              <w:rPr>
                <w:rFonts w:ascii="Times New Roman" w:eastAsia="Calibri" w:hAnsi="Times New Roman"/>
                <w:bCs/>
                <w:sz w:val="23"/>
                <w:szCs w:val="23"/>
              </w:rPr>
              <w:t>Средняя урожайность, ц/га*</w:t>
            </w:r>
          </w:p>
        </w:tc>
      </w:tr>
      <w:tr w:rsidR="00B2670F" w:rsidRPr="00B2670F" w:rsidTr="001C054B">
        <w:trPr>
          <w:trHeight w:val="324"/>
        </w:trPr>
        <w:tc>
          <w:tcPr>
            <w:tcW w:w="2694" w:type="dxa"/>
            <w:vMerge/>
            <w:tcBorders>
              <w:top w:val="single" w:sz="4" w:space="0" w:color="auto"/>
              <w:left w:val="single" w:sz="4" w:space="0" w:color="auto"/>
              <w:bottom w:val="single" w:sz="4" w:space="0" w:color="auto"/>
              <w:right w:val="single" w:sz="4" w:space="0" w:color="auto"/>
            </w:tcBorders>
            <w:vAlign w:val="center"/>
          </w:tcPr>
          <w:p w:rsidR="00B2670F" w:rsidRPr="005E63BD" w:rsidRDefault="00B2670F" w:rsidP="007D3AA7">
            <w:pPr>
              <w:spacing w:after="0" w:line="240" w:lineRule="auto"/>
              <w:rPr>
                <w:rFonts w:ascii="Times New Roman" w:eastAsia="Calibri" w:hAnsi="Times New Roman"/>
                <w:bCs/>
                <w:sz w:val="23"/>
                <w:szCs w:val="23"/>
              </w:rPr>
            </w:pPr>
          </w:p>
        </w:tc>
        <w:tc>
          <w:tcPr>
            <w:tcW w:w="992" w:type="dxa"/>
            <w:tcBorders>
              <w:top w:val="nil"/>
              <w:left w:val="nil"/>
              <w:bottom w:val="single" w:sz="4" w:space="0" w:color="auto"/>
              <w:right w:val="single" w:sz="4" w:space="0" w:color="auto"/>
            </w:tcBorders>
            <w:shd w:val="clear" w:color="auto" w:fill="auto"/>
            <w:vAlign w:val="center"/>
          </w:tcPr>
          <w:p w:rsidR="00B2670F" w:rsidRPr="005E63BD" w:rsidRDefault="00B2670F" w:rsidP="007D3AA7">
            <w:pPr>
              <w:spacing w:after="0" w:line="240" w:lineRule="auto"/>
              <w:ind w:left="-108" w:right="-108"/>
              <w:jc w:val="center"/>
              <w:rPr>
                <w:rFonts w:ascii="Times New Roman" w:eastAsia="Calibri" w:hAnsi="Times New Roman"/>
                <w:bCs/>
                <w:sz w:val="23"/>
                <w:szCs w:val="23"/>
              </w:rPr>
            </w:pPr>
            <w:r w:rsidRPr="005E63BD">
              <w:rPr>
                <w:rFonts w:ascii="Times New Roman" w:eastAsia="Calibri" w:hAnsi="Times New Roman"/>
                <w:bCs/>
                <w:sz w:val="23"/>
                <w:szCs w:val="23"/>
              </w:rPr>
              <w:t>2017 год</w:t>
            </w:r>
          </w:p>
        </w:tc>
        <w:tc>
          <w:tcPr>
            <w:tcW w:w="1134" w:type="dxa"/>
            <w:tcBorders>
              <w:top w:val="nil"/>
              <w:left w:val="nil"/>
              <w:bottom w:val="single" w:sz="4" w:space="0" w:color="auto"/>
              <w:right w:val="single" w:sz="4" w:space="0" w:color="auto"/>
            </w:tcBorders>
            <w:shd w:val="clear" w:color="auto" w:fill="auto"/>
            <w:vAlign w:val="center"/>
          </w:tcPr>
          <w:p w:rsidR="00B2670F" w:rsidRPr="005E63BD" w:rsidRDefault="00B2670F" w:rsidP="007D3AA7">
            <w:pPr>
              <w:spacing w:after="0" w:line="240" w:lineRule="auto"/>
              <w:ind w:left="-108" w:right="-109"/>
              <w:jc w:val="center"/>
              <w:rPr>
                <w:rFonts w:ascii="Times New Roman" w:eastAsia="Calibri" w:hAnsi="Times New Roman"/>
                <w:bCs/>
                <w:sz w:val="23"/>
                <w:szCs w:val="23"/>
              </w:rPr>
            </w:pPr>
            <w:r w:rsidRPr="005E63BD">
              <w:rPr>
                <w:rFonts w:ascii="Times New Roman" w:eastAsia="Calibri" w:hAnsi="Times New Roman"/>
                <w:bCs/>
                <w:sz w:val="23"/>
                <w:szCs w:val="23"/>
              </w:rPr>
              <w:t>2018 год</w:t>
            </w:r>
          </w:p>
        </w:tc>
        <w:tc>
          <w:tcPr>
            <w:tcW w:w="1276" w:type="dxa"/>
            <w:tcBorders>
              <w:top w:val="nil"/>
              <w:left w:val="nil"/>
              <w:bottom w:val="single" w:sz="4" w:space="0" w:color="auto"/>
              <w:right w:val="single" w:sz="4" w:space="0" w:color="auto"/>
            </w:tcBorders>
            <w:shd w:val="clear" w:color="auto" w:fill="auto"/>
            <w:vAlign w:val="center"/>
          </w:tcPr>
          <w:p w:rsidR="00B2670F" w:rsidRPr="005E63BD" w:rsidRDefault="00B2670F" w:rsidP="007D3AA7">
            <w:pPr>
              <w:spacing w:after="0" w:line="240" w:lineRule="auto"/>
              <w:ind w:left="-108"/>
              <w:jc w:val="center"/>
              <w:rPr>
                <w:rFonts w:ascii="Times New Roman" w:eastAsia="Calibri" w:hAnsi="Times New Roman"/>
                <w:bCs/>
                <w:sz w:val="23"/>
                <w:szCs w:val="23"/>
              </w:rPr>
            </w:pPr>
            <w:r w:rsidRPr="005E63BD">
              <w:rPr>
                <w:rFonts w:ascii="Times New Roman" w:eastAsia="Calibri" w:hAnsi="Times New Roman"/>
                <w:bCs/>
                <w:sz w:val="23"/>
                <w:szCs w:val="23"/>
              </w:rPr>
              <w:t xml:space="preserve">Темп роста </w:t>
            </w:r>
          </w:p>
          <w:p w:rsidR="00B2670F" w:rsidRPr="005E63BD" w:rsidRDefault="00B2670F" w:rsidP="001C054B">
            <w:pPr>
              <w:spacing w:after="0" w:line="240" w:lineRule="auto"/>
              <w:ind w:left="-108" w:right="-108"/>
              <w:jc w:val="center"/>
              <w:rPr>
                <w:rFonts w:ascii="Times New Roman" w:eastAsia="Calibri" w:hAnsi="Times New Roman"/>
                <w:bCs/>
                <w:sz w:val="23"/>
                <w:szCs w:val="23"/>
              </w:rPr>
            </w:pPr>
            <w:r w:rsidRPr="005E63BD">
              <w:rPr>
                <w:rFonts w:ascii="Times New Roman" w:eastAsia="Calibri" w:hAnsi="Times New Roman"/>
                <w:bCs/>
                <w:sz w:val="23"/>
                <w:szCs w:val="23"/>
              </w:rPr>
              <w:t>в % к</w:t>
            </w:r>
            <w:r w:rsidR="005E63BD">
              <w:rPr>
                <w:rFonts w:ascii="Times New Roman" w:eastAsia="Calibri" w:hAnsi="Times New Roman"/>
                <w:bCs/>
                <w:sz w:val="23"/>
                <w:szCs w:val="23"/>
              </w:rPr>
              <w:t xml:space="preserve"> </w:t>
            </w:r>
            <w:r w:rsidRPr="005E63BD">
              <w:rPr>
                <w:rFonts w:ascii="Times New Roman" w:eastAsia="Calibri" w:hAnsi="Times New Roman"/>
                <w:bCs/>
                <w:sz w:val="23"/>
                <w:szCs w:val="23"/>
              </w:rPr>
              <w:t>2017 г.</w:t>
            </w:r>
          </w:p>
        </w:tc>
        <w:tc>
          <w:tcPr>
            <w:tcW w:w="992" w:type="dxa"/>
            <w:tcBorders>
              <w:top w:val="nil"/>
              <w:left w:val="nil"/>
              <w:bottom w:val="single" w:sz="4" w:space="0" w:color="auto"/>
              <w:right w:val="single" w:sz="4" w:space="0" w:color="auto"/>
            </w:tcBorders>
            <w:shd w:val="clear" w:color="auto" w:fill="auto"/>
            <w:vAlign w:val="center"/>
          </w:tcPr>
          <w:p w:rsidR="00B2670F" w:rsidRPr="005E63BD" w:rsidRDefault="00B2670F" w:rsidP="007D3AA7">
            <w:pPr>
              <w:spacing w:after="0" w:line="240" w:lineRule="auto"/>
              <w:ind w:left="-109" w:right="-108"/>
              <w:jc w:val="center"/>
              <w:rPr>
                <w:rFonts w:ascii="Times New Roman" w:eastAsia="Calibri" w:hAnsi="Times New Roman"/>
                <w:bCs/>
                <w:sz w:val="23"/>
                <w:szCs w:val="23"/>
              </w:rPr>
            </w:pPr>
            <w:r w:rsidRPr="005E63BD">
              <w:rPr>
                <w:rFonts w:ascii="Times New Roman" w:eastAsia="Calibri" w:hAnsi="Times New Roman"/>
                <w:bCs/>
                <w:sz w:val="23"/>
                <w:szCs w:val="23"/>
              </w:rPr>
              <w:t>2017 год</w:t>
            </w:r>
          </w:p>
        </w:tc>
        <w:tc>
          <w:tcPr>
            <w:tcW w:w="992" w:type="dxa"/>
            <w:tcBorders>
              <w:top w:val="nil"/>
              <w:left w:val="nil"/>
              <w:bottom w:val="single" w:sz="4" w:space="0" w:color="auto"/>
              <w:right w:val="single" w:sz="4" w:space="0" w:color="auto"/>
            </w:tcBorders>
            <w:shd w:val="clear" w:color="auto" w:fill="auto"/>
            <w:vAlign w:val="center"/>
          </w:tcPr>
          <w:p w:rsidR="00B2670F" w:rsidRPr="005E63BD" w:rsidRDefault="00B2670F" w:rsidP="007D3AA7">
            <w:pPr>
              <w:spacing w:after="0" w:line="240" w:lineRule="auto"/>
              <w:ind w:left="-109" w:right="-107"/>
              <w:jc w:val="center"/>
              <w:rPr>
                <w:rFonts w:ascii="Times New Roman" w:eastAsia="Calibri" w:hAnsi="Times New Roman"/>
                <w:bCs/>
                <w:sz w:val="23"/>
                <w:szCs w:val="23"/>
              </w:rPr>
            </w:pPr>
            <w:r w:rsidRPr="005E63BD">
              <w:rPr>
                <w:rFonts w:ascii="Times New Roman" w:eastAsia="Calibri" w:hAnsi="Times New Roman"/>
                <w:bCs/>
                <w:sz w:val="23"/>
                <w:szCs w:val="23"/>
              </w:rPr>
              <w:t>2018 год</w:t>
            </w:r>
          </w:p>
        </w:tc>
        <w:tc>
          <w:tcPr>
            <w:tcW w:w="1417" w:type="dxa"/>
            <w:tcBorders>
              <w:top w:val="nil"/>
              <w:left w:val="nil"/>
              <w:bottom w:val="single" w:sz="4" w:space="0" w:color="auto"/>
              <w:right w:val="single" w:sz="4" w:space="0" w:color="auto"/>
            </w:tcBorders>
            <w:shd w:val="clear" w:color="auto" w:fill="auto"/>
            <w:vAlign w:val="center"/>
          </w:tcPr>
          <w:p w:rsidR="00B2670F" w:rsidRPr="005E63BD" w:rsidRDefault="00B2670F" w:rsidP="007D3AA7">
            <w:pPr>
              <w:spacing w:after="0" w:line="240" w:lineRule="auto"/>
              <w:ind w:left="-141"/>
              <w:jc w:val="center"/>
              <w:rPr>
                <w:rFonts w:ascii="Times New Roman" w:eastAsia="Calibri" w:hAnsi="Times New Roman"/>
                <w:bCs/>
                <w:sz w:val="23"/>
                <w:szCs w:val="23"/>
              </w:rPr>
            </w:pPr>
            <w:r w:rsidRPr="005E63BD">
              <w:rPr>
                <w:rFonts w:ascii="Times New Roman" w:eastAsia="Calibri" w:hAnsi="Times New Roman"/>
                <w:bCs/>
                <w:sz w:val="23"/>
                <w:szCs w:val="23"/>
              </w:rPr>
              <w:t>Темп роста</w:t>
            </w:r>
          </w:p>
          <w:p w:rsidR="00B2670F" w:rsidRPr="005E63BD" w:rsidRDefault="00B2670F" w:rsidP="001C054B">
            <w:pPr>
              <w:spacing w:after="0" w:line="240" w:lineRule="auto"/>
              <w:ind w:left="-141"/>
              <w:jc w:val="center"/>
              <w:rPr>
                <w:rFonts w:ascii="Times New Roman" w:eastAsia="Calibri" w:hAnsi="Times New Roman"/>
                <w:bCs/>
                <w:sz w:val="23"/>
                <w:szCs w:val="23"/>
              </w:rPr>
            </w:pPr>
            <w:r w:rsidRPr="005E63BD">
              <w:rPr>
                <w:rFonts w:ascii="Times New Roman" w:eastAsia="Calibri" w:hAnsi="Times New Roman"/>
                <w:bCs/>
                <w:sz w:val="23"/>
                <w:szCs w:val="23"/>
              </w:rPr>
              <w:t xml:space="preserve"> в % к 2017 г.</w:t>
            </w:r>
          </w:p>
        </w:tc>
      </w:tr>
      <w:tr w:rsidR="00B2670F" w:rsidRPr="00B2670F" w:rsidTr="005E63BD">
        <w:trPr>
          <w:trHeight w:val="37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B2670F" w:rsidRPr="005E63BD" w:rsidRDefault="00B2670F" w:rsidP="007D3AA7">
            <w:pPr>
              <w:spacing w:after="0" w:line="240" w:lineRule="auto"/>
              <w:ind w:right="-108"/>
              <w:rPr>
                <w:rFonts w:ascii="Times New Roman" w:eastAsia="Calibri" w:hAnsi="Times New Roman"/>
                <w:bCs/>
                <w:sz w:val="23"/>
                <w:szCs w:val="23"/>
              </w:rPr>
            </w:pPr>
            <w:r w:rsidRPr="005E63BD">
              <w:rPr>
                <w:rFonts w:ascii="Times New Roman" w:eastAsia="Calibri" w:hAnsi="Times New Roman"/>
                <w:bCs/>
                <w:sz w:val="23"/>
                <w:szCs w:val="23"/>
              </w:rPr>
              <w:t>Зерновые и зернобобовые культуры, из них:</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458,6</w:t>
            </w:r>
          </w:p>
        </w:tc>
        <w:tc>
          <w:tcPr>
            <w:tcW w:w="1134"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480,1</w:t>
            </w:r>
          </w:p>
        </w:tc>
        <w:tc>
          <w:tcPr>
            <w:tcW w:w="1276"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104,7</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ind w:left="-250" w:firstLine="44"/>
              <w:jc w:val="right"/>
              <w:rPr>
                <w:rFonts w:ascii="Times New Roman" w:eastAsiaTheme="minorEastAsia" w:hAnsi="Times New Roman"/>
                <w:sz w:val="23"/>
                <w:szCs w:val="23"/>
              </w:rPr>
            </w:pPr>
            <w:r w:rsidRPr="005E63BD">
              <w:rPr>
                <w:rFonts w:ascii="Times New Roman" w:eastAsiaTheme="minorEastAsia" w:hAnsi="Times New Roman"/>
                <w:sz w:val="23"/>
                <w:szCs w:val="23"/>
              </w:rPr>
              <w:t>40,2</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ind w:left="-250" w:firstLine="44"/>
              <w:jc w:val="right"/>
              <w:rPr>
                <w:rFonts w:ascii="Times New Roman" w:eastAsiaTheme="minorEastAsia" w:hAnsi="Times New Roman"/>
                <w:sz w:val="23"/>
                <w:szCs w:val="23"/>
              </w:rPr>
            </w:pPr>
            <w:r w:rsidRPr="005E63BD">
              <w:rPr>
                <w:rFonts w:ascii="Times New Roman" w:eastAsiaTheme="minorEastAsia" w:hAnsi="Times New Roman"/>
                <w:sz w:val="23"/>
                <w:szCs w:val="23"/>
              </w:rPr>
              <w:t>40,0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99,5</w:t>
            </w:r>
          </w:p>
        </w:tc>
      </w:tr>
      <w:tr w:rsidR="00B2670F" w:rsidRPr="00B2670F" w:rsidTr="001C054B">
        <w:trPr>
          <w:trHeight w:val="126"/>
        </w:trPr>
        <w:tc>
          <w:tcPr>
            <w:tcW w:w="2694" w:type="dxa"/>
            <w:tcBorders>
              <w:top w:val="single" w:sz="4" w:space="0" w:color="auto"/>
              <w:left w:val="single" w:sz="4" w:space="0" w:color="auto"/>
              <w:bottom w:val="single" w:sz="4" w:space="0" w:color="auto"/>
              <w:right w:val="single" w:sz="4" w:space="0" w:color="auto"/>
            </w:tcBorders>
            <w:shd w:val="clear" w:color="auto" w:fill="auto"/>
          </w:tcPr>
          <w:p w:rsidR="00B2670F" w:rsidRPr="005E63BD" w:rsidRDefault="00B2670F" w:rsidP="007D3AA7">
            <w:pPr>
              <w:spacing w:after="0" w:line="240" w:lineRule="auto"/>
              <w:ind w:right="-108"/>
              <w:rPr>
                <w:rFonts w:ascii="Times New Roman" w:eastAsia="Calibri" w:hAnsi="Times New Roman"/>
                <w:bCs/>
                <w:sz w:val="23"/>
                <w:szCs w:val="23"/>
              </w:rPr>
            </w:pPr>
            <w:r w:rsidRPr="005E63BD">
              <w:rPr>
                <w:rFonts w:ascii="Times New Roman" w:eastAsia="Calibri" w:hAnsi="Times New Roman"/>
                <w:bCs/>
                <w:sz w:val="23"/>
                <w:szCs w:val="23"/>
              </w:rPr>
              <w:t>озимая пшеница</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290,6</w:t>
            </w:r>
          </w:p>
        </w:tc>
        <w:tc>
          <w:tcPr>
            <w:tcW w:w="1134"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300,3</w:t>
            </w:r>
          </w:p>
        </w:tc>
        <w:tc>
          <w:tcPr>
            <w:tcW w:w="1276"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103,3</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40,1</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37,7</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94,0</w:t>
            </w:r>
          </w:p>
        </w:tc>
      </w:tr>
      <w:tr w:rsidR="00B2670F" w:rsidRPr="00B2670F" w:rsidTr="001C054B">
        <w:trPr>
          <w:trHeight w:val="144"/>
        </w:trPr>
        <w:tc>
          <w:tcPr>
            <w:tcW w:w="2694" w:type="dxa"/>
            <w:tcBorders>
              <w:top w:val="single" w:sz="4" w:space="0" w:color="auto"/>
              <w:left w:val="single" w:sz="4" w:space="0" w:color="auto"/>
              <w:bottom w:val="single" w:sz="4" w:space="0" w:color="auto"/>
              <w:right w:val="single" w:sz="4" w:space="0" w:color="auto"/>
            </w:tcBorders>
            <w:shd w:val="clear" w:color="auto" w:fill="auto"/>
          </w:tcPr>
          <w:p w:rsidR="00B2670F" w:rsidRPr="005E63BD" w:rsidRDefault="00B2670F" w:rsidP="007D3AA7">
            <w:pPr>
              <w:spacing w:after="0" w:line="240" w:lineRule="auto"/>
              <w:ind w:right="-108"/>
              <w:rPr>
                <w:rFonts w:ascii="Times New Roman" w:eastAsia="Calibri" w:hAnsi="Times New Roman"/>
                <w:bCs/>
                <w:sz w:val="23"/>
                <w:szCs w:val="23"/>
              </w:rPr>
            </w:pPr>
            <w:r w:rsidRPr="005E63BD">
              <w:rPr>
                <w:rFonts w:ascii="Times New Roman" w:eastAsia="Calibri" w:hAnsi="Times New Roman"/>
                <w:bCs/>
                <w:sz w:val="23"/>
                <w:szCs w:val="23"/>
              </w:rPr>
              <w:t>кукуруза на зерно</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98,5</w:t>
            </w:r>
          </w:p>
        </w:tc>
        <w:tc>
          <w:tcPr>
            <w:tcW w:w="1134"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134,2</w:t>
            </w:r>
          </w:p>
        </w:tc>
        <w:tc>
          <w:tcPr>
            <w:tcW w:w="1276"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136,2</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50,7</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65,3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128,8</w:t>
            </w:r>
          </w:p>
        </w:tc>
      </w:tr>
      <w:tr w:rsidR="00B2670F" w:rsidRPr="00B2670F" w:rsidTr="005E63BD">
        <w:trPr>
          <w:trHeight w:val="214"/>
        </w:trPr>
        <w:tc>
          <w:tcPr>
            <w:tcW w:w="2694" w:type="dxa"/>
            <w:tcBorders>
              <w:top w:val="single" w:sz="4" w:space="0" w:color="auto"/>
              <w:left w:val="single" w:sz="4" w:space="0" w:color="auto"/>
              <w:bottom w:val="single" w:sz="4" w:space="0" w:color="auto"/>
              <w:right w:val="single" w:sz="4" w:space="0" w:color="auto"/>
            </w:tcBorders>
            <w:shd w:val="clear" w:color="auto" w:fill="auto"/>
          </w:tcPr>
          <w:p w:rsidR="00B2670F" w:rsidRPr="005E63BD" w:rsidRDefault="00B2670F" w:rsidP="007D3AA7">
            <w:pPr>
              <w:spacing w:after="0" w:line="240" w:lineRule="auto"/>
              <w:ind w:right="-108"/>
              <w:rPr>
                <w:rFonts w:ascii="Times New Roman" w:eastAsia="Calibri" w:hAnsi="Times New Roman"/>
                <w:bCs/>
                <w:sz w:val="23"/>
                <w:szCs w:val="23"/>
              </w:rPr>
            </w:pPr>
            <w:r w:rsidRPr="005E63BD">
              <w:rPr>
                <w:rFonts w:ascii="Times New Roman" w:eastAsia="Calibri" w:hAnsi="Times New Roman"/>
                <w:bCs/>
                <w:sz w:val="23"/>
                <w:szCs w:val="23"/>
              </w:rPr>
              <w:t>Подсолнечник на зерно</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121,3</w:t>
            </w:r>
          </w:p>
        </w:tc>
        <w:tc>
          <w:tcPr>
            <w:tcW w:w="1134"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110,0</w:t>
            </w:r>
          </w:p>
        </w:tc>
        <w:tc>
          <w:tcPr>
            <w:tcW w:w="1276"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90,7</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18,3</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20,2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110,4</w:t>
            </w:r>
          </w:p>
        </w:tc>
      </w:tr>
      <w:tr w:rsidR="00B2670F" w:rsidRPr="00B2670F" w:rsidTr="005E63BD">
        <w:trPr>
          <w:trHeight w:val="127"/>
        </w:trPr>
        <w:tc>
          <w:tcPr>
            <w:tcW w:w="2694" w:type="dxa"/>
            <w:tcBorders>
              <w:top w:val="single" w:sz="4" w:space="0" w:color="auto"/>
              <w:left w:val="single" w:sz="4" w:space="0" w:color="auto"/>
              <w:bottom w:val="single" w:sz="4" w:space="0" w:color="auto"/>
              <w:right w:val="single" w:sz="4" w:space="0" w:color="auto"/>
            </w:tcBorders>
            <w:shd w:val="clear" w:color="auto" w:fill="auto"/>
          </w:tcPr>
          <w:p w:rsidR="00B2670F" w:rsidRPr="005E63BD" w:rsidRDefault="00B2670F" w:rsidP="007D3AA7">
            <w:pPr>
              <w:spacing w:after="0" w:line="240" w:lineRule="auto"/>
              <w:ind w:right="-108"/>
              <w:rPr>
                <w:rFonts w:ascii="Times New Roman" w:eastAsia="Calibri" w:hAnsi="Times New Roman"/>
                <w:bCs/>
                <w:sz w:val="23"/>
                <w:szCs w:val="23"/>
              </w:rPr>
            </w:pPr>
            <w:r w:rsidRPr="005E63BD">
              <w:rPr>
                <w:rFonts w:ascii="Times New Roman" w:eastAsia="Calibri" w:hAnsi="Times New Roman"/>
                <w:bCs/>
                <w:sz w:val="23"/>
                <w:szCs w:val="23"/>
              </w:rPr>
              <w:t>Картофель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4,7</w:t>
            </w:r>
          </w:p>
        </w:tc>
        <w:tc>
          <w:tcPr>
            <w:tcW w:w="1134"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2,9</w:t>
            </w:r>
          </w:p>
        </w:tc>
        <w:tc>
          <w:tcPr>
            <w:tcW w:w="1276"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61,7</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237,7</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173,6</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73,0</w:t>
            </w:r>
          </w:p>
        </w:tc>
      </w:tr>
      <w:tr w:rsidR="00B2670F" w:rsidRPr="00B2670F" w:rsidTr="005E63BD">
        <w:trPr>
          <w:trHeight w:val="1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B2670F" w:rsidRPr="005E63BD" w:rsidRDefault="00B2670F" w:rsidP="007D3AA7">
            <w:pPr>
              <w:spacing w:after="0" w:line="240" w:lineRule="auto"/>
              <w:ind w:right="-108"/>
              <w:rPr>
                <w:rFonts w:ascii="Times New Roman" w:eastAsia="Calibri" w:hAnsi="Times New Roman"/>
                <w:iCs/>
                <w:sz w:val="23"/>
                <w:szCs w:val="23"/>
              </w:rPr>
            </w:pPr>
            <w:r w:rsidRPr="005E63BD">
              <w:rPr>
                <w:rFonts w:ascii="Times New Roman" w:eastAsia="Calibri" w:hAnsi="Times New Roman"/>
                <w:iCs/>
                <w:sz w:val="23"/>
                <w:szCs w:val="23"/>
              </w:rPr>
              <w:t>Овощи открытого грунта</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41,5</w:t>
            </w:r>
          </w:p>
        </w:tc>
        <w:tc>
          <w:tcPr>
            <w:tcW w:w="1134"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28,1</w:t>
            </w:r>
          </w:p>
        </w:tc>
        <w:tc>
          <w:tcPr>
            <w:tcW w:w="1276"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67,7</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203,9</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155,9</w:t>
            </w:r>
          </w:p>
        </w:tc>
        <w:tc>
          <w:tcPr>
            <w:tcW w:w="1417"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76,5</w:t>
            </w:r>
          </w:p>
        </w:tc>
      </w:tr>
      <w:tr w:rsidR="00B2670F" w:rsidRPr="00B2670F" w:rsidTr="005E63BD">
        <w:trPr>
          <w:trHeight w:val="92"/>
        </w:trPr>
        <w:tc>
          <w:tcPr>
            <w:tcW w:w="2694" w:type="dxa"/>
            <w:tcBorders>
              <w:top w:val="single" w:sz="4" w:space="0" w:color="auto"/>
              <w:left w:val="single" w:sz="4" w:space="0" w:color="auto"/>
              <w:bottom w:val="single" w:sz="4" w:space="0" w:color="auto"/>
              <w:right w:val="single" w:sz="4" w:space="0" w:color="auto"/>
            </w:tcBorders>
            <w:shd w:val="clear" w:color="auto" w:fill="auto"/>
          </w:tcPr>
          <w:p w:rsidR="00B2670F" w:rsidRPr="005E63BD" w:rsidRDefault="00B2670F" w:rsidP="007D3AA7">
            <w:pPr>
              <w:spacing w:after="0" w:line="240" w:lineRule="auto"/>
              <w:ind w:right="-108"/>
              <w:rPr>
                <w:rFonts w:ascii="Times New Roman" w:eastAsia="Calibri" w:hAnsi="Times New Roman"/>
                <w:iCs/>
                <w:sz w:val="23"/>
                <w:szCs w:val="23"/>
              </w:rPr>
            </w:pPr>
            <w:r w:rsidRPr="005E63BD">
              <w:rPr>
                <w:rFonts w:ascii="Times New Roman" w:eastAsia="Calibri" w:hAnsi="Times New Roman"/>
                <w:iCs/>
                <w:sz w:val="23"/>
                <w:szCs w:val="23"/>
              </w:rPr>
              <w:t>Плоды</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14,3</w:t>
            </w:r>
          </w:p>
        </w:tc>
        <w:tc>
          <w:tcPr>
            <w:tcW w:w="1134"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25,6</w:t>
            </w:r>
          </w:p>
        </w:tc>
        <w:tc>
          <w:tcPr>
            <w:tcW w:w="1276" w:type="dxa"/>
            <w:tcBorders>
              <w:top w:val="single" w:sz="4" w:space="0" w:color="auto"/>
              <w:left w:val="nil"/>
              <w:bottom w:val="single" w:sz="4" w:space="0" w:color="auto"/>
              <w:right w:val="single" w:sz="4" w:space="0" w:color="auto"/>
            </w:tcBorders>
            <w:shd w:val="clear" w:color="auto" w:fill="auto"/>
            <w:vAlign w:val="center"/>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179,0</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86,6**</w:t>
            </w:r>
          </w:p>
        </w:tc>
        <w:tc>
          <w:tcPr>
            <w:tcW w:w="992" w:type="dxa"/>
            <w:tcBorders>
              <w:top w:val="single" w:sz="4" w:space="0" w:color="auto"/>
              <w:left w:val="nil"/>
              <w:bottom w:val="single" w:sz="4" w:space="0" w:color="auto"/>
              <w:right w:val="single" w:sz="4" w:space="0" w:color="auto"/>
            </w:tcBorders>
            <w:shd w:val="clear" w:color="auto" w:fill="auto"/>
            <w:vAlign w:val="bottom"/>
          </w:tcPr>
          <w:p w:rsidR="00B2670F" w:rsidRPr="005E63BD" w:rsidRDefault="00B2670F" w:rsidP="00653B80">
            <w:pPr>
              <w:spacing w:after="0" w:line="240" w:lineRule="auto"/>
              <w:ind w:left="-108"/>
              <w:jc w:val="right"/>
              <w:rPr>
                <w:rFonts w:ascii="Times New Roman" w:eastAsiaTheme="minorEastAsia" w:hAnsi="Times New Roman"/>
                <w:sz w:val="23"/>
                <w:szCs w:val="23"/>
              </w:rPr>
            </w:pPr>
            <w:r w:rsidRPr="005E63BD">
              <w:rPr>
                <w:rFonts w:ascii="Times New Roman" w:eastAsiaTheme="minorEastAsia" w:hAnsi="Times New Roman"/>
                <w:sz w:val="23"/>
                <w:szCs w:val="23"/>
              </w:rPr>
              <w:t>126,6**</w:t>
            </w:r>
          </w:p>
        </w:tc>
        <w:tc>
          <w:tcPr>
            <w:tcW w:w="1417" w:type="dxa"/>
            <w:tcBorders>
              <w:top w:val="single" w:sz="4" w:space="0" w:color="auto"/>
              <w:left w:val="nil"/>
              <w:bottom w:val="single" w:sz="4" w:space="0" w:color="auto"/>
              <w:right w:val="single" w:sz="4" w:space="0" w:color="auto"/>
            </w:tcBorders>
            <w:shd w:val="clear" w:color="auto" w:fill="auto"/>
            <w:vAlign w:val="center"/>
          </w:tcPr>
          <w:p w:rsidR="00B2670F" w:rsidRPr="005E63BD" w:rsidRDefault="00B2670F" w:rsidP="00653B80">
            <w:pPr>
              <w:tabs>
                <w:tab w:val="left" w:pos="867"/>
              </w:tabs>
              <w:spacing w:after="0" w:line="240" w:lineRule="auto"/>
              <w:ind w:left="-108"/>
              <w:jc w:val="right"/>
              <w:rPr>
                <w:rFonts w:ascii="Times New Roman" w:eastAsia="Calibri" w:hAnsi="Times New Roman"/>
                <w:sz w:val="23"/>
                <w:szCs w:val="23"/>
              </w:rPr>
            </w:pPr>
            <w:r w:rsidRPr="005E63BD">
              <w:rPr>
                <w:rFonts w:ascii="Times New Roman" w:eastAsia="Calibri" w:hAnsi="Times New Roman"/>
                <w:sz w:val="23"/>
                <w:szCs w:val="23"/>
              </w:rPr>
              <w:t>146,6</w:t>
            </w:r>
          </w:p>
        </w:tc>
      </w:tr>
      <w:tr w:rsidR="00B2670F" w:rsidRPr="00B2670F" w:rsidTr="005E63BD">
        <w:trPr>
          <w:trHeight w:val="7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B2670F" w:rsidRPr="005E63BD" w:rsidRDefault="00B2670F" w:rsidP="007D3AA7">
            <w:pPr>
              <w:spacing w:after="0" w:line="240" w:lineRule="auto"/>
              <w:ind w:right="-108"/>
              <w:rPr>
                <w:rFonts w:ascii="Times New Roman" w:eastAsia="Calibri" w:hAnsi="Times New Roman"/>
                <w:iCs/>
                <w:sz w:val="23"/>
                <w:szCs w:val="23"/>
              </w:rPr>
            </w:pPr>
            <w:r w:rsidRPr="005E63BD">
              <w:rPr>
                <w:rFonts w:ascii="Times New Roman" w:eastAsia="Calibri" w:hAnsi="Times New Roman"/>
                <w:iCs/>
                <w:sz w:val="23"/>
                <w:szCs w:val="23"/>
              </w:rPr>
              <w:t>Виноград</w:t>
            </w:r>
          </w:p>
        </w:tc>
        <w:tc>
          <w:tcPr>
            <w:tcW w:w="992" w:type="dxa"/>
            <w:tcBorders>
              <w:top w:val="single" w:sz="4" w:space="0" w:color="auto"/>
              <w:left w:val="nil"/>
              <w:bottom w:val="single" w:sz="4" w:space="0" w:color="auto"/>
              <w:right w:val="single" w:sz="4" w:space="0" w:color="auto"/>
            </w:tcBorders>
            <w:shd w:val="clear" w:color="auto" w:fill="auto"/>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25,5</w:t>
            </w:r>
          </w:p>
        </w:tc>
        <w:tc>
          <w:tcPr>
            <w:tcW w:w="1134" w:type="dxa"/>
            <w:tcBorders>
              <w:top w:val="single" w:sz="4" w:space="0" w:color="auto"/>
              <w:left w:val="nil"/>
              <w:bottom w:val="single" w:sz="4" w:space="0" w:color="auto"/>
              <w:right w:val="single" w:sz="4" w:space="0" w:color="auto"/>
            </w:tcBorders>
            <w:shd w:val="clear" w:color="auto" w:fill="auto"/>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23,3</w:t>
            </w:r>
          </w:p>
        </w:tc>
        <w:tc>
          <w:tcPr>
            <w:tcW w:w="1276" w:type="dxa"/>
            <w:tcBorders>
              <w:top w:val="single" w:sz="4" w:space="0" w:color="auto"/>
              <w:left w:val="nil"/>
              <w:bottom w:val="single" w:sz="4" w:space="0" w:color="auto"/>
              <w:right w:val="single" w:sz="4" w:space="0" w:color="auto"/>
            </w:tcBorders>
            <w:shd w:val="clear" w:color="auto" w:fill="auto"/>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91,4</w:t>
            </w:r>
          </w:p>
        </w:tc>
        <w:tc>
          <w:tcPr>
            <w:tcW w:w="992" w:type="dxa"/>
            <w:tcBorders>
              <w:top w:val="single" w:sz="4" w:space="0" w:color="auto"/>
              <w:left w:val="nil"/>
              <w:bottom w:val="single" w:sz="4" w:space="0" w:color="auto"/>
              <w:right w:val="single" w:sz="4" w:space="0" w:color="auto"/>
            </w:tcBorders>
            <w:shd w:val="clear" w:color="auto" w:fill="auto"/>
          </w:tcPr>
          <w:p w:rsidR="00B2670F" w:rsidRPr="005E63BD" w:rsidRDefault="00B2670F" w:rsidP="00653B80">
            <w:pPr>
              <w:spacing w:after="0" w:line="240" w:lineRule="auto"/>
              <w:ind w:left="-108"/>
              <w:jc w:val="right"/>
              <w:rPr>
                <w:rFonts w:ascii="Times New Roman" w:eastAsiaTheme="minorEastAsia" w:hAnsi="Times New Roman"/>
                <w:sz w:val="23"/>
                <w:szCs w:val="23"/>
              </w:rPr>
            </w:pPr>
            <w:r w:rsidRPr="005E63BD">
              <w:rPr>
                <w:rFonts w:ascii="Times New Roman" w:eastAsiaTheme="minorEastAsia" w:hAnsi="Times New Roman"/>
                <w:sz w:val="23"/>
                <w:szCs w:val="23"/>
              </w:rPr>
              <w:t>102,7**</w:t>
            </w:r>
          </w:p>
        </w:tc>
        <w:tc>
          <w:tcPr>
            <w:tcW w:w="992" w:type="dxa"/>
            <w:tcBorders>
              <w:top w:val="single" w:sz="4" w:space="0" w:color="auto"/>
              <w:left w:val="nil"/>
              <w:bottom w:val="single" w:sz="4" w:space="0" w:color="auto"/>
              <w:right w:val="single" w:sz="4" w:space="0" w:color="auto"/>
            </w:tcBorders>
            <w:shd w:val="clear" w:color="auto" w:fill="auto"/>
          </w:tcPr>
          <w:p w:rsidR="00B2670F" w:rsidRPr="005E63BD" w:rsidRDefault="00B2670F" w:rsidP="007D3AA7">
            <w:pPr>
              <w:spacing w:after="0" w:line="240" w:lineRule="auto"/>
              <w:jc w:val="right"/>
              <w:rPr>
                <w:rFonts w:ascii="Times New Roman" w:eastAsiaTheme="minorEastAsia" w:hAnsi="Times New Roman"/>
                <w:sz w:val="23"/>
                <w:szCs w:val="23"/>
              </w:rPr>
            </w:pPr>
            <w:r w:rsidRPr="005E63BD">
              <w:rPr>
                <w:rFonts w:ascii="Times New Roman" w:eastAsiaTheme="minorEastAsia" w:hAnsi="Times New Roman"/>
                <w:sz w:val="23"/>
                <w:szCs w:val="23"/>
              </w:rPr>
              <w:t>92,3**</w:t>
            </w:r>
          </w:p>
        </w:tc>
        <w:tc>
          <w:tcPr>
            <w:tcW w:w="1417" w:type="dxa"/>
            <w:tcBorders>
              <w:top w:val="single" w:sz="4" w:space="0" w:color="auto"/>
              <w:left w:val="nil"/>
              <w:bottom w:val="single" w:sz="4" w:space="0" w:color="auto"/>
              <w:right w:val="single" w:sz="4" w:space="0" w:color="auto"/>
            </w:tcBorders>
            <w:shd w:val="clear" w:color="auto" w:fill="auto"/>
          </w:tcPr>
          <w:p w:rsidR="00B2670F" w:rsidRPr="005E63BD" w:rsidRDefault="00B2670F" w:rsidP="007D3AA7">
            <w:pPr>
              <w:spacing w:after="0" w:line="240" w:lineRule="auto"/>
              <w:jc w:val="right"/>
              <w:rPr>
                <w:rFonts w:ascii="Times New Roman" w:eastAsia="Calibri" w:hAnsi="Times New Roman"/>
                <w:sz w:val="23"/>
                <w:szCs w:val="23"/>
              </w:rPr>
            </w:pPr>
            <w:r w:rsidRPr="005E63BD">
              <w:rPr>
                <w:rFonts w:ascii="Times New Roman" w:eastAsia="Calibri" w:hAnsi="Times New Roman"/>
                <w:sz w:val="23"/>
                <w:szCs w:val="23"/>
              </w:rPr>
              <w:t>89,9</w:t>
            </w:r>
          </w:p>
        </w:tc>
      </w:tr>
    </w:tbl>
    <w:p w:rsidR="00B2670F" w:rsidRPr="005E63BD" w:rsidRDefault="00B2670F" w:rsidP="007D3AA7">
      <w:pPr>
        <w:tabs>
          <w:tab w:val="left" w:pos="7020"/>
          <w:tab w:val="left" w:pos="8460"/>
        </w:tabs>
        <w:spacing w:after="0" w:line="240" w:lineRule="auto"/>
        <w:rPr>
          <w:rFonts w:ascii="Times New Roman" w:eastAsia="Calibri" w:hAnsi="Times New Roman" w:cstheme="minorBidi"/>
        </w:rPr>
      </w:pPr>
      <w:r w:rsidRPr="005E63BD">
        <w:rPr>
          <w:rFonts w:ascii="Times New Roman" w:eastAsia="Calibri" w:hAnsi="Times New Roman" w:cstheme="minorBidi"/>
        </w:rPr>
        <w:t xml:space="preserve"> *- средняя урожайность, ц/га  с уборочной площади;</w:t>
      </w:r>
    </w:p>
    <w:p w:rsidR="00B2670F" w:rsidRPr="005E63BD" w:rsidRDefault="00B2670F" w:rsidP="007D3AA7">
      <w:pPr>
        <w:tabs>
          <w:tab w:val="left" w:pos="8460"/>
        </w:tabs>
        <w:spacing w:after="0"/>
        <w:ind w:left="-567" w:firstLine="567"/>
        <w:rPr>
          <w:rFonts w:ascii="Times New Roman" w:eastAsia="Calibri" w:hAnsi="Times New Roman" w:cstheme="minorBidi"/>
        </w:rPr>
      </w:pPr>
      <w:r w:rsidRPr="005E63BD">
        <w:rPr>
          <w:rFonts w:ascii="Times New Roman" w:eastAsia="Calibri" w:hAnsi="Times New Roman" w:cstheme="minorBidi"/>
        </w:rPr>
        <w:t xml:space="preserve"> **- средняя урожайность, ц/га с площади в плодоносящем возрасте </w:t>
      </w:r>
    </w:p>
    <w:p w:rsidR="00B2670F" w:rsidRPr="00B2670F" w:rsidRDefault="00B2670F" w:rsidP="007D3AA7">
      <w:pPr>
        <w:spacing w:after="0" w:line="240" w:lineRule="auto"/>
        <w:ind w:firstLine="426"/>
        <w:jc w:val="both"/>
        <w:rPr>
          <w:rFonts w:ascii="Times New Roman" w:eastAsiaTheme="minorEastAsia" w:hAnsi="Times New Roman" w:cstheme="minorBidi"/>
          <w:sz w:val="10"/>
          <w:szCs w:val="10"/>
        </w:rPr>
      </w:pPr>
    </w:p>
    <w:p w:rsidR="00B2670F" w:rsidRPr="00B2670F" w:rsidRDefault="00B2670F" w:rsidP="007D3AA7">
      <w:pPr>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xml:space="preserve">Добиваться рекордных показателей в растениеводстве без развития мелиорации в условиях учащающихся периодов засухи практически невозможно. Поэтому развитие мелиоративного комплекса остается одной из приоритетных задач государства в долгосрочной перспективе. </w:t>
      </w:r>
    </w:p>
    <w:p w:rsidR="00B2670F" w:rsidRPr="00B2670F" w:rsidRDefault="00B2670F" w:rsidP="007D3AA7">
      <w:pPr>
        <w:spacing w:after="0" w:line="240" w:lineRule="auto"/>
        <w:ind w:firstLine="426"/>
        <w:jc w:val="both"/>
        <w:rPr>
          <w:rFonts w:ascii="Times New Roman" w:hAnsi="Times New Roman"/>
          <w:sz w:val="28"/>
          <w:szCs w:val="28"/>
          <w:lang w:eastAsia="en-US"/>
        </w:rPr>
      </w:pPr>
      <w:r w:rsidRPr="00B2670F">
        <w:rPr>
          <w:rFonts w:ascii="Times New Roman" w:hAnsi="Times New Roman"/>
          <w:sz w:val="28"/>
          <w:szCs w:val="28"/>
          <w:lang w:eastAsia="en-US"/>
        </w:rPr>
        <w:t>Положительная тенденция по расширению орошаемых площадей и увеличению объема поливной воды</w:t>
      </w:r>
      <w:r w:rsidRPr="00B2670F">
        <w:rPr>
          <w:bCs/>
          <w:color w:val="000000"/>
          <w:sz w:val="28"/>
          <w:szCs w:val="28"/>
          <w:lang w:eastAsia="en-US"/>
        </w:rPr>
        <w:t xml:space="preserve"> </w:t>
      </w:r>
      <w:r w:rsidRPr="00B2670F">
        <w:rPr>
          <w:rFonts w:ascii="Times New Roman" w:hAnsi="Times New Roman"/>
          <w:bCs/>
          <w:color w:val="000000"/>
          <w:sz w:val="28"/>
          <w:szCs w:val="28"/>
          <w:lang w:eastAsia="en-US"/>
        </w:rPr>
        <w:t>достигнуты благодаря льготному тарифу (0,70 руб. за 1 м³, что в 2,5 раза ниже его себестоимости) на оказание услуг по поливу, поддержке землепользователей при выделении льготных кредитных ресурсов.</w:t>
      </w:r>
      <w:r w:rsidRPr="00B2670F">
        <w:rPr>
          <w:bCs/>
          <w:color w:val="000000"/>
          <w:sz w:val="28"/>
          <w:szCs w:val="28"/>
          <w:lang w:eastAsia="en-US"/>
        </w:rPr>
        <w:t xml:space="preserve"> </w:t>
      </w:r>
      <w:r w:rsidRPr="00B2670F">
        <w:rPr>
          <w:rFonts w:ascii="Times New Roman" w:hAnsi="Times New Roman"/>
          <w:sz w:val="28"/>
          <w:szCs w:val="28"/>
          <w:lang w:eastAsia="en-US"/>
        </w:rPr>
        <w:t>Землепользователями за счет собственных средств восстановлено более 6</w:t>
      </w:r>
      <w:r w:rsidR="00267EBB">
        <w:rPr>
          <w:rFonts w:ascii="Times New Roman" w:hAnsi="Times New Roman"/>
          <w:sz w:val="28"/>
          <w:szCs w:val="28"/>
          <w:lang w:eastAsia="en-US"/>
        </w:rPr>
        <w:t xml:space="preserve"> </w:t>
      </w:r>
      <w:r w:rsidRPr="00B2670F">
        <w:rPr>
          <w:rFonts w:ascii="Times New Roman" w:hAnsi="Times New Roman"/>
          <w:sz w:val="28"/>
          <w:szCs w:val="28"/>
          <w:lang w:eastAsia="en-US"/>
        </w:rPr>
        <w:t>000 га внутрихозяйственных сетей орошения, закуплено более 120 единиц дождевальных установок и комплектов капельного орошения, а также</w:t>
      </w:r>
      <w:r w:rsidRPr="00B2670F">
        <w:rPr>
          <w:rFonts w:ascii="Times New Roman" w:hAnsi="Times New Roman"/>
          <w:bCs/>
          <w:color w:val="000000"/>
          <w:sz w:val="28"/>
          <w:szCs w:val="28"/>
          <w:lang w:eastAsia="en-US"/>
        </w:rPr>
        <w:t xml:space="preserve"> установлено 10 новых современных широкозахватных дождевальных установок стоимостью более 1 млн долл. США. </w:t>
      </w:r>
    </w:p>
    <w:p w:rsidR="00B2670F" w:rsidRPr="00B2670F" w:rsidRDefault="00B2670F" w:rsidP="007D3AA7">
      <w:pPr>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В 2018 году ГУ «Приднестровские оросительные системы» было заключено 75 договоров с хозяйствами-водопользователями на оказание услуг по подаче воды для целей орошения (в 2017 году - 68 договоров).</w:t>
      </w:r>
    </w:p>
    <w:p w:rsidR="00B2670F" w:rsidRPr="00B2670F" w:rsidRDefault="00B2670F" w:rsidP="007D3AA7">
      <w:pPr>
        <w:suppressAutoHyphen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xml:space="preserve">В отчетном году регулярно проводился мониторинг по защите растений на выявление и распространение вредителей, возбудителей болезней растений и сорных растений, соблюдения применения пестицидов и ядохимикатов. </w:t>
      </w:r>
    </w:p>
    <w:p w:rsidR="00B2670F" w:rsidRPr="00B2670F" w:rsidRDefault="00B2670F" w:rsidP="007D3AA7">
      <w:pPr>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lastRenderedPageBreak/>
        <w:t xml:space="preserve">С целью своевременного выявления очагов карантинных сорняков, вредителей и возбудителей болезней растений в 2018 году было проведено обследование 43,5 тыс. га земель сельскохозяйственного назначения, что в 2,1 раза больше, чем в 2017 году. Карантинные объекты выявлены на 3,0 тыс. га земельных угодий, </w:t>
      </w:r>
      <w:r w:rsidR="00267EBB">
        <w:rPr>
          <w:rFonts w:ascii="Times New Roman" w:eastAsiaTheme="minorEastAsia" w:hAnsi="Times New Roman" w:cstheme="minorBidi"/>
          <w:sz w:val="28"/>
          <w:szCs w:val="28"/>
        </w:rPr>
        <w:t>при этом</w:t>
      </w:r>
      <w:r w:rsidRPr="00B2670F">
        <w:rPr>
          <w:rFonts w:ascii="Times New Roman" w:eastAsiaTheme="minorEastAsia" w:hAnsi="Times New Roman" w:cstheme="minorBidi"/>
          <w:sz w:val="28"/>
          <w:szCs w:val="28"/>
        </w:rPr>
        <w:t xml:space="preserve"> локализация и ликвидация очагов вредных организмов была успешно проведена на 93,3% земельных угодий. В 2018 году всего применено 504,5 тонн средств защиты растений (в 2017 году – 454,8 тонн).</w:t>
      </w:r>
    </w:p>
    <w:p w:rsidR="00B2670F" w:rsidRDefault="00B2670F" w:rsidP="007D3AA7">
      <w:pPr>
        <w:spacing w:after="0" w:line="240" w:lineRule="auto"/>
        <w:ind w:firstLine="426"/>
        <w:jc w:val="both"/>
        <w:rPr>
          <w:rFonts w:ascii="Times New Roman" w:hAnsi="Times New Roman"/>
          <w:sz w:val="28"/>
          <w:szCs w:val="28"/>
        </w:rPr>
      </w:pPr>
      <w:r w:rsidRPr="00B2670F">
        <w:rPr>
          <w:rFonts w:ascii="Times New Roman" w:hAnsi="Times New Roman"/>
          <w:b/>
          <w:i/>
          <w:sz w:val="28"/>
          <w:szCs w:val="28"/>
        </w:rPr>
        <w:t>Животноводство.</w:t>
      </w:r>
      <w:r w:rsidR="00267EBB">
        <w:rPr>
          <w:rFonts w:ascii="Times New Roman" w:hAnsi="Times New Roman"/>
          <w:sz w:val="28"/>
          <w:szCs w:val="28"/>
        </w:rPr>
        <w:t xml:space="preserve"> Данная отрасль</w:t>
      </w:r>
      <w:r w:rsidRPr="00B2670F">
        <w:rPr>
          <w:rFonts w:ascii="Times New Roman" w:hAnsi="Times New Roman"/>
          <w:sz w:val="28"/>
          <w:szCs w:val="28"/>
        </w:rPr>
        <w:t xml:space="preserve"> </w:t>
      </w:r>
      <w:r w:rsidR="00267EBB">
        <w:rPr>
          <w:rFonts w:ascii="Times New Roman" w:hAnsi="Times New Roman"/>
          <w:sz w:val="28"/>
          <w:szCs w:val="28"/>
        </w:rPr>
        <w:t>является</w:t>
      </w:r>
      <w:r w:rsidRPr="00B2670F">
        <w:rPr>
          <w:rFonts w:ascii="Times New Roman" w:hAnsi="Times New Roman"/>
          <w:sz w:val="28"/>
          <w:szCs w:val="28"/>
        </w:rPr>
        <w:t xml:space="preserve"> одной из ведущих </w:t>
      </w:r>
      <w:r w:rsidR="00267EBB">
        <w:rPr>
          <w:rFonts w:ascii="Times New Roman" w:hAnsi="Times New Roman"/>
          <w:sz w:val="28"/>
          <w:szCs w:val="28"/>
        </w:rPr>
        <w:t xml:space="preserve">в </w:t>
      </w:r>
      <w:r w:rsidRPr="00B2670F">
        <w:rPr>
          <w:rFonts w:ascii="Times New Roman" w:hAnsi="Times New Roman"/>
          <w:sz w:val="28"/>
          <w:szCs w:val="28"/>
        </w:rPr>
        <w:t>сельско</w:t>
      </w:r>
      <w:r w:rsidR="00267EBB">
        <w:rPr>
          <w:rFonts w:ascii="Times New Roman" w:hAnsi="Times New Roman"/>
          <w:sz w:val="28"/>
          <w:szCs w:val="28"/>
        </w:rPr>
        <w:t>м</w:t>
      </w:r>
      <w:r w:rsidRPr="00B2670F">
        <w:rPr>
          <w:rFonts w:ascii="Times New Roman" w:hAnsi="Times New Roman"/>
          <w:sz w:val="28"/>
          <w:szCs w:val="28"/>
        </w:rPr>
        <w:t xml:space="preserve"> хозяйств</w:t>
      </w:r>
      <w:r w:rsidR="00267EBB">
        <w:rPr>
          <w:rFonts w:ascii="Times New Roman" w:hAnsi="Times New Roman"/>
          <w:sz w:val="28"/>
          <w:szCs w:val="28"/>
        </w:rPr>
        <w:t>е</w:t>
      </w:r>
      <w:r w:rsidRPr="00B2670F">
        <w:rPr>
          <w:rFonts w:ascii="Times New Roman" w:hAnsi="Times New Roman"/>
          <w:sz w:val="28"/>
          <w:szCs w:val="28"/>
        </w:rPr>
        <w:t xml:space="preserve"> республики, </w:t>
      </w:r>
      <w:r w:rsidR="000C23CB">
        <w:rPr>
          <w:rFonts w:ascii="Times New Roman" w:hAnsi="Times New Roman"/>
          <w:sz w:val="28"/>
          <w:szCs w:val="28"/>
        </w:rPr>
        <w:t>и ситуация в ней</w:t>
      </w:r>
      <w:r w:rsidRPr="00B2670F">
        <w:rPr>
          <w:rFonts w:ascii="Times New Roman" w:hAnsi="Times New Roman"/>
          <w:sz w:val="28"/>
          <w:szCs w:val="28"/>
        </w:rPr>
        <w:t xml:space="preserve"> остается достаточно сложной</w:t>
      </w:r>
      <w:r w:rsidRPr="00B2670F">
        <w:rPr>
          <w:rFonts w:ascii="Times New Roman" w:eastAsia="Calibri" w:hAnsi="Times New Roman"/>
          <w:sz w:val="28"/>
          <w:szCs w:val="28"/>
        </w:rPr>
        <w:t xml:space="preserve">. </w:t>
      </w:r>
      <w:r w:rsidRPr="00B2670F">
        <w:rPr>
          <w:rFonts w:ascii="Times New Roman" w:hAnsi="Times New Roman"/>
          <w:sz w:val="28"/>
          <w:szCs w:val="28"/>
        </w:rPr>
        <w:t xml:space="preserve">По состоянию на 1 января 2019 года </w:t>
      </w:r>
      <w:r w:rsidR="000C23CB">
        <w:rPr>
          <w:rFonts w:ascii="Times New Roman" w:hAnsi="Times New Roman"/>
          <w:sz w:val="28"/>
          <w:szCs w:val="28"/>
        </w:rPr>
        <w:t xml:space="preserve">по отношению к </w:t>
      </w:r>
      <w:r w:rsidRPr="00B2670F">
        <w:rPr>
          <w:rFonts w:ascii="Times New Roman" w:hAnsi="Times New Roman"/>
          <w:sz w:val="28"/>
          <w:szCs w:val="28"/>
        </w:rPr>
        <w:t>соответствующей дате 2018 года</w:t>
      </w:r>
      <w:r w:rsidR="000C23CB">
        <w:rPr>
          <w:rFonts w:ascii="Times New Roman" w:hAnsi="Times New Roman"/>
          <w:sz w:val="28"/>
          <w:szCs w:val="28"/>
        </w:rPr>
        <w:t>,</w:t>
      </w:r>
      <w:r w:rsidRPr="00B2670F">
        <w:rPr>
          <w:rFonts w:ascii="Times New Roman" w:hAnsi="Times New Roman"/>
          <w:sz w:val="28"/>
          <w:szCs w:val="28"/>
        </w:rPr>
        <w:t xml:space="preserve"> по данным Министерства сельского хозяйства и природных ресурсов Приднестровской Молдавской Республики</w:t>
      </w:r>
      <w:r w:rsidR="000C23CB">
        <w:rPr>
          <w:rFonts w:ascii="Times New Roman" w:hAnsi="Times New Roman"/>
          <w:sz w:val="28"/>
          <w:szCs w:val="28"/>
        </w:rPr>
        <w:t>,</w:t>
      </w:r>
      <w:r w:rsidRPr="00B2670F">
        <w:rPr>
          <w:rFonts w:ascii="Times New Roman" w:hAnsi="Times New Roman"/>
          <w:sz w:val="28"/>
          <w:szCs w:val="28"/>
        </w:rPr>
        <w:t xml:space="preserve"> в хозяйствах всех категорий (с учетом хозяйств населения) зафиксирован рост поголовья крупного рогатого скота (+2,5% до 16 446 голов), овец и коз (+36,8% до 12 446 голов) в основном за счет увеличения поголовья в сельскохозяйственных организациях и крестьянско</w:t>
      </w:r>
      <w:r w:rsidR="000C23CB">
        <w:rPr>
          <w:rFonts w:ascii="Times New Roman" w:hAnsi="Times New Roman"/>
          <w:sz w:val="28"/>
          <w:szCs w:val="28"/>
        </w:rPr>
        <w:t>–</w:t>
      </w:r>
      <w:r w:rsidRPr="00B2670F">
        <w:rPr>
          <w:rFonts w:ascii="Times New Roman" w:hAnsi="Times New Roman"/>
          <w:sz w:val="28"/>
          <w:szCs w:val="28"/>
        </w:rPr>
        <w:t>фермерских хозяйств</w:t>
      </w:r>
      <w:r w:rsidR="000C23CB">
        <w:rPr>
          <w:rFonts w:ascii="Times New Roman" w:hAnsi="Times New Roman"/>
          <w:sz w:val="28"/>
          <w:szCs w:val="28"/>
        </w:rPr>
        <w:t>ах</w:t>
      </w:r>
      <w:r w:rsidRPr="00B2670F">
        <w:rPr>
          <w:rFonts w:ascii="Times New Roman" w:hAnsi="Times New Roman"/>
          <w:sz w:val="28"/>
          <w:szCs w:val="28"/>
        </w:rPr>
        <w:t xml:space="preserve">. </w:t>
      </w:r>
      <w:r w:rsidR="000C23CB">
        <w:rPr>
          <w:rFonts w:ascii="Times New Roman" w:hAnsi="Times New Roman"/>
          <w:sz w:val="28"/>
          <w:szCs w:val="28"/>
        </w:rPr>
        <w:t>П</w:t>
      </w:r>
      <w:r w:rsidRPr="00B2670F">
        <w:rPr>
          <w:rFonts w:ascii="Times New Roman" w:hAnsi="Times New Roman"/>
          <w:sz w:val="28"/>
          <w:szCs w:val="28"/>
        </w:rPr>
        <w:t>рирост поголовья свиней (+16,6% до 35 231 голов)</w:t>
      </w:r>
      <w:r w:rsidR="000C23CB">
        <w:rPr>
          <w:rFonts w:ascii="Times New Roman" w:hAnsi="Times New Roman"/>
          <w:sz w:val="28"/>
          <w:szCs w:val="28"/>
        </w:rPr>
        <w:t xml:space="preserve"> </w:t>
      </w:r>
      <w:r w:rsidRPr="00B2670F">
        <w:rPr>
          <w:rFonts w:ascii="Times New Roman" w:hAnsi="Times New Roman"/>
          <w:sz w:val="28"/>
          <w:szCs w:val="28"/>
        </w:rPr>
        <w:t xml:space="preserve">обусловлен ростом реализации на внутреннем рынке продукции местных производителей, </w:t>
      </w:r>
      <w:r w:rsidR="000C23CB">
        <w:rPr>
          <w:rFonts w:ascii="Times New Roman" w:hAnsi="Times New Roman"/>
          <w:sz w:val="28"/>
          <w:szCs w:val="28"/>
        </w:rPr>
        <w:t>в связи</w:t>
      </w:r>
      <w:r w:rsidRPr="00B2670F">
        <w:rPr>
          <w:rFonts w:ascii="Times New Roman" w:hAnsi="Times New Roman"/>
          <w:sz w:val="28"/>
          <w:szCs w:val="28"/>
        </w:rPr>
        <w:t xml:space="preserve"> с усилением контроля ввоза живых животных, продуктов и сырья животного и растительного происхождения из соседних государств. При этом отмеча</w:t>
      </w:r>
      <w:r w:rsidR="000C23CB">
        <w:rPr>
          <w:rFonts w:ascii="Times New Roman" w:hAnsi="Times New Roman"/>
          <w:sz w:val="28"/>
          <w:szCs w:val="28"/>
        </w:rPr>
        <w:t>л</w:t>
      </w:r>
      <w:r w:rsidRPr="00B2670F">
        <w:rPr>
          <w:rFonts w:ascii="Times New Roman" w:hAnsi="Times New Roman"/>
          <w:sz w:val="28"/>
          <w:szCs w:val="28"/>
        </w:rPr>
        <w:t xml:space="preserve">ся спад поголовья птицы (-6,1% до 481 093 голов), что связано с перепрофилированием производственных мощностей на производство мяса птицы ввиду резкого снижения рентабельности производства яйца. </w:t>
      </w:r>
    </w:p>
    <w:p w:rsidR="004E7B18" w:rsidRPr="00CE6859" w:rsidRDefault="004E7B18" w:rsidP="004E7B18">
      <w:pPr>
        <w:spacing w:after="0" w:line="240" w:lineRule="auto"/>
        <w:ind w:firstLine="426"/>
        <w:contextualSpacing/>
        <w:jc w:val="right"/>
        <w:rPr>
          <w:rFonts w:ascii="Times New Roman" w:hAnsi="Times New Roman"/>
          <w:b/>
          <w:i/>
          <w:sz w:val="28"/>
          <w:szCs w:val="28"/>
        </w:rPr>
      </w:pPr>
      <w:r w:rsidRPr="00CE6859">
        <w:rPr>
          <w:rFonts w:ascii="Times New Roman" w:hAnsi="Times New Roman"/>
          <w:b/>
          <w:i/>
          <w:sz w:val="28"/>
          <w:szCs w:val="28"/>
        </w:rPr>
        <w:t>Рисунок</w:t>
      </w:r>
      <w:r>
        <w:rPr>
          <w:rFonts w:ascii="Times New Roman" w:hAnsi="Times New Roman"/>
          <w:b/>
          <w:i/>
          <w:sz w:val="28"/>
          <w:szCs w:val="28"/>
        </w:rPr>
        <w:t>10</w:t>
      </w:r>
      <w:r w:rsidRPr="00CE6859">
        <w:rPr>
          <w:rFonts w:ascii="Times New Roman" w:hAnsi="Times New Roman"/>
          <w:b/>
          <w:i/>
          <w:sz w:val="28"/>
          <w:szCs w:val="28"/>
        </w:rPr>
        <w:t xml:space="preserve"> </w:t>
      </w:r>
    </w:p>
    <w:p w:rsidR="00B2670F" w:rsidRPr="00B2670F" w:rsidRDefault="00B2670F" w:rsidP="007D3AA7">
      <w:pPr>
        <w:spacing w:after="0"/>
        <w:rPr>
          <w:rFonts w:asciiTheme="minorHAnsi" w:eastAsia="Calibri" w:hAnsiTheme="minorHAnsi" w:cstheme="minorBidi"/>
          <w:sz w:val="28"/>
          <w:szCs w:val="28"/>
        </w:rPr>
      </w:pPr>
      <w:r w:rsidRPr="00B2670F">
        <w:rPr>
          <w:rFonts w:asciiTheme="minorHAnsi" w:eastAsia="Calibri" w:hAnsiTheme="minorHAnsi" w:cstheme="minorBidi"/>
          <w:noProof/>
          <w:color w:val="D99594" w:themeColor="accent2" w:themeTint="99"/>
          <w:sz w:val="28"/>
          <w:szCs w:val="28"/>
        </w:rPr>
        <w:drawing>
          <wp:inline distT="0" distB="0" distL="0" distR="0">
            <wp:extent cx="6000750" cy="1790700"/>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670F" w:rsidRPr="00B2670F" w:rsidRDefault="00B2670F" w:rsidP="007D3AA7">
      <w:pPr>
        <w:spacing w:after="0" w:line="240" w:lineRule="auto"/>
        <w:ind w:firstLine="426"/>
        <w:jc w:val="both"/>
        <w:rPr>
          <w:rFonts w:ascii="Times New Roman" w:eastAsia="Calibri" w:hAnsi="Times New Roman" w:cstheme="minorBidi"/>
          <w:sz w:val="28"/>
          <w:szCs w:val="28"/>
        </w:rPr>
      </w:pPr>
      <w:r w:rsidRPr="00B2670F">
        <w:rPr>
          <w:rFonts w:ascii="Times New Roman" w:eastAsiaTheme="minorEastAsia" w:hAnsi="Times New Roman" w:cstheme="minorBidi"/>
          <w:sz w:val="28"/>
          <w:szCs w:val="28"/>
        </w:rPr>
        <w:t>Государством оказывается разносторонняя поддержка сельскохозяйственны</w:t>
      </w:r>
      <w:r w:rsidR="000C23CB">
        <w:rPr>
          <w:rFonts w:ascii="Times New Roman" w:eastAsiaTheme="minorEastAsia" w:hAnsi="Times New Roman" w:cstheme="minorBidi"/>
          <w:sz w:val="28"/>
          <w:szCs w:val="28"/>
        </w:rPr>
        <w:t>м</w:t>
      </w:r>
      <w:r w:rsidRPr="00B2670F">
        <w:rPr>
          <w:rFonts w:ascii="Times New Roman" w:eastAsiaTheme="minorEastAsia" w:hAnsi="Times New Roman" w:cstheme="minorBidi"/>
          <w:sz w:val="28"/>
          <w:szCs w:val="28"/>
        </w:rPr>
        <w:t xml:space="preserve"> организаци</w:t>
      </w:r>
      <w:r w:rsidR="000C23CB">
        <w:rPr>
          <w:rFonts w:ascii="Times New Roman" w:eastAsiaTheme="minorEastAsia" w:hAnsi="Times New Roman" w:cstheme="minorBidi"/>
          <w:sz w:val="28"/>
          <w:szCs w:val="28"/>
        </w:rPr>
        <w:t>ям</w:t>
      </w:r>
      <w:r w:rsidRPr="00B2670F">
        <w:rPr>
          <w:rFonts w:ascii="Times New Roman" w:eastAsiaTheme="minorEastAsia" w:hAnsi="Times New Roman" w:cstheme="minorBidi"/>
          <w:sz w:val="28"/>
          <w:szCs w:val="28"/>
        </w:rPr>
        <w:t xml:space="preserve"> и крестьянско – фермерским хозяйствам, что позволило </w:t>
      </w:r>
      <w:r w:rsidR="000C23CB">
        <w:rPr>
          <w:rFonts w:ascii="Times New Roman" w:eastAsiaTheme="minorEastAsia" w:hAnsi="Times New Roman" w:cstheme="minorBidi"/>
          <w:sz w:val="28"/>
          <w:szCs w:val="28"/>
        </w:rPr>
        <w:t xml:space="preserve">нарастить </w:t>
      </w:r>
      <w:r w:rsidRPr="00B2670F">
        <w:rPr>
          <w:rFonts w:ascii="Times New Roman" w:eastAsiaTheme="minorEastAsia" w:hAnsi="Times New Roman" w:cstheme="minorBidi"/>
          <w:sz w:val="28"/>
          <w:szCs w:val="28"/>
        </w:rPr>
        <w:t>вклад</w:t>
      </w:r>
      <w:r w:rsidR="000C23CB">
        <w:rPr>
          <w:rFonts w:ascii="Times New Roman" w:eastAsiaTheme="minorEastAsia" w:hAnsi="Times New Roman" w:cstheme="minorBidi"/>
          <w:sz w:val="28"/>
          <w:szCs w:val="28"/>
        </w:rPr>
        <w:t xml:space="preserve"> организованного сегмента</w:t>
      </w:r>
      <w:r w:rsidRPr="00B2670F">
        <w:rPr>
          <w:rFonts w:ascii="Times New Roman" w:eastAsiaTheme="minorEastAsia" w:hAnsi="Times New Roman" w:cstheme="minorBidi"/>
          <w:sz w:val="28"/>
          <w:szCs w:val="28"/>
        </w:rPr>
        <w:t xml:space="preserve"> в общем </w:t>
      </w:r>
      <w:r w:rsidR="000C23CB">
        <w:rPr>
          <w:rFonts w:ascii="Times New Roman" w:eastAsiaTheme="minorEastAsia" w:hAnsi="Times New Roman" w:cstheme="minorBidi"/>
          <w:sz w:val="28"/>
          <w:szCs w:val="28"/>
        </w:rPr>
        <w:t>поголовье</w:t>
      </w:r>
      <w:r w:rsidRPr="00B2670F">
        <w:rPr>
          <w:rFonts w:ascii="Times New Roman" w:eastAsiaTheme="minorEastAsia" w:hAnsi="Times New Roman" w:cstheme="minorBidi"/>
          <w:sz w:val="28"/>
          <w:szCs w:val="28"/>
        </w:rPr>
        <w:t xml:space="preserve"> о</w:t>
      </w:r>
      <w:r w:rsidRPr="00B2670F">
        <w:rPr>
          <w:rFonts w:ascii="Times New Roman" w:eastAsia="Calibri" w:hAnsi="Times New Roman" w:cstheme="minorBidi"/>
          <w:sz w:val="28"/>
          <w:szCs w:val="28"/>
        </w:rPr>
        <w:t xml:space="preserve">сновных видов скота и птицы. </w:t>
      </w:r>
    </w:p>
    <w:p w:rsidR="00B2670F" w:rsidRDefault="00B2670F" w:rsidP="007D3AA7">
      <w:pPr>
        <w:spacing w:after="0" w:line="240" w:lineRule="auto"/>
        <w:ind w:firstLine="426"/>
        <w:jc w:val="both"/>
        <w:rPr>
          <w:rFonts w:ascii="Times New Roman" w:eastAsia="Calibri" w:hAnsi="Times New Roman" w:cstheme="minorBidi"/>
          <w:sz w:val="28"/>
          <w:szCs w:val="28"/>
        </w:rPr>
      </w:pPr>
      <w:r w:rsidRPr="00B2670F">
        <w:rPr>
          <w:rFonts w:ascii="Times New Roman" w:eastAsia="Calibri" w:hAnsi="Times New Roman" w:cstheme="minorBidi"/>
          <w:sz w:val="28"/>
          <w:szCs w:val="28"/>
        </w:rPr>
        <w:t>При этом основное поголовье животных</w:t>
      </w:r>
      <w:r w:rsidR="000C23CB">
        <w:rPr>
          <w:rFonts w:ascii="Times New Roman" w:eastAsia="Calibri" w:hAnsi="Times New Roman" w:cstheme="minorBidi"/>
          <w:sz w:val="28"/>
          <w:szCs w:val="28"/>
        </w:rPr>
        <w:t xml:space="preserve"> по-прежнему</w:t>
      </w:r>
      <w:r w:rsidRPr="00B2670F">
        <w:rPr>
          <w:rFonts w:ascii="Times New Roman" w:eastAsia="Calibri" w:hAnsi="Times New Roman" w:cstheme="minorBidi"/>
          <w:sz w:val="28"/>
          <w:szCs w:val="28"/>
        </w:rPr>
        <w:t xml:space="preserve"> остается в хозяйствах населения. Доля </w:t>
      </w:r>
      <w:r w:rsidR="000C23CB">
        <w:rPr>
          <w:rFonts w:ascii="Times New Roman" w:eastAsia="Calibri" w:hAnsi="Times New Roman" w:cstheme="minorBidi"/>
          <w:sz w:val="28"/>
          <w:szCs w:val="28"/>
        </w:rPr>
        <w:t>неорганизованного сектора</w:t>
      </w:r>
      <w:r w:rsidRPr="00B2670F">
        <w:rPr>
          <w:rFonts w:ascii="Times New Roman" w:eastAsia="Calibri" w:hAnsi="Times New Roman" w:cstheme="minorBidi"/>
          <w:sz w:val="28"/>
          <w:szCs w:val="28"/>
        </w:rPr>
        <w:t xml:space="preserve"> в общем объеме поголовья крупного рогатого скота на 1 января 2019 года состав</w:t>
      </w:r>
      <w:r w:rsidR="000C23CB">
        <w:rPr>
          <w:rFonts w:ascii="Times New Roman" w:eastAsia="Calibri" w:hAnsi="Times New Roman" w:cstheme="minorBidi"/>
          <w:sz w:val="28"/>
          <w:szCs w:val="28"/>
        </w:rPr>
        <w:t>и</w:t>
      </w:r>
      <w:r w:rsidRPr="00B2670F">
        <w:rPr>
          <w:rFonts w:ascii="Times New Roman" w:eastAsia="Calibri" w:hAnsi="Times New Roman" w:cstheme="minorBidi"/>
          <w:sz w:val="28"/>
          <w:szCs w:val="28"/>
        </w:rPr>
        <w:t>л</w:t>
      </w:r>
      <w:r w:rsidR="000C23CB">
        <w:rPr>
          <w:rFonts w:ascii="Times New Roman" w:eastAsia="Calibri" w:hAnsi="Times New Roman" w:cstheme="minorBidi"/>
          <w:sz w:val="28"/>
          <w:szCs w:val="28"/>
        </w:rPr>
        <w:t>а</w:t>
      </w:r>
      <w:r w:rsidRPr="00B2670F">
        <w:rPr>
          <w:rFonts w:ascii="Times New Roman" w:eastAsia="Calibri" w:hAnsi="Times New Roman" w:cstheme="minorBidi"/>
          <w:sz w:val="28"/>
          <w:szCs w:val="28"/>
        </w:rPr>
        <w:t xml:space="preserve"> 57,0%</w:t>
      </w:r>
      <w:r w:rsidR="004E7B18">
        <w:rPr>
          <w:rFonts w:ascii="Times New Roman" w:eastAsia="Calibri" w:hAnsi="Times New Roman" w:cstheme="minorBidi"/>
          <w:sz w:val="28"/>
          <w:szCs w:val="28"/>
        </w:rPr>
        <w:t xml:space="preserve"> (рис. 10)</w:t>
      </w:r>
      <w:r w:rsidRPr="00B2670F">
        <w:rPr>
          <w:rFonts w:ascii="Times New Roman" w:eastAsia="Calibri" w:hAnsi="Times New Roman" w:cstheme="minorBidi"/>
          <w:sz w:val="28"/>
          <w:szCs w:val="28"/>
        </w:rPr>
        <w:t xml:space="preserve">, что ниже на 4,0 п.п. </w:t>
      </w:r>
      <w:r w:rsidR="000C23CB">
        <w:rPr>
          <w:rFonts w:ascii="Times New Roman" w:eastAsia="Calibri" w:hAnsi="Times New Roman" w:cstheme="minorBidi"/>
          <w:sz w:val="28"/>
          <w:szCs w:val="28"/>
        </w:rPr>
        <w:t>базисной отметки</w:t>
      </w:r>
      <w:r w:rsidRPr="00B2670F">
        <w:rPr>
          <w:rFonts w:ascii="Times New Roman" w:eastAsia="Calibri" w:hAnsi="Times New Roman" w:cstheme="minorBidi"/>
          <w:sz w:val="28"/>
          <w:szCs w:val="28"/>
        </w:rPr>
        <w:t>, свиней – 34,7% (на 1 января 2018 года – 40,4%), овец и коз – 54,1% (на 1 января 2018 года – 64,2%), птицы – 33,2% (на 1 января 2018 года – 29,1%).</w:t>
      </w:r>
    </w:p>
    <w:p w:rsidR="000C23CB" w:rsidRDefault="000C23CB" w:rsidP="007D3AA7">
      <w:pPr>
        <w:spacing w:after="0" w:line="240" w:lineRule="auto"/>
        <w:ind w:firstLine="426"/>
        <w:jc w:val="both"/>
        <w:rPr>
          <w:rFonts w:ascii="Times New Roman" w:eastAsia="Calibri" w:hAnsi="Times New Roman" w:cstheme="minorBidi"/>
          <w:sz w:val="28"/>
          <w:szCs w:val="28"/>
        </w:rPr>
      </w:pPr>
    </w:p>
    <w:p w:rsidR="000C23CB" w:rsidRDefault="000C23CB" w:rsidP="007D3AA7">
      <w:pPr>
        <w:spacing w:after="0" w:line="240" w:lineRule="auto"/>
        <w:ind w:firstLine="426"/>
        <w:jc w:val="both"/>
        <w:rPr>
          <w:rFonts w:ascii="Times New Roman" w:eastAsia="Calibri" w:hAnsi="Times New Roman" w:cstheme="minorBidi"/>
          <w:sz w:val="28"/>
          <w:szCs w:val="28"/>
        </w:rPr>
      </w:pPr>
    </w:p>
    <w:p w:rsidR="000C23CB" w:rsidRDefault="000C23CB" w:rsidP="007D3AA7">
      <w:pPr>
        <w:spacing w:after="0" w:line="240" w:lineRule="auto"/>
        <w:ind w:firstLine="426"/>
        <w:jc w:val="both"/>
        <w:rPr>
          <w:rFonts w:ascii="Times New Roman" w:eastAsia="Calibri" w:hAnsi="Times New Roman" w:cstheme="minorBidi"/>
          <w:sz w:val="28"/>
          <w:szCs w:val="28"/>
        </w:rPr>
      </w:pPr>
    </w:p>
    <w:p w:rsidR="00A42CB5" w:rsidRPr="00CE6859" w:rsidRDefault="00A42CB5" w:rsidP="00A42CB5">
      <w:pPr>
        <w:spacing w:after="0" w:line="240" w:lineRule="auto"/>
        <w:ind w:firstLine="426"/>
        <w:contextualSpacing/>
        <w:jc w:val="right"/>
        <w:rPr>
          <w:rFonts w:ascii="Times New Roman" w:hAnsi="Times New Roman"/>
          <w:b/>
          <w:i/>
          <w:sz w:val="28"/>
          <w:szCs w:val="28"/>
        </w:rPr>
      </w:pPr>
      <w:r w:rsidRPr="00CE6859">
        <w:rPr>
          <w:rFonts w:ascii="Times New Roman" w:hAnsi="Times New Roman"/>
          <w:b/>
          <w:i/>
          <w:sz w:val="28"/>
          <w:szCs w:val="28"/>
        </w:rPr>
        <w:lastRenderedPageBreak/>
        <w:t xml:space="preserve">Рисунок </w:t>
      </w:r>
      <w:r>
        <w:rPr>
          <w:rFonts w:ascii="Times New Roman" w:hAnsi="Times New Roman"/>
          <w:b/>
          <w:i/>
          <w:sz w:val="28"/>
          <w:szCs w:val="28"/>
        </w:rPr>
        <w:t>11</w:t>
      </w:r>
    </w:p>
    <w:p w:rsidR="00B2670F" w:rsidRPr="00B2670F" w:rsidRDefault="00B2670F" w:rsidP="007D3AA7">
      <w:pPr>
        <w:tabs>
          <w:tab w:val="left" w:pos="8647"/>
        </w:tabs>
        <w:spacing w:after="0" w:line="240" w:lineRule="auto"/>
        <w:jc w:val="both"/>
        <w:rPr>
          <w:rFonts w:ascii="Times New Roman" w:eastAsiaTheme="minorEastAsia" w:hAnsi="Times New Roman" w:cstheme="minorBidi"/>
          <w:sz w:val="28"/>
          <w:szCs w:val="28"/>
        </w:rPr>
      </w:pPr>
      <w:r w:rsidRPr="00B2670F">
        <w:rPr>
          <w:rFonts w:asciiTheme="minorHAnsi" w:eastAsia="Calibri" w:hAnsiTheme="minorHAnsi" w:cstheme="minorBidi"/>
          <w:noProof/>
          <w:sz w:val="28"/>
          <w:szCs w:val="28"/>
        </w:rPr>
        <w:drawing>
          <wp:inline distT="0" distB="0" distL="0" distR="0">
            <wp:extent cx="6238875" cy="2571750"/>
            <wp:effectExtent l="0" t="0" r="0" b="0"/>
            <wp:docPr id="1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3B80" w:rsidRPr="00653B80" w:rsidRDefault="00653B80" w:rsidP="007D3AA7">
      <w:pPr>
        <w:tabs>
          <w:tab w:val="left" w:pos="8647"/>
        </w:tabs>
        <w:spacing w:after="0" w:line="240" w:lineRule="auto"/>
        <w:ind w:firstLine="426"/>
        <w:jc w:val="both"/>
        <w:rPr>
          <w:rFonts w:ascii="Times New Roman" w:eastAsiaTheme="minorEastAsia" w:hAnsi="Times New Roman" w:cstheme="minorBidi"/>
          <w:sz w:val="16"/>
          <w:szCs w:val="16"/>
        </w:rPr>
      </w:pP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В 2018 году по сравнению с уровнем 2017 года в хозяйствах всех категорий (без учета хозяйств населения) отмечалось увеличение производства молока коровьего на 13,4%</w:t>
      </w:r>
      <w:r w:rsidR="00A42CB5">
        <w:rPr>
          <w:rFonts w:ascii="Times New Roman" w:eastAsiaTheme="minorEastAsia" w:hAnsi="Times New Roman" w:cstheme="minorBidi"/>
          <w:sz w:val="28"/>
          <w:szCs w:val="28"/>
        </w:rPr>
        <w:t xml:space="preserve"> (рис. 11)</w:t>
      </w:r>
      <w:r w:rsidRPr="00B2670F">
        <w:rPr>
          <w:rFonts w:ascii="Times New Roman" w:hAnsi="Times New Roman"/>
          <w:color w:val="000000"/>
          <w:sz w:val="28"/>
          <w:szCs w:val="28"/>
        </w:rPr>
        <w:t xml:space="preserve">, </w:t>
      </w:r>
      <w:r w:rsidRPr="00B2670F">
        <w:rPr>
          <w:rFonts w:ascii="Times New Roman" w:eastAsiaTheme="minorEastAsia" w:hAnsi="Times New Roman" w:cstheme="minorBidi"/>
          <w:sz w:val="28"/>
          <w:szCs w:val="28"/>
        </w:rPr>
        <w:t xml:space="preserve">что обусловлено </w:t>
      </w:r>
      <w:r w:rsidR="000C23CB">
        <w:rPr>
          <w:rFonts w:ascii="Times New Roman" w:eastAsiaTheme="minorEastAsia" w:hAnsi="Times New Roman" w:cstheme="minorBidi"/>
          <w:sz w:val="28"/>
          <w:szCs w:val="28"/>
        </w:rPr>
        <w:t xml:space="preserve">реализацией мер </w:t>
      </w:r>
      <w:r w:rsidRPr="00B2670F">
        <w:rPr>
          <w:rFonts w:ascii="Times New Roman" w:eastAsiaTheme="minorEastAsia" w:hAnsi="Times New Roman" w:cstheme="minorBidi"/>
          <w:sz w:val="28"/>
          <w:szCs w:val="28"/>
        </w:rPr>
        <w:t>государственной поддержки сельскохозяйственных производителей молока в виде предоставления дотаций за сданное на промышленную переработку молоко собственного производства из расчета 0,5 руб. за 1 кг молока коровьего базисной жирности 3,5%.</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Более короткий инвестиционный цикл при производстве мяса птицы стимулирует производителей полностью отказаться или резко сократить производство яиц и перейти на производство мяса птицы, в связи с чем в 2018 году производство куриных яиц составило 24,2% от уровня 2017 года.</w:t>
      </w:r>
    </w:p>
    <w:p w:rsidR="00B2670F" w:rsidRDefault="00B2670F" w:rsidP="007D3AA7">
      <w:pPr>
        <w:spacing w:after="0" w:line="240" w:lineRule="auto"/>
        <w:ind w:firstLine="426"/>
        <w:jc w:val="both"/>
        <w:rPr>
          <w:rFonts w:ascii="Times New Roman" w:eastAsia="Calibri" w:hAnsi="Times New Roman"/>
          <w:sz w:val="28"/>
          <w:szCs w:val="28"/>
        </w:rPr>
      </w:pPr>
      <w:r w:rsidRPr="00B2670F">
        <w:rPr>
          <w:rFonts w:ascii="Times New Roman" w:eastAsia="Calibri" w:hAnsi="Times New Roman"/>
          <w:sz w:val="28"/>
          <w:szCs w:val="28"/>
        </w:rPr>
        <w:t>Объем реализации скота и птицы на убой увеличился на 20,6%, за счет увеличения реализации свинины (+25,2%) и мяса птицы (+22,8%). Данному росту частично способствовали меры по введению запрета на ввоз мяса свиней, живых животных и изделий из свинины с территории близлежащих государств, в связи с изменившейся там эпизоотической ситуацией по африканской чуме, а также в целях недопущения заноса заболевания на территорию Приднестровья. Рост производства мяса птицы обусловлен выравниванием цен на данную продукцию с ценами соседних государств и увеличением потребления охлажденного мяса птицы. Скороспелость и многоплодность отраслей свиноводства и птицеводства, при частичном импорте, позволяют обеспечить потребности населения и исключить фактор дефицита мяса на внутреннем рынке.</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b/>
          <w:i/>
          <w:sz w:val="28"/>
          <w:szCs w:val="28"/>
        </w:rPr>
      </w:pPr>
      <w:r w:rsidRPr="00B2670F">
        <w:rPr>
          <w:rFonts w:ascii="Times New Roman" w:eastAsiaTheme="minorEastAsia" w:hAnsi="Times New Roman" w:cstheme="minorBidi"/>
          <w:b/>
          <w:i/>
          <w:sz w:val="28"/>
          <w:szCs w:val="28"/>
        </w:rPr>
        <w:t>Государственная поддержка хозяйствующи</w:t>
      </w:r>
      <w:r w:rsidR="000E22E2">
        <w:rPr>
          <w:rFonts w:ascii="Times New Roman" w:eastAsiaTheme="minorEastAsia" w:hAnsi="Times New Roman" w:cstheme="minorBidi"/>
          <w:b/>
          <w:i/>
          <w:sz w:val="28"/>
          <w:szCs w:val="28"/>
        </w:rPr>
        <w:t>х</w:t>
      </w:r>
      <w:r w:rsidRPr="00B2670F">
        <w:rPr>
          <w:rFonts w:ascii="Times New Roman" w:eastAsiaTheme="minorEastAsia" w:hAnsi="Times New Roman" w:cstheme="minorBidi"/>
          <w:b/>
          <w:i/>
          <w:sz w:val="28"/>
          <w:szCs w:val="28"/>
        </w:rPr>
        <w:t xml:space="preserve"> субъект</w:t>
      </w:r>
      <w:r w:rsidR="000E22E2">
        <w:rPr>
          <w:rFonts w:ascii="Times New Roman" w:eastAsiaTheme="minorEastAsia" w:hAnsi="Times New Roman" w:cstheme="minorBidi"/>
          <w:b/>
          <w:i/>
          <w:sz w:val="28"/>
          <w:szCs w:val="28"/>
        </w:rPr>
        <w:t>ов</w:t>
      </w:r>
      <w:r w:rsidRPr="00B2670F">
        <w:rPr>
          <w:rFonts w:ascii="Times New Roman" w:eastAsiaTheme="minorEastAsia" w:hAnsi="Times New Roman" w:cstheme="minorBidi"/>
          <w:b/>
          <w:i/>
          <w:sz w:val="28"/>
          <w:szCs w:val="28"/>
        </w:rPr>
        <w:t xml:space="preserve"> АПК</w:t>
      </w:r>
    </w:p>
    <w:p w:rsidR="00F25AB0" w:rsidRDefault="00F25AB0" w:rsidP="00F25AB0">
      <w:pPr>
        <w:tabs>
          <w:tab w:val="left" w:pos="709"/>
        </w:tabs>
        <w:spacing w:after="0" w:line="240" w:lineRule="auto"/>
        <w:ind w:firstLine="426"/>
        <w:jc w:val="both"/>
        <w:rPr>
          <w:rFonts w:ascii="Times New Roman" w:eastAsiaTheme="minorEastAsia" w:hAnsi="Times New Roman" w:cstheme="minorBidi"/>
          <w:sz w:val="28"/>
          <w:szCs w:val="28"/>
        </w:rPr>
      </w:pPr>
      <w:r w:rsidRPr="00292D25">
        <w:rPr>
          <w:rFonts w:ascii="Times New Roman" w:eastAsiaTheme="minorEastAsia" w:hAnsi="Times New Roman" w:cstheme="minorBidi"/>
          <w:sz w:val="28"/>
          <w:szCs w:val="28"/>
        </w:rPr>
        <w:t xml:space="preserve">В первом полугодии 2018 года </w:t>
      </w:r>
      <w:r w:rsidR="00292D25">
        <w:rPr>
          <w:rFonts w:ascii="Times New Roman" w:eastAsiaTheme="minorEastAsia" w:hAnsi="Times New Roman" w:cstheme="minorBidi"/>
          <w:sz w:val="28"/>
          <w:szCs w:val="28"/>
        </w:rPr>
        <w:t>сохранилась тенденция наращивания объемов</w:t>
      </w:r>
      <w:r w:rsidRPr="00292D25">
        <w:rPr>
          <w:rFonts w:ascii="Times New Roman" w:eastAsiaTheme="minorEastAsia" w:hAnsi="Times New Roman" w:cstheme="minorBidi"/>
          <w:sz w:val="28"/>
          <w:szCs w:val="28"/>
        </w:rPr>
        <w:t xml:space="preserve"> кредитовани</w:t>
      </w:r>
      <w:r w:rsidR="00292D25">
        <w:rPr>
          <w:rFonts w:ascii="Times New Roman" w:eastAsiaTheme="minorEastAsia" w:hAnsi="Times New Roman" w:cstheme="minorBidi"/>
          <w:sz w:val="28"/>
          <w:szCs w:val="28"/>
        </w:rPr>
        <w:t>я</w:t>
      </w:r>
      <w:r w:rsidRPr="00292D25">
        <w:rPr>
          <w:rFonts w:ascii="Times New Roman" w:eastAsiaTheme="minorEastAsia" w:hAnsi="Times New Roman" w:cstheme="minorBidi"/>
          <w:sz w:val="28"/>
          <w:szCs w:val="28"/>
        </w:rPr>
        <w:t xml:space="preserve"> хозяйствующих субъектов агропромышленного комплекса республики. Так, Фондом государственного резерва Приднестровской Молдавской Республики в 2018 году были рассмотрены и удовлетворены заявки на финансирование строительства новых объектов, покупку сельскохозяйственной техники и оборудования, племенных животных, оборудования для переработки с/х продукции, а также на развитие в области животноводства, овощеводства и растениеводства.</w:t>
      </w:r>
      <w:r>
        <w:rPr>
          <w:rFonts w:ascii="Times New Roman" w:eastAsiaTheme="minorEastAsia" w:hAnsi="Times New Roman" w:cstheme="minorBidi"/>
          <w:sz w:val="28"/>
          <w:szCs w:val="28"/>
        </w:rPr>
        <w:t xml:space="preserve"> </w:t>
      </w:r>
    </w:p>
    <w:p w:rsidR="00B2670F" w:rsidRDefault="00292D25" w:rsidP="007D3AA7">
      <w:pPr>
        <w:shd w:val="clear" w:color="auto" w:fill="FFFFFF"/>
        <w:autoSpaceDE w:val="0"/>
        <w:autoSpaceDN w:val="0"/>
        <w:adjustRightInd w:val="0"/>
        <w:spacing w:after="0" w:line="240" w:lineRule="auto"/>
        <w:ind w:firstLine="426"/>
        <w:contextualSpacing/>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lastRenderedPageBreak/>
        <w:t>Наряду с этим</w:t>
      </w:r>
      <w:r w:rsidR="00B2670F" w:rsidRPr="00B2670F">
        <w:rPr>
          <w:rFonts w:ascii="Times New Roman" w:eastAsiaTheme="minorEastAsia" w:hAnsi="Times New Roman" w:cstheme="minorBidi"/>
          <w:sz w:val="28"/>
          <w:szCs w:val="28"/>
        </w:rPr>
        <w:t xml:space="preserve"> на развитие личного подсобного хозяйства физическим лицам </w:t>
      </w:r>
      <w:r>
        <w:rPr>
          <w:rFonts w:ascii="Times New Roman" w:eastAsiaTheme="minorEastAsia" w:hAnsi="Times New Roman" w:cstheme="minorBidi"/>
          <w:sz w:val="28"/>
          <w:szCs w:val="28"/>
        </w:rPr>
        <w:t xml:space="preserve">было </w:t>
      </w:r>
      <w:r w:rsidR="00B2670F" w:rsidRPr="00B2670F">
        <w:rPr>
          <w:rFonts w:ascii="Times New Roman" w:eastAsiaTheme="minorEastAsia" w:hAnsi="Times New Roman" w:cstheme="minorBidi"/>
          <w:sz w:val="28"/>
          <w:szCs w:val="28"/>
        </w:rPr>
        <w:t>выделено 9,2 млн руб. ПМР, что соответствует уровню 2017 года.</w:t>
      </w:r>
    </w:p>
    <w:p w:rsidR="00292D25" w:rsidRPr="00B2670F" w:rsidRDefault="00292D25" w:rsidP="007D3AA7">
      <w:pPr>
        <w:shd w:val="clear" w:color="auto" w:fill="FFFFFF"/>
        <w:autoSpaceDE w:val="0"/>
        <w:autoSpaceDN w:val="0"/>
        <w:adjustRightInd w:val="0"/>
        <w:spacing w:after="0" w:line="240" w:lineRule="auto"/>
        <w:ind w:firstLine="426"/>
        <w:contextualSpacing/>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t>Кроме того, в 2018 году Правительством Приднестровской молдавской республики был внедрен новый для Приднестровья механизм государственной поддержки, была запущена программа льготного кредитования хозяйствующих субъектов агропромышленного комплекса, осуществляющих деятельность в приоритетных отраслях сельского хозяйства, посредством субсидирования процентной ставки по банковским кредитам.</w:t>
      </w:r>
    </w:p>
    <w:p w:rsidR="00B2670F" w:rsidRPr="00B2670F" w:rsidRDefault="00B2670F" w:rsidP="007D3AA7">
      <w:pPr>
        <w:shd w:val="clear" w:color="auto" w:fill="FFFFFF"/>
        <w:autoSpaceDE w:val="0"/>
        <w:autoSpaceDN w:val="0"/>
        <w:adjustRightInd w:val="0"/>
        <w:spacing w:after="0" w:line="240" w:lineRule="auto"/>
        <w:ind w:firstLine="426"/>
        <w:contextualSpacing/>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В 2018 году сохранялась льготная форма налогообложения в виде фиксированного сельскохозяйственного налога на долгосрочную перспективу для всех сельскохозяйственных организаций, имеющих в пользовании (аренде) земли сельскохозяйственного назначения.</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xml:space="preserve">В 2018 году </w:t>
      </w:r>
      <w:r w:rsidR="000E22E2">
        <w:rPr>
          <w:rFonts w:ascii="Times New Roman" w:eastAsiaTheme="minorEastAsia" w:hAnsi="Times New Roman" w:cstheme="minorBidi"/>
          <w:sz w:val="28"/>
          <w:szCs w:val="28"/>
        </w:rPr>
        <w:t xml:space="preserve">были </w:t>
      </w:r>
      <w:r w:rsidRPr="00B2670F">
        <w:rPr>
          <w:rFonts w:ascii="Times New Roman" w:eastAsiaTheme="minorEastAsia" w:hAnsi="Times New Roman" w:cstheme="minorBidi"/>
          <w:sz w:val="28"/>
          <w:szCs w:val="28"/>
        </w:rPr>
        <w:t>внесены изменения в порядок предоставления крестьянским (фермерским) хозяйствам бюджетных кредитов, расширяющие как перечень потенциальных заемщиков, так и направления расходования кредитных ресурсов. Так, взятые кредиты могут быть потрачены на приобретение молодняка животных для выращивания и откорма, а также приобретение кормов, что придает импульс развитию животноводства.</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Государственная поддержка местных производителей осуществлялась также в виде:</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xml:space="preserve">- дотирования объемов сдачи молока на переработку сельскохозяйственными организациями всех форм собственности (без хозяйств населения) на промышленную переработку; </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сохранения льготных тарифов на услуги газоснабжения и электроэнергетики для производителей и переработчиков животноводческой продукции в сельской местности;</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xml:space="preserve">- льготного кредитования хозяйствующих субъектов, </w:t>
      </w:r>
      <w:r w:rsidR="00292D25">
        <w:rPr>
          <w:rFonts w:ascii="Times New Roman" w:eastAsiaTheme="minorEastAsia" w:hAnsi="Times New Roman" w:cstheme="minorBidi"/>
          <w:sz w:val="28"/>
          <w:szCs w:val="28"/>
        </w:rPr>
        <w:t>осуществляющих</w:t>
      </w:r>
      <w:r w:rsidRPr="00B2670F">
        <w:rPr>
          <w:rFonts w:ascii="Times New Roman" w:eastAsiaTheme="minorEastAsia" w:hAnsi="Times New Roman" w:cstheme="minorBidi"/>
          <w:sz w:val="28"/>
          <w:szCs w:val="28"/>
        </w:rPr>
        <w:t xml:space="preserve"> развитие молочного животноводства;</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сохранения действующей системы льготного налогообложения для вновь образованных крестьянских (фермерских) хозяйств и фиксированного налога для сельскохозяйственных производителей;</w:t>
      </w:r>
    </w:p>
    <w:p w:rsidR="00B2670F" w:rsidRPr="00B2670F" w:rsidRDefault="00B2670F" w:rsidP="007D3AA7">
      <w:pPr>
        <w:tabs>
          <w:tab w:val="left" w:pos="8647"/>
        </w:tabs>
        <w:spacing w:after="0" w:line="240" w:lineRule="auto"/>
        <w:ind w:firstLine="425"/>
        <w:jc w:val="both"/>
        <w:rPr>
          <w:rFonts w:ascii="Times New Roman" w:eastAsiaTheme="minorEastAsia" w:hAnsi="Times New Roman" w:cstheme="minorBidi"/>
          <w:bCs/>
          <w:sz w:val="28"/>
          <w:szCs w:val="28"/>
        </w:rPr>
      </w:pPr>
      <w:r w:rsidRPr="00B2670F">
        <w:rPr>
          <w:rFonts w:ascii="Times New Roman" w:eastAsiaTheme="minorEastAsia" w:hAnsi="Times New Roman" w:cstheme="minorBidi"/>
          <w:sz w:val="28"/>
          <w:szCs w:val="28"/>
        </w:rPr>
        <w:t>- преференций местным производителям при проведении тендеров на закупку с/х продукции для обеспечения бюджетных организаций (в случае если всеми участниками тендера предложены равные условия по поставке и оплате товара (работ, услуг) и цена на товар (работы, услуги), предлагаемая отечественным производителем, выше не более чем на 10% от цен, предлагаемых другими участниками тендера, предпочтение отдается отечественному производителю).</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Продолжают действовать льготы по налогообложению земель, занятых молодыми садами и виноградниками, многолетними насаждениями, требующими раскорчевки, а также льготы по уплате земельного налога вновь образуемым крестьянским (фермерским) хозяйствам.</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Оказание поддержки сельскохозяйственным предприятиям также выражается в мерах, способствующих снижению себестоимости произведенной продукции:</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lastRenderedPageBreak/>
        <w:t>- льготный тариф на оказание услуги по подаче поливной воды на орошение: 70 копеек за один метр кубический и без оплаты в засушливый период (в засуху);</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снижение таможенных пошлин и их обнуление на номенклатуру товаров для сельскохозяйственного производства – тракторов, сельскохозяйственных машин и механизмов;</w:t>
      </w:r>
    </w:p>
    <w:p w:rsidR="00B2670F" w:rsidRPr="00B2670F" w:rsidRDefault="00B2670F" w:rsidP="007D3AA7">
      <w:pPr>
        <w:tabs>
          <w:tab w:val="left" w:pos="8647"/>
        </w:tabs>
        <w:spacing w:after="0" w:line="240" w:lineRule="auto"/>
        <w:ind w:firstLine="426"/>
        <w:jc w:val="both"/>
        <w:rPr>
          <w:rFonts w:ascii="Times New Roman" w:eastAsiaTheme="minorEastAsia" w:hAnsi="Times New Roman" w:cstheme="minorBidi"/>
          <w:sz w:val="28"/>
          <w:szCs w:val="28"/>
        </w:rPr>
      </w:pPr>
      <w:r w:rsidRPr="00B2670F">
        <w:rPr>
          <w:rFonts w:ascii="Times New Roman" w:eastAsiaTheme="minorEastAsia" w:hAnsi="Times New Roman" w:cstheme="minorBidi"/>
          <w:sz w:val="28"/>
          <w:szCs w:val="28"/>
        </w:rPr>
        <w:t>- упрощение оформления товаров, используемых в технологическом процессе: семян, удобрений, посадочного материала, средств защиты растений.</w:t>
      </w:r>
    </w:p>
    <w:p w:rsidR="0094410B" w:rsidRDefault="0094410B" w:rsidP="007D3AA7">
      <w:pPr>
        <w:tabs>
          <w:tab w:val="left" w:pos="8647"/>
        </w:tabs>
        <w:spacing w:after="0" w:line="240" w:lineRule="auto"/>
        <w:ind w:firstLine="426"/>
        <w:jc w:val="both"/>
        <w:rPr>
          <w:rFonts w:ascii="Times New Roman" w:hAnsi="Times New Roman"/>
          <w:sz w:val="28"/>
          <w:szCs w:val="28"/>
        </w:rPr>
      </w:pPr>
    </w:p>
    <w:p w:rsidR="005844A5" w:rsidRPr="005844A5" w:rsidRDefault="005844A5" w:rsidP="007D3AA7">
      <w:pPr>
        <w:spacing w:after="0" w:line="240" w:lineRule="auto"/>
        <w:ind w:firstLine="426"/>
        <w:rPr>
          <w:rFonts w:ascii="Times New Roman" w:hAnsi="Times New Roman"/>
          <w:b/>
          <w:sz w:val="28"/>
          <w:szCs w:val="28"/>
        </w:rPr>
      </w:pPr>
      <w:r w:rsidRPr="005844A5">
        <w:rPr>
          <w:rFonts w:ascii="Times New Roman" w:hAnsi="Times New Roman"/>
          <w:b/>
          <w:sz w:val="28"/>
          <w:szCs w:val="28"/>
        </w:rPr>
        <w:t>Транспорт</w:t>
      </w:r>
    </w:p>
    <w:p w:rsidR="005844A5" w:rsidRPr="005844A5" w:rsidRDefault="005844A5" w:rsidP="007D3AA7">
      <w:pPr>
        <w:spacing w:after="0" w:line="240" w:lineRule="auto"/>
        <w:ind w:firstLine="426"/>
        <w:rPr>
          <w:rFonts w:ascii="Times New Roman" w:hAnsi="Times New Roman"/>
          <w:sz w:val="28"/>
          <w:szCs w:val="28"/>
        </w:rPr>
      </w:pPr>
    </w:p>
    <w:p w:rsidR="005844A5" w:rsidRPr="005844A5" w:rsidRDefault="005844A5" w:rsidP="007D3AA7">
      <w:pPr>
        <w:spacing w:after="0" w:line="240" w:lineRule="auto"/>
        <w:ind w:firstLine="426"/>
        <w:jc w:val="both"/>
        <w:rPr>
          <w:rFonts w:ascii="Times New Roman" w:hAnsi="Times New Roman"/>
          <w:sz w:val="28"/>
          <w:szCs w:val="28"/>
        </w:rPr>
      </w:pPr>
      <w:r w:rsidRPr="005844A5">
        <w:rPr>
          <w:rFonts w:ascii="Times New Roman" w:hAnsi="Times New Roman"/>
          <w:sz w:val="28"/>
          <w:szCs w:val="28"/>
        </w:rPr>
        <w:t>Результаты финансово-хозяйственной деятельности транспортных организаций в 2018 году формировались</w:t>
      </w:r>
      <w:r w:rsidR="000E22E2">
        <w:rPr>
          <w:rFonts w:ascii="Times New Roman" w:hAnsi="Times New Roman"/>
          <w:sz w:val="28"/>
          <w:szCs w:val="28"/>
        </w:rPr>
        <w:t>,</w:t>
      </w:r>
      <w:r w:rsidRPr="005844A5">
        <w:rPr>
          <w:rFonts w:ascii="Times New Roman" w:hAnsi="Times New Roman"/>
          <w:sz w:val="28"/>
          <w:szCs w:val="28"/>
        </w:rPr>
        <w:t xml:space="preserve"> с одной стороны, на фоне положительной динамики выпуска</w:t>
      </w:r>
      <w:r w:rsidR="000E22E2">
        <w:rPr>
          <w:rFonts w:ascii="Times New Roman" w:hAnsi="Times New Roman"/>
          <w:sz w:val="28"/>
          <w:szCs w:val="28"/>
        </w:rPr>
        <w:t xml:space="preserve"> в</w:t>
      </w:r>
      <w:r w:rsidRPr="005844A5">
        <w:rPr>
          <w:rFonts w:ascii="Times New Roman" w:hAnsi="Times New Roman"/>
          <w:sz w:val="28"/>
          <w:szCs w:val="28"/>
        </w:rPr>
        <w:t xml:space="preserve"> ключевых отрасл</w:t>
      </w:r>
      <w:r w:rsidR="000E22E2">
        <w:rPr>
          <w:rFonts w:ascii="Times New Roman" w:hAnsi="Times New Roman"/>
          <w:sz w:val="28"/>
          <w:szCs w:val="28"/>
        </w:rPr>
        <w:t>ях</w:t>
      </w:r>
      <w:r w:rsidRPr="005844A5">
        <w:rPr>
          <w:rFonts w:ascii="Times New Roman" w:hAnsi="Times New Roman"/>
          <w:sz w:val="28"/>
          <w:szCs w:val="28"/>
        </w:rPr>
        <w:t xml:space="preserve"> реального сектора, с другой, в условиях значительной </w:t>
      </w:r>
      <w:r w:rsidR="000E22E2">
        <w:rPr>
          <w:rFonts w:ascii="Times New Roman" w:hAnsi="Times New Roman"/>
          <w:sz w:val="28"/>
          <w:szCs w:val="28"/>
        </w:rPr>
        <w:t>изношенности</w:t>
      </w:r>
      <w:r w:rsidRPr="005844A5">
        <w:rPr>
          <w:rFonts w:ascii="Times New Roman" w:hAnsi="Times New Roman"/>
          <w:sz w:val="28"/>
          <w:szCs w:val="28"/>
        </w:rPr>
        <w:t xml:space="preserve"> подвижного состава</w:t>
      </w:r>
      <w:r w:rsidR="00814BB0">
        <w:rPr>
          <w:rFonts w:ascii="Times New Roman" w:hAnsi="Times New Roman"/>
          <w:sz w:val="28"/>
          <w:szCs w:val="28"/>
        </w:rPr>
        <w:t>,</w:t>
      </w:r>
      <w:r w:rsidRPr="005844A5">
        <w:rPr>
          <w:rFonts w:ascii="Times New Roman" w:hAnsi="Times New Roman"/>
          <w:sz w:val="28"/>
          <w:szCs w:val="28"/>
        </w:rPr>
        <w:t xml:space="preserve"> используемого для оказания транспортных услуг, </w:t>
      </w:r>
      <w:r w:rsidR="00814BB0">
        <w:rPr>
          <w:rFonts w:ascii="Times New Roman" w:hAnsi="Times New Roman"/>
          <w:sz w:val="28"/>
          <w:szCs w:val="28"/>
        </w:rPr>
        <w:t xml:space="preserve">а также </w:t>
      </w:r>
      <w:r w:rsidR="000E22E2">
        <w:rPr>
          <w:rFonts w:ascii="Times New Roman" w:hAnsi="Times New Roman"/>
          <w:sz w:val="28"/>
          <w:szCs w:val="28"/>
        </w:rPr>
        <w:t xml:space="preserve">введения </w:t>
      </w:r>
      <w:r w:rsidRPr="005844A5">
        <w:rPr>
          <w:rFonts w:ascii="Times New Roman" w:hAnsi="Times New Roman"/>
          <w:sz w:val="28"/>
          <w:szCs w:val="28"/>
        </w:rPr>
        <w:t>запрет</w:t>
      </w:r>
      <w:r w:rsidR="000E22E2">
        <w:rPr>
          <w:rFonts w:ascii="Times New Roman" w:hAnsi="Times New Roman"/>
          <w:sz w:val="28"/>
          <w:szCs w:val="28"/>
        </w:rPr>
        <w:t>а</w:t>
      </w:r>
      <w:r w:rsidRPr="005844A5">
        <w:rPr>
          <w:rFonts w:ascii="Times New Roman" w:hAnsi="Times New Roman"/>
          <w:sz w:val="28"/>
          <w:szCs w:val="28"/>
        </w:rPr>
        <w:t xml:space="preserve"> на ввоз на территорию Российской Федерации грузов</w:t>
      </w:r>
      <w:r w:rsidR="000E22E2">
        <w:rPr>
          <w:rFonts w:ascii="Times New Roman" w:hAnsi="Times New Roman"/>
          <w:sz w:val="28"/>
          <w:szCs w:val="28"/>
        </w:rPr>
        <w:t>,</w:t>
      </w:r>
      <w:r w:rsidRPr="005844A5">
        <w:rPr>
          <w:rFonts w:ascii="Times New Roman" w:hAnsi="Times New Roman"/>
          <w:sz w:val="28"/>
          <w:szCs w:val="28"/>
        </w:rPr>
        <w:t xml:space="preserve"> прошедших транзитом по территории Украины, что обеспечило дополнительные логистические трудности и</w:t>
      </w:r>
      <w:r w:rsidR="000E22E2">
        <w:rPr>
          <w:rFonts w:ascii="Times New Roman" w:hAnsi="Times New Roman"/>
          <w:sz w:val="28"/>
          <w:szCs w:val="28"/>
        </w:rPr>
        <w:t>,</w:t>
      </w:r>
      <w:r w:rsidRPr="005844A5">
        <w:rPr>
          <w:rFonts w:ascii="Times New Roman" w:hAnsi="Times New Roman"/>
          <w:sz w:val="28"/>
          <w:szCs w:val="28"/>
        </w:rPr>
        <w:t xml:space="preserve"> как следствие</w:t>
      </w:r>
      <w:r w:rsidR="000E22E2">
        <w:rPr>
          <w:rFonts w:ascii="Times New Roman" w:hAnsi="Times New Roman"/>
          <w:sz w:val="28"/>
          <w:szCs w:val="28"/>
        </w:rPr>
        <w:t>,</w:t>
      </w:r>
      <w:r w:rsidRPr="005844A5">
        <w:rPr>
          <w:rFonts w:ascii="Times New Roman" w:hAnsi="Times New Roman"/>
          <w:sz w:val="28"/>
          <w:szCs w:val="28"/>
        </w:rPr>
        <w:t xml:space="preserve"> рост затрат на транспортировку отечественных товаров.</w:t>
      </w:r>
    </w:p>
    <w:p w:rsidR="005844A5" w:rsidRPr="005844A5" w:rsidRDefault="005844A5" w:rsidP="007D3AA7">
      <w:pPr>
        <w:spacing w:after="0" w:line="240" w:lineRule="auto"/>
        <w:ind w:firstLine="426"/>
        <w:jc w:val="both"/>
        <w:rPr>
          <w:rFonts w:ascii="Times New Roman" w:hAnsi="Times New Roman"/>
          <w:sz w:val="28"/>
          <w:szCs w:val="28"/>
        </w:rPr>
      </w:pPr>
      <w:r w:rsidRPr="005844A5">
        <w:rPr>
          <w:rFonts w:ascii="Times New Roman" w:hAnsi="Times New Roman"/>
          <w:sz w:val="28"/>
          <w:szCs w:val="28"/>
        </w:rPr>
        <w:t xml:space="preserve">Показатели деятельности организаций </w:t>
      </w:r>
      <w:r w:rsidRPr="005844A5">
        <w:rPr>
          <w:rFonts w:ascii="Times New Roman" w:hAnsi="Times New Roman"/>
          <w:b/>
          <w:i/>
          <w:sz w:val="28"/>
          <w:szCs w:val="28"/>
        </w:rPr>
        <w:t xml:space="preserve">грузового автомобильного транспорта </w:t>
      </w:r>
      <w:r w:rsidRPr="005844A5">
        <w:rPr>
          <w:rFonts w:ascii="Times New Roman" w:hAnsi="Times New Roman"/>
          <w:sz w:val="28"/>
          <w:szCs w:val="28"/>
        </w:rPr>
        <w:t>в отчетном периоде, учитывая рост деловой активности отечественного бизнеса и</w:t>
      </w:r>
      <w:r w:rsidR="000E22E2">
        <w:rPr>
          <w:rFonts w:ascii="Times New Roman" w:hAnsi="Times New Roman"/>
          <w:sz w:val="28"/>
          <w:szCs w:val="28"/>
        </w:rPr>
        <w:t>,</w:t>
      </w:r>
      <w:r w:rsidRPr="005844A5">
        <w:rPr>
          <w:rFonts w:ascii="Times New Roman" w:hAnsi="Times New Roman"/>
          <w:sz w:val="28"/>
          <w:szCs w:val="28"/>
        </w:rPr>
        <w:t xml:space="preserve"> как следствие</w:t>
      </w:r>
      <w:r w:rsidR="000E22E2">
        <w:rPr>
          <w:rFonts w:ascii="Times New Roman" w:hAnsi="Times New Roman"/>
          <w:sz w:val="28"/>
          <w:szCs w:val="28"/>
        </w:rPr>
        <w:t>,</w:t>
      </w:r>
      <w:r w:rsidRPr="005844A5">
        <w:rPr>
          <w:rFonts w:ascii="Times New Roman" w:hAnsi="Times New Roman"/>
          <w:sz w:val="28"/>
          <w:szCs w:val="28"/>
        </w:rPr>
        <w:t xml:space="preserve"> спроса на грузоперевозки, проводимую органами государственной власти работу по поддержке отечественных грузоперевозчиков, в части снижения негативных последствий от действующих ограничительных мер при транспортировке грузов за пределы Приднестровской Молдавской Республики, демонстрировали преимущественно положительную динамику. Грузооборот по автотранспортным организациям общего пользования в 2018 году, на фоне роста общего объема перевезенных грузов на 32,2% до 2 393,4 тыс. тонн, а также сокращения средней дальности</w:t>
      </w:r>
      <w:r w:rsidRPr="005844A5">
        <w:rPr>
          <w:rFonts w:ascii="Times New Roman" w:hAnsi="Times New Roman"/>
          <w:spacing w:val="3"/>
          <w:sz w:val="28"/>
          <w:szCs w:val="28"/>
        </w:rPr>
        <w:t xml:space="preserve"> перевозки 1 тонны груза на 0,8% до 12,5 км, вырос на 30,7% до </w:t>
      </w:r>
      <w:r w:rsidR="000E22E2">
        <w:rPr>
          <w:rFonts w:ascii="Times New Roman" w:hAnsi="Times New Roman"/>
          <w:spacing w:val="3"/>
          <w:sz w:val="28"/>
          <w:szCs w:val="28"/>
        </w:rPr>
        <w:br/>
      </w:r>
      <w:r w:rsidRPr="005844A5">
        <w:rPr>
          <w:rFonts w:ascii="Times New Roman" w:hAnsi="Times New Roman"/>
          <w:spacing w:val="3"/>
          <w:sz w:val="28"/>
          <w:szCs w:val="28"/>
        </w:rPr>
        <w:t>29 857,3 тыс. т-км</w:t>
      </w:r>
      <w:r w:rsidR="00A4091C">
        <w:rPr>
          <w:rFonts w:ascii="Times New Roman" w:hAnsi="Times New Roman"/>
          <w:spacing w:val="3"/>
          <w:sz w:val="28"/>
          <w:szCs w:val="28"/>
        </w:rPr>
        <w:t xml:space="preserve"> (табл. 2)</w:t>
      </w:r>
      <w:r w:rsidRPr="005844A5">
        <w:rPr>
          <w:rFonts w:ascii="Times New Roman" w:hAnsi="Times New Roman"/>
          <w:spacing w:val="3"/>
          <w:sz w:val="28"/>
          <w:szCs w:val="28"/>
        </w:rPr>
        <w:t>.</w:t>
      </w:r>
    </w:p>
    <w:p w:rsidR="005844A5" w:rsidRPr="005844A5" w:rsidRDefault="005844A5" w:rsidP="007D3AA7">
      <w:pPr>
        <w:spacing w:after="0" w:line="240" w:lineRule="auto"/>
        <w:ind w:firstLine="709"/>
        <w:jc w:val="right"/>
        <w:rPr>
          <w:rFonts w:ascii="Times New Roman" w:hAnsi="Times New Roman"/>
          <w:i/>
          <w:spacing w:val="3"/>
          <w:sz w:val="28"/>
          <w:szCs w:val="28"/>
        </w:rPr>
      </w:pPr>
      <w:r w:rsidRPr="005844A5">
        <w:rPr>
          <w:rFonts w:ascii="Times New Roman" w:hAnsi="Times New Roman"/>
          <w:i/>
          <w:spacing w:val="3"/>
          <w:sz w:val="28"/>
          <w:szCs w:val="28"/>
        </w:rPr>
        <w:t>Таблица №2</w:t>
      </w:r>
    </w:p>
    <w:p w:rsidR="005844A5" w:rsidRPr="005844A5" w:rsidRDefault="005844A5" w:rsidP="007D3AA7">
      <w:pPr>
        <w:spacing w:after="0" w:line="240" w:lineRule="auto"/>
        <w:jc w:val="center"/>
        <w:rPr>
          <w:rFonts w:ascii="Times New Roman" w:hAnsi="Times New Roman"/>
          <w:b/>
          <w:sz w:val="28"/>
          <w:szCs w:val="28"/>
        </w:rPr>
      </w:pPr>
      <w:r w:rsidRPr="005844A5">
        <w:rPr>
          <w:rFonts w:ascii="Times New Roman" w:hAnsi="Times New Roman"/>
          <w:b/>
          <w:sz w:val="28"/>
          <w:szCs w:val="28"/>
        </w:rPr>
        <w:t>Показатели работы грузового транспорта общего пользования</w:t>
      </w: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6"/>
        <w:gridCol w:w="1377"/>
        <w:gridCol w:w="1174"/>
        <w:gridCol w:w="1297"/>
        <w:gridCol w:w="1556"/>
      </w:tblGrid>
      <w:tr w:rsidR="005844A5" w:rsidRPr="005844A5" w:rsidTr="005E63BD">
        <w:trPr>
          <w:trHeight w:val="503"/>
        </w:trPr>
        <w:tc>
          <w:tcPr>
            <w:tcW w:w="4296" w:type="dxa"/>
            <w:shd w:val="clear" w:color="auto" w:fill="D9D9D9"/>
            <w:vAlign w:val="center"/>
          </w:tcPr>
          <w:p w:rsidR="005844A5" w:rsidRPr="005844A5" w:rsidRDefault="005844A5" w:rsidP="007D3AA7">
            <w:pPr>
              <w:spacing w:after="0" w:line="240" w:lineRule="auto"/>
              <w:jc w:val="center"/>
              <w:rPr>
                <w:rFonts w:ascii="Times New Roman" w:hAnsi="Times New Roman"/>
                <w:b/>
              </w:rPr>
            </w:pPr>
            <w:r w:rsidRPr="005844A5">
              <w:rPr>
                <w:rFonts w:ascii="Times New Roman" w:hAnsi="Times New Roman"/>
                <w:b/>
              </w:rPr>
              <w:t>Показатели</w:t>
            </w:r>
          </w:p>
        </w:tc>
        <w:tc>
          <w:tcPr>
            <w:tcW w:w="1377" w:type="dxa"/>
            <w:shd w:val="clear" w:color="auto" w:fill="D9D9D9"/>
            <w:vAlign w:val="center"/>
          </w:tcPr>
          <w:p w:rsidR="005844A5" w:rsidRPr="005844A5" w:rsidRDefault="005844A5" w:rsidP="007D3AA7">
            <w:pPr>
              <w:spacing w:after="0" w:line="240" w:lineRule="auto"/>
              <w:jc w:val="center"/>
              <w:rPr>
                <w:rFonts w:ascii="Times New Roman" w:hAnsi="Times New Roman"/>
                <w:b/>
              </w:rPr>
            </w:pPr>
            <w:r w:rsidRPr="005844A5">
              <w:rPr>
                <w:rFonts w:ascii="Times New Roman" w:hAnsi="Times New Roman"/>
                <w:b/>
              </w:rPr>
              <w:t>Ед. изм.</w:t>
            </w:r>
          </w:p>
        </w:tc>
        <w:tc>
          <w:tcPr>
            <w:tcW w:w="1174" w:type="dxa"/>
            <w:shd w:val="clear" w:color="auto" w:fill="D9D9D9"/>
            <w:vAlign w:val="center"/>
          </w:tcPr>
          <w:p w:rsidR="005844A5" w:rsidRPr="005844A5" w:rsidRDefault="005844A5" w:rsidP="007D3AA7">
            <w:pPr>
              <w:spacing w:after="0" w:line="240" w:lineRule="auto"/>
              <w:jc w:val="center"/>
              <w:rPr>
                <w:rFonts w:ascii="Times New Roman" w:hAnsi="Times New Roman"/>
                <w:b/>
              </w:rPr>
            </w:pPr>
            <w:r w:rsidRPr="005844A5">
              <w:rPr>
                <w:rFonts w:ascii="Times New Roman" w:hAnsi="Times New Roman"/>
                <w:b/>
              </w:rPr>
              <w:t>2017 г.</w:t>
            </w:r>
          </w:p>
        </w:tc>
        <w:tc>
          <w:tcPr>
            <w:tcW w:w="1297" w:type="dxa"/>
            <w:shd w:val="clear" w:color="auto" w:fill="D9D9D9"/>
            <w:vAlign w:val="center"/>
          </w:tcPr>
          <w:p w:rsidR="005844A5" w:rsidRPr="005844A5" w:rsidRDefault="005844A5" w:rsidP="007D3AA7">
            <w:pPr>
              <w:spacing w:after="0" w:line="240" w:lineRule="auto"/>
              <w:jc w:val="center"/>
              <w:rPr>
                <w:rFonts w:ascii="Times New Roman" w:hAnsi="Times New Roman"/>
                <w:b/>
              </w:rPr>
            </w:pPr>
            <w:r w:rsidRPr="005844A5">
              <w:rPr>
                <w:rFonts w:ascii="Times New Roman" w:hAnsi="Times New Roman"/>
                <w:b/>
              </w:rPr>
              <w:t>2018 г.</w:t>
            </w:r>
          </w:p>
        </w:tc>
        <w:tc>
          <w:tcPr>
            <w:tcW w:w="1556" w:type="dxa"/>
            <w:shd w:val="clear" w:color="auto" w:fill="D9D9D9"/>
            <w:vAlign w:val="center"/>
          </w:tcPr>
          <w:p w:rsidR="005844A5" w:rsidRPr="005844A5" w:rsidRDefault="005844A5" w:rsidP="007D3AA7">
            <w:pPr>
              <w:spacing w:after="0" w:line="240" w:lineRule="auto"/>
              <w:ind w:left="-108" w:right="-51"/>
              <w:jc w:val="center"/>
              <w:rPr>
                <w:rFonts w:ascii="Times New Roman" w:hAnsi="Times New Roman"/>
                <w:b/>
                <w:i/>
              </w:rPr>
            </w:pPr>
            <w:r w:rsidRPr="005844A5">
              <w:rPr>
                <w:rFonts w:ascii="Times New Roman" w:hAnsi="Times New Roman"/>
                <w:b/>
                <w:i/>
              </w:rPr>
              <w:t>201</w:t>
            </w:r>
            <w:r w:rsidR="00125776">
              <w:rPr>
                <w:rFonts w:ascii="Times New Roman" w:hAnsi="Times New Roman"/>
                <w:b/>
                <w:i/>
              </w:rPr>
              <w:t>8</w:t>
            </w:r>
            <w:r w:rsidRPr="005844A5">
              <w:rPr>
                <w:rFonts w:ascii="Times New Roman" w:hAnsi="Times New Roman"/>
                <w:b/>
                <w:i/>
              </w:rPr>
              <w:t xml:space="preserve"> г. в % к</w:t>
            </w:r>
          </w:p>
          <w:p w:rsidR="005844A5" w:rsidRPr="005844A5" w:rsidRDefault="005844A5" w:rsidP="00125776">
            <w:pPr>
              <w:spacing w:after="0" w:line="240" w:lineRule="auto"/>
              <w:ind w:left="-108" w:right="-51"/>
              <w:jc w:val="center"/>
              <w:rPr>
                <w:rFonts w:ascii="Times New Roman" w:hAnsi="Times New Roman"/>
                <w:b/>
                <w:i/>
              </w:rPr>
            </w:pPr>
            <w:r w:rsidRPr="005844A5">
              <w:rPr>
                <w:rFonts w:ascii="Times New Roman" w:hAnsi="Times New Roman"/>
                <w:b/>
                <w:i/>
              </w:rPr>
              <w:t>201</w:t>
            </w:r>
            <w:r w:rsidR="00125776">
              <w:rPr>
                <w:rFonts w:ascii="Times New Roman" w:hAnsi="Times New Roman"/>
                <w:b/>
                <w:i/>
              </w:rPr>
              <w:t>7</w:t>
            </w:r>
            <w:r w:rsidRPr="005844A5">
              <w:rPr>
                <w:rFonts w:ascii="Times New Roman" w:hAnsi="Times New Roman"/>
                <w:b/>
                <w:i/>
              </w:rPr>
              <w:t xml:space="preserve"> г.</w:t>
            </w:r>
          </w:p>
        </w:tc>
      </w:tr>
      <w:tr w:rsidR="005844A5" w:rsidRPr="005844A5" w:rsidTr="005E63BD">
        <w:trPr>
          <w:trHeight w:val="205"/>
        </w:trPr>
        <w:tc>
          <w:tcPr>
            <w:tcW w:w="4296" w:type="dxa"/>
            <w:vAlign w:val="center"/>
          </w:tcPr>
          <w:p w:rsidR="005844A5" w:rsidRPr="005844A5" w:rsidRDefault="005844A5" w:rsidP="007D3AA7">
            <w:pPr>
              <w:spacing w:after="0" w:line="240" w:lineRule="auto"/>
              <w:rPr>
                <w:rFonts w:ascii="Times New Roman" w:hAnsi="Times New Roman"/>
                <w:vertAlign w:val="superscript"/>
              </w:rPr>
            </w:pPr>
            <w:r w:rsidRPr="005844A5">
              <w:rPr>
                <w:rFonts w:ascii="Times New Roman" w:hAnsi="Times New Roman"/>
                <w:b/>
              </w:rPr>
              <w:t>Объем перевезенных грузов</w:t>
            </w:r>
          </w:p>
        </w:tc>
        <w:tc>
          <w:tcPr>
            <w:tcW w:w="1377"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тыс. т</w:t>
            </w:r>
          </w:p>
        </w:tc>
        <w:tc>
          <w:tcPr>
            <w:tcW w:w="1174"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1 810,5</w:t>
            </w:r>
          </w:p>
        </w:tc>
        <w:tc>
          <w:tcPr>
            <w:tcW w:w="1297"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2 393,4</w:t>
            </w:r>
          </w:p>
        </w:tc>
        <w:tc>
          <w:tcPr>
            <w:tcW w:w="1556" w:type="dxa"/>
            <w:vAlign w:val="center"/>
          </w:tcPr>
          <w:p w:rsidR="005844A5" w:rsidRPr="005844A5" w:rsidRDefault="005844A5" w:rsidP="007D3AA7">
            <w:pPr>
              <w:spacing w:after="0" w:line="240" w:lineRule="auto"/>
              <w:ind w:left="-108" w:right="-51"/>
              <w:jc w:val="center"/>
              <w:rPr>
                <w:rFonts w:ascii="Times New Roman" w:hAnsi="Times New Roman"/>
                <w:i/>
              </w:rPr>
            </w:pPr>
            <w:r w:rsidRPr="005844A5">
              <w:rPr>
                <w:rFonts w:ascii="Times New Roman" w:hAnsi="Times New Roman"/>
                <w:i/>
              </w:rPr>
              <w:t>132,2</w:t>
            </w:r>
          </w:p>
        </w:tc>
      </w:tr>
      <w:tr w:rsidR="005844A5" w:rsidRPr="005844A5" w:rsidTr="005E63BD">
        <w:trPr>
          <w:trHeight w:val="182"/>
        </w:trPr>
        <w:tc>
          <w:tcPr>
            <w:tcW w:w="4296" w:type="dxa"/>
            <w:vAlign w:val="center"/>
          </w:tcPr>
          <w:p w:rsidR="005844A5" w:rsidRPr="005844A5" w:rsidRDefault="005844A5" w:rsidP="007D3AA7">
            <w:pPr>
              <w:spacing w:after="0" w:line="240" w:lineRule="auto"/>
              <w:rPr>
                <w:rFonts w:ascii="Times New Roman" w:hAnsi="Times New Roman"/>
              </w:rPr>
            </w:pPr>
            <w:r w:rsidRPr="005844A5">
              <w:rPr>
                <w:rFonts w:ascii="Times New Roman" w:hAnsi="Times New Roman"/>
                <w:b/>
              </w:rPr>
              <w:t>Грузооборот</w:t>
            </w:r>
          </w:p>
        </w:tc>
        <w:tc>
          <w:tcPr>
            <w:tcW w:w="1377"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тыс. т-км.</w:t>
            </w:r>
          </w:p>
        </w:tc>
        <w:tc>
          <w:tcPr>
            <w:tcW w:w="1174"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22 839,8</w:t>
            </w:r>
          </w:p>
        </w:tc>
        <w:tc>
          <w:tcPr>
            <w:tcW w:w="1297" w:type="dxa"/>
            <w:vAlign w:val="center"/>
          </w:tcPr>
          <w:p w:rsidR="005844A5" w:rsidRPr="005844A5" w:rsidRDefault="005844A5" w:rsidP="007D3AA7">
            <w:pPr>
              <w:spacing w:after="0" w:line="240" w:lineRule="auto"/>
              <w:ind w:right="113"/>
              <w:jc w:val="center"/>
              <w:rPr>
                <w:rFonts w:ascii="Times New Roman" w:hAnsi="Times New Roman"/>
                <w:lang w:val="en-US"/>
              </w:rPr>
            </w:pPr>
            <w:r w:rsidRPr="005844A5">
              <w:rPr>
                <w:rFonts w:ascii="Times New Roman" w:hAnsi="Times New Roman"/>
              </w:rPr>
              <w:t>29 857,3</w:t>
            </w:r>
          </w:p>
        </w:tc>
        <w:tc>
          <w:tcPr>
            <w:tcW w:w="1556" w:type="dxa"/>
            <w:vAlign w:val="center"/>
          </w:tcPr>
          <w:p w:rsidR="005844A5" w:rsidRPr="005844A5" w:rsidRDefault="005844A5" w:rsidP="007D3AA7">
            <w:pPr>
              <w:spacing w:after="0" w:line="240" w:lineRule="auto"/>
              <w:ind w:left="-108" w:right="-51"/>
              <w:jc w:val="center"/>
              <w:rPr>
                <w:rFonts w:ascii="Times New Roman" w:hAnsi="Times New Roman"/>
                <w:i/>
                <w:lang w:val="en-US"/>
              </w:rPr>
            </w:pPr>
            <w:r w:rsidRPr="005844A5">
              <w:rPr>
                <w:rFonts w:ascii="Times New Roman" w:hAnsi="Times New Roman"/>
                <w:i/>
              </w:rPr>
              <w:t>130,7</w:t>
            </w:r>
          </w:p>
        </w:tc>
      </w:tr>
      <w:tr w:rsidR="005844A5" w:rsidRPr="005844A5" w:rsidTr="005E63BD">
        <w:trPr>
          <w:trHeight w:val="213"/>
        </w:trPr>
        <w:tc>
          <w:tcPr>
            <w:tcW w:w="4296" w:type="dxa"/>
            <w:vAlign w:val="center"/>
          </w:tcPr>
          <w:p w:rsidR="005844A5" w:rsidRPr="005844A5" w:rsidRDefault="005844A5" w:rsidP="007D3AA7">
            <w:pPr>
              <w:spacing w:after="0" w:line="240" w:lineRule="auto"/>
              <w:rPr>
                <w:rFonts w:ascii="Times New Roman" w:hAnsi="Times New Roman"/>
                <w:b/>
              </w:rPr>
            </w:pPr>
            <w:r w:rsidRPr="005844A5">
              <w:rPr>
                <w:rFonts w:ascii="Times New Roman" w:hAnsi="Times New Roman"/>
                <w:b/>
              </w:rPr>
              <w:t>Средняя дальность перевозки 1 т груза</w:t>
            </w:r>
          </w:p>
        </w:tc>
        <w:tc>
          <w:tcPr>
            <w:tcW w:w="1377"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км</w:t>
            </w:r>
          </w:p>
        </w:tc>
        <w:tc>
          <w:tcPr>
            <w:tcW w:w="1174" w:type="dxa"/>
            <w:vAlign w:val="center"/>
          </w:tcPr>
          <w:p w:rsidR="005844A5" w:rsidRPr="005844A5" w:rsidRDefault="005844A5" w:rsidP="007D3AA7">
            <w:pPr>
              <w:spacing w:after="0" w:line="240" w:lineRule="auto"/>
              <w:ind w:right="113"/>
              <w:jc w:val="center"/>
              <w:rPr>
                <w:rFonts w:ascii="Times New Roman" w:hAnsi="Times New Roman"/>
                <w:lang w:val="en-US"/>
              </w:rPr>
            </w:pPr>
            <w:r w:rsidRPr="005844A5">
              <w:rPr>
                <w:rFonts w:ascii="Times New Roman" w:hAnsi="Times New Roman"/>
              </w:rPr>
              <w:t>12,6</w:t>
            </w:r>
          </w:p>
        </w:tc>
        <w:tc>
          <w:tcPr>
            <w:tcW w:w="1297" w:type="dxa"/>
            <w:vAlign w:val="center"/>
          </w:tcPr>
          <w:p w:rsidR="005844A5" w:rsidRPr="005844A5" w:rsidRDefault="005844A5" w:rsidP="007D3AA7">
            <w:pPr>
              <w:spacing w:after="0" w:line="240" w:lineRule="auto"/>
              <w:ind w:right="113"/>
              <w:jc w:val="center"/>
              <w:rPr>
                <w:rFonts w:ascii="Times New Roman" w:hAnsi="Times New Roman"/>
                <w:lang w:val="en-US"/>
              </w:rPr>
            </w:pPr>
            <w:r w:rsidRPr="005844A5">
              <w:rPr>
                <w:rFonts w:ascii="Times New Roman" w:hAnsi="Times New Roman"/>
              </w:rPr>
              <w:t>12,5</w:t>
            </w:r>
          </w:p>
        </w:tc>
        <w:tc>
          <w:tcPr>
            <w:tcW w:w="1556" w:type="dxa"/>
            <w:vAlign w:val="center"/>
          </w:tcPr>
          <w:p w:rsidR="005844A5" w:rsidRPr="005844A5" w:rsidRDefault="005844A5" w:rsidP="007D3AA7">
            <w:pPr>
              <w:spacing w:after="0" w:line="240" w:lineRule="auto"/>
              <w:ind w:left="-108" w:right="-51"/>
              <w:jc w:val="center"/>
              <w:rPr>
                <w:rFonts w:ascii="Times New Roman" w:hAnsi="Times New Roman"/>
                <w:i/>
              </w:rPr>
            </w:pPr>
            <w:r w:rsidRPr="005844A5">
              <w:rPr>
                <w:rFonts w:ascii="Times New Roman" w:hAnsi="Times New Roman"/>
                <w:i/>
              </w:rPr>
              <w:t>99,2</w:t>
            </w:r>
          </w:p>
        </w:tc>
      </w:tr>
      <w:tr w:rsidR="005844A5" w:rsidRPr="005844A5" w:rsidTr="005E63BD">
        <w:trPr>
          <w:trHeight w:val="232"/>
        </w:trPr>
        <w:tc>
          <w:tcPr>
            <w:tcW w:w="4296" w:type="dxa"/>
            <w:vAlign w:val="center"/>
          </w:tcPr>
          <w:p w:rsidR="005844A5" w:rsidRPr="005844A5" w:rsidRDefault="005844A5" w:rsidP="007D3AA7">
            <w:pPr>
              <w:spacing w:after="0" w:line="240" w:lineRule="auto"/>
              <w:rPr>
                <w:rFonts w:ascii="Times New Roman" w:hAnsi="Times New Roman"/>
                <w:lang w:val="en-US"/>
              </w:rPr>
            </w:pPr>
            <w:r w:rsidRPr="005844A5">
              <w:rPr>
                <w:rFonts w:ascii="Times New Roman" w:hAnsi="Times New Roman"/>
                <w:b/>
              </w:rPr>
              <w:t>Наличие грузовых автомобилей</w:t>
            </w:r>
          </w:p>
        </w:tc>
        <w:tc>
          <w:tcPr>
            <w:tcW w:w="1377"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ед.</w:t>
            </w:r>
          </w:p>
        </w:tc>
        <w:tc>
          <w:tcPr>
            <w:tcW w:w="1174" w:type="dxa"/>
            <w:vAlign w:val="center"/>
          </w:tcPr>
          <w:p w:rsidR="005844A5" w:rsidRPr="005844A5" w:rsidRDefault="005844A5" w:rsidP="007D3AA7">
            <w:pPr>
              <w:spacing w:after="0" w:line="240" w:lineRule="auto"/>
              <w:ind w:right="113"/>
              <w:jc w:val="center"/>
              <w:rPr>
                <w:rFonts w:ascii="Times New Roman" w:hAnsi="Times New Roman"/>
                <w:lang w:val="en-US"/>
              </w:rPr>
            </w:pPr>
            <w:r w:rsidRPr="005844A5">
              <w:rPr>
                <w:rFonts w:ascii="Times New Roman" w:hAnsi="Times New Roman"/>
              </w:rPr>
              <w:t>1 115</w:t>
            </w:r>
          </w:p>
        </w:tc>
        <w:tc>
          <w:tcPr>
            <w:tcW w:w="1297"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1 079</w:t>
            </w:r>
          </w:p>
        </w:tc>
        <w:tc>
          <w:tcPr>
            <w:tcW w:w="1556" w:type="dxa"/>
            <w:vAlign w:val="center"/>
          </w:tcPr>
          <w:p w:rsidR="005844A5" w:rsidRPr="005844A5" w:rsidRDefault="005844A5" w:rsidP="007D3AA7">
            <w:pPr>
              <w:spacing w:after="0" w:line="240" w:lineRule="auto"/>
              <w:ind w:left="-108" w:right="-51"/>
              <w:jc w:val="center"/>
              <w:rPr>
                <w:rFonts w:ascii="Times New Roman" w:hAnsi="Times New Roman"/>
                <w:i/>
              </w:rPr>
            </w:pPr>
            <w:r w:rsidRPr="005844A5">
              <w:rPr>
                <w:rFonts w:ascii="Times New Roman" w:hAnsi="Times New Roman"/>
                <w:i/>
              </w:rPr>
              <w:t>96,8</w:t>
            </w:r>
          </w:p>
        </w:tc>
      </w:tr>
      <w:tr w:rsidR="005844A5" w:rsidRPr="005844A5" w:rsidTr="005E63BD">
        <w:trPr>
          <w:trHeight w:val="242"/>
        </w:trPr>
        <w:tc>
          <w:tcPr>
            <w:tcW w:w="4296" w:type="dxa"/>
            <w:vAlign w:val="center"/>
          </w:tcPr>
          <w:p w:rsidR="005844A5" w:rsidRPr="005844A5" w:rsidRDefault="005844A5" w:rsidP="007D3AA7">
            <w:pPr>
              <w:spacing w:after="0" w:line="240" w:lineRule="auto"/>
              <w:rPr>
                <w:rFonts w:ascii="Times New Roman" w:hAnsi="Times New Roman"/>
              </w:rPr>
            </w:pPr>
            <w:r w:rsidRPr="005844A5">
              <w:rPr>
                <w:rFonts w:ascii="Times New Roman" w:hAnsi="Times New Roman"/>
                <w:b/>
              </w:rPr>
              <w:t>Доход от доставки грузов</w:t>
            </w:r>
          </w:p>
        </w:tc>
        <w:tc>
          <w:tcPr>
            <w:tcW w:w="1377"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тыс. руб.</w:t>
            </w:r>
          </w:p>
        </w:tc>
        <w:tc>
          <w:tcPr>
            <w:tcW w:w="1174" w:type="dxa"/>
            <w:vAlign w:val="center"/>
          </w:tcPr>
          <w:p w:rsidR="005844A5" w:rsidRPr="005844A5" w:rsidRDefault="005844A5" w:rsidP="007D3AA7">
            <w:pPr>
              <w:spacing w:after="0" w:line="240" w:lineRule="auto"/>
              <w:ind w:right="113"/>
              <w:jc w:val="center"/>
              <w:rPr>
                <w:rFonts w:ascii="Times New Roman" w:hAnsi="Times New Roman"/>
                <w:lang w:val="en-US"/>
              </w:rPr>
            </w:pPr>
            <w:r w:rsidRPr="005844A5">
              <w:rPr>
                <w:rFonts w:ascii="Times New Roman" w:hAnsi="Times New Roman"/>
              </w:rPr>
              <w:t>53 312,5</w:t>
            </w:r>
          </w:p>
        </w:tc>
        <w:tc>
          <w:tcPr>
            <w:tcW w:w="1297" w:type="dxa"/>
            <w:vAlign w:val="center"/>
          </w:tcPr>
          <w:p w:rsidR="005844A5" w:rsidRPr="005844A5" w:rsidRDefault="005844A5" w:rsidP="007D3AA7">
            <w:pPr>
              <w:spacing w:after="0" w:line="240" w:lineRule="auto"/>
              <w:ind w:right="113"/>
              <w:jc w:val="center"/>
              <w:rPr>
                <w:rFonts w:ascii="Times New Roman" w:hAnsi="Times New Roman"/>
                <w:lang w:val="en-US"/>
              </w:rPr>
            </w:pPr>
            <w:r w:rsidRPr="005844A5">
              <w:rPr>
                <w:rFonts w:ascii="Times New Roman" w:hAnsi="Times New Roman"/>
              </w:rPr>
              <w:t>77 987,8</w:t>
            </w:r>
          </w:p>
        </w:tc>
        <w:tc>
          <w:tcPr>
            <w:tcW w:w="1556" w:type="dxa"/>
            <w:vAlign w:val="center"/>
          </w:tcPr>
          <w:p w:rsidR="005844A5" w:rsidRPr="005844A5" w:rsidRDefault="005844A5" w:rsidP="007D3AA7">
            <w:pPr>
              <w:spacing w:after="0" w:line="240" w:lineRule="auto"/>
              <w:ind w:left="-108" w:right="-51"/>
              <w:jc w:val="center"/>
              <w:rPr>
                <w:rFonts w:ascii="Times New Roman" w:hAnsi="Times New Roman"/>
                <w:i/>
                <w:lang w:val="en-US"/>
              </w:rPr>
            </w:pPr>
            <w:r w:rsidRPr="005844A5">
              <w:rPr>
                <w:rFonts w:ascii="Times New Roman" w:hAnsi="Times New Roman"/>
                <w:i/>
              </w:rPr>
              <w:t>146,3</w:t>
            </w:r>
          </w:p>
        </w:tc>
      </w:tr>
    </w:tbl>
    <w:p w:rsidR="005844A5" w:rsidRPr="005844A5" w:rsidRDefault="005844A5" w:rsidP="007D3AA7">
      <w:pPr>
        <w:spacing w:after="0" w:line="240" w:lineRule="auto"/>
        <w:ind w:firstLine="709"/>
        <w:jc w:val="both"/>
        <w:rPr>
          <w:rFonts w:ascii="Times New Roman" w:hAnsi="Times New Roman"/>
          <w:spacing w:val="3"/>
          <w:sz w:val="24"/>
          <w:szCs w:val="24"/>
        </w:rPr>
      </w:pPr>
    </w:p>
    <w:p w:rsidR="000E22E2" w:rsidRPr="005844A5" w:rsidRDefault="000E22E2" w:rsidP="000E22E2">
      <w:pPr>
        <w:spacing w:after="0" w:line="240" w:lineRule="auto"/>
        <w:ind w:firstLine="426"/>
        <w:jc w:val="both"/>
        <w:rPr>
          <w:rFonts w:ascii="Times New Roman" w:hAnsi="Times New Roman"/>
          <w:sz w:val="28"/>
          <w:szCs w:val="28"/>
        </w:rPr>
      </w:pPr>
      <w:r w:rsidRPr="005844A5">
        <w:rPr>
          <w:rFonts w:ascii="Times New Roman" w:hAnsi="Times New Roman"/>
          <w:sz w:val="28"/>
          <w:szCs w:val="28"/>
        </w:rPr>
        <w:t>Доходы от оказания услуг автомобильным транспортом увеличились на 46,3% и составили 77 987,8 тыс. руб. Сложившаяся динамика обусловлена ростом объема перевезенных грузов и грузооборота. При этом количество грузовых автомобилей</w:t>
      </w:r>
      <w:r>
        <w:rPr>
          <w:rFonts w:ascii="Times New Roman" w:hAnsi="Times New Roman"/>
          <w:sz w:val="28"/>
          <w:szCs w:val="28"/>
        </w:rPr>
        <w:t>,</w:t>
      </w:r>
      <w:r w:rsidRPr="005844A5">
        <w:rPr>
          <w:rFonts w:ascii="Times New Roman" w:hAnsi="Times New Roman"/>
          <w:sz w:val="28"/>
          <w:szCs w:val="28"/>
        </w:rPr>
        <w:t xml:space="preserve"> применяемых для перевозки грузов</w:t>
      </w:r>
      <w:r>
        <w:rPr>
          <w:rFonts w:ascii="Times New Roman" w:hAnsi="Times New Roman"/>
          <w:sz w:val="28"/>
          <w:szCs w:val="28"/>
        </w:rPr>
        <w:t>,</w:t>
      </w:r>
      <w:r w:rsidRPr="005844A5">
        <w:rPr>
          <w:rFonts w:ascii="Times New Roman" w:hAnsi="Times New Roman"/>
          <w:sz w:val="28"/>
          <w:szCs w:val="28"/>
        </w:rPr>
        <w:t xml:space="preserve"> сократилось на 3,2%.</w:t>
      </w:r>
    </w:p>
    <w:p w:rsidR="005844A5" w:rsidRPr="005844A5" w:rsidRDefault="005844A5" w:rsidP="007D3AA7">
      <w:pPr>
        <w:spacing w:after="0" w:line="240" w:lineRule="auto"/>
        <w:ind w:firstLine="426"/>
        <w:jc w:val="both"/>
        <w:rPr>
          <w:rFonts w:ascii="Times New Roman" w:hAnsi="Times New Roman"/>
          <w:sz w:val="28"/>
          <w:szCs w:val="28"/>
        </w:rPr>
      </w:pPr>
      <w:r w:rsidRPr="005844A5">
        <w:rPr>
          <w:rFonts w:ascii="Times New Roman" w:hAnsi="Times New Roman"/>
          <w:sz w:val="28"/>
          <w:szCs w:val="28"/>
        </w:rPr>
        <w:lastRenderedPageBreak/>
        <w:t>Существенный вклад в формирование положительного тренда в сфере грузовых перевозок внесла ОАО «Маши</w:t>
      </w:r>
      <w:r w:rsidR="00A4091C">
        <w:rPr>
          <w:rFonts w:ascii="Times New Roman" w:hAnsi="Times New Roman"/>
          <w:sz w:val="28"/>
          <w:szCs w:val="28"/>
        </w:rPr>
        <w:t>н</w:t>
      </w:r>
      <w:r w:rsidRPr="005844A5">
        <w:rPr>
          <w:rFonts w:ascii="Times New Roman" w:hAnsi="Times New Roman"/>
          <w:sz w:val="28"/>
          <w:szCs w:val="28"/>
        </w:rPr>
        <w:t>но-технологическая станция», объем перевезенных грузов по данной организации увеличился на 22,</w:t>
      </w:r>
      <w:r w:rsidR="00394449">
        <w:rPr>
          <w:rFonts w:ascii="Times New Roman" w:hAnsi="Times New Roman"/>
          <w:sz w:val="28"/>
          <w:szCs w:val="28"/>
        </w:rPr>
        <w:t>8</w:t>
      </w:r>
      <w:r w:rsidRPr="005844A5">
        <w:rPr>
          <w:rFonts w:ascii="Times New Roman" w:hAnsi="Times New Roman"/>
          <w:sz w:val="28"/>
          <w:szCs w:val="28"/>
        </w:rPr>
        <w:t xml:space="preserve">%, а грузооборот на 27,0%. Объем перевезенных грузов по ЗАО «Завод ДСК» </w:t>
      </w:r>
      <w:r w:rsidR="00A4091C">
        <w:rPr>
          <w:rFonts w:ascii="Times New Roman" w:hAnsi="Times New Roman"/>
          <w:sz w:val="28"/>
          <w:szCs w:val="28"/>
        </w:rPr>
        <w:t>возрос</w:t>
      </w:r>
      <w:r w:rsidRPr="005844A5">
        <w:rPr>
          <w:rFonts w:ascii="Times New Roman" w:hAnsi="Times New Roman"/>
          <w:sz w:val="28"/>
          <w:szCs w:val="28"/>
        </w:rPr>
        <w:t xml:space="preserve"> на 25,9%, грузооборот</w:t>
      </w:r>
      <w:r w:rsidR="00A4091C">
        <w:rPr>
          <w:rFonts w:ascii="Times New Roman" w:hAnsi="Times New Roman"/>
          <w:sz w:val="28"/>
          <w:szCs w:val="28"/>
        </w:rPr>
        <w:t xml:space="preserve"> –</w:t>
      </w:r>
      <w:r w:rsidRPr="005844A5">
        <w:rPr>
          <w:rFonts w:ascii="Times New Roman" w:hAnsi="Times New Roman"/>
          <w:sz w:val="28"/>
          <w:szCs w:val="28"/>
        </w:rPr>
        <w:t xml:space="preserve"> на 57,6%, по ЗАО «Фарба-групп»</w:t>
      </w:r>
      <w:r w:rsidR="00A4091C">
        <w:rPr>
          <w:rFonts w:ascii="Times New Roman" w:hAnsi="Times New Roman"/>
          <w:sz w:val="28"/>
          <w:szCs w:val="28"/>
        </w:rPr>
        <w:t xml:space="preserve"> –</w:t>
      </w:r>
      <w:r w:rsidRPr="005844A5">
        <w:rPr>
          <w:rFonts w:ascii="Times New Roman" w:hAnsi="Times New Roman"/>
          <w:sz w:val="28"/>
          <w:szCs w:val="28"/>
        </w:rPr>
        <w:t xml:space="preserve"> на 4,5% и 4,7% соответственно. По ООО «ТИРТРАНС» объем перевезенных грузов увеличился на 33,8%, а грузооборот</w:t>
      </w:r>
      <w:r w:rsidR="00A4091C">
        <w:rPr>
          <w:rFonts w:ascii="Times New Roman" w:hAnsi="Times New Roman"/>
          <w:sz w:val="28"/>
          <w:szCs w:val="28"/>
        </w:rPr>
        <w:t xml:space="preserve"> –</w:t>
      </w:r>
      <w:r w:rsidRPr="005844A5">
        <w:rPr>
          <w:rFonts w:ascii="Times New Roman" w:hAnsi="Times New Roman"/>
          <w:sz w:val="28"/>
          <w:szCs w:val="28"/>
        </w:rPr>
        <w:t xml:space="preserve"> на 14,1%, по ЗАО «УПТК-СТРОЙ» рост объема грузоперевозок составил 12,8%, а грузооборота – 13,0%, по ООО «Куст» - 35,0% и 17,6% соответственно.</w:t>
      </w:r>
    </w:p>
    <w:p w:rsidR="005844A5" w:rsidRPr="005844A5" w:rsidRDefault="005844A5" w:rsidP="007D3AA7">
      <w:pPr>
        <w:spacing w:after="0" w:line="240" w:lineRule="auto"/>
        <w:ind w:firstLine="426"/>
        <w:jc w:val="both"/>
        <w:rPr>
          <w:rFonts w:ascii="Times New Roman" w:hAnsi="Times New Roman"/>
          <w:spacing w:val="4"/>
          <w:sz w:val="28"/>
          <w:szCs w:val="28"/>
        </w:rPr>
      </w:pPr>
      <w:r w:rsidRPr="005844A5">
        <w:rPr>
          <w:rFonts w:ascii="Times New Roman" w:hAnsi="Times New Roman"/>
          <w:spacing w:val="4"/>
          <w:sz w:val="28"/>
          <w:szCs w:val="28"/>
        </w:rPr>
        <w:t xml:space="preserve">Основные показатели работы </w:t>
      </w:r>
      <w:r w:rsidRPr="005844A5">
        <w:rPr>
          <w:rFonts w:ascii="Times New Roman" w:hAnsi="Times New Roman"/>
          <w:b/>
          <w:i/>
          <w:spacing w:val="4"/>
          <w:sz w:val="28"/>
          <w:szCs w:val="28"/>
        </w:rPr>
        <w:t>автомобильного транспорта общего пользования</w:t>
      </w:r>
      <w:r w:rsidRPr="005844A5">
        <w:rPr>
          <w:rFonts w:ascii="Times New Roman" w:hAnsi="Times New Roman"/>
          <w:spacing w:val="4"/>
          <w:sz w:val="28"/>
          <w:szCs w:val="28"/>
        </w:rPr>
        <w:t xml:space="preserve"> в рассматриваемом периоде на фоне роста пассажиропотока, а также функционирования 75 предприятий-перевозчиков, обслуживающих 83 пригородных маршрута, 2</w:t>
      </w:r>
      <w:r w:rsidR="00394449">
        <w:rPr>
          <w:rFonts w:ascii="Times New Roman" w:hAnsi="Times New Roman"/>
          <w:spacing w:val="4"/>
          <w:sz w:val="28"/>
          <w:szCs w:val="28"/>
        </w:rPr>
        <w:t>3</w:t>
      </w:r>
      <w:r w:rsidRPr="005844A5">
        <w:rPr>
          <w:rFonts w:ascii="Times New Roman" w:hAnsi="Times New Roman"/>
          <w:spacing w:val="4"/>
          <w:sz w:val="28"/>
          <w:szCs w:val="28"/>
        </w:rPr>
        <w:t xml:space="preserve"> междугородних и 144 международных маршрута, в целом демонстрировали повышательный тренд.</w:t>
      </w:r>
      <w:r w:rsidRPr="005844A5">
        <w:rPr>
          <w:rFonts w:ascii="Times New Roman" w:hAnsi="Times New Roman"/>
          <w:sz w:val="28"/>
          <w:szCs w:val="28"/>
        </w:rPr>
        <w:t xml:space="preserve"> В результате </w:t>
      </w:r>
      <w:r w:rsidRPr="005844A5">
        <w:rPr>
          <w:rFonts w:ascii="Times New Roman" w:hAnsi="Times New Roman"/>
          <w:spacing w:val="4"/>
          <w:sz w:val="28"/>
          <w:szCs w:val="28"/>
        </w:rPr>
        <w:t>автоперевозчиками региона, специализирующимися на предоставлении услуг физическим лицам, за 2018 год было перевезено 26,5 млн пассажиров, что на 1,1% выше уровня 2017 года.</w:t>
      </w:r>
    </w:p>
    <w:p w:rsidR="005844A5" w:rsidRPr="005844A5" w:rsidRDefault="005844A5" w:rsidP="007D3AA7">
      <w:pPr>
        <w:spacing w:after="0" w:line="240" w:lineRule="auto"/>
        <w:ind w:firstLine="426"/>
        <w:jc w:val="both"/>
        <w:rPr>
          <w:rFonts w:ascii="Times New Roman" w:hAnsi="Times New Roman"/>
          <w:spacing w:val="2"/>
          <w:sz w:val="28"/>
          <w:szCs w:val="28"/>
        </w:rPr>
      </w:pPr>
      <w:r w:rsidRPr="005844A5">
        <w:rPr>
          <w:rFonts w:ascii="Times New Roman" w:hAnsi="Times New Roman"/>
          <w:spacing w:val="3"/>
          <w:sz w:val="28"/>
          <w:szCs w:val="28"/>
        </w:rPr>
        <w:t xml:space="preserve">На фоне роста пассажиропотока (+1,1%) и средней дальности поездки одного пассажира (+2,2%) </w:t>
      </w:r>
      <w:r w:rsidRPr="005844A5">
        <w:rPr>
          <w:rFonts w:ascii="Times New Roman" w:hAnsi="Times New Roman"/>
          <w:spacing w:val="4"/>
          <w:sz w:val="28"/>
          <w:szCs w:val="28"/>
        </w:rPr>
        <w:t xml:space="preserve">пассажирооборот в </w:t>
      </w:r>
      <w:r w:rsidR="00A4091C">
        <w:rPr>
          <w:rFonts w:ascii="Times New Roman" w:hAnsi="Times New Roman"/>
          <w:spacing w:val="4"/>
          <w:sz w:val="28"/>
          <w:szCs w:val="28"/>
        </w:rPr>
        <w:t>отчетном</w:t>
      </w:r>
      <w:r w:rsidRPr="005844A5">
        <w:rPr>
          <w:rFonts w:ascii="Times New Roman" w:hAnsi="Times New Roman"/>
          <w:spacing w:val="4"/>
          <w:sz w:val="28"/>
          <w:szCs w:val="28"/>
        </w:rPr>
        <w:t xml:space="preserve"> периоде увеличился на 3,3% и составил 241,1 млн пассажиро–километров</w:t>
      </w:r>
      <w:r w:rsidRPr="005844A5">
        <w:rPr>
          <w:rFonts w:ascii="Times New Roman" w:hAnsi="Times New Roman"/>
          <w:spacing w:val="3"/>
          <w:sz w:val="28"/>
          <w:szCs w:val="28"/>
        </w:rPr>
        <w:t>. При этом доходы организаций пассажирского автотранспорта по итогам года</w:t>
      </w:r>
      <w:r w:rsidRPr="005844A5">
        <w:rPr>
          <w:rFonts w:ascii="Times New Roman" w:hAnsi="Times New Roman"/>
          <w:spacing w:val="2"/>
          <w:sz w:val="28"/>
          <w:szCs w:val="28"/>
        </w:rPr>
        <w:t xml:space="preserve"> выросли на 8,7% и сложились в сумме 151,8</w:t>
      </w:r>
      <w:r w:rsidRPr="005844A5">
        <w:rPr>
          <w:rFonts w:ascii="Times New Roman" w:hAnsi="Times New Roman"/>
          <w:spacing w:val="3"/>
          <w:sz w:val="28"/>
          <w:szCs w:val="28"/>
        </w:rPr>
        <w:t xml:space="preserve"> млн руб</w:t>
      </w:r>
      <w:r w:rsidRPr="005844A5">
        <w:rPr>
          <w:rFonts w:ascii="Times New Roman" w:hAnsi="Times New Roman"/>
          <w:spacing w:val="2"/>
          <w:sz w:val="28"/>
          <w:szCs w:val="28"/>
        </w:rPr>
        <w:t>.</w:t>
      </w:r>
      <w:r w:rsidR="00A4091C">
        <w:rPr>
          <w:rFonts w:ascii="Times New Roman" w:hAnsi="Times New Roman"/>
          <w:spacing w:val="2"/>
          <w:sz w:val="28"/>
          <w:szCs w:val="28"/>
        </w:rPr>
        <w:t xml:space="preserve"> (табл. 3).</w:t>
      </w:r>
    </w:p>
    <w:p w:rsidR="005844A5" w:rsidRPr="005844A5" w:rsidRDefault="005844A5" w:rsidP="007D3AA7">
      <w:pPr>
        <w:spacing w:after="0" w:line="240" w:lineRule="auto"/>
        <w:ind w:firstLine="709"/>
        <w:jc w:val="right"/>
        <w:rPr>
          <w:rFonts w:ascii="Times New Roman" w:hAnsi="Times New Roman"/>
          <w:i/>
          <w:spacing w:val="2"/>
          <w:sz w:val="28"/>
          <w:szCs w:val="28"/>
        </w:rPr>
      </w:pPr>
      <w:r w:rsidRPr="005844A5">
        <w:rPr>
          <w:rFonts w:ascii="Times New Roman" w:hAnsi="Times New Roman"/>
          <w:i/>
          <w:spacing w:val="2"/>
          <w:sz w:val="28"/>
          <w:szCs w:val="28"/>
        </w:rPr>
        <w:t>Таблица №</w:t>
      </w:r>
      <w:r>
        <w:rPr>
          <w:rFonts w:ascii="Times New Roman" w:hAnsi="Times New Roman"/>
          <w:i/>
          <w:spacing w:val="2"/>
          <w:sz w:val="28"/>
          <w:szCs w:val="28"/>
        </w:rPr>
        <w:t>3</w:t>
      </w:r>
    </w:p>
    <w:p w:rsidR="005844A5" w:rsidRPr="005844A5" w:rsidRDefault="005844A5" w:rsidP="007D3AA7">
      <w:pPr>
        <w:spacing w:after="0" w:line="240" w:lineRule="auto"/>
        <w:jc w:val="center"/>
        <w:rPr>
          <w:rFonts w:ascii="Times New Roman" w:hAnsi="Times New Roman"/>
          <w:b/>
          <w:sz w:val="28"/>
          <w:szCs w:val="28"/>
        </w:rPr>
      </w:pPr>
      <w:r w:rsidRPr="005844A5">
        <w:rPr>
          <w:rFonts w:ascii="Times New Roman" w:hAnsi="Times New Roman"/>
          <w:b/>
          <w:sz w:val="28"/>
          <w:szCs w:val="28"/>
        </w:rPr>
        <w:t xml:space="preserve">Показатели работы пассажирского автотранспорта </w:t>
      </w:r>
    </w:p>
    <w:p w:rsidR="005844A5" w:rsidRPr="005844A5" w:rsidRDefault="005844A5" w:rsidP="007D3AA7">
      <w:pPr>
        <w:spacing w:after="0" w:line="240" w:lineRule="auto"/>
        <w:jc w:val="center"/>
        <w:rPr>
          <w:rFonts w:ascii="Times New Roman" w:hAnsi="Times New Roman"/>
          <w:b/>
          <w:sz w:val="28"/>
          <w:szCs w:val="28"/>
        </w:rPr>
      </w:pPr>
      <w:r w:rsidRPr="005844A5">
        <w:rPr>
          <w:rFonts w:ascii="Times New Roman" w:hAnsi="Times New Roman"/>
          <w:b/>
          <w:sz w:val="28"/>
          <w:szCs w:val="28"/>
        </w:rPr>
        <w:t>общего пользования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440"/>
        <w:gridCol w:w="1404"/>
        <w:gridCol w:w="1418"/>
        <w:gridCol w:w="1417"/>
      </w:tblGrid>
      <w:tr w:rsidR="005844A5" w:rsidRPr="005844A5" w:rsidTr="005E63BD">
        <w:trPr>
          <w:trHeight w:val="329"/>
        </w:trPr>
        <w:tc>
          <w:tcPr>
            <w:tcW w:w="3960" w:type="dxa"/>
            <w:shd w:val="clear" w:color="auto" w:fill="D9D9D9"/>
            <w:vAlign w:val="center"/>
          </w:tcPr>
          <w:p w:rsidR="005844A5" w:rsidRPr="005844A5" w:rsidRDefault="005844A5" w:rsidP="007D3AA7">
            <w:pPr>
              <w:spacing w:after="0" w:line="240" w:lineRule="auto"/>
              <w:jc w:val="center"/>
              <w:rPr>
                <w:rFonts w:ascii="Times New Roman" w:hAnsi="Times New Roman"/>
                <w:b/>
              </w:rPr>
            </w:pPr>
            <w:r w:rsidRPr="005844A5">
              <w:rPr>
                <w:rFonts w:ascii="Times New Roman" w:hAnsi="Times New Roman"/>
                <w:b/>
              </w:rPr>
              <w:t>Показатели</w:t>
            </w:r>
          </w:p>
        </w:tc>
        <w:tc>
          <w:tcPr>
            <w:tcW w:w="1440" w:type="dxa"/>
            <w:shd w:val="clear" w:color="auto" w:fill="D9D9D9"/>
            <w:vAlign w:val="center"/>
          </w:tcPr>
          <w:p w:rsidR="005844A5" w:rsidRPr="005844A5" w:rsidRDefault="005844A5" w:rsidP="007D3AA7">
            <w:pPr>
              <w:spacing w:after="0" w:line="240" w:lineRule="auto"/>
              <w:jc w:val="center"/>
              <w:rPr>
                <w:rFonts w:ascii="Times New Roman" w:hAnsi="Times New Roman"/>
                <w:b/>
              </w:rPr>
            </w:pPr>
            <w:r w:rsidRPr="005844A5">
              <w:rPr>
                <w:rFonts w:ascii="Times New Roman" w:hAnsi="Times New Roman"/>
                <w:b/>
              </w:rPr>
              <w:t>Ед. изм.</w:t>
            </w:r>
          </w:p>
        </w:tc>
        <w:tc>
          <w:tcPr>
            <w:tcW w:w="1404" w:type="dxa"/>
            <w:shd w:val="clear" w:color="auto" w:fill="D9D9D9"/>
            <w:vAlign w:val="center"/>
          </w:tcPr>
          <w:p w:rsidR="005844A5" w:rsidRPr="005844A5" w:rsidRDefault="005844A5" w:rsidP="007D3AA7">
            <w:pPr>
              <w:spacing w:after="0" w:line="240" w:lineRule="auto"/>
              <w:jc w:val="center"/>
              <w:rPr>
                <w:rFonts w:ascii="Times New Roman" w:hAnsi="Times New Roman"/>
                <w:b/>
              </w:rPr>
            </w:pPr>
            <w:r w:rsidRPr="005844A5">
              <w:rPr>
                <w:rFonts w:ascii="Times New Roman" w:hAnsi="Times New Roman"/>
                <w:b/>
              </w:rPr>
              <w:t>2017 г.</w:t>
            </w:r>
          </w:p>
        </w:tc>
        <w:tc>
          <w:tcPr>
            <w:tcW w:w="1418" w:type="dxa"/>
            <w:shd w:val="clear" w:color="auto" w:fill="D9D9D9"/>
            <w:vAlign w:val="center"/>
          </w:tcPr>
          <w:p w:rsidR="005844A5" w:rsidRPr="005844A5" w:rsidRDefault="005844A5" w:rsidP="007D3AA7">
            <w:pPr>
              <w:spacing w:after="0" w:line="240" w:lineRule="auto"/>
              <w:jc w:val="center"/>
              <w:rPr>
                <w:rFonts w:ascii="Times New Roman" w:hAnsi="Times New Roman"/>
                <w:b/>
              </w:rPr>
            </w:pPr>
            <w:r w:rsidRPr="005844A5">
              <w:rPr>
                <w:rFonts w:ascii="Times New Roman" w:hAnsi="Times New Roman"/>
                <w:b/>
              </w:rPr>
              <w:t>2018 г.</w:t>
            </w:r>
          </w:p>
        </w:tc>
        <w:tc>
          <w:tcPr>
            <w:tcW w:w="1417" w:type="dxa"/>
            <w:shd w:val="clear" w:color="auto" w:fill="D9D9D9"/>
            <w:vAlign w:val="center"/>
          </w:tcPr>
          <w:p w:rsidR="005844A5" w:rsidRPr="005844A5" w:rsidRDefault="005844A5" w:rsidP="007D3AA7">
            <w:pPr>
              <w:spacing w:after="0" w:line="240" w:lineRule="auto"/>
              <w:ind w:left="-108" w:right="-51"/>
              <w:jc w:val="center"/>
              <w:rPr>
                <w:rFonts w:ascii="Times New Roman" w:hAnsi="Times New Roman"/>
                <w:b/>
                <w:i/>
              </w:rPr>
            </w:pPr>
            <w:r w:rsidRPr="005844A5">
              <w:rPr>
                <w:rFonts w:ascii="Times New Roman" w:hAnsi="Times New Roman"/>
                <w:b/>
                <w:i/>
              </w:rPr>
              <w:t>201</w:t>
            </w:r>
            <w:r w:rsidR="00125776">
              <w:rPr>
                <w:rFonts w:ascii="Times New Roman" w:hAnsi="Times New Roman"/>
                <w:b/>
                <w:i/>
              </w:rPr>
              <w:t>8</w:t>
            </w:r>
            <w:r w:rsidRPr="005844A5">
              <w:rPr>
                <w:rFonts w:ascii="Times New Roman" w:hAnsi="Times New Roman"/>
                <w:b/>
                <w:i/>
              </w:rPr>
              <w:t xml:space="preserve"> г. в % к</w:t>
            </w:r>
          </w:p>
          <w:p w:rsidR="005844A5" w:rsidRPr="005844A5" w:rsidRDefault="005844A5" w:rsidP="00125776">
            <w:pPr>
              <w:spacing w:after="0" w:line="240" w:lineRule="auto"/>
              <w:ind w:left="-108" w:right="-51"/>
              <w:jc w:val="center"/>
              <w:rPr>
                <w:rFonts w:ascii="Times New Roman" w:hAnsi="Times New Roman"/>
                <w:b/>
                <w:i/>
              </w:rPr>
            </w:pPr>
            <w:r w:rsidRPr="005844A5">
              <w:rPr>
                <w:rFonts w:ascii="Times New Roman" w:hAnsi="Times New Roman"/>
                <w:b/>
                <w:i/>
              </w:rPr>
              <w:t>201</w:t>
            </w:r>
            <w:r w:rsidR="00125776">
              <w:rPr>
                <w:rFonts w:ascii="Times New Roman" w:hAnsi="Times New Roman"/>
                <w:b/>
                <w:i/>
              </w:rPr>
              <w:t>7</w:t>
            </w:r>
            <w:r w:rsidRPr="005844A5">
              <w:rPr>
                <w:rFonts w:ascii="Times New Roman" w:hAnsi="Times New Roman"/>
                <w:b/>
                <w:i/>
              </w:rPr>
              <w:t xml:space="preserve"> г.</w:t>
            </w:r>
          </w:p>
        </w:tc>
      </w:tr>
      <w:tr w:rsidR="005844A5" w:rsidRPr="005844A5" w:rsidTr="005E63BD">
        <w:trPr>
          <w:trHeight w:val="237"/>
        </w:trPr>
        <w:tc>
          <w:tcPr>
            <w:tcW w:w="3960" w:type="dxa"/>
            <w:vAlign w:val="center"/>
          </w:tcPr>
          <w:p w:rsidR="005844A5" w:rsidRPr="005844A5" w:rsidRDefault="005844A5" w:rsidP="007D3AA7">
            <w:pPr>
              <w:spacing w:after="0" w:line="240" w:lineRule="auto"/>
              <w:rPr>
                <w:rFonts w:ascii="Times New Roman" w:hAnsi="Times New Roman"/>
                <w:vertAlign w:val="superscript"/>
              </w:rPr>
            </w:pPr>
            <w:r w:rsidRPr="005844A5">
              <w:rPr>
                <w:rFonts w:ascii="Times New Roman" w:hAnsi="Times New Roman"/>
                <w:b/>
              </w:rPr>
              <w:t>Перевезено пассажиров</w:t>
            </w:r>
          </w:p>
        </w:tc>
        <w:tc>
          <w:tcPr>
            <w:tcW w:w="1440"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тыс. чел.</w:t>
            </w:r>
          </w:p>
        </w:tc>
        <w:tc>
          <w:tcPr>
            <w:tcW w:w="1404" w:type="dxa"/>
            <w:shd w:val="clear" w:color="auto" w:fill="auto"/>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26 213,3</w:t>
            </w:r>
          </w:p>
        </w:tc>
        <w:tc>
          <w:tcPr>
            <w:tcW w:w="1418"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26 512,5</w:t>
            </w:r>
          </w:p>
        </w:tc>
        <w:tc>
          <w:tcPr>
            <w:tcW w:w="1417" w:type="dxa"/>
            <w:vAlign w:val="center"/>
          </w:tcPr>
          <w:p w:rsidR="005844A5" w:rsidRPr="005844A5" w:rsidRDefault="005844A5" w:rsidP="007D3AA7">
            <w:pPr>
              <w:spacing w:after="0" w:line="240" w:lineRule="auto"/>
              <w:jc w:val="center"/>
              <w:rPr>
                <w:rFonts w:ascii="Times New Roman" w:hAnsi="Times New Roman"/>
                <w:i/>
                <w:color w:val="000000"/>
              </w:rPr>
            </w:pPr>
            <w:r w:rsidRPr="005844A5">
              <w:rPr>
                <w:rFonts w:ascii="Times New Roman" w:hAnsi="Times New Roman"/>
                <w:i/>
                <w:color w:val="000000"/>
              </w:rPr>
              <w:t>101,1</w:t>
            </w:r>
          </w:p>
        </w:tc>
      </w:tr>
      <w:tr w:rsidR="005844A5" w:rsidRPr="005844A5" w:rsidTr="005E63BD">
        <w:trPr>
          <w:trHeight w:val="256"/>
        </w:trPr>
        <w:tc>
          <w:tcPr>
            <w:tcW w:w="3960" w:type="dxa"/>
            <w:vAlign w:val="center"/>
          </w:tcPr>
          <w:p w:rsidR="005844A5" w:rsidRPr="005844A5" w:rsidRDefault="005844A5" w:rsidP="007D3AA7">
            <w:pPr>
              <w:spacing w:after="0" w:line="240" w:lineRule="auto"/>
              <w:rPr>
                <w:rFonts w:ascii="Times New Roman" w:hAnsi="Times New Roman"/>
              </w:rPr>
            </w:pPr>
            <w:r w:rsidRPr="005844A5">
              <w:rPr>
                <w:rFonts w:ascii="Times New Roman" w:hAnsi="Times New Roman"/>
                <w:b/>
              </w:rPr>
              <w:t>Пассажирооборот</w:t>
            </w:r>
          </w:p>
        </w:tc>
        <w:tc>
          <w:tcPr>
            <w:tcW w:w="1440" w:type="dxa"/>
            <w:vAlign w:val="center"/>
          </w:tcPr>
          <w:p w:rsidR="005844A5" w:rsidRPr="005844A5" w:rsidRDefault="005844A5" w:rsidP="007D3AA7">
            <w:pPr>
              <w:spacing w:after="0" w:line="240" w:lineRule="auto"/>
              <w:ind w:left="-108" w:right="-108"/>
              <w:jc w:val="center"/>
              <w:rPr>
                <w:rFonts w:ascii="Times New Roman" w:hAnsi="Times New Roman"/>
              </w:rPr>
            </w:pPr>
            <w:r w:rsidRPr="005844A5">
              <w:rPr>
                <w:rFonts w:ascii="Times New Roman" w:hAnsi="Times New Roman"/>
              </w:rPr>
              <w:t>тыс. пас - км</w:t>
            </w:r>
          </w:p>
        </w:tc>
        <w:tc>
          <w:tcPr>
            <w:tcW w:w="1404" w:type="dxa"/>
            <w:shd w:val="clear" w:color="auto" w:fill="auto"/>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233 406,1</w:t>
            </w:r>
          </w:p>
        </w:tc>
        <w:tc>
          <w:tcPr>
            <w:tcW w:w="1418"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241 124,1</w:t>
            </w:r>
          </w:p>
        </w:tc>
        <w:tc>
          <w:tcPr>
            <w:tcW w:w="1417" w:type="dxa"/>
            <w:vAlign w:val="center"/>
          </w:tcPr>
          <w:p w:rsidR="005844A5" w:rsidRPr="005844A5" w:rsidRDefault="005844A5" w:rsidP="007D3AA7">
            <w:pPr>
              <w:spacing w:after="0" w:line="240" w:lineRule="auto"/>
              <w:jc w:val="center"/>
              <w:rPr>
                <w:rFonts w:ascii="Times New Roman" w:hAnsi="Times New Roman"/>
                <w:i/>
                <w:color w:val="000000"/>
              </w:rPr>
            </w:pPr>
            <w:r w:rsidRPr="005844A5">
              <w:rPr>
                <w:rFonts w:ascii="Times New Roman" w:hAnsi="Times New Roman"/>
                <w:i/>
                <w:color w:val="000000"/>
              </w:rPr>
              <w:t>103,3</w:t>
            </w:r>
          </w:p>
        </w:tc>
      </w:tr>
      <w:tr w:rsidR="005844A5" w:rsidRPr="005844A5" w:rsidTr="005E63BD">
        <w:trPr>
          <w:trHeight w:val="429"/>
        </w:trPr>
        <w:tc>
          <w:tcPr>
            <w:tcW w:w="3960" w:type="dxa"/>
          </w:tcPr>
          <w:p w:rsidR="005844A5" w:rsidRPr="005844A5" w:rsidRDefault="005844A5" w:rsidP="007D3AA7">
            <w:pPr>
              <w:spacing w:after="0" w:line="240" w:lineRule="auto"/>
              <w:rPr>
                <w:rFonts w:ascii="Times New Roman" w:hAnsi="Times New Roman"/>
                <w:vertAlign w:val="superscript"/>
              </w:rPr>
            </w:pPr>
            <w:r w:rsidRPr="005844A5">
              <w:rPr>
                <w:rFonts w:ascii="Times New Roman" w:hAnsi="Times New Roman"/>
                <w:b/>
              </w:rPr>
              <w:t>Средняя дальность поездки одного пассажира</w:t>
            </w:r>
          </w:p>
        </w:tc>
        <w:tc>
          <w:tcPr>
            <w:tcW w:w="1440"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км</w:t>
            </w:r>
          </w:p>
        </w:tc>
        <w:tc>
          <w:tcPr>
            <w:tcW w:w="1404" w:type="dxa"/>
            <w:shd w:val="clear" w:color="auto" w:fill="auto"/>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8,9</w:t>
            </w:r>
          </w:p>
        </w:tc>
        <w:tc>
          <w:tcPr>
            <w:tcW w:w="1418"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9,1</w:t>
            </w:r>
          </w:p>
        </w:tc>
        <w:tc>
          <w:tcPr>
            <w:tcW w:w="1417" w:type="dxa"/>
            <w:vAlign w:val="center"/>
          </w:tcPr>
          <w:p w:rsidR="005844A5" w:rsidRPr="005844A5" w:rsidRDefault="005844A5" w:rsidP="007D3AA7">
            <w:pPr>
              <w:spacing w:after="0" w:line="240" w:lineRule="auto"/>
              <w:jc w:val="center"/>
              <w:rPr>
                <w:rFonts w:ascii="Times New Roman" w:hAnsi="Times New Roman"/>
                <w:i/>
                <w:color w:val="000000"/>
              </w:rPr>
            </w:pPr>
            <w:r w:rsidRPr="005844A5">
              <w:rPr>
                <w:rFonts w:ascii="Times New Roman" w:hAnsi="Times New Roman"/>
                <w:i/>
                <w:color w:val="000000"/>
              </w:rPr>
              <w:t>102,2</w:t>
            </w:r>
          </w:p>
        </w:tc>
      </w:tr>
      <w:tr w:rsidR="005844A5" w:rsidRPr="005844A5" w:rsidTr="005E63BD">
        <w:trPr>
          <w:trHeight w:val="465"/>
        </w:trPr>
        <w:tc>
          <w:tcPr>
            <w:tcW w:w="3960" w:type="dxa"/>
            <w:vAlign w:val="center"/>
          </w:tcPr>
          <w:p w:rsidR="005844A5" w:rsidRPr="005844A5" w:rsidRDefault="005844A5" w:rsidP="007D3AA7">
            <w:pPr>
              <w:spacing w:after="0" w:line="240" w:lineRule="auto"/>
              <w:rPr>
                <w:rFonts w:ascii="Times New Roman" w:hAnsi="Times New Roman"/>
                <w:b/>
              </w:rPr>
            </w:pPr>
            <w:r w:rsidRPr="005844A5">
              <w:rPr>
                <w:rFonts w:ascii="Times New Roman" w:hAnsi="Times New Roman"/>
                <w:b/>
              </w:rPr>
              <w:t>Наличие автобусов (включая маршрутные такси)</w:t>
            </w:r>
          </w:p>
        </w:tc>
        <w:tc>
          <w:tcPr>
            <w:tcW w:w="1440"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ед.</w:t>
            </w:r>
          </w:p>
        </w:tc>
        <w:tc>
          <w:tcPr>
            <w:tcW w:w="1404" w:type="dxa"/>
            <w:shd w:val="clear" w:color="auto" w:fill="auto"/>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642</w:t>
            </w:r>
          </w:p>
        </w:tc>
        <w:tc>
          <w:tcPr>
            <w:tcW w:w="1418"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634</w:t>
            </w:r>
          </w:p>
        </w:tc>
        <w:tc>
          <w:tcPr>
            <w:tcW w:w="1417" w:type="dxa"/>
            <w:vAlign w:val="center"/>
          </w:tcPr>
          <w:p w:rsidR="005844A5" w:rsidRPr="005844A5" w:rsidRDefault="005844A5" w:rsidP="007D3AA7">
            <w:pPr>
              <w:spacing w:after="0" w:line="240" w:lineRule="auto"/>
              <w:jc w:val="center"/>
              <w:rPr>
                <w:rFonts w:ascii="Times New Roman" w:hAnsi="Times New Roman"/>
                <w:i/>
                <w:color w:val="000000"/>
              </w:rPr>
            </w:pPr>
            <w:r w:rsidRPr="005844A5">
              <w:rPr>
                <w:rFonts w:ascii="Times New Roman" w:hAnsi="Times New Roman"/>
                <w:i/>
                <w:color w:val="000000"/>
              </w:rPr>
              <w:t>98,8</w:t>
            </w:r>
          </w:p>
        </w:tc>
      </w:tr>
      <w:tr w:rsidR="005844A5" w:rsidRPr="005844A5" w:rsidTr="00814BB0">
        <w:tc>
          <w:tcPr>
            <w:tcW w:w="3960" w:type="dxa"/>
          </w:tcPr>
          <w:p w:rsidR="005844A5" w:rsidRPr="005844A5" w:rsidRDefault="005844A5" w:rsidP="007D3AA7">
            <w:pPr>
              <w:spacing w:after="0" w:line="240" w:lineRule="auto"/>
              <w:rPr>
                <w:rFonts w:ascii="Times New Roman" w:hAnsi="Times New Roman"/>
                <w:vertAlign w:val="superscript"/>
              </w:rPr>
            </w:pPr>
            <w:r w:rsidRPr="005844A5">
              <w:rPr>
                <w:rFonts w:ascii="Times New Roman" w:hAnsi="Times New Roman"/>
                <w:b/>
              </w:rPr>
              <w:t>Доходы от перевозки пассажиров автобусами и легковыми такси</w:t>
            </w:r>
          </w:p>
        </w:tc>
        <w:tc>
          <w:tcPr>
            <w:tcW w:w="1440"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тыс. руб.</w:t>
            </w:r>
          </w:p>
        </w:tc>
        <w:tc>
          <w:tcPr>
            <w:tcW w:w="1404" w:type="dxa"/>
            <w:shd w:val="clear" w:color="auto" w:fill="auto"/>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139 606,9</w:t>
            </w:r>
          </w:p>
        </w:tc>
        <w:tc>
          <w:tcPr>
            <w:tcW w:w="1418" w:type="dxa"/>
            <w:vAlign w:val="center"/>
          </w:tcPr>
          <w:p w:rsidR="005844A5" w:rsidRPr="005844A5" w:rsidRDefault="005844A5" w:rsidP="007D3AA7">
            <w:pPr>
              <w:spacing w:after="0" w:line="240" w:lineRule="auto"/>
              <w:ind w:right="113"/>
              <w:jc w:val="center"/>
              <w:rPr>
                <w:rFonts w:ascii="Times New Roman" w:hAnsi="Times New Roman"/>
              </w:rPr>
            </w:pPr>
            <w:r w:rsidRPr="005844A5">
              <w:rPr>
                <w:rFonts w:ascii="Times New Roman" w:hAnsi="Times New Roman"/>
              </w:rPr>
              <w:t>151 802,2</w:t>
            </w:r>
          </w:p>
        </w:tc>
        <w:tc>
          <w:tcPr>
            <w:tcW w:w="1417" w:type="dxa"/>
            <w:vAlign w:val="center"/>
          </w:tcPr>
          <w:p w:rsidR="005844A5" w:rsidRPr="005844A5" w:rsidRDefault="005844A5" w:rsidP="007D3AA7">
            <w:pPr>
              <w:spacing w:after="0" w:line="240" w:lineRule="auto"/>
              <w:jc w:val="center"/>
              <w:rPr>
                <w:rFonts w:ascii="Times New Roman" w:hAnsi="Times New Roman"/>
                <w:i/>
                <w:color w:val="000000"/>
              </w:rPr>
            </w:pPr>
            <w:r w:rsidRPr="005844A5">
              <w:rPr>
                <w:rFonts w:ascii="Times New Roman" w:hAnsi="Times New Roman"/>
                <w:i/>
                <w:color w:val="000000"/>
              </w:rPr>
              <w:t>108,7</w:t>
            </w:r>
          </w:p>
        </w:tc>
      </w:tr>
    </w:tbl>
    <w:p w:rsidR="00A4091C" w:rsidRDefault="00A4091C" w:rsidP="007D3AA7">
      <w:pPr>
        <w:spacing w:after="0" w:line="240" w:lineRule="auto"/>
        <w:ind w:firstLine="426"/>
        <w:jc w:val="both"/>
        <w:rPr>
          <w:rFonts w:ascii="Times New Roman" w:hAnsi="Times New Roman"/>
          <w:sz w:val="28"/>
          <w:szCs w:val="28"/>
        </w:rPr>
      </w:pPr>
    </w:p>
    <w:p w:rsidR="005844A5" w:rsidRPr="005844A5" w:rsidRDefault="00A4091C" w:rsidP="007D3AA7">
      <w:pPr>
        <w:spacing w:after="0" w:line="240" w:lineRule="auto"/>
        <w:ind w:firstLine="426"/>
        <w:jc w:val="both"/>
        <w:rPr>
          <w:rFonts w:ascii="Times New Roman" w:hAnsi="Times New Roman"/>
          <w:sz w:val="28"/>
          <w:szCs w:val="28"/>
        </w:rPr>
      </w:pPr>
      <w:r>
        <w:rPr>
          <w:rFonts w:ascii="Times New Roman" w:hAnsi="Times New Roman"/>
          <w:sz w:val="28"/>
          <w:szCs w:val="28"/>
        </w:rPr>
        <w:t>С</w:t>
      </w:r>
      <w:r w:rsidR="005844A5" w:rsidRPr="005844A5">
        <w:rPr>
          <w:rFonts w:ascii="Times New Roman" w:hAnsi="Times New Roman"/>
          <w:sz w:val="28"/>
          <w:szCs w:val="28"/>
        </w:rPr>
        <w:t>ледует отметить, что значительный удельный вес в сформированных показателях приходится на такие предприятия как ООО «Король», увеличившем численность перевезенных пассажиров на 2,6%, а пассажирооборот</w:t>
      </w:r>
      <w:r>
        <w:rPr>
          <w:rFonts w:ascii="Times New Roman" w:hAnsi="Times New Roman"/>
          <w:sz w:val="28"/>
          <w:szCs w:val="28"/>
        </w:rPr>
        <w:t xml:space="preserve"> на 10,9%, ООО «Пассажирсервис» –</w:t>
      </w:r>
      <w:r w:rsidR="005844A5" w:rsidRPr="005844A5">
        <w:rPr>
          <w:rFonts w:ascii="Times New Roman" w:hAnsi="Times New Roman"/>
          <w:sz w:val="28"/>
          <w:szCs w:val="28"/>
        </w:rPr>
        <w:t xml:space="preserve"> численность </w:t>
      </w:r>
      <w:r>
        <w:rPr>
          <w:rFonts w:ascii="Times New Roman" w:hAnsi="Times New Roman"/>
          <w:sz w:val="28"/>
          <w:szCs w:val="28"/>
        </w:rPr>
        <w:t xml:space="preserve"> </w:t>
      </w:r>
      <w:r w:rsidR="005844A5" w:rsidRPr="005844A5">
        <w:rPr>
          <w:rFonts w:ascii="Times New Roman" w:hAnsi="Times New Roman"/>
          <w:sz w:val="28"/>
          <w:szCs w:val="28"/>
        </w:rPr>
        <w:t>перевезенных пассажиров выросла на 2,</w:t>
      </w:r>
      <w:r w:rsidR="002D4AAD">
        <w:rPr>
          <w:rFonts w:ascii="Times New Roman" w:hAnsi="Times New Roman"/>
          <w:sz w:val="28"/>
          <w:szCs w:val="28"/>
        </w:rPr>
        <w:t>6</w:t>
      </w:r>
      <w:r w:rsidR="005844A5" w:rsidRPr="005844A5">
        <w:rPr>
          <w:rFonts w:ascii="Times New Roman" w:hAnsi="Times New Roman"/>
          <w:sz w:val="28"/>
          <w:szCs w:val="28"/>
        </w:rPr>
        <w:t xml:space="preserve">%, пассажирооборот </w:t>
      </w:r>
      <w:r>
        <w:rPr>
          <w:rFonts w:ascii="Times New Roman" w:hAnsi="Times New Roman"/>
          <w:sz w:val="28"/>
          <w:szCs w:val="28"/>
        </w:rPr>
        <w:t>–</w:t>
      </w:r>
      <w:r w:rsidR="005844A5" w:rsidRPr="005844A5">
        <w:rPr>
          <w:rFonts w:ascii="Times New Roman" w:hAnsi="Times New Roman"/>
          <w:sz w:val="28"/>
          <w:szCs w:val="28"/>
        </w:rPr>
        <w:t xml:space="preserve"> на 2,6%, МУП «Автомотосервис и торговля г. Бендеры» </w:t>
      </w:r>
      <w:r>
        <w:rPr>
          <w:rFonts w:ascii="Times New Roman" w:hAnsi="Times New Roman"/>
          <w:sz w:val="28"/>
          <w:szCs w:val="28"/>
        </w:rPr>
        <w:t>–</w:t>
      </w:r>
      <w:r w:rsidR="005844A5" w:rsidRPr="005844A5">
        <w:rPr>
          <w:rFonts w:ascii="Times New Roman" w:hAnsi="Times New Roman"/>
          <w:sz w:val="28"/>
          <w:szCs w:val="28"/>
        </w:rPr>
        <w:t xml:space="preserve"> численность перевезенных пассажиров выросла на 5,3%, пассажирооборот </w:t>
      </w:r>
      <w:r>
        <w:rPr>
          <w:rFonts w:ascii="Times New Roman" w:hAnsi="Times New Roman"/>
          <w:sz w:val="28"/>
          <w:szCs w:val="28"/>
        </w:rPr>
        <w:t>–</w:t>
      </w:r>
      <w:r w:rsidR="005844A5" w:rsidRPr="005844A5">
        <w:rPr>
          <w:rFonts w:ascii="Times New Roman" w:hAnsi="Times New Roman"/>
          <w:sz w:val="28"/>
          <w:szCs w:val="28"/>
        </w:rPr>
        <w:t xml:space="preserve"> на 5,2%, а также ООО «Горавтотранс» </w:t>
      </w:r>
      <w:r>
        <w:rPr>
          <w:rFonts w:ascii="Times New Roman" w:hAnsi="Times New Roman"/>
          <w:sz w:val="28"/>
          <w:szCs w:val="28"/>
        </w:rPr>
        <w:t>–</w:t>
      </w:r>
      <w:r w:rsidR="005844A5" w:rsidRPr="005844A5">
        <w:rPr>
          <w:rFonts w:ascii="Times New Roman" w:hAnsi="Times New Roman"/>
          <w:sz w:val="28"/>
          <w:szCs w:val="28"/>
        </w:rPr>
        <w:t xml:space="preserve"> +5,8% по обоим рассматриваемым показателям.</w:t>
      </w:r>
    </w:p>
    <w:p w:rsidR="005844A5" w:rsidRPr="005844A5" w:rsidRDefault="005844A5" w:rsidP="007D3AA7">
      <w:pPr>
        <w:spacing w:after="0" w:line="240" w:lineRule="auto"/>
        <w:ind w:firstLine="426"/>
        <w:jc w:val="both"/>
        <w:rPr>
          <w:rFonts w:ascii="Times New Roman" w:hAnsi="Times New Roman"/>
          <w:sz w:val="28"/>
          <w:szCs w:val="28"/>
        </w:rPr>
      </w:pPr>
      <w:r w:rsidRPr="005844A5">
        <w:rPr>
          <w:rFonts w:ascii="Times New Roman" w:hAnsi="Times New Roman"/>
          <w:sz w:val="28"/>
          <w:szCs w:val="28"/>
        </w:rPr>
        <w:t xml:space="preserve">В 2018 году </w:t>
      </w:r>
      <w:r w:rsidRPr="005844A5">
        <w:rPr>
          <w:rFonts w:ascii="Times New Roman" w:hAnsi="Times New Roman"/>
          <w:b/>
          <w:i/>
          <w:sz w:val="28"/>
          <w:szCs w:val="28"/>
        </w:rPr>
        <w:t xml:space="preserve">электрическим транспортом, </w:t>
      </w:r>
      <w:r w:rsidRPr="005844A5">
        <w:rPr>
          <w:rFonts w:ascii="Times New Roman" w:hAnsi="Times New Roman"/>
          <w:sz w:val="28"/>
          <w:szCs w:val="28"/>
        </w:rPr>
        <w:t>действующим в двух городах республики (Тирасполь, Бендеры), перевезено 15,9 млн пассажиров, что на 4,1% ниже уровня 2017 года.</w:t>
      </w:r>
    </w:p>
    <w:p w:rsidR="005844A5" w:rsidRPr="005844A5" w:rsidRDefault="005844A5" w:rsidP="007D3AA7">
      <w:pPr>
        <w:spacing w:after="0" w:line="240" w:lineRule="auto"/>
        <w:ind w:firstLine="426"/>
        <w:jc w:val="both"/>
        <w:rPr>
          <w:rFonts w:ascii="Times New Roman" w:hAnsi="Times New Roman"/>
          <w:spacing w:val="2"/>
          <w:sz w:val="28"/>
          <w:szCs w:val="28"/>
        </w:rPr>
      </w:pPr>
      <w:r w:rsidRPr="005844A5">
        <w:rPr>
          <w:rFonts w:ascii="Times New Roman" w:hAnsi="Times New Roman"/>
          <w:spacing w:val="2"/>
          <w:sz w:val="28"/>
          <w:szCs w:val="28"/>
        </w:rPr>
        <w:lastRenderedPageBreak/>
        <w:t xml:space="preserve">На фоне снижения пассажиропотока отмечается практически идентичное снижение пассажирооборота электрического транспорта по отношению к уровню 2017 года (-4,0%) до 162,0 млн пассажиро–километров. Доходы троллейбусных парков </w:t>
      </w:r>
      <w:r w:rsidRPr="005844A5">
        <w:rPr>
          <w:rFonts w:ascii="Times New Roman" w:hAnsi="Times New Roman"/>
          <w:sz w:val="28"/>
          <w:szCs w:val="28"/>
        </w:rPr>
        <w:t xml:space="preserve">от перевозки пассажиров и багажа, </w:t>
      </w:r>
      <w:r w:rsidRPr="005844A5">
        <w:rPr>
          <w:rFonts w:ascii="Times New Roman" w:hAnsi="Times New Roman"/>
          <w:spacing w:val="2"/>
          <w:sz w:val="28"/>
          <w:szCs w:val="28"/>
        </w:rPr>
        <w:t xml:space="preserve">включая трансферты на покрытие потерь от предоставления льгот, в том числе пенсионерам в части бесплатного проезда, уменьшились на 2,6% до </w:t>
      </w:r>
      <w:r w:rsidR="00A4091C">
        <w:rPr>
          <w:rFonts w:ascii="Times New Roman" w:hAnsi="Times New Roman"/>
          <w:spacing w:val="2"/>
          <w:sz w:val="28"/>
          <w:szCs w:val="28"/>
        </w:rPr>
        <w:br/>
      </w:r>
      <w:r w:rsidRPr="005844A5">
        <w:rPr>
          <w:rFonts w:ascii="Times New Roman" w:hAnsi="Times New Roman"/>
          <w:spacing w:val="2"/>
          <w:sz w:val="28"/>
          <w:szCs w:val="28"/>
        </w:rPr>
        <w:t>32,9 млн руб. в стоимостном выражении. Следует отметить, что выручка от продажи пассажирских билетов сократилась на 4,6% и составила 11,9 млн руб.</w:t>
      </w:r>
    </w:p>
    <w:p w:rsidR="005844A5" w:rsidRPr="005844A5" w:rsidRDefault="005844A5" w:rsidP="007D3AA7">
      <w:pPr>
        <w:spacing w:after="0" w:line="240" w:lineRule="auto"/>
        <w:ind w:firstLine="426"/>
        <w:jc w:val="both"/>
        <w:rPr>
          <w:rFonts w:ascii="Times New Roman" w:hAnsi="Times New Roman"/>
          <w:sz w:val="28"/>
          <w:szCs w:val="28"/>
        </w:rPr>
      </w:pPr>
      <w:r w:rsidRPr="005844A5">
        <w:rPr>
          <w:rFonts w:ascii="Times New Roman" w:hAnsi="Times New Roman"/>
          <w:b/>
          <w:i/>
          <w:sz w:val="28"/>
          <w:szCs w:val="28"/>
        </w:rPr>
        <w:t>Железнодорожный транспорт</w:t>
      </w:r>
      <w:r w:rsidRPr="005844A5">
        <w:rPr>
          <w:rFonts w:ascii="Times New Roman" w:hAnsi="Times New Roman"/>
          <w:sz w:val="28"/>
          <w:szCs w:val="28"/>
        </w:rPr>
        <w:t xml:space="preserve"> республики представлен ГУКП «Приднестровская железная дорога».</w:t>
      </w:r>
    </w:p>
    <w:p w:rsidR="005844A5" w:rsidRPr="005844A5" w:rsidRDefault="005844A5" w:rsidP="007D3AA7">
      <w:pPr>
        <w:tabs>
          <w:tab w:val="left" w:pos="1080"/>
          <w:tab w:val="left" w:pos="1260"/>
        </w:tabs>
        <w:spacing w:after="0" w:line="240" w:lineRule="auto"/>
        <w:ind w:firstLine="426"/>
        <w:jc w:val="both"/>
        <w:rPr>
          <w:rFonts w:ascii="Times New Roman" w:hAnsi="Times New Roman"/>
          <w:spacing w:val="1"/>
          <w:sz w:val="28"/>
          <w:szCs w:val="28"/>
        </w:rPr>
      </w:pPr>
      <w:r w:rsidRPr="005844A5">
        <w:rPr>
          <w:rFonts w:ascii="Times New Roman" w:hAnsi="Times New Roman"/>
          <w:spacing w:val="1"/>
          <w:sz w:val="28"/>
          <w:szCs w:val="28"/>
        </w:rPr>
        <w:t>Увеличение объемов перевозок грузов в прямом и местном сообщении на 12,3% в совокупности со снижением транзита на 1,4% обусловило рост общего объема грузовых перевозок на ГУКП «Приднестровская железная дорога» по итогам 2018 года на 3,3% до 2 982,2 тыс. тонн.</w:t>
      </w:r>
    </w:p>
    <w:p w:rsidR="005844A5" w:rsidRPr="005844A5" w:rsidRDefault="005844A5" w:rsidP="007D3AA7">
      <w:pPr>
        <w:tabs>
          <w:tab w:val="left" w:pos="1080"/>
          <w:tab w:val="left" w:pos="1260"/>
        </w:tabs>
        <w:spacing w:after="0" w:line="240" w:lineRule="auto"/>
        <w:ind w:firstLine="426"/>
        <w:jc w:val="both"/>
        <w:rPr>
          <w:rFonts w:ascii="Times New Roman" w:hAnsi="Times New Roman"/>
          <w:sz w:val="28"/>
          <w:szCs w:val="28"/>
          <w:shd w:val="clear" w:color="auto" w:fill="FFFFFF"/>
        </w:rPr>
      </w:pPr>
      <w:r w:rsidRPr="005844A5">
        <w:rPr>
          <w:rFonts w:ascii="Times New Roman" w:hAnsi="Times New Roman"/>
          <w:spacing w:val="1"/>
          <w:sz w:val="28"/>
          <w:szCs w:val="28"/>
        </w:rPr>
        <w:t>Реализация со стороны государства мер</w:t>
      </w:r>
      <w:r w:rsidR="00A4091C">
        <w:rPr>
          <w:rFonts w:ascii="Times New Roman" w:hAnsi="Times New Roman"/>
          <w:spacing w:val="1"/>
          <w:sz w:val="28"/>
          <w:szCs w:val="28"/>
        </w:rPr>
        <w:t>,</w:t>
      </w:r>
      <w:r w:rsidRPr="005844A5">
        <w:rPr>
          <w:rFonts w:ascii="Times New Roman" w:hAnsi="Times New Roman"/>
          <w:spacing w:val="1"/>
          <w:sz w:val="28"/>
          <w:szCs w:val="28"/>
        </w:rPr>
        <w:t xml:space="preserve"> направленных на развити</w:t>
      </w:r>
      <w:r w:rsidR="00A4091C">
        <w:rPr>
          <w:rFonts w:ascii="Times New Roman" w:hAnsi="Times New Roman"/>
          <w:spacing w:val="1"/>
          <w:sz w:val="28"/>
          <w:szCs w:val="28"/>
        </w:rPr>
        <w:t>е</w:t>
      </w:r>
      <w:r w:rsidRPr="005844A5">
        <w:rPr>
          <w:rFonts w:ascii="Times New Roman" w:hAnsi="Times New Roman"/>
          <w:spacing w:val="1"/>
          <w:sz w:val="28"/>
          <w:szCs w:val="28"/>
        </w:rPr>
        <w:t xml:space="preserve"> отечественной экономики, а также ведение переговоров в рамках </w:t>
      </w:r>
      <w:r w:rsidRPr="005844A5">
        <w:rPr>
          <w:rFonts w:ascii="Times New Roman" w:hAnsi="Times New Roman"/>
          <w:sz w:val="28"/>
          <w:szCs w:val="28"/>
          <w:shd w:val="clear" w:color="auto" w:fill="FFFFFF"/>
        </w:rPr>
        <w:t>заседаний экспертных (рабочих) групп по вопросам железнодорожного транспорта и сообщений, продление Протокольного решения «О принципах возобновления полноценного грузового железнодорожного сообщения через территорию Приднестровья», который в 2018 году исполнялся молдавской стороной только в части экспорта товаров из Приднестровской Молдавской Республики и транзита в Республику Молдова</w:t>
      </w:r>
      <w:r w:rsidR="00A4091C">
        <w:rPr>
          <w:rFonts w:ascii="Times New Roman" w:hAnsi="Times New Roman"/>
          <w:sz w:val="28"/>
          <w:szCs w:val="28"/>
          <w:shd w:val="clear" w:color="auto" w:fill="FFFFFF"/>
        </w:rPr>
        <w:t>,</w:t>
      </w:r>
      <w:r w:rsidRPr="005844A5">
        <w:rPr>
          <w:rFonts w:ascii="Times New Roman" w:hAnsi="Times New Roman"/>
          <w:sz w:val="28"/>
          <w:szCs w:val="28"/>
          <w:shd w:val="clear" w:color="auto" w:fill="FFFFFF"/>
        </w:rPr>
        <w:t xml:space="preserve"> оказывали непосредственное влияние на качество работы железнодорожного транспорта.</w:t>
      </w:r>
    </w:p>
    <w:p w:rsidR="005844A5" w:rsidRPr="005844A5" w:rsidRDefault="005844A5" w:rsidP="007D3AA7">
      <w:pPr>
        <w:tabs>
          <w:tab w:val="left" w:pos="1080"/>
          <w:tab w:val="left" w:pos="1260"/>
        </w:tabs>
        <w:spacing w:after="0" w:line="240" w:lineRule="auto"/>
        <w:ind w:firstLine="426"/>
        <w:jc w:val="both"/>
        <w:rPr>
          <w:rFonts w:ascii="Times New Roman" w:hAnsi="Times New Roman"/>
          <w:spacing w:val="1"/>
          <w:sz w:val="28"/>
          <w:szCs w:val="28"/>
        </w:rPr>
      </w:pPr>
      <w:r w:rsidRPr="005844A5">
        <w:rPr>
          <w:rFonts w:ascii="Times New Roman" w:hAnsi="Times New Roman"/>
          <w:spacing w:val="1"/>
          <w:sz w:val="28"/>
          <w:szCs w:val="28"/>
        </w:rPr>
        <w:t>Наличие определенных логистических маршрутов</w:t>
      </w:r>
      <w:r w:rsidR="00A4091C">
        <w:rPr>
          <w:rFonts w:ascii="Times New Roman" w:hAnsi="Times New Roman"/>
          <w:spacing w:val="1"/>
          <w:sz w:val="28"/>
          <w:szCs w:val="28"/>
        </w:rPr>
        <w:t>,</w:t>
      </w:r>
      <w:r w:rsidRPr="005844A5">
        <w:rPr>
          <w:rFonts w:ascii="Times New Roman" w:hAnsi="Times New Roman"/>
          <w:spacing w:val="1"/>
          <w:sz w:val="28"/>
          <w:szCs w:val="28"/>
        </w:rPr>
        <w:t xml:space="preserve"> разработанных на территории Восточной Европы, способствовало тому, что в целях прохождения транзитных грузов по территории Приднестровской Молдавской Республики, в связи с недостаточностью подвижного состава у ГП «Железная дорога Молдовы» для перевозки грузов, ГУКП «Приднестровская железная дорога» совместно с ООО Прокатная компания «Желдорсервис» осуществляет совместную деятельность по предоставлению в аренду локомотивов ГП «Железная дорога Молдовы».</w:t>
      </w:r>
    </w:p>
    <w:p w:rsidR="005844A5" w:rsidRPr="005844A5" w:rsidRDefault="005844A5" w:rsidP="007D3AA7">
      <w:pPr>
        <w:tabs>
          <w:tab w:val="left" w:pos="1080"/>
          <w:tab w:val="left" w:pos="1260"/>
        </w:tabs>
        <w:spacing w:after="0" w:line="240" w:lineRule="auto"/>
        <w:ind w:firstLine="426"/>
        <w:jc w:val="both"/>
        <w:rPr>
          <w:rFonts w:ascii="Times New Roman" w:hAnsi="Times New Roman"/>
          <w:spacing w:val="1"/>
          <w:sz w:val="28"/>
          <w:szCs w:val="28"/>
        </w:rPr>
      </w:pPr>
      <w:r w:rsidRPr="005844A5">
        <w:rPr>
          <w:rFonts w:ascii="Times New Roman" w:hAnsi="Times New Roman"/>
          <w:spacing w:val="1"/>
          <w:sz w:val="28"/>
          <w:szCs w:val="28"/>
        </w:rPr>
        <w:t>Количество обслуженных в 2018 году пассажиров увеличилось по сравнению с 2017 годом на 2,6% и составило 19,8 тыс. человек. Рост числа пассажиров в условиях положительной динамики стоимости билетов на железнодорожный транспорт обеспечили прирост доходов от оказания услуг пассажирам в рассматриваемом периоде на 15,5% до 966,5 тыс. руб.</w:t>
      </w:r>
    </w:p>
    <w:p w:rsidR="005844A5" w:rsidRPr="005844A5" w:rsidRDefault="005844A5" w:rsidP="007D3AA7">
      <w:pPr>
        <w:tabs>
          <w:tab w:val="left" w:pos="1080"/>
          <w:tab w:val="left" w:pos="1260"/>
        </w:tabs>
        <w:spacing w:after="0" w:line="240" w:lineRule="auto"/>
        <w:ind w:firstLine="426"/>
        <w:jc w:val="both"/>
        <w:rPr>
          <w:rFonts w:ascii="Times New Roman" w:hAnsi="Times New Roman"/>
          <w:spacing w:val="1"/>
          <w:sz w:val="28"/>
          <w:szCs w:val="28"/>
        </w:rPr>
      </w:pPr>
      <w:r w:rsidRPr="005844A5">
        <w:rPr>
          <w:rFonts w:ascii="Times New Roman" w:hAnsi="Times New Roman"/>
          <w:spacing w:val="1"/>
          <w:sz w:val="28"/>
          <w:szCs w:val="28"/>
        </w:rPr>
        <w:t>Общий объем реализованных предприятием услуг по итогам рассматриваемого периода в денежном выражении составил 95 175 тыс. руб., что на 24,9% выше показателя 2017 года.</w:t>
      </w:r>
    </w:p>
    <w:p w:rsidR="005844A5" w:rsidRPr="005844A5" w:rsidRDefault="005844A5" w:rsidP="007D3AA7">
      <w:pPr>
        <w:spacing w:after="0" w:line="240" w:lineRule="auto"/>
        <w:ind w:firstLine="426"/>
        <w:jc w:val="both"/>
        <w:rPr>
          <w:rFonts w:ascii="Times New Roman" w:hAnsi="Times New Roman"/>
          <w:spacing w:val="1"/>
          <w:sz w:val="28"/>
          <w:szCs w:val="28"/>
        </w:rPr>
      </w:pPr>
      <w:r w:rsidRPr="005844A5">
        <w:rPr>
          <w:rFonts w:ascii="Times New Roman" w:hAnsi="Times New Roman"/>
          <w:sz w:val="28"/>
          <w:szCs w:val="28"/>
        </w:rPr>
        <w:t xml:space="preserve">По итогам 2018 года </w:t>
      </w:r>
      <w:r w:rsidRPr="005844A5">
        <w:rPr>
          <w:rFonts w:ascii="Times New Roman" w:hAnsi="Times New Roman"/>
          <w:spacing w:val="1"/>
          <w:sz w:val="28"/>
          <w:szCs w:val="28"/>
        </w:rPr>
        <w:t>после уплаты налогов ГУКП «Приднестровская железная дорога» получен положительный финансовый результат, позволивший вывести предприятие на режим полного рабочего дня, гарантировать доплаты до среднего заработка к пособиям по временной нетрудоспособности. При этом снижение сформированного размера величины чистой прибыли относительно показателя 2017 года стало результатом увеличения в отчетном периоде затрат на оказание услуг (+27,6%).</w:t>
      </w:r>
    </w:p>
    <w:p w:rsidR="00E96EA1" w:rsidRPr="00534653" w:rsidRDefault="00E96EA1" w:rsidP="00E96EA1">
      <w:pPr>
        <w:spacing w:after="0" w:line="240" w:lineRule="auto"/>
        <w:ind w:firstLine="426"/>
        <w:jc w:val="both"/>
        <w:rPr>
          <w:rFonts w:ascii="Times New Roman" w:hAnsi="Times New Roman"/>
          <w:sz w:val="28"/>
          <w:szCs w:val="28"/>
        </w:rPr>
      </w:pPr>
      <w:r w:rsidRPr="00D10F0C">
        <w:rPr>
          <w:rFonts w:ascii="Times New Roman" w:hAnsi="Times New Roman"/>
          <w:b/>
          <w:bCs/>
          <w:i/>
          <w:sz w:val="28"/>
          <w:szCs w:val="28"/>
        </w:rPr>
        <w:lastRenderedPageBreak/>
        <w:t>Внутренний водный (речной)</w:t>
      </w:r>
      <w:r w:rsidRPr="00FF35E3">
        <w:rPr>
          <w:rFonts w:ascii="Times New Roman" w:hAnsi="Times New Roman"/>
          <w:b/>
          <w:bCs/>
          <w:i/>
          <w:sz w:val="28"/>
          <w:szCs w:val="28"/>
        </w:rPr>
        <w:t xml:space="preserve"> транспорт</w:t>
      </w:r>
      <w:r w:rsidRPr="00FF35E3">
        <w:rPr>
          <w:rFonts w:ascii="Times New Roman" w:hAnsi="Times New Roman"/>
          <w:sz w:val="28"/>
          <w:szCs w:val="28"/>
        </w:rPr>
        <w:t xml:space="preserve"> республики представлен </w:t>
      </w:r>
      <w:r w:rsidRPr="00534653">
        <w:rPr>
          <w:rFonts w:ascii="Times New Roman" w:hAnsi="Times New Roman"/>
          <w:sz w:val="28"/>
          <w:szCs w:val="28"/>
        </w:rPr>
        <w:t>Рыбницким и Бендерским речными портами.</w:t>
      </w:r>
      <w:r w:rsidRPr="00534653">
        <w:rPr>
          <w:rFonts w:ascii="Times New Roman" w:hAnsi="Times New Roman"/>
          <w:spacing w:val="1"/>
          <w:sz w:val="28"/>
          <w:szCs w:val="28"/>
        </w:rPr>
        <w:t xml:space="preserve"> На ОАО «Рыбницкий речной порт» сокращение </w:t>
      </w:r>
      <w:r w:rsidRPr="00534653">
        <w:rPr>
          <w:rFonts w:ascii="Times New Roman" w:hAnsi="Times New Roman"/>
          <w:sz w:val="28"/>
          <w:szCs w:val="28"/>
        </w:rPr>
        <w:t xml:space="preserve">объема реализации песчано-гравийной смеси на 30,8% на фоне отсутствия крупного оптового заказчика, а также отсутствие доходов от услуг плавучего крана в 2018 году, принимая во внимание сложную экономическую ситуацию, вызвало сокращение доходов на </w:t>
      </w:r>
      <w:r w:rsidR="00624FED">
        <w:rPr>
          <w:rFonts w:ascii="Times New Roman" w:hAnsi="Times New Roman"/>
          <w:sz w:val="28"/>
          <w:szCs w:val="28"/>
        </w:rPr>
        <w:t>17,7</w:t>
      </w:r>
      <w:r w:rsidRPr="00534653">
        <w:rPr>
          <w:rFonts w:ascii="Times New Roman" w:hAnsi="Times New Roman"/>
          <w:sz w:val="28"/>
          <w:szCs w:val="28"/>
        </w:rPr>
        <w:t>% до 1 784,2 тыс. руб. Также в отчетном периоде отмечен рост коммерческих расходов (+6,4%) с одновременным сокращением административных расходов в условиях оптимизации деятельности экономического агента (-22,1%). Данные обстоятельства обусловили формирование на ОАО «Рыбницкий речной порт» по итогам 2018 года положительного финансового результата после уплаты налогов (+ 117,2 тыс. руб.).</w:t>
      </w:r>
    </w:p>
    <w:p w:rsidR="00E96EA1" w:rsidRPr="00114D95" w:rsidRDefault="00E96EA1" w:rsidP="00E96EA1">
      <w:pPr>
        <w:spacing w:after="0" w:line="240" w:lineRule="auto"/>
        <w:ind w:firstLine="426"/>
        <w:jc w:val="both"/>
        <w:rPr>
          <w:rFonts w:ascii="Times New Roman" w:hAnsi="Times New Roman"/>
          <w:spacing w:val="1"/>
          <w:sz w:val="28"/>
          <w:szCs w:val="28"/>
        </w:rPr>
      </w:pPr>
      <w:r w:rsidRPr="00534653">
        <w:rPr>
          <w:rFonts w:ascii="Times New Roman" w:hAnsi="Times New Roman"/>
          <w:sz w:val="28"/>
          <w:szCs w:val="28"/>
        </w:rPr>
        <w:t>На ОАО «Бендерский речной порт» в условиях</w:t>
      </w:r>
      <w:r>
        <w:rPr>
          <w:rFonts w:ascii="Times New Roman" w:hAnsi="Times New Roman"/>
          <w:sz w:val="28"/>
          <w:szCs w:val="28"/>
        </w:rPr>
        <w:t xml:space="preserve"> стабилизации</w:t>
      </w:r>
      <w:r w:rsidRPr="00267BA2">
        <w:rPr>
          <w:rFonts w:ascii="Times New Roman" w:hAnsi="Times New Roman"/>
          <w:sz w:val="28"/>
          <w:szCs w:val="28"/>
        </w:rPr>
        <w:t xml:space="preserve"> социально-экономическ</w:t>
      </w:r>
      <w:r>
        <w:rPr>
          <w:rFonts w:ascii="Times New Roman" w:hAnsi="Times New Roman"/>
          <w:sz w:val="28"/>
          <w:szCs w:val="28"/>
        </w:rPr>
        <w:t>ого положения республики</w:t>
      </w:r>
      <w:r w:rsidRPr="00267BA2">
        <w:rPr>
          <w:rFonts w:ascii="Times New Roman" w:hAnsi="Times New Roman"/>
          <w:sz w:val="28"/>
          <w:szCs w:val="28"/>
        </w:rPr>
        <w:t xml:space="preserve"> </w:t>
      </w:r>
      <w:r>
        <w:rPr>
          <w:rFonts w:ascii="Times New Roman" w:hAnsi="Times New Roman"/>
          <w:sz w:val="28"/>
          <w:szCs w:val="28"/>
        </w:rPr>
        <w:t>и</w:t>
      </w:r>
      <w:r w:rsidR="00A4091C">
        <w:rPr>
          <w:rFonts w:ascii="Times New Roman" w:hAnsi="Times New Roman"/>
          <w:sz w:val="28"/>
          <w:szCs w:val="28"/>
        </w:rPr>
        <w:t>,</w:t>
      </w:r>
      <w:r>
        <w:rPr>
          <w:rFonts w:ascii="Times New Roman" w:hAnsi="Times New Roman"/>
          <w:sz w:val="28"/>
          <w:szCs w:val="28"/>
        </w:rPr>
        <w:t xml:space="preserve"> как следствие</w:t>
      </w:r>
      <w:r w:rsidR="00A4091C">
        <w:rPr>
          <w:rFonts w:ascii="Times New Roman" w:hAnsi="Times New Roman"/>
          <w:sz w:val="28"/>
          <w:szCs w:val="28"/>
        </w:rPr>
        <w:t>,</w:t>
      </w:r>
      <w:r>
        <w:rPr>
          <w:rFonts w:ascii="Times New Roman" w:hAnsi="Times New Roman"/>
          <w:sz w:val="28"/>
          <w:szCs w:val="28"/>
        </w:rPr>
        <w:t xml:space="preserve"> роста</w:t>
      </w:r>
      <w:r w:rsidRPr="00267BA2">
        <w:rPr>
          <w:rFonts w:ascii="Times New Roman" w:hAnsi="Times New Roman"/>
          <w:sz w:val="28"/>
          <w:szCs w:val="28"/>
        </w:rPr>
        <w:t xml:space="preserve"> спроса на стройматериалы, объем</w:t>
      </w:r>
      <w:r w:rsidR="00A4091C">
        <w:rPr>
          <w:rFonts w:ascii="Times New Roman" w:hAnsi="Times New Roman"/>
          <w:sz w:val="28"/>
          <w:szCs w:val="28"/>
        </w:rPr>
        <w:t>ы</w:t>
      </w:r>
      <w:r w:rsidRPr="00267BA2">
        <w:rPr>
          <w:rFonts w:ascii="Times New Roman" w:hAnsi="Times New Roman"/>
          <w:sz w:val="28"/>
          <w:szCs w:val="28"/>
        </w:rPr>
        <w:t xml:space="preserve"> дноуглубительных работ в 2018 год</w:t>
      </w:r>
      <w:r>
        <w:rPr>
          <w:rFonts w:ascii="Times New Roman" w:hAnsi="Times New Roman"/>
          <w:sz w:val="28"/>
          <w:szCs w:val="28"/>
        </w:rPr>
        <w:t>у</w:t>
      </w:r>
      <w:r w:rsidRPr="00267BA2">
        <w:rPr>
          <w:rFonts w:ascii="Times New Roman" w:hAnsi="Times New Roman"/>
          <w:sz w:val="28"/>
          <w:szCs w:val="28"/>
        </w:rPr>
        <w:t xml:space="preserve"> </w:t>
      </w:r>
      <w:r w:rsidR="00A4091C">
        <w:rPr>
          <w:rFonts w:ascii="Times New Roman" w:hAnsi="Times New Roman"/>
          <w:sz w:val="28"/>
          <w:szCs w:val="28"/>
        </w:rPr>
        <w:t>увеличились на</w:t>
      </w:r>
      <w:r w:rsidRPr="00267BA2">
        <w:rPr>
          <w:rFonts w:ascii="Times New Roman" w:hAnsi="Times New Roman"/>
          <w:sz w:val="28"/>
          <w:szCs w:val="28"/>
        </w:rPr>
        <w:t xml:space="preserve"> </w:t>
      </w:r>
      <w:r>
        <w:rPr>
          <w:rFonts w:ascii="Times New Roman" w:hAnsi="Times New Roman"/>
          <w:sz w:val="28"/>
          <w:szCs w:val="28"/>
        </w:rPr>
        <w:t>26,0</w:t>
      </w:r>
      <w:r w:rsidRPr="00267BA2">
        <w:rPr>
          <w:rFonts w:ascii="Times New Roman" w:hAnsi="Times New Roman"/>
          <w:sz w:val="28"/>
          <w:szCs w:val="28"/>
        </w:rPr>
        <w:t>%</w:t>
      </w:r>
      <w:r w:rsidR="00A4091C">
        <w:rPr>
          <w:rFonts w:ascii="Times New Roman" w:hAnsi="Times New Roman"/>
          <w:sz w:val="28"/>
          <w:szCs w:val="28"/>
        </w:rPr>
        <w:t>.</w:t>
      </w:r>
      <w:r w:rsidRPr="00267BA2">
        <w:rPr>
          <w:rFonts w:ascii="Times New Roman" w:hAnsi="Times New Roman"/>
          <w:sz w:val="28"/>
          <w:szCs w:val="28"/>
        </w:rPr>
        <w:t xml:space="preserve"> </w:t>
      </w:r>
      <w:r w:rsidR="00A4091C">
        <w:rPr>
          <w:rFonts w:ascii="Times New Roman" w:hAnsi="Times New Roman"/>
          <w:sz w:val="28"/>
          <w:szCs w:val="28"/>
        </w:rPr>
        <w:t>Р</w:t>
      </w:r>
      <w:r w:rsidRPr="00267BA2">
        <w:rPr>
          <w:rFonts w:ascii="Times New Roman" w:hAnsi="Times New Roman"/>
          <w:sz w:val="28"/>
          <w:szCs w:val="28"/>
        </w:rPr>
        <w:t>ост отпускной цены на реализуем</w:t>
      </w:r>
      <w:r w:rsidR="00A4091C">
        <w:rPr>
          <w:rFonts w:ascii="Times New Roman" w:hAnsi="Times New Roman"/>
          <w:sz w:val="28"/>
          <w:szCs w:val="28"/>
        </w:rPr>
        <w:t>ую</w:t>
      </w:r>
      <w:r w:rsidRPr="00267BA2">
        <w:rPr>
          <w:rFonts w:ascii="Times New Roman" w:hAnsi="Times New Roman"/>
          <w:sz w:val="28"/>
          <w:szCs w:val="28"/>
        </w:rPr>
        <w:t xml:space="preserve"> ПГС, в совокупности с выполнением работ по стоянке и перегону буксирного теплохода</w:t>
      </w:r>
      <w:r w:rsidR="00A4091C">
        <w:rPr>
          <w:rFonts w:ascii="Times New Roman" w:hAnsi="Times New Roman"/>
          <w:sz w:val="28"/>
          <w:szCs w:val="28"/>
        </w:rPr>
        <w:t>,</w:t>
      </w:r>
      <w:r w:rsidRPr="00267BA2">
        <w:rPr>
          <w:rFonts w:ascii="Times New Roman" w:hAnsi="Times New Roman"/>
          <w:sz w:val="28"/>
          <w:szCs w:val="28"/>
        </w:rPr>
        <w:t xml:space="preserve"> способствовали увеличению величины полученного дохода</w:t>
      </w:r>
      <w:r>
        <w:rPr>
          <w:rFonts w:ascii="Times New Roman" w:hAnsi="Times New Roman"/>
          <w:sz w:val="28"/>
          <w:szCs w:val="28"/>
        </w:rPr>
        <w:t xml:space="preserve"> от продаж</w:t>
      </w:r>
      <w:r w:rsidRPr="00267BA2">
        <w:rPr>
          <w:rFonts w:ascii="Times New Roman" w:hAnsi="Times New Roman"/>
          <w:sz w:val="28"/>
          <w:szCs w:val="28"/>
        </w:rPr>
        <w:t xml:space="preserve"> на </w:t>
      </w:r>
      <w:r>
        <w:rPr>
          <w:rFonts w:ascii="Times New Roman" w:hAnsi="Times New Roman"/>
          <w:sz w:val="28"/>
          <w:szCs w:val="28"/>
        </w:rPr>
        <w:t>48,1</w:t>
      </w:r>
      <w:r w:rsidRPr="00267BA2">
        <w:rPr>
          <w:rFonts w:ascii="Times New Roman" w:hAnsi="Times New Roman"/>
          <w:sz w:val="28"/>
          <w:szCs w:val="28"/>
        </w:rPr>
        <w:t xml:space="preserve">%. </w:t>
      </w:r>
      <w:r w:rsidRPr="00114D95">
        <w:rPr>
          <w:rFonts w:ascii="Times New Roman" w:hAnsi="Times New Roman"/>
          <w:sz w:val="28"/>
          <w:szCs w:val="28"/>
        </w:rPr>
        <w:t xml:space="preserve">Так, доходы от реализации песчано-гравийной смеси </w:t>
      </w:r>
      <w:r w:rsidR="00D84445">
        <w:rPr>
          <w:rFonts w:ascii="Times New Roman" w:hAnsi="Times New Roman"/>
          <w:sz w:val="28"/>
          <w:szCs w:val="28"/>
        </w:rPr>
        <w:t>возросли</w:t>
      </w:r>
      <w:r w:rsidRPr="00114D95">
        <w:rPr>
          <w:rFonts w:ascii="Times New Roman" w:hAnsi="Times New Roman"/>
          <w:sz w:val="28"/>
          <w:szCs w:val="28"/>
        </w:rPr>
        <w:t xml:space="preserve"> </w:t>
      </w:r>
      <w:r>
        <w:rPr>
          <w:rFonts w:ascii="Times New Roman" w:hAnsi="Times New Roman"/>
          <w:sz w:val="28"/>
          <w:szCs w:val="28"/>
        </w:rPr>
        <w:t>в</w:t>
      </w:r>
      <w:r w:rsidRPr="00114D95">
        <w:rPr>
          <w:rFonts w:ascii="Times New Roman" w:hAnsi="Times New Roman"/>
          <w:sz w:val="28"/>
          <w:szCs w:val="28"/>
        </w:rPr>
        <w:t xml:space="preserve"> </w:t>
      </w:r>
      <w:r>
        <w:rPr>
          <w:rFonts w:ascii="Times New Roman" w:hAnsi="Times New Roman"/>
          <w:sz w:val="28"/>
          <w:szCs w:val="28"/>
        </w:rPr>
        <w:t>2,2 раза</w:t>
      </w:r>
      <w:r w:rsidRPr="00114D95">
        <w:rPr>
          <w:rFonts w:ascii="Times New Roman" w:hAnsi="Times New Roman"/>
          <w:sz w:val="28"/>
          <w:szCs w:val="28"/>
        </w:rPr>
        <w:t xml:space="preserve">, доходы от пассажирских перевозок – </w:t>
      </w:r>
      <w:r>
        <w:rPr>
          <w:rFonts w:ascii="Times New Roman" w:hAnsi="Times New Roman"/>
          <w:sz w:val="28"/>
          <w:szCs w:val="28"/>
        </w:rPr>
        <w:t>на</w:t>
      </w:r>
      <w:r w:rsidRPr="00114D95">
        <w:rPr>
          <w:rFonts w:ascii="Times New Roman" w:hAnsi="Times New Roman"/>
          <w:sz w:val="28"/>
          <w:szCs w:val="28"/>
        </w:rPr>
        <w:t xml:space="preserve"> </w:t>
      </w:r>
      <w:r>
        <w:rPr>
          <w:rFonts w:ascii="Times New Roman" w:hAnsi="Times New Roman"/>
          <w:sz w:val="28"/>
          <w:szCs w:val="28"/>
        </w:rPr>
        <w:t>20,0%</w:t>
      </w:r>
      <w:r w:rsidRPr="00114D95">
        <w:rPr>
          <w:rFonts w:ascii="Times New Roman" w:hAnsi="Times New Roman"/>
          <w:sz w:val="28"/>
          <w:szCs w:val="28"/>
        </w:rPr>
        <w:t xml:space="preserve">. </w:t>
      </w:r>
      <w:r>
        <w:rPr>
          <w:rFonts w:ascii="Times New Roman" w:hAnsi="Times New Roman"/>
          <w:sz w:val="28"/>
          <w:szCs w:val="28"/>
        </w:rPr>
        <w:t>Принимая во внимание</w:t>
      </w:r>
      <w:r w:rsidRPr="00114D95">
        <w:rPr>
          <w:rFonts w:ascii="Times New Roman" w:hAnsi="Times New Roman"/>
          <w:sz w:val="28"/>
          <w:szCs w:val="28"/>
        </w:rPr>
        <w:t xml:space="preserve"> рост величины полученных доходов, </w:t>
      </w:r>
      <w:r>
        <w:rPr>
          <w:rFonts w:ascii="Times New Roman" w:hAnsi="Times New Roman"/>
          <w:sz w:val="28"/>
          <w:szCs w:val="28"/>
        </w:rPr>
        <w:t xml:space="preserve">а также эффективность проводимого на предприятии менеджмента, </w:t>
      </w:r>
      <w:r w:rsidRPr="00114D95">
        <w:rPr>
          <w:rFonts w:ascii="Times New Roman" w:hAnsi="Times New Roman"/>
          <w:sz w:val="28"/>
          <w:szCs w:val="28"/>
        </w:rPr>
        <w:t xml:space="preserve">сформировавшаяся величина расходов обеспечила </w:t>
      </w:r>
      <w:r>
        <w:rPr>
          <w:rFonts w:ascii="Times New Roman" w:hAnsi="Times New Roman"/>
          <w:sz w:val="28"/>
          <w:szCs w:val="28"/>
        </w:rPr>
        <w:t>положительное</w:t>
      </w:r>
      <w:r w:rsidRPr="00114D95">
        <w:rPr>
          <w:rFonts w:ascii="Times New Roman" w:hAnsi="Times New Roman"/>
          <w:sz w:val="28"/>
          <w:szCs w:val="28"/>
        </w:rPr>
        <w:t xml:space="preserve"> значение чистой прибыли в размере </w:t>
      </w:r>
      <w:r>
        <w:rPr>
          <w:rFonts w:ascii="Times New Roman" w:hAnsi="Times New Roman"/>
          <w:sz w:val="28"/>
          <w:szCs w:val="28"/>
        </w:rPr>
        <w:t>895,8</w:t>
      </w:r>
      <w:r w:rsidR="00D84445">
        <w:rPr>
          <w:rFonts w:ascii="Times New Roman" w:hAnsi="Times New Roman"/>
          <w:sz w:val="28"/>
          <w:szCs w:val="28"/>
        </w:rPr>
        <w:t xml:space="preserve"> тыс. руб.</w:t>
      </w:r>
      <w:r w:rsidRPr="00114D95">
        <w:rPr>
          <w:rFonts w:ascii="Times New Roman" w:hAnsi="Times New Roman"/>
          <w:sz w:val="28"/>
          <w:szCs w:val="28"/>
        </w:rPr>
        <w:t xml:space="preserve"> </w:t>
      </w:r>
      <w:r>
        <w:rPr>
          <w:rFonts w:ascii="Times New Roman" w:hAnsi="Times New Roman"/>
          <w:sz w:val="28"/>
          <w:szCs w:val="28"/>
        </w:rPr>
        <w:t xml:space="preserve">против </w:t>
      </w:r>
      <w:r w:rsidRPr="00114D95">
        <w:rPr>
          <w:rFonts w:ascii="Times New Roman" w:hAnsi="Times New Roman"/>
          <w:sz w:val="28"/>
          <w:szCs w:val="28"/>
        </w:rPr>
        <w:t>убытк</w:t>
      </w:r>
      <w:r>
        <w:rPr>
          <w:rFonts w:ascii="Times New Roman" w:hAnsi="Times New Roman"/>
          <w:sz w:val="28"/>
          <w:szCs w:val="28"/>
        </w:rPr>
        <w:t>а</w:t>
      </w:r>
      <w:r w:rsidRPr="00114D95">
        <w:rPr>
          <w:rFonts w:ascii="Times New Roman" w:hAnsi="Times New Roman"/>
          <w:sz w:val="28"/>
          <w:szCs w:val="28"/>
        </w:rPr>
        <w:t xml:space="preserve"> после уплаты налогов </w:t>
      </w:r>
      <w:r>
        <w:rPr>
          <w:rFonts w:ascii="Times New Roman" w:hAnsi="Times New Roman"/>
          <w:sz w:val="28"/>
          <w:szCs w:val="28"/>
        </w:rPr>
        <w:t>в размере</w:t>
      </w:r>
      <w:r w:rsidRPr="00114D95">
        <w:rPr>
          <w:rFonts w:ascii="Times New Roman" w:hAnsi="Times New Roman"/>
          <w:sz w:val="28"/>
          <w:szCs w:val="28"/>
        </w:rPr>
        <w:t xml:space="preserve"> </w:t>
      </w:r>
      <w:r>
        <w:rPr>
          <w:rFonts w:ascii="Times New Roman" w:hAnsi="Times New Roman"/>
          <w:sz w:val="28"/>
          <w:szCs w:val="28"/>
        </w:rPr>
        <w:t>1 431,2</w:t>
      </w:r>
      <w:r w:rsidRPr="00114D95">
        <w:rPr>
          <w:rFonts w:ascii="Times New Roman" w:hAnsi="Times New Roman"/>
          <w:sz w:val="28"/>
          <w:szCs w:val="28"/>
        </w:rPr>
        <w:t xml:space="preserve"> тыс. руб.</w:t>
      </w:r>
      <w:r w:rsidR="00D84445">
        <w:rPr>
          <w:rFonts w:ascii="Times New Roman" w:hAnsi="Times New Roman"/>
          <w:sz w:val="28"/>
          <w:szCs w:val="28"/>
        </w:rPr>
        <w:t xml:space="preserve"> </w:t>
      </w:r>
      <w:r>
        <w:rPr>
          <w:rFonts w:ascii="Times New Roman" w:hAnsi="Times New Roman"/>
          <w:sz w:val="28"/>
          <w:szCs w:val="28"/>
        </w:rPr>
        <w:t xml:space="preserve">по итогам </w:t>
      </w:r>
      <w:r w:rsidRPr="00114D95">
        <w:rPr>
          <w:rFonts w:ascii="Times New Roman" w:hAnsi="Times New Roman"/>
          <w:sz w:val="28"/>
          <w:szCs w:val="28"/>
        </w:rPr>
        <w:t>2017 года</w:t>
      </w:r>
      <w:r>
        <w:rPr>
          <w:rFonts w:ascii="Times New Roman" w:hAnsi="Times New Roman"/>
          <w:sz w:val="28"/>
          <w:szCs w:val="28"/>
        </w:rPr>
        <w:t>.</w:t>
      </w:r>
    </w:p>
    <w:p w:rsidR="00E96EA1" w:rsidRPr="00114D95" w:rsidRDefault="00E96EA1" w:rsidP="00E96EA1">
      <w:pPr>
        <w:spacing w:after="0" w:line="240" w:lineRule="auto"/>
        <w:ind w:firstLine="426"/>
        <w:jc w:val="both"/>
        <w:rPr>
          <w:rFonts w:ascii="Times New Roman" w:hAnsi="Times New Roman"/>
          <w:sz w:val="28"/>
          <w:szCs w:val="28"/>
        </w:rPr>
      </w:pPr>
      <w:r w:rsidRPr="00114D95">
        <w:rPr>
          <w:rFonts w:ascii="Times New Roman" w:hAnsi="Times New Roman"/>
          <w:sz w:val="28"/>
          <w:szCs w:val="28"/>
        </w:rPr>
        <w:t>Наиболее значимыми негативными факторами, оказывающими влияние на результаты работы предприятий речного транспорта, являются:</w:t>
      </w:r>
    </w:p>
    <w:p w:rsidR="00E96EA1" w:rsidRDefault="00E96EA1" w:rsidP="00E96EA1">
      <w:pPr>
        <w:spacing w:after="0" w:line="240" w:lineRule="auto"/>
        <w:ind w:firstLine="426"/>
        <w:jc w:val="both"/>
        <w:rPr>
          <w:rFonts w:ascii="Times New Roman" w:hAnsi="Times New Roman"/>
          <w:sz w:val="28"/>
          <w:szCs w:val="28"/>
        </w:rPr>
      </w:pPr>
      <w:r w:rsidRPr="00114D95">
        <w:rPr>
          <w:rFonts w:ascii="Times New Roman" w:hAnsi="Times New Roman"/>
          <w:sz w:val="28"/>
          <w:szCs w:val="28"/>
        </w:rPr>
        <w:t>- пробелы в нормативно-правовой базе, регламентирующей деятельность в области внутреннего водного транспорта;</w:t>
      </w:r>
    </w:p>
    <w:p w:rsidR="00E96EA1" w:rsidRPr="00A87FF3" w:rsidRDefault="00E96EA1" w:rsidP="00E96EA1">
      <w:pPr>
        <w:spacing w:after="0" w:line="240" w:lineRule="auto"/>
        <w:ind w:firstLine="426"/>
        <w:jc w:val="both"/>
        <w:rPr>
          <w:rFonts w:ascii="Times New Roman" w:hAnsi="Times New Roman"/>
          <w:sz w:val="28"/>
          <w:szCs w:val="28"/>
        </w:rPr>
      </w:pPr>
      <w:r w:rsidRPr="00114D95">
        <w:rPr>
          <w:rFonts w:ascii="Times New Roman" w:hAnsi="Times New Roman"/>
          <w:sz w:val="28"/>
          <w:szCs w:val="28"/>
        </w:rPr>
        <w:t>- неурегулированность межгосударственных отношений в сфере грузов</w:t>
      </w:r>
      <w:r>
        <w:rPr>
          <w:rFonts w:ascii="Times New Roman" w:hAnsi="Times New Roman"/>
          <w:sz w:val="28"/>
          <w:szCs w:val="28"/>
        </w:rPr>
        <w:t>ых перевозок водным транспортом</w:t>
      </w:r>
      <w:r w:rsidRPr="00A87FF3">
        <w:rPr>
          <w:rFonts w:ascii="Times New Roman" w:hAnsi="Times New Roman"/>
          <w:sz w:val="28"/>
          <w:szCs w:val="28"/>
        </w:rPr>
        <w:t>;</w:t>
      </w:r>
    </w:p>
    <w:p w:rsidR="00E96EA1" w:rsidRPr="00114D95" w:rsidRDefault="00E96EA1" w:rsidP="00E96EA1">
      <w:pPr>
        <w:spacing w:after="0" w:line="240" w:lineRule="auto"/>
        <w:ind w:firstLine="426"/>
        <w:jc w:val="both"/>
        <w:rPr>
          <w:rFonts w:ascii="Times New Roman" w:hAnsi="Times New Roman"/>
          <w:sz w:val="28"/>
          <w:szCs w:val="28"/>
        </w:rPr>
      </w:pPr>
      <w:r w:rsidRPr="00A87FF3">
        <w:rPr>
          <w:rFonts w:ascii="Times New Roman" w:hAnsi="Times New Roman"/>
          <w:sz w:val="28"/>
          <w:szCs w:val="28"/>
        </w:rPr>
        <w:t>-</w:t>
      </w:r>
      <w:r w:rsidRPr="00114D95">
        <w:rPr>
          <w:rFonts w:ascii="Times New Roman" w:hAnsi="Times New Roman"/>
          <w:sz w:val="28"/>
          <w:szCs w:val="28"/>
        </w:rPr>
        <w:t xml:space="preserve"> </w:t>
      </w:r>
      <w:r>
        <w:rPr>
          <w:rFonts w:ascii="Times New Roman" w:hAnsi="Times New Roman"/>
          <w:sz w:val="28"/>
          <w:szCs w:val="28"/>
        </w:rPr>
        <w:t>отсутствие таможенных пунктов на реке для таможенного оформления перевозок</w:t>
      </w:r>
      <w:r w:rsidRPr="00114D95">
        <w:rPr>
          <w:rFonts w:ascii="Times New Roman" w:hAnsi="Times New Roman"/>
          <w:sz w:val="28"/>
          <w:szCs w:val="28"/>
        </w:rPr>
        <w:t>;</w:t>
      </w:r>
    </w:p>
    <w:p w:rsidR="00E96EA1" w:rsidRPr="00114D95" w:rsidRDefault="00E96EA1" w:rsidP="00E96EA1">
      <w:pPr>
        <w:spacing w:after="0" w:line="240" w:lineRule="auto"/>
        <w:ind w:firstLine="426"/>
        <w:jc w:val="both"/>
        <w:rPr>
          <w:rFonts w:ascii="Times New Roman" w:hAnsi="Times New Roman"/>
          <w:sz w:val="28"/>
          <w:szCs w:val="28"/>
        </w:rPr>
      </w:pPr>
      <w:r w:rsidRPr="00114D95">
        <w:rPr>
          <w:rFonts w:ascii="Times New Roman" w:hAnsi="Times New Roman"/>
          <w:sz w:val="28"/>
          <w:szCs w:val="28"/>
        </w:rPr>
        <w:t>- снижение пассажиропотока и падение спроса на прогулочные катания по реке;</w:t>
      </w:r>
    </w:p>
    <w:p w:rsidR="00E96EA1" w:rsidRPr="00114D95" w:rsidRDefault="00E96EA1" w:rsidP="00E96EA1">
      <w:pPr>
        <w:spacing w:after="0" w:line="240" w:lineRule="auto"/>
        <w:ind w:firstLine="426"/>
        <w:jc w:val="both"/>
        <w:rPr>
          <w:rFonts w:ascii="Times New Roman" w:hAnsi="Times New Roman"/>
          <w:sz w:val="28"/>
          <w:szCs w:val="28"/>
        </w:rPr>
      </w:pPr>
      <w:r w:rsidRPr="00114D95">
        <w:rPr>
          <w:rFonts w:ascii="Times New Roman" w:hAnsi="Times New Roman"/>
          <w:sz w:val="28"/>
          <w:szCs w:val="28"/>
        </w:rPr>
        <w:t xml:space="preserve">- </w:t>
      </w:r>
      <w:r>
        <w:rPr>
          <w:rFonts w:ascii="Times New Roman" w:hAnsi="Times New Roman"/>
          <w:sz w:val="28"/>
          <w:szCs w:val="28"/>
        </w:rPr>
        <w:t xml:space="preserve">значительный износ </w:t>
      </w:r>
      <w:r w:rsidRPr="00114D95">
        <w:rPr>
          <w:rFonts w:ascii="Times New Roman" w:hAnsi="Times New Roman"/>
          <w:sz w:val="28"/>
          <w:szCs w:val="28"/>
        </w:rPr>
        <w:t>парка плавучих средств;</w:t>
      </w:r>
    </w:p>
    <w:p w:rsidR="00E96EA1" w:rsidRPr="004A0906" w:rsidRDefault="00E96EA1" w:rsidP="00E96EA1">
      <w:pPr>
        <w:spacing w:after="0" w:line="240" w:lineRule="auto"/>
        <w:ind w:firstLine="426"/>
        <w:jc w:val="both"/>
        <w:rPr>
          <w:rFonts w:ascii="Times New Roman" w:hAnsi="Times New Roman"/>
          <w:sz w:val="28"/>
          <w:szCs w:val="28"/>
        </w:rPr>
      </w:pPr>
      <w:r w:rsidRPr="00114D95">
        <w:rPr>
          <w:rFonts w:ascii="Times New Roman" w:hAnsi="Times New Roman"/>
          <w:sz w:val="28"/>
          <w:szCs w:val="28"/>
        </w:rPr>
        <w:t xml:space="preserve">- </w:t>
      </w:r>
      <w:r w:rsidR="00D84445" w:rsidRPr="00114D95">
        <w:rPr>
          <w:rFonts w:ascii="Times New Roman" w:hAnsi="Times New Roman"/>
          <w:sz w:val="28"/>
          <w:szCs w:val="28"/>
        </w:rPr>
        <w:t>критическ</w:t>
      </w:r>
      <w:r w:rsidR="00D84445">
        <w:rPr>
          <w:rFonts w:ascii="Times New Roman" w:hAnsi="Times New Roman"/>
          <w:sz w:val="28"/>
          <w:szCs w:val="28"/>
        </w:rPr>
        <w:t>ая</w:t>
      </w:r>
      <w:r w:rsidR="00D84445" w:rsidRPr="00114D95">
        <w:rPr>
          <w:rFonts w:ascii="Times New Roman" w:hAnsi="Times New Roman"/>
          <w:sz w:val="28"/>
          <w:szCs w:val="28"/>
        </w:rPr>
        <w:t xml:space="preserve"> ситуаци</w:t>
      </w:r>
      <w:r w:rsidR="00D84445">
        <w:rPr>
          <w:rFonts w:ascii="Times New Roman" w:hAnsi="Times New Roman"/>
          <w:sz w:val="28"/>
          <w:szCs w:val="28"/>
        </w:rPr>
        <w:t>я в сфере</w:t>
      </w:r>
      <w:r w:rsidR="00D84445" w:rsidRPr="00114D95">
        <w:rPr>
          <w:rFonts w:ascii="Times New Roman" w:hAnsi="Times New Roman"/>
          <w:sz w:val="28"/>
          <w:szCs w:val="28"/>
        </w:rPr>
        <w:t xml:space="preserve"> </w:t>
      </w:r>
      <w:r w:rsidRPr="00114D95">
        <w:rPr>
          <w:rFonts w:ascii="Times New Roman" w:hAnsi="Times New Roman"/>
          <w:sz w:val="28"/>
          <w:szCs w:val="28"/>
        </w:rPr>
        <w:t>навигационн</w:t>
      </w:r>
      <w:r w:rsidR="00D84445">
        <w:rPr>
          <w:rFonts w:ascii="Times New Roman" w:hAnsi="Times New Roman"/>
          <w:sz w:val="28"/>
          <w:szCs w:val="28"/>
        </w:rPr>
        <w:t>ой</w:t>
      </w:r>
      <w:r w:rsidRPr="00114D95">
        <w:rPr>
          <w:rFonts w:ascii="Times New Roman" w:hAnsi="Times New Roman"/>
          <w:sz w:val="28"/>
          <w:szCs w:val="28"/>
        </w:rPr>
        <w:t xml:space="preserve"> обстановк</w:t>
      </w:r>
      <w:r w:rsidR="00D84445">
        <w:rPr>
          <w:rFonts w:ascii="Times New Roman" w:hAnsi="Times New Roman"/>
          <w:sz w:val="28"/>
          <w:szCs w:val="28"/>
        </w:rPr>
        <w:t>и</w:t>
      </w:r>
      <w:r w:rsidRPr="00114D95">
        <w:rPr>
          <w:rFonts w:ascii="Times New Roman" w:hAnsi="Times New Roman"/>
          <w:sz w:val="28"/>
          <w:szCs w:val="28"/>
        </w:rPr>
        <w:t xml:space="preserve"> водных путей, </w:t>
      </w:r>
      <w:r w:rsidRPr="004A0906">
        <w:rPr>
          <w:rFonts w:ascii="Times New Roman" w:hAnsi="Times New Roman"/>
          <w:sz w:val="28"/>
          <w:szCs w:val="28"/>
        </w:rPr>
        <w:t>а именно, в настоящее время протяженность эксплуатируемых водных путей на р. Днестр сократилась до 170 км.</w:t>
      </w:r>
    </w:p>
    <w:p w:rsidR="005844A5" w:rsidRPr="005844A5" w:rsidRDefault="005844A5" w:rsidP="007D3AA7">
      <w:pPr>
        <w:spacing w:after="0" w:line="240" w:lineRule="auto"/>
        <w:ind w:firstLine="426"/>
        <w:jc w:val="both"/>
        <w:rPr>
          <w:rFonts w:ascii="Times New Roman" w:hAnsi="Times New Roman"/>
          <w:sz w:val="28"/>
          <w:szCs w:val="28"/>
        </w:rPr>
      </w:pPr>
      <w:r w:rsidRPr="005844A5">
        <w:rPr>
          <w:rFonts w:ascii="Times New Roman" w:hAnsi="Times New Roman"/>
          <w:spacing w:val="6"/>
          <w:sz w:val="28"/>
          <w:szCs w:val="28"/>
        </w:rPr>
        <w:t xml:space="preserve">Учитывая состояние основных направлений функционирования сферы транспорта республики, </w:t>
      </w:r>
      <w:r w:rsidRPr="005844A5">
        <w:rPr>
          <w:rFonts w:ascii="Times New Roman" w:hAnsi="Times New Roman"/>
          <w:b/>
          <w:i/>
          <w:spacing w:val="6"/>
          <w:sz w:val="28"/>
          <w:szCs w:val="28"/>
        </w:rPr>
        <w:t>государственная политика в области координации и развития транспорта</w:t>
      </w:r>
      <w:r w:rsidRPr="005844A5">
        <w:rPr>
          <w:rFonts w:ascii="Times New Roman" w:hAnsi="Times New Roman"/>
          <w:spacing w:val="6"/>
          <w:sz w:val="28"/>
          <w:szCs w:val="28"/>
        </w:rPr>
        <w:t xml:space="preserve"> </w:t>
      </w:r>
      <w:r w:rsidRPr="005844A5">
        <w:rPr>
          <w:rFonts w:ascii="Times New Roman" w:hAnsi="Times New Roman"/>
          <w:sz w:val="28"/>
          <w:szCs w:val="28"/>
        </w:rPr>
        <w:t>была</w:t>
      </w:r>
      <w:r w:rsidRPr="005844A5">
        <w:rPr>
          <w:rFonts w:ascii="Times New Roman" w:hAnsi="Times New Roman"/>
          <w:spacing w:val="6"/>
          <w:sz w:val="28"/>
          <w:szCs w:val="28"/>
        </w:rPr>
        <w:t xml:space="preserve"> направлена на </w:t>
      </w:r>
      <w:r w:rsidRPr="005844A5">
        <w:rPr>
          <w:rFonts w:ascii="Times New Roman" w:hAnsi="Times New Roman"/>
          <w:sz w:val="28"/>
          <w:szCs w:val="28"/>
        </w:rPr>
        <w:t>улучшение качества обслуживания пассажиров, расширение спектра предоставляемых услуг, снижение уровня износа имеющегося парка машин и оборудования, а также на рациональное использование средств республиканского бюджета при финансировании льготных категорий граждан</w:t>
      </w:r>
      <w:r w:rsidRPr="005844A5">
        <w:rPr>
          <w:rFonts w:ascii="Times New Roman" w:hAnsi="Times New Roman"/>
          <w:spacing w:val="6"/>
          <w:sz w:val="28"/>
          <w:szCs w:val="28"/>
        </w:rPr>
        <w:t xml:space="preserve">. По итогам 2018 года число льготных пассажиров составило 435 284 человек, а общая сумма предоставленных льгот достигла 3 755,5 тыс. руб. в стоимостном </w:t>
      </w:r>
      <w:r w:rsidRPr="005844A5">
        <w:rPr>
          <w:rFonts w:ascii="Times New Roman" w:hAnsi="Times New Roman"/>
          <w:spacing w:val="6"/>
          <w:sz w:val="28"/>
          <w:szCs w:val="28"/>
        </w:rPr>
        <w:lastRenderedPageBreak/>
        <w:t xml:space="preserve">выражении. </w:t>
      </w:r>
      <w:r w:rsidRPr="005844A5">
        <w:rPr>
          <w:rFonts w:ascii="Times New Roman" w:hAnsi="Times New Roman"/>
          <w:sz w:val="28"/>
          <w:szCs w:val="28"/>
        </w:rPr>
        <w:t>В целях проведения контроля корректности предоставления транспортными организациями сумм потерь от перевозки льготных категорий граждан, представляемых к возмещению из средств Республиканского бюджета, профильным ведомством проводится аналитический учет информации об объемах оказанных услуг организациями-перевозчиками.</w:t>
      </w:r>
    </w:p>
    <w:p w:rsidR="005844A5" w:rsidRPr="005844A5" w:rsidRDefault="005844A5" w:rsidP="007D3AA7">
      <w:pPr>
        <w:spacing w:after="0" w:line="240" w:lineRule="auto"/>
        <w:ind w:firstLine="426"/>
        <w:jc w:val="both"/>
        <w:rPr>
          <w:rFonts w:ascii="Times New Roman" w:hAnsi="Times New Roman"/>
          <w:sz w:val="28"/>
          <w:szCs w:val="28"/>
        </w:rPr>
      </w:pPr>
      <w:r w:rsidRPr="005844A5">
        <w:rPr>
          <w:rFonts w:ascii="Times New Roman" w:hAnsi="Times New Roman"/>
          <w:sz w:val="28"/>
          <w:szCs w:val="28"/>
        </w:rPr>
        <w:t xml:space="preserve">Таким образом, </w:t>
      </w:r>
      <w:r w:rsidR="00D84445">
        <w:rPr>
          <w:rFonts w:ascii="Times New Roman" w:hAnsi="Times New Roman"/>
          <w:sz w:val="28"/>
          <w:szCs w:val="28"/>
        </w:rPr>
        <w:t xml:space="preserve">с одной стороны, </w:t>
      </w:r>
      <w:r w:rsidRPr="005844A5">
        <w:rPr>
          <w:rFonts w:ascii="Times New Roman" w:hAnsi="Times New Roman"/>
          <w:sz w:val="28"/>
          <w:szCs w:val="28"/>
        </w:rPr>
        <w:t xml:space="preserve">сохранение барьеров в отношении отечественных хозяйствующих субъектов, </w:t>
      </w:r>
      <w:r w:rsidR="00D84445">
        <w:rPr>
          <w:rFonts w:ascii="Times New Roman" w:hAnsi="Times New Roman"/>
          <w:sz w:val="28"/>
          <w:szCs w:val="28"/>
        </w:rPr>
        <w:t>вследствие неурегулированности</w:t>
      </w:r>
      <w:r w:rsidRPr="005844A5">
        <w:rPr>
          <w:rFonts w:ascii="Times New Roman" w:hAnsi="Times New Roman"/>
          <w:sz w:val="28"/>
          <w:szCs w:val="28"/>
        </w:rPr>
        <w:t xml:space="preserve"> признания разрешительных документов при осуществлении перевозок пассажиров, багажа и прочих грузов, несмотря на инициирование приднестровской стороной </w:t>
      </w:r>
      <w:r w:rsidRPr="005844A5">
        <w:rPr>
          <w:rFonts w:ascii="Times New Roman" w:hAnsi="Times New Roman"/>
          <w:sz w:val="28"/>
          <w:szCs w:val="28"/>
          <w:shd w:val="clear" w:color="auto" w:fill="FFFFFF"/>
        </w:rPr>
        <w:t>переговоров об участии в международном движении транспортных средств приднестровских компаний, осуществляющих грузопассажирские перевозки,</w:t>
      </w:r>
      <w:r w:rsidR="00D84445">
        <w:rPr>
          <w:rFonts w:ascii="Times New Roman" w:hAnsi="Times New Roman"/>
          <w:sz w:val="28"/>
          <w:szCs w:val="28"/>
          <w:shd w:val="clear" w:color="auto" w:fill="FFFFFF"/>
        </w:rPr>
        <w:t xml:space="preserve"> с другой стороны,</w:t>
      </w:r>
      <w:r w:rsidRPr="005844A5">
        <w:rPr>
          <w:rFonts w:ascii="Times New Roman" w:hAnsi="Times New Roman"/>
          <w:color w:val="000000"/>
          <w:sz w:val="28"/>
          <w:szCs w:val="28"/>
          <w:shd w:val="clear" w:color="auto" w:fill="FFFFFF"/>
        </w:rPr>
        <w:t xml:space="preserve"> </w:t>
      </w:r>
      <w:r w:rsidRPr="005844A5">
        <w:rPr>
          <w:rFonts w:ascii="Times New Roman" w:hAnsi="Times New Roman"/>
          <w:bCs/>
          <w:sz w:val="28"/>
          <w:szCs w:val="28"/>
          <w:shd w:val="clear" w:color="auto" w:fill="FFFFFF"/>
        </w:rPr>
        <w:t>реализация мер по сдаче в аренду железнодорожных локомотивов, выдача нейтральных номерных знаков и свидетельств о регистрации приднестровским автолюбителям п</w:t>
      </w:r>
      <w:r w:rsidRPr="005844A5">
        <w:rPr>
          <w:rFonts w:ascii="Times New Roman" w:hAnsi="Times New Roman"/>
          <w:color w:val="000000"/>
          <w:sz w:val="28"/>
          <w:szCs w:val="28"/>
          <w:shd w:val="clear" w:color="auto" w:fill="FFFFFF"/>
        </w:rPr>
        <w:t>унктами регистрации транспортных средств в Тирасполе и Рыбнице</w:t>
      </w:r>
      <w:r w:rsidRPr="005844A5">
        <w:rPr>
          <w:rFonts w:ascii="Times New Roman" w:hAnsi="Times New Roman"/>
          <w:bCs/>
          <w:sz w:val="28"/>
          <w:szCs w:val="28"/>
          <w:shd w:val="clear" w:color="auto" w:fill="FFFFFF"/>
        </w:rPr>
        <w:t>, а также предпринимаемые на государственном уровне меры по улучшению функционирования сферы транспорта являлись основополагающими</w:t>
      </w:r>
      <w:r w:rsidRPr="005844A5">
        <w:rPr>
          <w:rFonts w:ascii="Times New Roman" w:hAnsi="Times New Roman"/>
          <w:sz w:val="28"/>
          <w:szCs w:val="28"/>
        </w:rPr>
        <w:t xml:space="preserve"> факторами, </w:t>
      </w:r>
      <w:r w:rsidR="00D84445">
        <w:rPr>
          <w:rFonts w:ascii="Times New Roman" w:hAnsi="Times New Roman"/>
          <w:sz w:val="28"/>
          <w:szCs w:val="28"/>
        </w:rPr>
        <w:t>воздействующими на</w:t>
      </w:r>
      <w:r w:rsidRPr="005844A5">
        <w:rPr>
          <w:rFonts w:ascii="Times New Roman" w:hAnsi="Times New Roman"/>
          <w:sz w:val="28"/>
          <w:szCs w:val="28"/>
        </w:rPr>
        <w:t xml:space="preserve"> развитие транспортной отрасли в 2018 году.</w:t>
      </w:r>
    </w:p>
    <w:p w:rsidR="0094410B" w:rsidRPr="0094410B" w:rsidRDefault="0094410B" w:rsidP="007D3AA7">
      <w:pPr>
        <w:spacing w:after="0" w:line="240" w:lineRule="auto"/>
        <w:ind w:firstLine="426"/>
        <w:rPr>
          <w:rFonts w:ascii="Times New Roman" w:hAnsi="Times New Roman"/>
          <w:sz w:val="28"/>
          <w:szCs w:val="28"/>
        </w:rPr>
      </w:pPr>
    </w:p>
    <w:p w:rsidR="00E11A98" w:rsidRPr="00EA3160" w:rsidRDefault="00E11A98" w:rsidP="00E11A98">
      <w:pPr>
        <w:widowControl w:val="0"/>
        <w:autoSpaceDE w:val="0"/>
        <w:autoSpaceDN w:val="0"/>
        <w:adjustRightInd w:val="0"/>
        <w:spacing w:after="0" w:line="240" w:lineRule="auto"/>
        <w:ind w:firstLine="426"/>
        <w:jc w:val="both"/>
        <w:rPr>
          <w:rFonts w:ascii="Times New Roman" w:hAnsi="Times New Roman"/>
          <w:b/>
          <w:sz w:val="28"/>
          <w:szCs w:val="28"/>
        </w:rPr>
      </w:pPr>
      <w:r w:rsidRPr="00EA3160">
        <w:rPr>
          <w:rFonts w:ascii="Times New Roman" w:hAnsi="Times New Roman"/>
          <w:b/>
          <w:sz w:val="28"/>
          <w:szCs w:val="28"/>
        </w:rPr>
        <w:t>Связь</w:t>
      </w:r>
    </w:p>
    <w:p w:rsidR="00E11A98" w:rsidRDefault="00E11A98" w:rsidP="00E11A98">
      <w:pPr>
        <w:pStyle w:val="ae"/>
        <w:ind w:firstLine="426"/>
        <w:jc w:val="left"/>
        <w:rPr>
          <w:b/>
          <w:szCs w:val="28"/>
        </w:rPr>
      </w:pPr>
    </w:p>
    <w:p w:rsidR="00E11A98" w:rsidRPr="007860E9" w:rsidRDefault="00E11A98" w:rsidP="00E11A98">
      <w:pPr>
        <w:pStyle w:val="ae"/>
        <w:ind w:firstLine="426"/>
        <w:rPr>
          <w:szCs w:val="28"/>
        </w:rPr>
      </w:pPr>
      <w:r>
        <w:rPr>
          <w:szCs w:val="28"/>
        </w:rPr>
        <w:t>Связь является стратегически</w:t>
      </w:r>
      <w:r w:rsidR="00E94050">
        <w:rPr>
          <w:szCs w:val="28"/>
        </w:rPr>
        <w:t>м</w:t>
      </w:r>
      <w:r>
        <w:rPr>
          <w:szCs w:val="28"/>
        </w:rPr>
        <w:t xml:space="preserve"> фундаментом функционирования </w:t>
      </w:r>
      <w:r w:rsidRPr="00BF292C">
        <w:rPr>
          <w:szCs w:val="28"/>
        </w:rPr>
        <w:t xml:space="preserve">как социальной, так и </w:t>
      </w:r>
      <w:r w:rsidRPr="00AD56BE">
        <w:rPr>
          <w:szCs w:val="28"/>
        </w:rPr>
        <w:t xml:space="preserve">производственной инфраструктуры государства. </w:t>
      </w:r>
      <w:r w:rsidR="00E94050">
        <w:rPr>
          <w:szCs w:val="28"/>
        </w:rPr>
        <w:t>У</w:t>
      </w:r>
      <w:r w:rsidRPr="00AD56BE">
        <w:rPr>
          <w:szCs w:val="28"/>
        </w:rPr>
        <w:t>скоренно</w:t>
      </w:r>
      <w:r w:rsidR="00E94050">
        <w:rPr>
          <w:szCs w:val="28"/>
        </w:rPr>
        <w:t>е</w:t>
      </w:r>
      <w:r w:rsidRPr="00AD56BE">
        <w:rPr>
          <w:szCs w:val="28"/>
        </w:rPr>
        <w:t xml:space="preserve"> развити</w:t>
      </w:r>
      <w:r w:rsidR="00E94050">
        <w:rPr>
          <w:szCs w:val="28"/>
        </w:rPr>
        <w:t>е</w:t>
      </w:r>
      <w:r w:rsidRPr="00AD56BE">
        <w:rPr>
          <w:szCs w:val="28"/>
        </w:rPr>
        <w:t xml:space="preserve"> как традиционных, так и новых видов связи приобретает </w:t>
      </w:r>
      <w:r>
        <w:rPr>
          <w:szCs w:val="28"/>
        </w:rPr>
        <w:t xml:space="preserve">важнейшее </w:t>
      </w:r>
      <w:r w:rsidRPr="00AD56BE">
        <w:rPr>
          <w:szCs w:val="28"/>
        </w:rPr>
        <w:t xml:space="preserve">значение </w:t>
      </w:r>
      <w:r>
        <w:rPr>
          <w:szCs w:val="28"/>
        </w:rPr>
        <w:t>в</w:t>
      </w:r>
      <w:r w:rsidRPr="00AD56BE">
        <w:rPr>
          <w:szCs w:val="28"/>
        </w:rPr>
        <w:t xml:space="preserve"> повышени</w:t>
      </w:r>
      <w:r>
        <w:rPr>
          <w:szCs w:val="28"/>
        </w:rPr>
        <w:t>и</w:t>
      </w:r>
      <w:r w:rsidRPr="00AD56BE">
        <w:rPr>
          <w:szCs w:val="28"/>
        </w:rPr>
        <w:t xml:space="preserve"> эффективности общественного производства и решения социальных задач.</w:t>
      </w:r>
      <w:r w:rsidRPr="00323D7E">
        <w:rPr>
          <w:szCs w:val="28"/>
        </w:rPr>
        <w:t xml:space="preserve"> </w:t>
      </w:r>
      <w:r>
        <w:rPr>
          <w:szCs w:val="28"/>
        </w:rPr>
        <w:t xml:space="preserve">Учитывая данный факт, в 2018 году в сфере информационных технологий на территории республики </w:t>
      </w:r>
      <w:r w:rsidRPr="007860E9">
        <w:rPr>
          <w:szCs w:val="28"/>
        </w:rPr>
        <w:t>был осуществлен ввод в опытную эксплуатацию государственных информационных систем, входящих в единый комплекс информационно-технологических элементов, обеспечивающих взаимодействие государственных информационных систем, используемых для предоставления государственных услуг в электронной форме</w:t>
      </w:r>
      <w:r>
        <w:rPr>
          <w:szCs w:val="28"/>
        </w:rPr>
        <w:t>, а именно:</w:t>
      </w:r>
      <w:r w:rsidRPr="007860E9">
        <w:rPr>
          <w:szCs w:val="28"/>
        </w:rPr>
        <w:t xml:space="preserve"> «Портал государственных услуг Приднестровской Молдавской Республики», «Единый реестр государственных услуг», «Система межведомственного обмена данными», «Сеть передачи данных межведомственного электронного взаимодействия Приднестровской Молдавской Республики», «Межведомственный электронный документооборот», «Корневой удостоверяющий центр Приднестровской Молдавской Республики».</w:t>
      </w:r>
    </w:p>
    <w:p w:rsidR="00E11A98" w:rsidRDefault="00E11A98" w:rsidP="00E11A98">
      <w:pPr>
        <w:pStyle w:val="ae"/>
        <w:ind w:firstLine="426"/>
        <w:rPr>
          <w:szCs w:val="28"/>
        </w:rPr>
      </w:pPr>
      <w:r>
        <w:rPr>
          <w:szCs w:val="28"/>
        </w:rPr>
        <w:t>Введение</w:t>
      </w:r>
      <w:r w:rsidRPr="008C6FE9">
        <w:rPr>
          <w:szCs w:val="28"/>
        </w:rPr>
        <w:t xml:space="preserve"> в опытную эксплуатацию государственной информационной системы «Портал государственных услуг Приднестровской Молдавской Республики» позволил</w:t>
      </w:r>
      <w:r>
        <w:rPr>
          <w:szCs w:val="28"/>
        </w:rPr>
        <w:t>о</w:t>
      </w:r>
      <w:r w:rsidRPr="008C6FE9">
        <w:rPr>
          <w:szCs w:val="28"/>
        </w:rPr>
        <w:t xml:space="preserve"> физическим и юридическим лицам получать информацию о порядке предоставления государственных услуг, а также получать отдельные государственные услуги в электронной форме</w:t>
      </w:r>
      <w:r>
        <w:rPr>
          <w:szCs w:val="28"/>
        </w:rPr>
        <w:t xml:space="preserve">. Так, по состоянию на 1 января 2019 года количество заказанных государственных услуг составило 1 164 единиц, из которых 769 - платных, 395 - бесплатных. На протяжении 2018 года из общего числа заказанных государственных услуг </w:t>
      </w:r>
      <w:r>
        <w:rPr>
          <w:szCs w:val="28"/>
        </w:rPr>
        <w:lastRenderedPageBreak/>
        <w:t>оказано 696 услуг, из которых 359 - платных, 337 – бесплатных. Также было зарегистрировано 1 505 физических лиц и 62 юридических лица.</w:t>
      </w:r>
    </w:p>
    <w:p w:rsidR="00E11A98" w:rsidRPr="007860E9" w:rsidRDefault="00E11A98" w:rsidP="00E11A98">
      <w:pPr>
        <w:pStyle w:val="ae"/>
        <w:ind w:firstLine="426"/>
        <w:rPr>
          <w:szCs w:val="28"/>
        </w:rPr>
      </w:pPr>
      <w:r w:rsidRPr="00B35B95">
        <w:rPr>
          <w:szCs w:val="28"/>
        </w:rPr>
        <w:t>Внедрение «Системы межведомственного обмена данными» позволило органам государственной власти, местного самоуправления, а также организациям, участвующим в предоставлении государственных услуг, решать задачи, направленные на упрощение процедур получения юридическими и физическими лицами (в том числе индивидуальными предпринимателями) государственных услуг. Данная система осуществляет межведомственный обмен информацией, содержащейся в базах данных органов государственной власти, органов местного самоуправления, а также организаций, участвующих в предоставлении государственных услуг, формирование единых государственных реестров Приднестровской Молдавской Республики и формирование государственных информационных систем по принципу одного окна.</w:t>
      </w:r>
    </w:p>
    <w:p w:rsidR="00E11A98" w:rsidRDefault="00E11A98" w:rsidP="00E11A98">
      <w:pPr>
        <w:spacing w:after="0" w:line="240" w:lineRule="auto"/>
        <w:ind w:firstLine="426"/>
        <w:jc w:val="both"/>
        <w:rPr>
          <w:rFonts w:ascii="Times New Roman" w:hAnsi="Times New Roman"/>
          <w:sz w:val="28"/>
          <w:szCs w:val="28"/>
        </w:rPr>
      </w:pPr>
      <w:r>
        <w:rPr>
          <w:rFonts w:ascii="Times New Roman" w:hAnsi="Times New Roman"/>
          <w:sz w:val="28"/>
          <w:szCs w:val="28"/>
        </w:rPr>
        <w:t xml:space="preserve">В соответствии с </w:t>
      </w:r>
      <w:r w:rsidRPr="00EA3160">
        <w:rPr>
          <w:rFonts w:ascii="Times New Roman" w:hAnsi="Times New Roman"/>
          <w:sz w:val="28"/>
          <w:szCs w:val="28"/>
        </w:rPr>
        <w:t>данным</w:t>
      </w:r>
      <w:r>
        <w:rPr>
          <w:rFonts w:ascii="Times New Roman" w:hAnsi="Times New Roman"/>
          <w:sz w:val="28"/>
          <w:szCs w:val="28"/>
        </w:rPr>
        <w:t>и</w:t>
      </w:r>
      <w:r w:rsidRPr="00EA3160">
        <w:rPr>
          <w:rFonts w:ascii="Times New Roman" w:hAnsi="Times New Roman"/>
          <w:sz w:val="28"/>
          <w:szCs w:val="28"/>
        </w:rPr>
        <w:t xml:space="preserve"> Государственной службы связи ПМР</w:t>
      </w:r>
      <w:r>
        <w:rPr>
          <w:rFonts w:ascii="Times New Roman" w:hAnsi="Times New Roman"/>
          <w:sz w:val="28"/>
          <w:szCs w:val="28"/>
        </w:rPr>
        <w:t>,</w:t>
      </w:r>
      <w:r w:rsidRPr="00EA3160">
        <w:rPr>
          <w:rFonts w:ascii="Times New Roman" w:hAnsi="Times New Roman"/>
          <w:sz w:val="28"/>
          <w:szCs w:val="28"/>
        </w:rPr>
        <w:t xml:space="preserve"> совокупный доход от основной деятельности организаций, предоставляющих услуги связи, сложился в размере </w:t>
      </w:r>
      <w:r>
        <w:rPr>
          <w:rFonts w:ascii="Times New Roman" w:hAnsi="Times New Roman"/>
          <w:sz w:val="28"/>
          <w:szCs w:val="28"/>
        </w:rPr>
        <w:t>768,9</w:t>
      </w:r>
      <w:r w:rsidRPr="00EA3160">
        <w:rPr>
          <w:rFonts w:ascii="Times New Roman" w:hAnsi="Times New Roman"/>
          <w:sz w:val="28"/>
          <w:szCs w:val="28"/>
        </w:rPr>
        <w:t xml:space="preserve"> млн руб., </w:t>
      </w:r>
      <w:r>
        <w:rPr>
          <w:rFonts w:ascii="Times New Roman" w:hAnsi="Times New Roman"/>
          <w:sz w:val="28"/>
          <w:szCs w:val="28"/>
        </w:rPr>
        <w:t xml:space="preserve">превысив прошлогодний уровень </w:t>
      </w:r>
      <w:r w:rsidRPr="00EA3160">
        <w:rPr>
          <w:rFonts w:ascii="Times New Roman" w:hAnsi="Times New Roman"/>
          <w:sz w:val="28"/>
          <w:szCs w:val="28"/>
        </w:rPr>
        <w:t xml:space="preserve">на </w:t>
      </w:r>
      <w:r>
        <w:rPr>
          <w:rFonts w:ascii="Times New Roman" w:hAnsi="Times New Roman"/>
          <w:sz w:val="28"/>
          <w:szCs w:val="28"/>
        </w:rPr>
        <w:t>6,2</w:t>
      </w:r>
      <w:r w:rsidRPr="00EA3160">
        <w:rPr>
          <w:rFonts w:ascii="Times New Roman" w:hAnsi="Times New Roman"/>
          <w:sz w:val="28"/>
          <w:szCs w:val="28"/>
        </w:rPr>
        <w:t xml:space="preserve">%. </w:t>
      </w:r>
      <w:r>
        <w:rPr>
          <w:rFonts w:ascii="Times New Roman" w:hAnsi="Times New Roman"/>
          <w:sz w:val="28"/>
          <w:szCs w:val="28"/>
        </w:rPr>
        <w:t>В структуре совокупного дохода н</w:t>
      </w:r>
      <w:r w:rsidRPr="00E560B0">
        <w:rPr>
          <w:rFonts w:ascii="Times New Roman" w:hAnsi="Times New Roman"/>
          <w:sz w:val="28"/>
          <w:szCs w:val="28"/>
        </w:rPr>
        <w:t>а услуги электросвязи (телекоммуникации)</w:t>
      </w:r>
      <w:r>
        <w:rPr>
          <w:rFonts w:ascii="Times New Roman" w:hAnsi="Times New Roman"/>
          <w:sz w:val="28"/>
          <w:szCs w:val="28"/>
        </w:rPr>
        <w:t xml:space="preserve"> приходится 99,3% всего дохода, или 763,7</w:t>
      </w:r>
      <w:r w:rsidRPr="00E560B0">
        <w:rPr>
          <w:rFonts w:ascii="Times New Roman" w:hAnsi="Times New Roman"/>
          <w:sz w:val="28"/>
          <w:szCs w:val="28"/>
        </w:rPr>
        <w:t xml:space="preserve"> млн руб.</w:t>
      </w:r>
      <w:r>
        <w:rPr>
          <w:rFonts w:ascii="Times New Roman" w:hAnsi="Times New Roman"/>
          <w:sz w:val="28"/>
          <w:szCs w:val="28"/>
        </w:rPr>
        <w:t xml:space="preserve"> (+</w:t>
      </w:r>
      <w:r w:rsidR="00E94050">
        <w:rPr>
          <w:rFonts w:ascii="Times New Roman" w:hAnsi="Times New Roman"/>
          <w:sz w:val="28"/>
          <w:szCs w:val="28"/>
        </w:rPr>
        <w:t>6</w:t>
      </w:r>
      <w:r>
        <w:rPr>
          <w:rFonts w:ascii="Times New Roman" w:hAnsi="Times New Roman"/>
          <w:sz w:val="28"/>
          <w:szCs w:val="28"/>
        </w:rPr>
        <w:t xml:space="preserve">,3% к уровню 2017 года), тогда как на </w:t>
      </w:r>
      <w:r w:rsidRPr="00E560B0">
        <w:rPr>
          <w:rFonts w:ascii="Times New Roman" w:hAnsi="Times New Roman"/>
          <w:sz w:val="28"/>
          <w:szCs w:val="28"/>
        </w:rPr>
        <w:t xml:space="preserve">доходы, </w:t>
      </w:r>
      <w:r>
        <w:rPr>
          <w:rFonts w:ascii="Times New Roman" w:hAnsi="Times New Roman"/>
          <w:sz w:val="28"/>
          <w:szCs w:val="28"/>
        </w:rPr>
        <w:t xml:space="preserve">полученные </w:t>
      </w:r>
      <w:r w:rsidRPr="00E560B0">
        <w:rPr>
          <w:rFonts w:ascii="Times New Roman" w:hAnsi="Times New Roman"/>
          <w:sz w:val="28"/>
          <w:szCs w:val="28"/>
        </w:rPr>
        <w:t>от услуг предоставления почтовой связи</w:t>
      </w:r>
      <w:r>
        <w:rPr>
          <w:rFonts w:ascii="Times New Roman" w:hAnsi="Times New Roman"/>
          <w:sz w:val="28"/>
          <w:szCs w:val="28"/>
        </w:rPr>
        <w:t>,</w:t>
      </w:r>
      <w:r w:rsidRPr="00E560B0">
        <w:rPr>
          <w:rFonts w:ascii="Times New Roman" w:hAnsi="Times New Roman"/>
          <w:sz w:val="28"/>
          <w:szCs w:val="28"/>
        </w:rPr>
        <w:t xml:space="preserve"> </w:t>
      </w:r>
      <w:r>
        <w:rPr>
          <w:rFonts w:ascii="Times New Roman" w:hAnsi="Times New Roman"/>
          <w:sz w:val="28"/>
          <w:szCs w:val="28"/>
        </w:rPr>
        <w:t>приходится лишь 0,7</w:t>
      </w:r>
      <w:r w:rsidRPr="00E560B0">
        <w:rPr>
          <w:rFonts w:ascii="Times New Roman" w:hAnsi="Times New Roman"/>
          <w:sz w:val="28"/>
          <w:szCs w:val="28"/>
        </w:rPr>
        <w:t xml:space="preserve">%, или </w:t>
      </w:r>
      <w:r>
        <w:rPr>
          <w:rFonts w:ascii="Times New Roman" w:hAnsi="Times New Roman"/>
          <w:sz w:val="28"/>
          <w:szCs w:val="28"/>
        </w:rPr>
        <w:t>5,2</w:t>
      </w:r>
      <w:r w:rsidRPr="00E560B0">
        <w:rPr>
          <w:rFonts w:ascii="Times New Roman" w:hAnsi="Times New Roman"/>
          <w:sz w:val="28"/>
          <w:szCs w:val="28"/>
        </w:rPr>
        <w:t xml:space="preserve"> млн руб</w:t>
      </w:r>
      <w:r>
        <w:rPr>
          <w:rFonts w:ascii="Times New Roman" w:hAnsi="Times New Roman"/>
          <w:sz w:val="28"/>
          <w:szCs w:val="28"/>
        </w:rPr>
        <w:t>. (-4,9%).</w:t>
      </w:r>
    </w:p>
    <w:p w:rsidR="00E11A98" w:rsidRDefault="00E11A98" w:rsidP="00E11A98">
      <w:pPr>
        <w:spacing w:after="0" w:line="240" w:lineRule="auto"/>
        <w:ind w:firstLine="426"/>
        <w:jc w:val="both"/>
        <w:rPr>
          <w:rFonts w:ascii="Times New Roman" w:hAnsi="Times New Roman"/>
          <w:sz w:val="28"/>
          <w:szCs w:val="28"/>
        </w:rPr>
      </w:pPr>
      <w:r>
        <w:rPr>
          <w:rFonts w:ascii="Times New Roman" w:hAnsi="Times New Roman"/>
          <w:sz w:val="28"/>
          <w:szCs w:val="28"/>
        </w:rPr>
        <w:t>По итогам 2018 года в составе дохода от предоставления услуг</w:t>
      </w:r>
      <w:r w:rsidRPr="00E560B0">
        <w:rPr>
          <w:rFonts w:ascii="Times New Roman" w:hAnsi="Times New Roman"/>
          <w:sz w:val="28"/>
          <w:szCs w:val="28"/>
        </w:rPr>
        <w:t xml:space="preserve"> электросвязи</w:t>
      </w:r>
      <w:r>
        <w:rPr>
          <w:rFonts w:ascii="Times New Roman" w:hAnsi="Times New Roman"/>
          <w:sz w:val="28"/>
          <w:szCs w:val="28"/>
        </w:rPr>
        <w:t xml:space="preserve"> прирост дохода отмечен от предоставления услуг: по </w:t>
      </w:r>
      <w:r w:rsidRPr="00B93F47">
        <w:rPr>
          <w:rFonts w:ascii="Times New Roman" w:hAnsi="Times New Roman"/>
          <w:sz w:val="28"/>
          <w:szCs w:val="28"/>
        </w:rPr>
        <w:t>передач</w:t>
      </w:r>
      <w:r>
        <w:rPr>
          <w:rFonts w:ascii="Times New Roman" w:hAnsi="Times New Roman"/>
          <w:sz w:val="28"/>
          <w:szCs w:val="28"/>
        </w:rPr>
        <w:t>е</w:t>
      </w:r>
      <w:r w:rsidRPr="00B93F47">
        <w:rPr>
          <w:rFonts w:ascii="Times New Roman" w:hAnsi="Times New Roman"/>
          <w:sz w:val="28"/>
          <w:szCs w:val="28"/>
        </w:rPr>
        <w:t xml:space="preserve"> данных и доступ</w:t>
      </w:r>
      <w:r>
        <w:rPr>
          <w:rFonts w:ascii="Times New Roman" w:hAnsi="Times New Roman"/>
          <w:sz w:val="28"/>
          <w:szCs w:val="28"/>
        </w:rPr>
        <w:t>а</w:t>
      </w:r>
      <w:r w:rsidRPr="00B93F47">
        <w:rPr>
          <w:rFonts w:ascii="Times New Roman" w:hAnsi="Times New Roman"/>
          <w:sz w:val="28"/>
          <w:szCs w:val="28"/>
        </w:rPr>
        <w:t xml:space="preserve"> к глобальной сети Интернет (+</w:t>
      </w:r>
      <w:r>
        <w:rPr>
          <w:rFonts w:ascii="Times New Roman" w:hAnsi="Times New Roman"/>
          <w:sz w:val="28"/>
          <w:szCs w:val="28"/>
        </w:rPr>
        <w:t>6,3</w:t>
      </w:r>
      <w:r w:rsidRPr="00B93F47">
        <w:rPr>
          <w:rFonts w:ascii="Times New Roman" w:hAnsi="Times New Roman"/>
          <w:sz w:val="28"/>
          <w:szCs w:val="28"/>
        </w:rPr>
        <w:t>%), телевизионно</w:t>
      </w:r>
      <w:r>
        <w:rPr>
          <w:rFonts w:ascii="Times New Roman" w:hAnsi="Times New Roman"/>
          <w:sz w:val="28"/>
          <w:szCs w:val="28"/>
        </w:rPr>
        <w:t>го</w:t>
      </w:r>
      <w:r w:rsidRPr="00B93F47">
        <w:rPr>
          <w:rFonts w:ascii="Times New Roman" w:hAnsi="Times New Roman"/>
          <w:sz w:val="28"/>
          <w:szCs w:val="28"/>
        </w:rPr>
        <w:t xml:space="preserve"> вещани</w:t>
      </w:r>
      <w:r>
        <w:rPr>
          <w:rFonts w:ascii="Times New Roman" w:hAnsi="Times New Roman"/>
          <w:sz w:val="28"/>
          <w:szCs w:val="28"/>
        </w:rPr>
        <w:t>я</w:t>
      </w:r>
      <w:r w:rsidRPr="00B93F47">
        <w:rPr>
          <w:rFonts w:ascii="Times New Roman" w:hAnsi="Times New Roman"/>
          <w:sz w:val="28"/>
          <w:szCs w:val="28"/>
        </w:rPr>
        <w:t xml:space="preserve"> (+</w:t>
      </w:r>
      <w:r>
        <w:rPr>
          <w:rFonts w:ascii="Times New Roman" w:hAnsi="Times New Roman"/>
          <w:sz w:val="28"/>
          <w:szCs w:val="28"/>
        </w:rPr>
        <w:t>55,8</w:t>
      </w:r>
      <w:r w:rsidRPr="00B93F47">
        <w:rPr>
          <w:rFonts w:ascii="Times New Roman" w:hAnsi="Times New Roman"/>
          <w:sz w:val="28"/>
          <w:szCs w:val="28"/>
        </w:rPr>
        <w:t>%)</w:t>
      </w:r>
      <w:r>
        <w:rPr>
          <w:rFonts w:ascii="Times New Roman" w:hAnsi="Times New Roman"/>
          <w:sz w:val="28"/>
          <w:szCs w:val="28"/>
        </w:rPr>
        <w:t xml:space="preserve">, </w:t>
      </w:r>
      <w:r w:rsidRPr="005E63BD">
        <w:rPr>
          <w:rFonts w:ascii="Times New Roman" w:hAnsi="Times New Roman"/>
          <w:sz w:val="28"/>
          <w:szCs w:val="28"/>
        </w:rPr>
        <w:t>радиовещания (+12,2%), мобильной связи (+0,1%)</w:t>
      </w:r>
      <w:r w:rsidR="00F30D06">
        <w:rPr>
          <w:rFonts w:ascii="Times New Roman" w:hAnsi="Times New Roman"/>
          <w:sz w:val="28"/>
          <w:szCs w:val="28"/>
        </w:rPr>
        <w:t>,</w:t>
      </w:r>
      <w:r w:rsidRPr="005E63BD">
        <w:rPr>
          <w:rFonts w:ascii="Times New Roman" w:hAnsi="Times New Roman"/>
          <w:sz w:val="28"/>
          <w:szCs w:val="28"/>
        </w:rPr>
        <w:t xml:space="preserve"> тогда как снижение </w:t>
      </w:r>
      <w:r w:rsidR="00E94050" w:rsidRPr="005E63BD">
        <w:rPr>
          <w:rFonts w:ascii="Times New Roman" w:hAnsi="Times New Roman"/>
          <w:sz w:val="28"/>
          <w:szCs w:val="28"/>
        </w:rPr>
        <w:t>дохода отмечено</w:t>
      </w:r>
      <w:r w:rsidRPr="005E63BD">
        <w:rPr>
          <w:rFonts w:ascii="Times New Roman" w:hAnsi="Times New Roman"/>
          <w:sz w:val="28"/>
          <w:szCs w:val="28"/>
        </w:rPr>
        <w:t xml:space="preserve"> от предоставления услуг фиксированной телефонной связи (-7,7%) (рис. </w:t>
      </w:r>
      <w:r w:rsidR="005E63BD" w:rsidRPr="005E63BD">
        <w:rPr>
          <w:rFonts w:ascii="Times New Roman" w:hAnsi="Times New Roman"/>
          <w:sz w:val="28"/>
          <w:szCs w:val="28"/>
        </w:rPr>
        <w:t>12</w:t>
      </w:r>
      <w:r w:rsidRPr="005E63BD">
        <w:rPr>
          <w:rFonts w:ascii="Times New Roman" w:hAnsi="Times New Roman"/>
          <w:sz w:val="28"/>
          <w:szCs w:val="28"/>
        </w:rPr>
        <w:t>).</w:t>
      </w:r>
    </w:p>
    <w:p w:rsidR="00E11A98" w:rsidRPr="00EA3160" w:rsidRDefault="00E11A98" w:rsidP="00E11A98">
      <w:pPr>
        <w:spacing w:after="0" w:line="240" w:lineRule="auto"/>
        <w:ind w:firstLine="426"/>
        <w:jc w:val="right"/>
        <w:rPr>
          <w:rFonts w:ascii="Times New Roman" w:hAnsi="Times New Roman"/>
          <w:b/>
          <w:i/>
          <w:sz w:val="28"/>
          <w:szCs w:val="28"/>
        </w:rPr>
      </w:pPr>
      <w:r w:rsidRPr="00EA3160">
        <w:rPr>
          <w:rFonts w:ascii="Times New Roman" w:hAnsi="Times New Roman"/>
          <w:b/>
          <w:i/>
          <w:sz w:val="28"/>
          <w:szCs w:val="28"/>
        </w:rPr>
        <w:t xml:space="preserve">Рисунок </w:t>
      </w:r>
      <w:r w:rsidR="005E63BD">
        <w:rPr>
          <w:rFonts w:ascii="Times New Roman" w:hAnsi="Times New Roman"/>
          <w:b/>
          <w:i/>
          <w:sz w:val="28"/>
          <w:szCs w:val="28"/>
        </w:rPr>
        <w:t>12</w:t>
      </w:r>
    </w:p>
    <w:p w:rsidR="00E11A98" w:rsidRPr="00C07388" w:rsidRDefault="00E11A98" w:rsidP="00E11A98">
      <w:pPr>
        <w:spacing w:after="0" w:line="240" w:lineRule="auto"/>
        <w:ind w:right="-1"/>
        <w:jc w:val="both"/>
        <w:rPr>
          <w:rFonts w:ascii="Times New Roman" w:hAnsi="Times New Roman"/>
          <w:sz w:val="10"/>
          <w:szCs w:val="10"/>
        </w:rPr>
      </w:pPr>
      <w:r w:rsidRPr="00FB1E29">
        <w:rPr>
          <w:rFonts w:ascii="Times New Roman" w:hAnsi="Times New Roman"/>
          <w:noProof/>
          <w:sz w:val="24"/>
          <w:szCs w:val="24"/>
        </w:rPr>
        <w:drawing>
          <wp:inline distT="0" distB="0" distL="0" distR="0">
            <wp:extent cx="6134100" cy="2800350"/>
            <wp:effectExtent l="0" t="0" r="0" b="0"/>
            <wp:docPr id="4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11A98" w:rsidRPr="00EA3160" w:rsidRDefault="00E11A98" w:rsidP="00E11A98">
      <w:pPr>
        <w:spacing w:after="0" w:line="240" w:lineRule="auto"/>
        <w:ind w:right="-1" w:firstLine="426"/>
        <w:jc w:val="both"/>
        <w:rPr>
          <w:rFonts w:ascii="Times New Roman" w:hAnsi="Times New Roman"/>
          <w:bCs/>
          <w:sz w:val="28"/>
          <w:szCs w:val="28"/>
        </w:rPr>
      </w:pPr>
      <w:r>
        <w:rPr>
          <w:rFonts w:ascii="Times New Roman" w:hAnsi="Times New Roman"/>
          <w:sz w:val="28"/>
          <w:szCs w:val="28"/>
        </w:rPr>
        <w:t xml:space="preserve">Основной причиной снижения не только дохода, но и </w:t>
      </w:r>
      <w:r w:rsidRPr="00EA3160">
        <w:rPr>
          <w:rFonts w:ascii="Times New Roman" w:hAnsi="Times New Roman"/>
          <w:sz w:val="28"/>
          <w:szCs w:val="28"/>
        </w:rPr>
        <w:t xml:space="preserve">количества зарегистрированных абонентов </w:t>
      </w:r>
      <w:r w:rsidRPr="00EA3160">
        <w:rPr>
          <w:rFonts w:ascii="Times New Roman" w:hAnsi="Times New Roman"/>
          <w:sz w:val="28"/>
          <w:szCs w:val="28"/>
          <w:u w:val="single"/>
        </w:rPr>
        <w:t>фиксированной электросвязи</w:t>
      </w:r>
      <w:r w:rsidRPr="003D3CD2">
        <w:rPr>
          <w:rFonts w:ascii="Times New Roman" w:hAnsi="Times New Roman"/>
          <w:sz w:val="28"/>
          <w:szCs w:val="28"/>
        </w:rPr>
        <w:t xml:space="preserve"> </w:t>
      </w:r>
      <w:r>
        <w:rPr>
          <w:rFonts w:ascii="Times New Roman" w:hAnsi="Times New Roman"/>
          <w:sz w:val="28"/>
          <w:szCs w:val="28"/>
        </w:rPr>
        <w:t xml:space="preserve">стало смещение </w:t>
      </w:r>
      <w:r w:rsidRPr="000C707B">
        <w:rPr>
          <w:rFonts w:ascii="Times New Roman" w:hAnsi="Times New Roman"/>
          <w:sz w:val="28"/>
          <w:szCs w:val="28"/>
        </w:rPr>
        <w:t>потребительского спроса в сторону наиболее высокотехнологичных услуг на базе IP технологий</w:t>
      </w:r>
      <w:r>
        <w:rPr>
          <w:rFonts w:ascii="Times New Roman" w:hAnsi="Times New Roman"/>
          <w:sz w:val="28"/>
          <w:szCs w:val="28"/>
        </w:rPr>
        <w:t xml:space="preserve">. </w:t>
      </w:r>
      <w:r w:rsidRPr="00EA3160">
        <w:rPr>
          <w:rFonts w:ascii="Times New Roman" w:hAnsi="Times New Roman"/>
          <w:sz w:val="28"/>
          <w:szCs w:val="28"/>
        </w:rPr>
        <w:t xml:space="preserve">Так в </w:t>
      </w:r>
      <w:r>
        <w:rPr>
          <w:rFonts w:ascii="Times New Roman" w:hAnsi="Times New Roman"/>
          <w:sz w:val="28"/>
          <w:szCs w:val="28"/>
        </w:rPr>
        <w:t>2018 году</w:t>
      </w:r>
      <w:r w:rsidRPr="00EA3160">
        <w:rPr>
          <w:rFonts w:ascii="Times New Roman" w:hAnsi="Times New Roman"/>
          <w:sz w:val="28"/>
          <w:szCs w:val="28"/>
        </w:rPr>
        <w:t xml:space="preserve"> общее число абонентов фиксированной </w:t>
      </w:r>
      <w:r w:rsidRPr="00EA3160">
        <w:rPr>
          <w:rFonts w:ascii="Times New Roman" w:hAnsi="Times New Roman"/>
          <w:sz w:val="28"/>
          <w:szCs w:val="28"/>
        </w:rPr>
        <w:lastRenderedPageBreak/>
        <w:t>телефонной связи сократилось к уровню 201</w:t>
      </w:r>
      <w:r>
        <w:rPr>
          <w:rFonts w:ascii="Times New Roman" w:hAnsi="Times New Roman"/>
          <w:sz w:val="28"/>
          <w:szCs w:val="28"/>
        </w:rPr>
        <w:t>7</w:t>
      </w:r>
      <w:r w:rsidRPr="00EA3160">
        <w:rPr>
          <w:rFonts w:ascii="Times New Roman" w:hAnsi="Times New Roman"/>
          <w:sz w:val="28"/>
          <w:szCs w:val="28"/>
        </w:rPr>
        <w:t xml:space="preserve"> года на </w:t>
      </w:r>
      <w:r>
        <w:rPr>
          <w:rFonts w:ascii="Times New Roman" w:hAnsi="Times New Roman"/>
          <w:bCs/>
          <w:sz w:val="28"/>
          <w:szCs w:val="28"/>
        </w:rPr>
        <w:t xml:space="preserve">2 032 абонента </w:t>
      </w:r>
      <w:r w:rsidRPr="00EA3160">
        <w:rPr>
          <w:rFonts w:ascii="Times New Roman" w:hAnsi="Times New Roman"/>
          <w:bCs/>
          <w:sz w:val="28"/>
          <w:szCs w:val="28"/>
        </w:rPr>
        <w:t xml:space="preserve">до </w:t>
      </w:r>
      <w:r w:rsidR="00E94050">
        <w:rPr>
          <w:rFonts w:ascii="Times New Roman" w:hAnsi="Times New Roman"/>
          <w:bCs/>
          <w:sz w:val="28"/>
          <w:szCs w:val="28"/>
        </w:rPr>
        <w:t>182 871</w:t>
      </w:r>
      <w:r w:rsidRPr="00EA3160">
        <w:rPr>
          <w:rFonts w:ascii="Times New Roman" w:hAnsi="Times New Roman"/>
          <w:bCs/>
          <w:sz w:val="28"/>
          <w:szCs w:val="28"/>
        </w:rPr>
        <w:t xml:space="preserve"> абонент</w:t>
      </w:r>
      <w:r w:rsidR="00E94050">
        <w:rPr>
          <w:rFonts w:ascii="Times New Roman" w:hAnsi="Times New Roman"/>
          <w:bCs/>
          <w:sz w:val="28"/>
          <w:szCs w:val="28"/>
        </w:rPr>
        <w:t>ов</w:t>
      </w:r>
      <w:r w:rsidRPr="00EA3160">
        <w:rPr>
          <w:rFonts w:ascii="Times New Roman" w:hAnsi="Times New Roman"/>
          <w:bCs/>
          <w:sz w:val="28"/>
          <w:szCs w:val="28"/>
        </w:rPr>
        <w:t xml:space="preserve">, из которых </w:t>
      </w:r>
      <w:r>
        <w:rPr>
          <w:rFonts w:ascii="Times New Roman" w:hAnsi="Times New Roman"/>
          <w:bCs/>
          <w:sz w:val="28"/>
          <w:szCs w:val="28"/>
        </w:rPr>
        <w:t>168 023</w:t>
      </w:r>
      <w:r w:rsidRPr="00EA3160">
        <w:rPr>
          <w:rFonts w:ascii="Times New Roman" w:hAnsi="Times New Roman"/>
          <w:bCs/>
          <w:sz w:val="28"/>
          <w:szCs w:val="28"/>
        </w:rPr>
        <w:t xml:space="preserve"> – </w:t>
      </w:r>
      <w:r w:rsidRPr="00EA3160">
        <w:rPr>
          <w:rFonts w:ascii="Times New Roman" w:hAnsi="Times New Roman"/>
          <w:sz w:val="28"/>
          <w:szCs w:val="28"/>
        </w:rPr>
        <w:t>физические лица,</w:t>
      </w:r>
      <w:r w:rsidRPr="00EA3160">
        <w:rPr>
          <w:rFonts w:ascii="Times New Roman" w:hAnsi="Times New Roman"/>
          <w:bCs/>
          <w:sz w:val="28"/>
          <w:szCs w:val="28"/>
        </w:rPr>
        <w:t xml:space="preserve"> </w:t>
      </w:r>
      <w:r>
        <w:rPr>
          <w:rFonts w:ascii="Times New Roman" w:hAnsi="Times New Roman"/>
          <w:bCs/>
          <w:sz w:val="28"/>
          <w:szCs w:val="28"/>
        </w:rPr>
        <w:t xml:space="preserve">14 848 </w:t>
      </w:r>
      <w:r w:rsidRPr="00EA3160">
        <w:rPr>
          <w:rFonts w:ascii="Times New Roman" w:hAnsi="Times New Roman"/>
          <w:bCs/>
          <w:sz w:val="28"/>
          <w:szCs w:val="28"/>
        </w:rPr>
        <w:t>– юридические лица.</w:t>
      </w:r>
    </w:p>
    <w:p w:rsidR="00E11A98" w:rsidRPr="00EA3160" w:rsidRDefault="00E11A98" w:rsidP="00E11A98">
      <w:pPr>
        <w:spacing w:after="0" w:line="240" w:lineRule="auto"/>
        <w:ind w:firstLine="426"/>
        <w:contextualSpacing/>
        <w:jc w:val="both"/>
        <w:rPr>
          <w:rFonts w:ascii="Times New Roman" w:hAnsi="Times New Roman"/>
          <w:sz w:val="28"/>
          <w:szCs w:val="28"/>
        </w:rPr>
      </w:pPr>
      <w:r>
        <w:rPr>
          <w:rFonts w:ascii="Times New Roman" w:hAnsi="Times New Roman"/>
          <w:sz w:val="28"/>
          <w:szCs w:val="28"/>
        </w:rPr>
        <w:t xml:space="preserve">В </w:t>
      </w:r>
      <w:r w:rsidRPr="00EA3160">
        <w:rPr>
          <w:rFonts w:ascii="Times New Roman" w:hAnsi="Times New Roman"/>
          <w:sz w:val="28"/>
          <w:szCs w:val="28"/>
        </w:rPr>
        <w:t xml:space="preserve">голосовом исходящем трафике фиксированной телефонной связи </w:t>
      </w:r>
      <w:r>
        <w:rPr>
          <w:rFonts w:ascii="Times New Roman" w:hAnsi="Times New Roman"/>
          <w:sz w:val="28"/>
          <w:szCs w:val="28"/>
        </w:rPr>
        <w:t>н</w:t>
      </w:r>
      <w:r w:rsidRPr="00EA3160">
        <w:rPr>
          <w:rFonts w:ascii="Times New Roman" w:hAnsi="Times New Roman"/>
          <w:sz w:val="28"/>
          <w:szCs w:val="28"/>
        </w:rPr>
        <w:t xml:space="preserve">аибольший удельный вес принадлежит трафику по местной телефонной сети – </w:t>
      </w:r>
      <w:r>
        <w:rPr>
          <w:rFonts w:ascii="Times New Roman" w:hAnsi="Times New Roman"/>
          <w:sz w:val="28"/>
          <w:szCs w:val="28"/>
        </w:rPr>
        <w:t>70,7</w:t>
      </w:r>
      <w:r w:rsidRPr="00EA3160">
        <w:rPr>
          <w:rFonts w:ascii="Times New Roman" w:hAnsi="Times New Roman"/>
          <w:sz w:val="28"/>
          <w:szCs w:val="28"/>
        </w:rPr>
        <w:t xml:space="preserve">%, соединения с абонентами сотовой мобильной связью составляют </w:t>
      </w:r>
      <w:r>
        <w:rPr>
          <w:rFonts w:ascii="Times New Roman" w:hAnsi="Times New Roman"/>
          <w:sz w:val="28"/>
          <w:szCs w:val="28"/>
        </w:rPr>
        <w:t>20,4</w:t>
      </w:r>
      <w:r w:rsidRPr="00EA3160">
        <w:rPr>
          <w:rFonts w:ascii="Times New Roman" w:hAnsi="Times New Roman"/>
          <w:sz w:val="28"/>
          <w:szCs w:val="28"/>
        </w:rPr>
        <w:t>%, трафик к междугородным и международным сетям составляет 6,</w:t>
      </w:r>
      <w:r>
        <w:rPr>
          <w:rFonts w:ascii="Times New Roman" w:hAnsi="Times New Roman"/>
          <w:sz w:val="28"/>
          <w:szCs w:val="28"/>
        </w:rPr>
        <w:t>3</w:t>
      </w:r>
      <w:r w:rsidRPr="00EA3160">
        <w:rPr>
          <w:rFonts w:ascii="Times New Roman" w:hAnsi="Times New Roman"/>
          <w:sz w:val="28"/>
          <w:szCs w:val="28"/>
        </w:rPr>
        <w:t xml:space="preserve">% и </w:t>
      </w:r>
      <w:r>
        <w:rPr>
          <w:rFonts w:ascii="Times New Roman" w:hAnsi="Times New Roman"/>
          <w:sz w:val="28"/>
          <w:szCs w:val="28"/>
        </w:rPr>
        <w:t>2,5</w:t>
      </w:r>
      <w:r w:rsidRPr="00EA3160">
        <w:rPr>
          <w:rFonts w:ascii="Times New Roman" w:hAnsi="Times New Roman"/>
          <w:sz w:val="28"/>
          <w:szCs w:val="28"/>
        </w:rPr>
        <w:t>% соответственно.</w:t>
      </w:r>
    </w:p>
    <w:p w:rsidR="00E11A98" w:rsidRPr="00EA3160" w:rsidRDefault="00E11A98" w:rsidP="00E11A98">
      <w:pPr>
        <w:spacing w:after="0" w:line="240" w:lineRule="auto"/>
        <w:ind w:firstLine="426"/>
        <w:contextualSpacing/>
        <w:jc w:val="both"/>
        <w:rPr>
          <w:rFonts w:ascii="Times New Roman" w:hAnsi="Times New Roman"/>
          <w:sz w:val="28"/>
          <w:szCs w:val="28"/>
        </w:rPr>
      </w:pPr>
      <w:r>
        <w:rPr>
          <w:rFonts w:ascii="Times New Roman" w:hAnsi="Times New Roman"/>
          <w:sz w:val="28"/>
          <w:szCs w:val="28"/>
        </w:rPr>
        <w:t>В 2018 году с</w:t>
      </w:r>
      <w:r w:rsidRPr="00EA3160">
        <w:rPr>
          <w:rFonts w:ascii="Times New Roman" w:hAnsi="Times New Roman"/>
          <w:sz w:val="28"/>
          <w:szCs w:val="28"/>
        </w:rPr>
        <w:t xml:space="preserve">оединения между абонентами местной телефонной сети по сравнению с аналогичным </w:t>
      </w:r>
      <w:r w:rsidR="00F30D06">
        <w:rPr>
          <w:rFonts w:ascii="Times New Roman" w:hAnsi="Times New Roman"/>
          <w:sz w:val="28"/>
          <w:szCs w:val="28"/>
        </w:rPr>
        <w:t>показателем предыдущего</w:t>
      </w:r>
      <w:r w:rsidRPr="00EA3160">
        <w:rPr>
          <w:rFonts w:ascii="Times New Roman" w:hAnsi="Times New Roman"/>
          <w:sz w:val="28"/>
          <w:szCs w:val="28"/>
        </w:rPr>
        <w:t xml:space="preserve"> года уменьшил</w:t>
      </w:r>
      <w:r>
        <w:rPr>
          <w:rFonts w:ascii="Times New Roman" w:hAnsi="Times New Roman"/>
          <w:sz w:val="28"/>
          <w:szCs w:val="28"/>
        </w:rPr>
        <w:t>и</w:t>
      </w:r>
      <w:r w:rsidRPr="00EA3160">
        <w:rPr>
          <w:rFonts w:ascii="Times New Roman" w:hAnsi="Times New Roman"/>
          <w:sz w:val="28"/>
          <w:szCs w:val="28"/>
        </w:rPr>
        <w:t>с</w:t>
      </w:r>
      <w:r>
        <w:rPr>
          <w:rFonts w:ascii="Times New Roman" w:hAnsi="Times New Roman"/>
          <w:sz w:val="28"/>
          <w:szCs w:val="28"/>
        </w:rPr>
        <w:t>ь на 5</w:t>
      </w:r>
      <w:r w:rsidRPr="00EA3160">
        <w:rPr>
          <w:rFonts w:ascii="Times New Roman" w:hAnsi="Times New Roman"/>
          <w:sz w:val="28"/>
          <w:szCs w:val="28"/>
        </w:rPr>
        <w:t>,</w:t>
      </w:r>
      <w:r>
        <w:rPr>
          <w:rFonts w:ascii="Times New Roman" w:hAnsi="Times New Roman"/>
          <w:sz w:val="28"/>
          <w:szCs w:val="28"/>
        </w:rPr>
        <w:t>5</w:t>
      </w:r>
      <w:r w:rsidRPr="00EA3160">
        <w:rPr>
          <w:rFonts w:ascii="Times New Roman" w:hAnsi="Times New Roman"/>
          <w:sz w:val="28"/>
          <w:szCs w:val="28"/>
        </w:rPr>
        <w:t xml:space="preserve">%, составив </w:t>
      </w:r>
      <w:r>
        <w:rPr>
          <w:rFonts w:ascii="Times New Roman" w:hAnsi="Times New Roman"/>
          <w:sz w:val="28"/>
          <w:szCs w:val="28"/>
        </w:rPr>
        <w:t>198 194,0</w:t>
      </w:r>
      <w:r w:rsidRPr="00EA3160">
        <w:rPr>
          <w:rFonts w:ascii="Times New Roman" w:hAnsi="Times New Roman"/>
          <w:sz w:val="28"/>
          <w:szCs w:val="28"/>
        </w:rPr>
        <w:t xml:space="preserve"> тыс. минут. При этом соединения между абонентами местной телефонной сети с абонентами сетей сотовой мобильной связи увеличились на </w:t>
      </w:r>
      <w:r>
        <w:rPr>
          <w:rFonts w:ascii="Times New Roman" w:hAnsi="Times New Roman"/>
          <w:sz w:val="28"/>
          <w:szCs w:val="28"/>
        </w:rPr>
        <w:t>14,1</w:t>
      </w:r>
      <w:r w:rsidRPr="00EA3160">
        <w:rPr>
          <w:rFonts w:ascii="Times New Roman" w:hAnsi="Times New Roman"/>
          <w:sz w:val="28"/>
          <w:szCs w:val="28"/>
        </w:rPr>
        <w:t>% до 5</w:t>
      </w:r>
      <w:r>
        <w:rPr>
          <w:rFonts w:ascii="Times New Roman" w:hAnsi="Times New Roman"/>
          <w:sz w:val="28"/>
          <w:szCs w:val="28"/>
        </w:rPr>
        <w:t>7 135,9</w:t>
      </w:r>
      <w:r w:rsidRPr="00EA3160">
        <w:rPr>
          <w:rFonts w:ascii="Times New Roman" w:hAnsi="Times New Roman"/>
          <w:sz w:val="28"/>
          <w:szCs w:val="28"/>
        </w:rPr>
        <w:t xml:space="preserve"> тыс. минут.</w:t>
      </w:r>
    </w:p>
    <w:p w:rsidR="00E11A98" w:rsidRDefault="00E11A98" w:rsidP="00E11A98">
      <w:pPr>
        <w:spacing w:after="0" w:line="240" w:lineRule="auto"/>
        <w:ind w:firstLine="426"/>
        <w:jc w:val="both"/>
        <w:rPr>
          <w:rFonts w:ascii="Times New Roman" w:hAnsi="Times New Roman"/>
          <w:sz w:val="28"/>
          <w:szCs w:val="28"/>
        </w:rPr>
      </w:pPr>
      <w:r>
        <w:rPr>
          <w:rFonts w:ascii="Times New Roman" w:hAnsi="Times New Roman"/>
          <w:bCs/>
          <w:sz w:val="28"/>
          <w:szCs w:val="28"/>
        </w:rPr>
        <w:t>Фиксируемое число</w:t>
      </w:r>
      <w:r w:rsidRPr="00EA3160">
        <w:rPr>
          <w:rFonts w:ascii="Times New Roman" w:hAnsi="Times New Roman"/>
          <w:bCs/>
          <w:sz w:val="28"/>
          <w:szCs w:val="28"/>
        </w:rPr>
        <w:t xml:space="preserve"> абонентов </w:t>
      </w:r>
      <w:r w:rsidRPr="00EA3160">
        <w:rPr>
          <w:rFonts w:ascii="Times New Roman" w:hAnsi="Times New Roman"/>
          <w:bCs/>
          <w:sz w:val="28"/>
          <w:szCs w:val="28"/>
          <w:u w:val="single"/>
        </w:rPr>
        <w:t>мобильной сотовой связи</w:t>
      </w:r>
      <w:r w:rsidRPr="00EA3160">
        <w:rPr>
          <w:rFonts w:ascii="Times New Roman" w:hAnsi="Times New Roman"/>
          <w:bCs/>
          <w:sz w:val="28"/>
          <w:szCs w:val="28"/>
        </w:rPr>
        <w:t xml:space="preserve"> </w:t>
      </w:r>
      <w:r>
        <w:rPr>
          <w:rFonts w:ascii="Times New Roman" w:hAnsi="Times New Roman"/>
          <w:bCs/>
          <w:sz w:val="28"/>
          <w:szCs w:val="28"/>
        </w:rPr>
        <w:t>увеличилось</w:t>
      </w:r>
      <w:r w:rsidR="00E94050">
        <w:rPr>
          <w:rFonts w:ascii="Times New Roman" w:hAnsi="Times New Roman"/>
          <w:bCs/>
          <w:sz w:val="28"/>
          <w:szCs w:val="28"/>
        </w:rPr>
        <w:t xml:space="preserve"> к уровню 2017 года на </w:t>
      </w:r>
      <w:r>
        <w:rPr>
          <w:rFonts w:ascii="Times New Roman" w:hAnsi="Times New Roman"/>
          <w:bCs/>
          <w:sz w:val="28"/>
          <w:szCs w:val="28"/>
        </w:rPr>
        <w:t>2</w:t>
      </w:r>
      <w:r w:rsidR="001B60F5">
        <w:rPr>
          <w:rFonts w:ascii="Times New Roman" w:hAnsi="Times New Roman"/>
          <w:bCs/>
          <w:sz w:val="28"/>
          <w:szCs w:val="28"/>
        </w:rPr>
        <w:t> </w:t>
      </w:r>
      <w:r>
        <w:rPr>
          <w:rFonts w:ascii="Times New Roman" w:hAnsi="Times New Roman"/>
          <w:bCs/>
          <w:sz w:val="28"/>
          <w:szCs w:val="28"/>
        </w:rPr>
        <w:t>620</w:t>
      </w:r>
      <w:r w:rsidR="001B60F5">
        <w:rPr>
          <w:rFonts w:ascii="Times New Roman" w:hAnsi="Times New Roman"/>
          <w:bCs/>
          <w:sz w:val="28"/>
          <w:szCs w:val="28"/>
        </w:rPr>
        <w:t xml:space="preserve"> до</w:t>
      </w:r>
      <w:r w:rsidRPr="00EA3160">
        <w:rPr>
          <w:rFonts w:ascii="Times New Roman" w:hAnsi="Times New Roman"/>
          <w:bCs/>
          <w:sz w:val="28"/>
          <w:szCs w:val="28"/>
        </w:rPr>
        <w:t xml:space="preserve"> </w:t>
      </w:r>
      <w:r>
        <w:rPr>
          <w:rFonts w:ascii="Times New Roman" w:hAnsi="Times New Roman"/>
          <w:bCs/>
          <w:sz w:val="28"/>
          <w:szCs w:val="28"/>
        </w:rPr>
        <w:t>332 840</w:t>
      </w:r>
      <w:r w:rsidRPr="00EA3160">
        <w:rPr>
          <w:rFonts w:ascii="Times New Roman" w:hAnsi="Times New Roman"/>
          <w:bCs/>
          <w:sz w:val="28"/>
          <w:szCs w:val="28"/>
        </w:rPr>
        <w:t xml:space="preserve"> абонентов. О</w:t>
      </w:r>
      <w:r w:rsidRPr="00EA3160">
        <w:rPr>
          <w:rFonts w:ascii="Times New Roman" w:hAnsi="Times New Roman"/>
          <w:sz w:val="28"/>
          <w:szCs w:val="28"/>
        </w:rPr>
        <w:t xml:space="preserve">бщий объем исходящего голосового трафика в сетях мобильной связи составил </w:t>
      </w:r>
      <w:r>
        <w:rPr>
          <w:rFonts w:ascii="Times New Roman" w:hAnsi="Times New Roman"/>
          <w:sz w:val="28"/>
          <w:szCs w:val="28"/>
        </w:rPr>
        <w:t>353 147,1 тыс. минут</w:t>
      </w:r>
      <w:r w:rsidRPr="00EA3160">
        <w:rPr>
          <w:rFonts w:ascii="Times New Roman" w:hAnsi="Times New Roman"/>
          <w:sz w:val="28"/>
          <w:szCs w:val="28"/>
        </w:rPr>
        <w:t>,</w:t>
      </w:r>
      <w:r>
        <w:rPr>
          <w:rFonts w:ascii="Times New Roman" w:hAnsi="Times New Roman"/>
          <w:sz w:val="28"/>
          <w:szCs w:val="28"/>
        </w:rPr>
        <w:t xml:space="preserve"> превысив </w:t>
      </w:r>
      <w:r w:rsidR="001B60F5">
        <w:rPr>
          <w:rFonts w:ascii="Times New Roman" w:hAnsi="Times New Roman"/>
          <w:sz w:val="28"/>
          <w:szCs w:val="28"/>
        </w:rPr>
        <w:t>базисное</w:t>
      </w:r>
      <w:r>
        <w:rPr>
          <w:rFonts w:ascii="Times New Roman" w:hAnsi="Times New Roman"/>
          <w:sz w:val="28"/>
          <w:szCs w:val="28"/>
        </w:rPr>
        <w:t xml:space="preserve"> значение на 1,7</w:t>
      </w:r>
      <w:r w:rsidRPr="00EA3160">
        <w:rPr>
          <w:rFonts w:ascii="Times New Roman" w:hAnsi="Times New Roman"/>
          <w:sz w:val="28"/>
          <w:szCs w:val="28"/>
        </w:rPr>
        <w:t>%</w:t>
      </w:r>
      <w:r>
        <w:rPr>
          <w:rFonts w:ascii="Times New Roman" w:hAnsi="Times New Roman"/>
          <w:sz w:val="28"/>
          <w:szCs w:val="28"/>
        </w:rPr>
        <w:t>.</w:t>
      </w:r>
      <w:r w:rsidRPr="00EA3160">
        <w:rPr>
          <w:rFonts w:ascii="Times New Roman" w:hAnsi="Times New Roman"/>
          <w:sz w:val="28"/>
          <w:szCs w:val="28"/>
        </w:rPr>
        <w:t xml:space="preserve"> </w:t>
      </w:r>
    </w:p>
    <w:p w:rsidR="00E11A98" w:rsidRPr="00EA3160" w:rsidRDefault="00E11A98" w:rsidP="00E11A98">
      <w:pPr>
        <w:spacing w:after="0" w:line="240" w:lineRule="auto"/>
        <w:ind w:firstLine="426"/>
        <w:jc w:val="both"/>
        <w:rPr>
          <w:rFonts w:ascii="Times New Roman" w:hAnsi="Times New Roman"/>
          <w:sz w:val="28"/>
          <w:szCs w:val="28"/>
        </w:rPr>
      </w:pPr>
      <w:r w:rsidRPr="00EA3160">
        <w:rPr>
          <w:rFonts w:ascii="Times New Roman" w:hAnsi="Times New Roman"/>
          <w:sz w:val="28"/>
          <w:szCs w:val="28"/>
        </w:rPr>
        <w:t>Среднемесячное количество исходящих минут, потребленных одним пользователем в мобильных сетях (показатель MОU)</w:t>
      </w:r>
      <w:r w:rsidR="001B60F5">
        <w:rPr>
          <w:rFonts w:ascii="Times New Roman" w:hAnsi="Times New Roman"/>
          <w:sz w:val="28"/>
          <w:szCs w:val="28"/>
        </w:rPr>
        <w:t>,</w:t>
      </w:r>
      <w:r>
        <w:rPr>
          <w:rFonts w:ascii="Times New Roman" w:hAnsi="Times New Roman"/>
          <w:sz w:val="28"/>
          <w:szCs w:val="28"/>
        </w:rPr>
        <w:t xml:space="preserve"> </w:t>
      </w:r>
      <w:r w:rsidRPr="00EA3160">
        <w:rPr>
          <w:rFonts w:ascii="Times New Roman" w:hAnsi="Times New Roman"/>
          <w:sz w:val="28"/>
          <w:szCs w:val="28"/>
        </w:rPr>
        <w:t>остал</w:t>
      </w:r>
      <w:r>
        <w:rPr>
          <w:rFonts w:ascii="Times New Roman" w:hAnsi="Times New Roman"/>
          <w:sz w:val="28"/>
          <w:szCs w:val="28"/>
        </w:rPr>
        <w:t>ось</w:t>
      </w:r>
      <w:r w:rsidRPr="00EA3160">
        <w:rPr>
          <w:rFonts w:ascii="Times New Roman" w:hAnsi="Times New Roman"/>
          <w:sz w:val="28"/>
          <w:szCs w:val="28"/>
        </w:rPr>
        <w:t xml:space="preserve"> на уровне </w:t>
      </w:r>
      <w:r>
        <w:rPr>
          <w:rFonts w:ascii="Times New Roman" w:hAnsi="Times New Roman"/>
          <w:sz w:val="28"/>
          <w:szCs w:val="28"/>
        </w:rPr>
        <w:t>2017</w:t>
      </w:r>
      <w:r w:rsidR="00434F04">
        <w:rPr>
          <w:rFonts w:ascii="Times New Roman" w:hAnsi="Times New Roman"/>
          <w:sz w:val="28"/>
          <w:szCs w:val="28"/>
        </w:rPr>
        <w:t> </w:t>
      </w:r>
      <w:r w:rsidRPr="00EA3160">
        <w:rPr>
          <w:rFonts w:ascii="Times New Roman" w:hAnsi="Times New Roman"/>
          <w:sz w:val="28"/>
          <w:szCs w:val="28"/>
        </w:rPr>
        <w:t>года, составив 88,0 минут (1,5 часа) в месяц</w:t>
      </w:r>
      <w:r>
        <w:rPr>
          <w:rFonts w:ascii="Times New Roman" w:hAnsi="Times New Roman"/>
          <w:sz w:val="28"/>
          <w:szCs w:val="28"/>
        </w:rPr>
        <w:t>,</w:t>
      </w:r>
      <w:r w:rsidRPr="00EA3160">
        <w:rPr>
          <w:rFonts w:ascii="Times New Roman" w:hAnsi="Times New Roman"/>
          <w:sz w:val="28"/>
          <w:szCs w:val="28"/>
        </w:rPr>
        <w:t xml:space="preserve"> </w:t>
      </w:r>
      <w:r>
        <w:rPr>
          <w:rFonts w:ascii="Times New Roman" w:hAnsi="Times New Roman"/>
          <w:sz w:val="28"/>
          <w:szCs w:val="28"/>
        </w:rPr>
        <w:t>и</w:t>
      </w:r>
      <w:r w:rsidRPr="00EA3160">
        <w:rPr>
          <w:rFonts w:ascii="Times New Roman" w:hAnsi="Times New Roman"/>
          <w:sz w:val="28"/>
          <w:szCs w:val="28"/>
        </w:rPr>
        <w:t xml:space="preserve">з </w:t>
      </w:r>
      <w:r>
        <w:rPr>
          <w:rFonts w:ascii="Times New Roman" w:hAnsi="Times New Roman"/>
          <w:sz w:val="28"/>
          <w:szCs w:val="28"/>
        </w:rPr>
        <w:t>которых</w:t>
      </w:r>
      <w:r w:rsidRPr="00EA3160">
        <w:rPr>
          <w:rFonts w:ascii="Times New Roman" w:hAnsi="Times New Roman"/>
          <w:sz w:val="28"/>
          <w:szCs w:val="28"/>
        </w:rPr>
        <w:t xml:space="preserve"> соединения по территории республики состав</w:t>
      </w:r>
      <w:r w:rsidR="001B60F5">
        <w:rPr>
          <w:rFonts w:ascii="Times New Roman" w:hAnsi="Times New Roman"/>
          <w:sz w:val="28"/>
          <w:szCs w:val="28"/>
        </w:rPr>
        <w:t>или</w:t>
      </w:r>
      <w:r w:rsidRPr="00EA3160">
        <w:rPr>
          <w:rFonts w:ascii="Times New Roman" w:hAnsi="Times New Roman"/>
          <w:sz w:val="28"/>
          <w:szCs w:val="28"/>
        </w:rPr>
        <w:t xml:space="preserve"> 8</w:t>
      </w:r>
      <w:r w:rsidR="00E94050">
        <w:rPr>
          <w:rFonts w:ascii="Times New Roman" w:hAnsi="Times New Roman"/>
          <w:sz w:val="28"/>
          <w:szCs w:val="28"/>
        </w:rPr>
        <w:t>7</w:t>
      </w:r>
      <w:r w:rsidRPr="00EA3160">
        <w:rPr>
          <w:rFonts w:ascii="Times New Roman" w:hAnsi="Times New Roman"/>
          <w:sz w:val="28"/>
          <w:szCs w:val="28"/>
        </w:rPr>
        <w:t xml:space="preserve">,0 минут. </w:t>
      </w:r>
    </w:p>
    <w:p w:rsidR="00E11A98" w:rsidRPr="00EA3160" w:rsidRDefault="00E11A98" w:rsidP="00E11A98">
      <w:pPr>
        <w:spacing w:after="0" w:line="240" w:lineRule="auto"/>
        <w:ind w:firstLine="426"/>
        <w:jc w:val="both"/>
        <w:rPr>
          <w:rFonts w:ascii="Times New Roman" w:hAnsi="Times New Roman"/>
          <w:sz w:val="28"/>
          <w:szCs w:val="28"/>
        </w:rPr>
      </w:pPr>
      <w:r>
        <w:rPr>
          <w:rFonts w:ascii="Times New Roman" w:hAnsi="Times New Roman"/>
          <w:sz w:val="28"/>
          <w:szCs w:val="28"/>
        </w:rPr>
        <w:t>В анализируемом периоде к</w:t>
      </w:r>
      <w:r w:rsidRPr="00EA3160">
        <w:rPr>
          <w:rFonts w:ascii="Times New Roman" w:hAnsi="Times New Roman"/>
          <w:sz w:val="28"/>
          <w:szCs w:val="28"/>
        </w:rPr>
        <w:t>оличество абонентов</w:t>
      </w:r>
      <w:r w:rsidR="001B60F5">
        <w:rPr>
          <w:rFonts w:ascii="Times New Roman" w:hAnsi="Times New Roman"/>
          <w:sz w:val="28"/>
          <w:szCs w:val="28"/>
        </w:rPr>
        <w:t>,</w:t>
      </w:r>
      <w:r w:rsidRPr="00EA3160">
        <w:rPr>
          <w:rFonts w:ascii="Times New Roman" w:hAnsi="Times New Roman"/>
          <w:sz w:val="28"/>
          <w:szCs w:val="28"/>
        </w:rPr>
        <w:t xml:space="preserve"> подключенных к </w:t>
      </w:r>
      <w:r w:rsidRPr="00EA3160">
        <w:rPr>
          <w:rFonts w:ascii="Times New Roman" w:hAnsi="Times New Roman"/>
          <w:sz w:val="28"/>
          <w:szCs w:val="28"/>
          <w:u w:val="single"/>
        </w:rPr>
        <w:t>глобальной сети Интернет</w:t>
      </w:r>
      <w:r w:rsidRPr="00EA3160">
        <w:rPr>
          <w:rFonts w:ascii="Times New Roman" w:hAnsi="Times New Roman"/>
          <w:sz w:val="28"/>
          <w:szCs w:val="28"/>
        </w:rPr>
        <w:t xml:space="preserve"> (кроме сетей мобильной связи)</w:t>
      </w:r>
      <w:r w:rsidR="001B60F5">
        <w:rPr>
          <w:rFonts w:ascii="Times New Roman" w:hAnsi="Times New Roman"/>
          <w:sz w:val="28"/>
          <w:szCs w:val="28"/>
        </w:rPr>
        <w:t>,</w:t>
      </w:r>
      <w:r w:rsidRPr="00EA3160">
        <w:rPr>
          <w:rFonts w:ascii="Times New Roman" w:hAnsi="Times New Roman"/>
          <w:sz w:val="28"/>
          <w:szCs w:val="28"/>
        </w:rPr>
        <w:t xml:space="preserve"> превысило уровень 201</w:t>
      </w:r>
      <w:r>
        <w:rPr>
          <w:rFonts w:ascii="Times New Roman" w:hAnsi="Times New Roman"/>
          <w:sz w:val="28"/>
          <w:szCs w:val="28"/>
        </w:rPr>
        <w:t>7</w:t>
      </w:r>
      <w:r w:rsidRPr="00EA3160">
        <w:rPr>
          <w:rFonts w:ascii="Times New Roman" w:hAnsi="Times New Roman"/>
          <w:sz w:val="28"/>
          <w:szCs w:val="28"/>
        </w:rPr>
        <w:t xml:space="preserve"> года на </w:t>
      </w:r>
      <w:r>
        <w:rPr>
          <w:rFonts w:ascii="Times New Roman" w:hAnsi="Times New Roman"/>
          <w:sz w:val="28"/>
          <w:szCs w:val="28"/>
        </w:rPr>
        <w:t xml:space="preserve">5 582 абонента, составив 127 905 абонентов, из которых на долю </w:t>
      </w:r>
      <w:r w:rsidRPr="00EA3160">
        <w:rPr>
          <w:rFonts w:ascii="Times New Roman" w:hAnsi="Times New Roman"/>
          <w:sz w:val="28"/>
          <w:szCs w:val="28"/>
        </w:rPr>
        <w:t>физически</w:t>
      </w:r>
      <w:r>
        <w:rPr>
          <w:rFonts w:ascii="Times New Roman" w:hAnsi="Times New Roman"/>
          <w:sz w:val="28"/>
          <w:szCs w:val="28"/>
        </w:rPr>
        <w:t>х</w:t>
      </w:r>
      <w:r w:rsidRPr="00EA3160">
        <w:rPr>
          <w:rFonts w:ascii="Times New Roman" w:hAnsi="Times New Roman"/>
          <w:sz w:val="28"/>
          <w:szCs w:val="28"/>
        </w:rPr>
        <w:t xml:space="preserve"> лиц</w:t>
      </w:r>
      <w:r>
        <w:rPr>
          <w:rFonts w:ascii="Times New Roman" w:hAnsi="Times New Roman"/>
          <w:sz w:val="28"/>
          <w:szCs w:val="28"/>
        </w:rPr>
        <w:t xml:space="preserve"> пришлось</w:t>
      </w:r>
      <w:r w:rsidRPr="00EA3160">
        <w:rPr>
          <w:rFonts w:ascii="Times New Roman" w:hAnsi="Times New Roman"/>
          <w:sz w:val="28"/>
          <w:szCs w:val="28"/>
        </w:rPr>
        <w:t xml:space="preserve"> 97,8%, юридически</w:t>
      </w:r>
      <w:r>
        <w:rPr>
          <w:rFonts w:ascii="Times New Roman" w:hAnsi="Times New Roman"/>
          <w:sz w:val="28"/>
          <w:szCs w:val="28"/>
        </w:rPr>
        <w:t>х</w:t>
      </w:r>
      <w:r w:rsidRPr="00EA3160">
        <w:rPr>
          <w:rFonts w:ascii="Times New Roman" w:hAnsi="Times New Roman"/>
          <w:sz w:val="28"/>
          <w:szCs w:val="28"/>
        </w:rPr>
        <w:t xml:space="preserve"> лиц</w:t>
      </w:r>
      <w:r>
        <w:rPr>
          <w:rFonts w:ascii="Times New Roman" w:hAnsi="Times New Roman"/>
          <w:sz w:val="28"/>
          <w:szCs w:val="28"/>
        </w:rPr>
        <w:t xml:space="preserve"> - 2,2%. Данн</w:t>
      </w:r>
      <w:r w:rsidR="001B60F5">
        <w:rPr>
          <w:rFonts w:ascii="Times New Roman" w:hAnsi="Times New Roman"/>
          <w:sz w:val="28"/>
          <w:szCs w:val="28"/>
        </w:rPr>
        <w:t>ая</w:t>
      </w:r>
      <w:r>
        <w:rPr>
          <w:rFonts w:ascii="Times New Roman" w:hAnsi="Times New Roman"/>
          <w:sz w:val="28"/>
          <w:szCs w:val="28"/>
        </w:rPr>
        <w:t xml:space="preserve"> повышательная динамика обусловлена построением на</w:t>
      </w:r>
      <w:r w:rsidRPr="00EA3160">
        <w:rPr>
          <w:rFonts w:ascii="Times New Roman" w:hAnsi="Times New Roman"/>
          <w:sz w:val="28"/>
          <w:szCs w:val="28"/>
        </w:rPr>
        <w:t xml:space="preserve"> территории республики мультисервисной транспортной высокоскоростной сети на базе технологии I</w:t>
      </w:r>
      <w:r w:rsidRPr="00EA3160">
        <w:rPr>
          <w:rFonts w:ascii="Times New Roman" w:hAnsi="Times New Roman"/>
          <w:sz w:val="28"/>
          <w:szCs w:val="28"/>
          <w:lang w:val="en-US"/>
        </w:rPr>
        <w:t>P</w:t>
      </w:r>
      <w:r w:rsidRPr="00EA3160">
        <w:rPr>
          <w:rFonts w:ascii="Times New Roman" w:hAnsi="Times New Roman"/>
          <w:sz w:val="28"/>
          <w:szCs w:val="28"/>
        </w:rPr>
        <w:t xml:space="preserve">, позволяющей передавать трафик любого типа, </w:t>
      </w:r>
      <w:r w:rsidR="001B60F5">
        <w:rPr>
          <w:rFonts w:ascii="Times New Roman" w:hAnsi="Times New Roman"/>
          <w:sz w:val="28"/>
          <w:szCs w:val="28"/>
        </w:rPr>
        <w:t xml:space="preserve">что </w:t>
      </w:r>
      <w:r>
        <w:rPr>
          <w:rFonts w:ascii="Times New Roman" w:hAnsi="Times New Roman"/>
          <w:sz w:val="28"/>
          <w:szCs w:val="28"/>
        </w:rPr>
        <w:t xml:space="preserve">дало возможность </w:t>
      </w:r>
      <w:r w:rsidRPr="00EA3160">
        <w:rPr>
          <w:rFonts w:ascii="Times New Roman" w:hAnsi="Times New Roman"/>
          <w:sz w:val="28"/>
          <w:szCs w:val="28"/>
        </w:rPr>
        <w:t>обеспечи</w:t>
      </w:r>
      <w:r>
        <w:rPr>
          <w:rFonts w:ascii="Times New Roman" w:hAnsi="Times New Roman"/>
          <w:sz w:val="28"/>
          <w:szCs w:val="28"/>
        </w:rPr>
        <w:t xml:space="preserve">ть </w:t>
      </w:r>
      <w:r w:rsidRPr="00EA3160">
        <w:rPr>
          <w:rFonts w:ascii="Times New Roman" w:hAnsi="Times New Roman"/>
          <w:sz w:val="28"/>
          <w:szCs w:val="28"/>
        </w:rPr>
        <w:t>широкополосный доступ в Интернет, внедрить комплекс современных мультимедийных услуг</w:t>
      </w:r>
      <w:r>
        <w:rPr>
          <w:rFonts w:ascii="Times New Roman" w:hAnsi="Times New Roman"/>
          <w:sz w:val="28"/>
          <w:szCs w:val="28"/>
        </w:rPr>
        <w:t>, включающих телевещание, радиовещание, доступ к информационным серверам, аудио архивам.</w:t>
      </w:r>
      <w:r w:rsidRPr="00EA3160">
        <w:rPr>
          <w:rFonts w:ascii="Times New Roman" w:hAnsi="Times New Roman"/>
          <w:sz w:val="28"/>
          <w:szCs w:val="28"/>
        </w:rPr>
        <w:t xml:space="preserve"> </w:t>
      </w:r>
    </w:p>
    <w:p w:rsidR="00E11A98" w:rsidRDefault="00E11A98" w:rsidP="00E11A98">
      <w:pPr>
        <w:autoSpaceDE w:val="0"/>
        <w:autoSpaceDN w:val="0"/>
        <w:adjustRightInd w:val="0"/>
        <w:spacing w:after="0" w:line="240" w:lineRule="auto"/>
        <w:ind w:firstLine="426"/>
        <w:jc w:val="both"/>
        <w:rPr>
          <w:rFonts w:ascii="Times New Roman" w:hAnsi="Times New Roman"/>
          <w:sz w:val="28"/>
          <w:szCs w:val="28"/>
        </w:rPr>
      </w:pPr>
      <w:r w:rsidRPr="00864C19">
        <w:rPr>
          <w:rFonts w:ascii="Times New Roman" w:hAnsi="Times New Roman"/>
          <w:sz w:val="28"/>
          <w:szCs w:val="28"/>
          <w:u w:val="single"/>
        </w:rPr>
        <w:t>Почтов</w:t>
      </w:r>
      <w:r>
        <w:rPr>
          <w:rFonts w:ascii="Times New Roman" w:hAnsi="Times New Roman"/>
          <w:sz w:val="28"/>
          <w:szCs w:val="28"/>
          <w:u w:val="single"/>
        </w:rPr>
        <w:t>ая</w:t>
      </w:r>
      <w:r w:rsidRPr="00864C19">
        <w:rPr>
          <w:rFonts w:ascii="Times New Roman" w:hAnsi="Times New Roman"/>
          <w:sz w:val="28"/>
          <w:szCs w:val="28"/>
          <w:u w:val="single"/>
        </w:rPr>
        <w:t xml:space="preserve"> связ</w:t>
      </w:r>
      <w:r>
        <w:rPr>
          <w:rFonts w:ascii="Times New Roman" w:hAnsi="Times New Roman"/>
          <w:sz w:val="28"/>
          <w:szCs w:val="28"/>
          <w:u w:val="single"/>
        </w:rPr>
        <w:t>ь</w:t>
      </w:r>
      <w:r w:rsidRPr="00A61A18">
        <w:rPr>
          <w:rFonts w:ascii="Times New Roman" w:hAnsi="Times New Roman"/>
          <w:sz w:val="28"/>
          <w:szCs w:val="28"/>
        </w:rPr>
        <w:t xml:space="preserve"> </w:t>
      </w:r>
      <w:r>
        <w:rPr>
          <w:rFonts w:ascii="Times New Roman" w:hAnsi="Times New Roman"/>
          <w:sz w:val="28"/>
          <w:szCs w:val="28"/>
        </w:rPr>
        <w:t xml:space="preserve">республики </w:t>
      </w:r>
      <w:r w:rsidRPr="00A61A18">
        <w:rPr>
          <w:rFonts w:ascii="Times New Roman" w:hAnsi="Times New Roman"/>
          <w:sz w:val="28"/>
          <w:szCs w:val="28"/>
        </w:rPr>
        <w:t>представлена государственным унитарным предприятием «Почта Приднестровья», в состав которого входят 6 филиалов</w:t>
      </w:r>
      <w:r>
        <w:rPr>
          <w:rFonts w:ascii="Times New Roman" w:hAnsi="Times New Roman"/>
          <w:sz w:val="28"/>
          <w:szCs w:val="28"/>
        </w:rPr>
        <w:t xml:space="preserve">, в структуре которых функционирует </w:t>
      </w:r>
      <w:r w:rsidRPr="00A61A18">
        <w:rPr>
          <w:rFonts w:ascii="Times New Roman" w:hAnsi="Times New Roman"/>
          <w:sz w:val="28"/>
          <w:szCs w:val="28"/>
        </w:rPr>
        <w:t xml:space="preserve">123 отделения связи, </w:t>
      </w:r>
      <w:r>
        <w:rPr>
          <w:rFonts w:ascii="Times New Roman" w:hAnsi="Times New Roman"/>
          <w:sz w:val="28"/>
          <w:szCs w:val="28"/>
        </w:rPr>
        <w:t>из них</w:t>
      </w:r>
      <w:r w:rsidRPr="00A61A18">
        <w:rPr>
          <w:rFonts w:ascii="Times New Roman" w:hAnsi="Times New Roman"/>
          <w:sz w:val="28"/>
          <w:szCs w:val="28"/>
        </w:rPr>
        <w:t xml:space="preserve"> 89 </w:t>
      </w:r>
      <w:r>
        <w:rPr>
          <w:rFonts w:ascii="Times New Roman" w:hAnsi="Times New Roman"/>
          <w:sz w:val="28"/>
          <w:szCs w:val="28"/>
        </w:rPr>
        <w:t xml:space="preserve">располагаются </w:t>
      </w:r>
      <w:r w:rsidRPr="00A61A18">
        <w:rPr>
          <w:rFonts w:ascii="Times New Roman" w:hAnsi="Times New Roman"/>
          <w:sz w:val="28"/>
          <w:szCs w:val="28"/>
        </w:rPr>
        <w:t>в сельской местности</w:t>
      </w:r>
      <w:r>
        <w:rPr>
          <w:rFonts w:ascii="Times New Roman" w:hAnsi="Times New Roman"/>
          <w:sz w:val="28"/>
          <w:szCs w:val="28"/>
        </w:rPr>
        <w:t>. Также в сфере оказания почтовых услуг функционируют предприятия негосударственной формы собственности производящие прием, пересылку и доставку международных почтовых отправлений (экспресс-почта) через международные почтовые сети.</w:t>
      </w:r>
    </w:p>
    <w:p w:rsidR="00E11A98" w:rsidRPr="009F5E2D" w:rsidRDefault="00E11A98" w:rsidP="00E11A98">
      <w:pPr>
        <w:tabs>
          <w:tab w:val="left" w:pos="1134"/>
        </w:tabs>
        <w:spacing w:after="0" w:line="240" w:lineRule="auto"/>
        <w:ind w:firstLine="426"/>
        <w:contextualSpacing/>
        <w:jc w:val="both"/>
        <w:rPr>
          <w:rFonts w:ascii="Times New Roman" w:eastAsia="MS Mincho" w:hAnsi="Times New Roman"/>
          <w:bCs/>
          <w:sz w:val="28"/>
          <w:szCs w:val="28"/>
        </w:rPr>
      </w:pPr>
      <w:r w:rsidRPr="0033142F">
        <w:rPr>
          <w:rFonts w:ascii="Times New Roman" w:hAnsi="Times New Roman"/>
          <w:sz w:val="28"/>
          <w:szCs w:val="28"/>
        </w:rPr>
        <w:t>В рассматриваемом периоде тарифы на пересылку по всем видам услуг почтовой связи сохранились на уровне 2017 года, за исключением п</w:t>
      </w:r>
      <w:r w:rsidRPr="0033142F">
        <w:rPr>
          <w:rFonts w:ascii="Times New Roman" w:eastAsia="MS Mincho" w:hAnsi="Times New Roman"/>
          <w:bCs/>
          <w:sz w:val="28"/>
          <w:szCs w:val="28"/>
        </w:rPr>
        <w:t>редельных уровней тарифов на услуги</w:t>
      </w:r>
      <w:r w:rsidRPr="009F5E2D">
        <w:rPr>
          <w:rFonts w:ascii="Times New Roman" w:eastAsia="MS Mincho" w:hAnsi="Times New Roman"/>
          <w:bCs/>
          <w:sz w:val="28"/>
          <w:szCs w:val="28"/>
        </w:rPr>
        <w:t xml:space="preserve"> почтовой связи для </w:t>
      </w:r>
      <w:r>
        <w:rPr>
          <w:rFonts w:ascii="Times New Roman" w:eastAsia="MS Mincho" w:hAnsi="Times New Roman"/>
          <w:bCs/>
          <w:sz w:val="28"/>
          <w:szCs w:val="28"/>
        </w:rPr>
        <w:t xml:space="preserve">организаций и учреждений, не финансируемых из бюджетов всех уровней, величина которых </w:t>
      </w:r>
      <w:r w:rsidRPr="009F5E2D">
        <w:rPr>
          <w:rFonts w:ascii="Times New Roman" w:eastAsia="MS Mincho" w:hAnsi="Times New Roman"/>
          <w:bCs/>
          <w:sz w:val="28"/>
          <w:szCs w:val="28"/>
        </w:rPr>
        <w:t>в среднем увеличил</w:t>
      </w:r>
      <w:r>
        <w:rPr>
          <w:rFonts w:ascii="Times New Roman" w:eastAsia="MS Mincho" w:hAnsi="Times New Roman"/>
          <w:bCs/>
          <w:sz w:val="28"/>
          <w:szCs w:val="28"/>
        </w:rPr>
        <w:t>а</w:t>
      </w:r>
      <w:r w:rsidRPr="009F5E2D">
        <w:rPr>
          <w:rFonts w:ascii="Times New Roman" w:eastAsia="MS Mincho" w:hAnsi="Times New Roman"/>
          <w:bCs/>
          <w:sz w:val="28"/>
          <w:szCs w:val="28"/>
        </w:rPr>
        <w:t>сь на 0,4</w:t>
      </w:r>
      <w:r>
        <w:rPr>
          <w:rFonts w:ascii="Times New Roman" w:eastAsia="MS Mincho" w:hAnsi="Times New Roman"/>
          <w:bCs/>
          <w:sz w:val="28"/>
          <w:szCs w:val="28"/>
        </w:rPr>
        <w:t>%.</w:t>
      </w:r>
    </w:p>
    <w:p w:rsidR="00E11A98" w:rsidRDefault="00E11A98" w:rsidP="00E11A98">
      <w:pPr>
        <w:tabs>
          <w:tab w:val="left" w:pos="1134"/>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 xml:space="preserve">В 2018 году увеличение исходящего почтового обмена ГУП «Почта Приднестровья» отмечено по отправлениям письменной корреспонденции (+11,1% к уровню 2017 года), посылок простых (+28,9%), </w:t>
      </w:r>
      <w:r w:rsidRPr="00EA3160">
        <w:rPr>
          <w:rFonts w:ascii="Times New Roman" w:hAnsi="Times New Roman"/>
          <w:sz w:val="28"/>
          <w:szCs w:val="28"/>
        </w:rPr>
        <w:t>отправлениям EMS</w:t>
      </w:r>
      <w:r>
        <w:rPr>
          <w:rFonts w:ascii="Times New Roman" w:hAnsi="Times New Roman"/>
          <w:sz w:val="28"/>
          <w:szCs w:val="28"/>
        </w:rPr>
        <w:t xml:space="preserve">-корреспонденции (увеличение в 2,1 раза), </w:t>
      </w:r>
      <w:r w:rsidRPr="00EA3160">
        <w:rPr>
          <w:rFonts w:ascii="Times New Roman" w:hAnsi="Times New Roman"/>
          <w:sz w:val="28"/>
          <w:szCs w:val="28"/>
        </w:rPr>
        <w:t>отправлениям EMS</w:t>
      </w:r>
      <w:r>
        <w:rPr>
          <w:rFonts w:ascii="Times New Roman" w:hAnsi="Times New Roman"/>
          <w:sz w:val="28"/>
          <w:szCs w:val="28"/>
        </w:rPr>
        <w:t xml:space="preserve">-посылок (увеличение в 7,0 раз), тогда </w:t>
      </w:r>
      <w:r w:rsidR="002B39BB">
        <w:rPr>
          <w:rFonts w:ascii="Times New Roman" w:hAnsi="Times New Roman"/>
          <w:sz w:val="28"/>
          <w:szCs w:val="28"/>
        </w:rPr>
        <w:t xml:space="preserve">как </w:t>
      </w:r>
      <w:r>
        <w:rPr>
          <w:rFonts w:ascii="Times New Roman" w:hAnsi="Times New Roman"/>
          <w:sz w:val="28"/>
          <w:szCs w:val="28"/>
        </w:rPr>
        <w:t xml:space="preserve">снижение </w:t>
      </w:r>
      <w:r w:rsidR="001B60F5">
        <w:rPr>
          <w:rFonts w:ascii="Times New Roman" w:hAnsi="Times New Roman"/>
          <w:sz w:val="28"/>
          <w:szCs w:val="28"/>
        </w:rPr>
        <w:t>фиксировалось</w:t>
      </w:r>
      <w:r>
        <w:rPr>
          <w:rFonts w:ascii="Times New Roman" w:hAnsi="Times New Roman"/>
          <w:sz w:val="28"/>
          <w:szCs w:val="28"/>
        </w:rPr>
        <w:t xml:space="preserve"> по отправлениям </w:t>
      </w:r>
      <w:r>
        <w:rPr>
          <w:rFonts w:ascii="Times New Roman" w:hAnsi="Times New Roman"/>
          <w:sz w:val="28"/>
          <w:szCs w:val="28"/>
        </w:rPr>
        <w:lastRenderedPageBreak/>
        <w:t>посылок ценных (-5,3%), периодических печатных изданий (-10,4%), денежных переводов (-19,9%). При этом количество входящих международных денежных переводов возросло на 9,2%, посылок на 9,4%, письменной корреспонденции на 16,1%.</w:t>
      </w:r>
    </w:p>
    <w:p w:rsidR="00E11A98" w:rsidRDefault="00E11A98" w:rsidP="00E11A98">
      <w:pPr>
        <w:tabs>
          <w:tab w:val="left" w:pos="1134"/>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С</w:t>
      </w:r>
      <w:r w:rsidRPr="00067285">
        <w:rPr>
          <w:rFonts w:ascii="Times New Roman" w:hAnsi="Times New Roman"/>
          <w:sz w:val="28"/>
          <w:szCs w:val="28"/>
        </w:rPr>
        <w:t xml:space="preserve">овокупная величина доходов государственных организаций почтовой связи (без учета стоимости товаров по цене поставщика), включающая в себя как доходы от основной, так и от непрофильной </w:t>
      </w:r>
      <w:r>
        <w:rPr>
          <w:rFonts w:ascii="Times New Roman" w:hAnsi="Times New Roman"/>
          <w:sz w:val="28"/>
          <w:szCs w:val="28"/>
        </w:rPr>
        <w:t xml:space="preserve">и торговой </w:t>
      </w:r>
      <w:r w:rsidRPr="00067285">
        <w:rPr>
          <w:rFonts w:ascii="Times New Roman" w:hAnsi="Times New Roman"/>
          <w:sz w:val="28"/>
          <w:szCs w:val="28"/>
        </w:rPr>
        <w:t>деятельности</w:t>
      </w:r>
      <w:r>
        <w:rPr>
          <w:rFonts w:ascii="Times New Roman" w:hAnsi="Times New Roman"/>
          <w:sz w:val="28"/>
          <w:szCs w:val="28"/>
        </w:rPr>
        <w:t xml:space="preserve"> сложилась в размере 8 996,0 тыс. руб.</w:t>
      </w:r>
      <w:r w:rsidRPr="00067285">
        <w:rPr>
          <w:rFonts w:ascii="Times New Roman" w:hAnsi="Times New Roman"/>
          <w:sz w:val="28"/>
          <w:szCs w:val="28"/>
        </w:rPr>
        <w:t xml:space="preserve">, </w:t>
      </w:r>
      <w:r>
        <w:rPr>
          <w:rFonts w:ascii="Times New Roman" w:hAnsi="Times New Roman"/>
          <w:sz w:val="28"/>
          <w:szCs w:val="28"/>
        </w:rPr>
        <w:t>что на 4,1% ниже уровня 2017 года</w:t>
      </w:r>
      <w:r w:rsidR="000E4AEA">
        <w:rPr>
          <w:rFonts w:ascii="Times New Roman" w:hAnsi="Times New Roman"/>
          <w:sz w:val="28"/>
          <w:szCs w:val="28"/>
        </w:rPr>
        <w:t xml:space="preserve"> (рис.</w:t>
      </w:r>
      <w:r w:rsidR="00434F04">
        <w:rPr>
          <w:rFonts w:ascii="Times New Roman" w:hAnsi="Times New Roman"/>
          <w:sz w:val="28"/>
          <w:szCs w:val="28"/>
        </w:rPr>
        <w:t> </w:t>
      </w:r>
      <w:r w:rsidR="000E4AEA">
        <w:rPr>
          <w:rFonts w:ascii="Times New Roman" w:hAnsi="Times New Roman"/>
          <w:sz w:val="28"/>
          <w:szCs w:val="28"/>
        </w:rPr>
        <w:t>13)</w:t>
      </w:r>
      <w:r>
        <w:rPr>
          <w:rFonts w:ascii="Times New Roman" w:hAnsi="Times New Roman"/>
          <w:sz w:val="28"/>
          <w:szCs w:val="28"/>
        </w:rPr>
        <w:t>.</w:t>
      </w:r>
      <w:r w:rsidR="001B60F5">
        <w:rPr>
          <w:rFonts w:ascii="Times New Roman" w:hAnsi="Times New Roman"/>
          <w:sz w:val="28"/>
          <w:szCs w:val="28"/>
        </w:rPr>
        <w:t xml:space="preserve"> Формирование</w:t>
      </w:r>
      <w:r w:rsidR="002B39BB">
        <w:rPr>
          <w:rFonts w:ascii="Times New Roman" w:hAnsi="Times New Roman"/>
          <w:sz w:val="28"/>
          <w:szCs w:val="28"/>
        </w:rPr>
        <w:t xml:space="preserve"> отрицательной динамики </w:t>
      </w:r>
      <w:r w:rsidR="001B60F5">
        <w:rPr>
          <w:rFonts w:ascii="Times New Roman" w:hAnsi="Times New Roman"/>
          <w:sz w:val="28"/>
          <w:szCs w:val="28"/>
        </w:rPr>
        <w:t>было обусловлено</w:t>
      </w:r>
      <w:r w:rsidR="002B39BB">
        <w:rPr>
          <w:rFonts w:ascii="Times New Roman" w:hAnsi="Times New Roman"/>
          <w:sz w:val="28"/>
          <w:szCs w:val="28"/>
        </w:rPr>
        <w:t xml:space="preserve"> снижение</w:t>
      </w:r>
      <w:r w:rsidR="001B60F5">
        <w:rPr>
          <w:rFonts w:ascii="Times New Roman" w:hAnsi="Times New Roman"/>
          <w:sz w:val="28"/>
          <w:szCs w:val="28"/>
        </w:rPr>
        <w:t>м</w:t>
      </w:r>
      <w:r w:rsidR="002B39BB">
        <w:rPr>
          <w:rFonts w:ascii="Times New Roman" w:hAnsi="Times New Roman"/>
          <w:sz w:val="28"/>
          <w:szCs w:val="28"/>
        </w:rPr>
        <w:t xml:space="preserve"> </w:t>
      </w:r>
      <w:r w:rsidRPr="00EA3160">
        <w:rPr>
          <w:rFonts w:ascii="Times New Roman" w:hAnsi="Times New Roman"/>
          <w:sz w:val="28"/>
          <w:szCs w:val="28"/>
        </w:rPr>
        <w:t xml:space="preserve">доходов от основной деятельности </w:t>
      </w:r>
      <w:r>
        <w:rPr>
          <w:rFonts w:ascii="Times New Roman" w:hAnsi="Times New Roman"/>
          <w:sz w:val="28"/>
          <w:szCs w:val="28"/>
        </w:rPr>
        <w:t>ГУП «Почта Приднестровья» на 4,9%</w:t>
      </w:r>
      <w:r w:rsidR="002B39BB">
        <w:rPr>
          <w:rFonts w:ascii="Times New Roman" w:hAnsi="Times New Roman"/>
          <w:sz w:val="28"/>
          <w:szCs w:val="28"/>
        </w:rPr>
        <w:t xml:space="preserve"> до</w:t>
      </w:r>
      <w:r>
        <w:rPr>
          <w:rFonts w:ascii="Times New Roman" w:hAnsi="Times New Roman"/>
          <w:sz w:val="28"/>
          <w:szCs w:val="28"/>
        </w:rPr>
        <w:t xml:space="preserve"> </w:t>
      </w:r>
      <w:r w:rsidRPr="00EA3160">
        <w:rPr>
          <w:rFonts w:ascii="Times New Roman" w:hAnsi="Times New Roman"/>
          <w:sz w:val="28"/>
          <w:szCs w:val="28"/>
        </w:rPr>
        <w:t>5</w:t>
      </w:r>
      <w:r>
        <w:rPr>
          <w:rFonts w:ascii="Times New Roman" w:hAnsi="Times New Roman"/>
          <w:sz w:val="28"/>
          <w:szCs w:val="28"/>
        </w:rPr>
        <w:t> 156,0</w:t>
      </w:r>
      <w:r w:rsidRPr="00EA3160">
        <w:rPr>
          <w:rFonts w:ascii="Times New Roman" w:hAnsi="Times New Roman"/>
          <w:sz w:val="28"/>
          <w:szCs w:val="28"/>
        </w:rPr>
        <w:t xml:space="preserve"> тыс. руб.</w:t>
      </w:r>
      <w:r w:rsidR="002B39BB">
        <w:rPr>
          <w:rFonts w:ascii="Times New Roman" w:hAnsi="Times New Roman"/>
          <w:sz w:val="28"/>
          <w:szCs w:val="28"/>
        </w:rPr>
        <w:t xml:space="preserve">, </w:t>
      </w:r>
      <w:r w:rsidR="001B60F5">
        <w:rPr>
          <w:rFonts w:ascii="Times New Roman" w:hAnsi="Times New Roman"/>
          <w:sz w:val="28"/>
          <w:szCs w:val="28"/>
        </w:rPr>
        <w:t>вследствие</w:t>
      </w:r>
      <w:r>
        <w:rPr>
          <w:rFonts w:ascii="Times New Roman" w:hAnsi="Times New Roman"/>
          <w:sz w:val="28"/>
          <w:szCs w:val="28"/>
        </w:rPr>
        <w:t xml:space="preserve"> уменьшени</w:t>
      </w:r>
      <w:r w:rsidR="001B60F5">
        <w:rPr>
          <w:rFonts w:ascii="Times New Roman" w:hAnsi="Times New Roman"/>
          <w:sz w:val="28"/>
          <w:szCs w:val="28"/>
        </w:rPr>
        <w:t>я</w:t>
      </w:r>
      <w:r>
        <w:rPr>
          <w:rFonts w:ascii="Times New Roman" w:hAnsi="Times New Roman"/>
          <w:sz w:val="28"/>
          <w:szCs w:val="28"/>
        </w:rPr>
        <w:t xml:space="preserve"> величины полученного дохода практически по всем видам услуг:</w:t>
      </w:r>
    </w:p>
    <w:p w:rsidR="00E11A98" w:rsidRDefault="00E11A98" w:rsidP="00E11A98">
      <w:pPr>
        <w:tabs>
          <w:tab w:val="left" w:pos="1134"/>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 реализация знаков почтовой оплаты до 2 683,0 тыс. руб. (-1,5% к уровню 2017 года);</w:t>
      </w:r>
    </w:p>
    <w:p w:rsidR="00E11A98" w:rsidRDefault="00E11A98" w:rsidP="00E11A98">
      <w:pPr>
        <w:tabs>
          <w:tab w:val="left" w:pos="1134"/>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 письменная корреспонденция до 233,0 тыс. руб. (-4,9%);</w:t>
      </w:r>
    </w:p>
    <w:p w:rsidR="00E11A98" w:rsidRDefault="00E11A98" w:rsidP="00E11A98">
      <w:pPr>
        <w:tabs>
          <w:tab w:val="left" w:pos="1134"/>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 денежные переводы до 221,0 тыс. руб. (-16,9%);</w:t>
      </w:r>
    </w:p>
    <w:p w:rsidR="00E11A98" w:rsidRDefault="00E11A98" w:rsidP="00E11A98">
      <w:pPr>
        <w:tabs>
          <w:tab w:val="left" w:pos="1134"/>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 периодические издания до 1 255,0 тыс. руб. (-9,4%);</w:t>
      </w:r>
    </w:p>
    <w:p w:rsidR="00E11A98" w:rsidRDefault="00E11A98" w:rsidP="00E11A98">
      <w:pPr>
        <w:tabs>
          <w:tab w:val="left" w:pos="1134"/>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 специальная связь до</w:t>
      </w:r>
      <w:r w:rsidR="002B39BB">
        <w:rPr>
          <w:rFonts w:ascii="Times New Roman" w:hAnsi="Times New Roman"/>
          <w:sz w:val="28"/>
          <w:szCs w:val="28"/>
        </w:rPr>
        <w:t xml:space="preserve"> </w:t>
      </w:r>
      <w:r>
        <w:rPr>
          <w:rFonts w:ascii="Times New Roman" w:hAnsi="Times New Roman"/>
          <w:sz w:val="28"/>
          <w:szCs w:val="28"/>
        </w:rPr>
        <w:t>74,0 тыс. руб. (-22,1%);</w:t>
      </w:r>
    </w:p>
    <w:p w:rsidR="00E11A98" w:rsidRDefault="00E11A98" w:rsidP="00E11A98">
      <w:pPr>
        <w:tabs>
          <w:tab w:val="left" w:pos="1134"/>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 прочие доходы до 144,0 тыс. руб. (-43,3%).</w:t>
      </w:r>
    </w:p>
    <w:p w:rsidR="00E11A98" w:rsidRPr="00476951" w:rsidRDefault="00E11A98" w:rsidP="00E11A98">
      <w:pPr>
        <w:tabs>
          <w:tab w:val="left" w:pos="1134"/>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 xml:space="preserve">Прирост дохода отмечен от предоставления услуг ускоренной почты </w:t>
      </w:r>
      <w:r>
        <w:rPr>
          <w:rFonts w:ascii="Times New Roman" w:hAnsi="Times New Roman"/>
          <w:sz w:val="28"/>
          <w:szCs w:val="28"/>
          <w:lang w:val="en-US"/>
        </w:rPr>
        <w:t>EMS</w:t>
      </w:r>
      <w:r>
        <w:rPr>
          <w:rFonts w:ascii="Times New Roman" w:hAnsi="Times New Roman"/>
          <w:sz w:val="28"/>
          <w:szCs w:val="28"/>
        </w:rPr>
        <w:t xml:space="preserve"> до 73,0 тыс. руб. (увеличение в 2,4 раза), а также пересылки посылок до 473,0</w:t>
      </w:r>
      <w:r w:rsidRPr="00476951">
        <w:rPr>
          <w:rFonts w:ascii="Times New Roman" w:hAnsi="Times New Roman"/>
          <w:sz w:val="28"/>
          <w:szCs w:val="28"/>
        </w:rPr>
        <w:t xml:space="preserve"> </w:t>
      </w:r>
      <w:r>
        <w:rPr>
          <w:rFonts w:ascii="Times New Roman" w:hAnsi="Times New Roman"/>
          <w:sz w:val="28"/>
          <w:szCs w:val="28"/>
        </w:rPr>
        <w:t>тыс. руб. (+11,5%).</w:t>
      </w:r>
    </w:p>
    <w:p w:rsidR="00E11A98" w:rsidRPr="00EA3160" w:rsidRDefault="00E11A98" w:rsidP="00E11A98">
      <w:pPr>
        <w:spacing w:after="0" w:line="240" w:lineRule="auto"/>
        <w:ind w:firstLine="426"/>
        <w:jc w:val="right"/>
        <w:rPr>
          <w:rFonts w:ascii="Times New Roman" w:hAnsi="Times New Roman"/>
          <w:b/>
          <w:i/>
          <w:sz w:val="28"/>
          <w:szCs w:val="28"/>
        </w:rPr>
      </w:pPr>
      <w:r w:rsidRPr="00EA3160">
        <w:rPr>
          <w:rFonts w:ascii="Times New Roman" w:hAnsi="Times New Roman"/>
          <w:b/>
          <w:i/>
          <w:sz w:val="28"/>
          <w:szCs w:val="28"/>
        </w:rPr>
        <w:t xml:space="preserve">Рисунок </w:t>
      </w:r>
      <w:r w:rsidR="000E4AEA">
        <w:rPr>
          <w:rFonts w:ascii="Times New Roman" w:hAnsi="Times New Roman"/>
          <w:b/>
          <w:i/>
          <w:sz w:val="28"/>
          <w:szCs w:val="28"/>
        </w:rPr>
        <w:t>13</w:t>
      </w:r>
    </w:p>
    <w:p w:rsidR="00E11A98" w:rsidRDefault="00E11A98" w:rsidP="00E11A98">
      <w:pPr>
        <w:spacing w:after="0" w:line="240" w:lineRule="auto"/>
        <w:jc w:val="both"/>
        <w:rPr>
          <w:rFonts w:eastAsia="Calibri"/>
        </w:rPr>
      </w:pPr>
      <w:r w:rsidRPr="00267046">
        <w:rPr>
          <w:rFonts w:eastAsia="Calibri"/>
          <w:noProof/>
        </w:rPr>
        <w:drawing>
          <wp:inline distT="0" distB="0" distL="0" distR="0">
            <wp:extent cx="6343650" cy="1876425"/>
            <wp:effectExtent l="19050" t="0" r="0" b="0"/>
            <wp:docPr id="5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1A98" w:rsidRPr="00C07388" w:rsidRDefault="00E11A98" w:rsidP="00E11A98">
      <w:pPr>
        <w:spacing w:after="0" w:line="240" w:lineRule="auto"/>
        <w:ind w:firstLine="709"/>
        <w:contextualSpacing/>
        <w:jc w:val="both"/>
        <w:rPr>
          <w:rFonts w:ascii="Times New Roman" w:hAnsi="Times New Roman"/>
          <w:sz w:val="10"/>
          <w:szCs w:val="10"/>
        </w:rPr>
      </w:pPr>
    </w:p>
    <w:p w:rsidR="00E11A98" w:rsidRDefault="00E11A98" w:rsidP="001B60F5">
      <w:pPr>
        <w:tabs>
          <w:tab w:val="left" w:pos="993"/>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 xml:space="preserve">Также в отчетном периоде зафиксировано снижение доходов от неосновной деятельности на 3,1% до 3 840 тыс. руб., </w:t>
      </w:r>
      <w:r w:rsidR="001B60F5">
        <w:rPr>
          <w:rFonts w:ascii="Times New Roman" w:hAnsi="Times New Roman"/>
          <w:sz w:val="28"/>
          <w:szCs w:val="28"/>
        </w:rPr>
        <w:t>при этом</w:t>
      </w:r>
      <w:r>
        <w:rPr>
          <w:rFonts w:ascii="Times New Roman" w:hAnsi="Times New Roman"/>
          <w:sz w:val="28"/>
          <w:szCs w:val="28"/>
        </w:rPr>
        <w:t>:</w:t>
      </w:r>
    </w:p>
    <w:p w:rsidR="00E11A98" w:rsidRPr="00EA3160" w:rsidRDefault="00E11A98" w:rsidP="001B60F5">
      <w:pPr>
        <w:tabs>
          <w:tab w:val="left" w:pos="993"/>
        </w:tabs>
        <w:spacing w:after="0" w:line="240" w:lineRule="auto"/>
        <w:ind w:firstLine="426"/>
        <w:contextualSpacing/>
        <w:jc w:val="both"/>
        <w:rPr>
          <w:rFonts w:ascii="Times New Roman" w:hAnsi="Times New Roman"/>
          <w:sz w:val="28"/>
          <w:szCs w:val="28"/>
        </w:rPr>
      </w:pPr>
      <w:r>
        <w:rPr>
          <w:rFonts w:ascii="Times New Roman" w:hAnsi="Times New Roman"/>
          <w:sz w:val="28"/>
          <w:szCs w:val="28"/>
        </w:rPr>
        <w:t>- д</w:t>
      </w:r>
      <w:r w:rsidRPr="00EA3160">
        <w:rPr>
          <w:rFonts w:ascii="Times New Roman" w:hAnsi="Times New Roman"/>
          <w:sz w:val="28"/>
          <w:szCs w:val="28"/>
        </w:rPr>
        <w:t xml:space="preserve">оходы от непрофильной деятельности (прием коммунальных платежей, платежей за оказание услуг связи, ксерокопирование) снизились на </w:t>
      </w:r>
      <w:r>
        <w:rPr>
          <w:rFonts w:ascii="Times New Roman" w:hAnsi="Times New Roman"/>
          <w:sz w:val="28"/>
          <w:szCs w:val="28"/>
        </w:rPr>
        <w:t>8,6</w:t>
      </w:r>
      <w:r w:rsidRPr="00EA3160">
        <w:rPr>
          <w:rFonts w:ascii="Times New Roman" w:hAnsi="Times New Roman"/>
          <w:sz w:val="28"/>
          <w:szCs w:val="28"/>
        </w:rPr>
        <w:t xml:space="preserve">% </w:t>
      </w:r>
      <w:r>
        <w:rPr>
          <w:rFonts w:ascii="Times New Roman" w:hAnsi="Times New Roman"/>
          <w:sz w:val="28"/>
          <w:szCs w:val="28"/>
        </w:rPr>
        <w:t xml:space="preserve">к уровню 2017 года </w:t>
      </w:r>
      <w:r w:rsidRPr="00EA3160">
        <w:rPr>
          <w:rFonts w:ascii="Times New Roman" w:hAnsi="Times New Roman"/>
          <w:sz w:val="28"/>
          <w:szCs w:val="28"/>
        </w:rPr>
        <w:t>до 2</w:t>
      </w:r>
      <w:r>
        <w:rPr>
          <w:rFonts w:ascii="Times New Roman" w:hAnsi="Times New Roman"/>
          <w:sz w:val="28"/>
          <w:szCs w:val="28"/>
        </w:rPr>
        <w:t> 221,0</w:t>
      </w:r>
      <w:r w:rsidRPr="00EA3160">
        <w:rPr>
          <w:rFonts w:ascii="Times New Roman" w:hAnsi="Times New Roman"/>
          <w:sz w:val="28"/>
          <w:szCs w:val="28"/>
        </w:rPr>
        <w:t xml:space="preserve"> тыс. руб.;</w:t>
      </w:r>
    </w:p>
    <w:p w:rsidR="00E11A98" w:rsidRPr="00EA3160" w:rsidRDefault="00E11A98" w:rsidP="001B60F5">
      <w:pPr>
        <w:tabs>
          <w:tab w:val="left" w:pos="993"/>
        </w:tabs>
        <w:spacing w:after="0" w:line="240" w:lineRule="auto"/>
        <w:ind w:firstLine="426"/>
        <w:contextualSpacing/>
        <w:jc w:val="both"/>
        <w:rPr>
          <w:rFonts w:ascii="Times New Roman" w:hAnsi="Times New Roman"/>
          <w:sz w:val="28"/>
          <w:szCs w:val="28"/>
        </w:rPr>
      </w:pPr>
      <w:r w:rsidRPr="00EA3160">
        <w:rPr>
          <w:rFonts w:ascii="Times New Roman" w:hAnsi="Times New Roman"/>
          <w:sz w:val="28"/>
          <w:szCs w:val="28"/>
        </w:rPr>
        <w:t>–</w:t>
      </w:r>
      <w:r>
        <w:rPr>
          <w:rFonts w:ascii="Times New Roman" w:hAnsi="Times New Roman"/>
          <w:sz w:val="28"/>
          <w:szCs w:val="28"/>
        </w:rPr>
        <w:t xml:space="preserve"> </w:t>
      </w:r>
      <w:r w:rsidRPr="00EA3160">
        <w:rPr>
          <w:rFonts w:ascii="Times New Roman" w:hAnsi="Times New Roman"/>
          <w:sz w:val="28"/>
          <w:szCs w:val="28"/>
        </w:rPr>
        <w:t xml:space="preserve">доходы от торговой деятельности </w:t>
      </w:r>
      <w:r>
        <w:rPr>
          <w:rFonts w:ascii="Times New Roman" w:hAnsi="Times New Roman"/>
          <w:sz w:val="28"/>
          <w:szCs w:val="28"/>
        </w:rPr>
        <w:t>возросли</w:t>
      </w:r>
      <w:r w:rsidRPr="00EA3160">
        <w:rPr>
          <w:rFonts w:ascii="Times New Roman" w:hAnsi="Times New Roman"/>
          <w:sz w:val="28"/>
          <w:szCs w:val="28"/>
        </w:rPr>
        <w:t xml:space="preserve"> на </w:t>
      </w:r>
      <w:r>
        <w:rPr>
          <w:rFonts w:ascii="Times New Roman" w:hAnsi="Times New Roman"/>
          <w:sz w:val="28"/>
          <w:szCs w:val="28"/>
        </w:rPr>
        <w:t>11,0</w:t>
      </w:r>
      <w:r w:rsidRPr="00EA3160">
        <w:rPr>
          <w:rFonts w:ascii="Times New Roman" w:hAnsi="Times New Roman"/>
          <w:sz w:val="28"/>
          <w:szCs w:val="28"/>
        </w:rPr>
        <w:t>% до 1</w:t>
      </w:r>
      <w:r>
        <w:rPr>
          <w:rFonts w:ascii="Times New Roman" w:hAnsi="Times New Roman"/>
          <w:sz w:val="28"/>
          <w:szCs w:val="28"/>
        </w:rPr>
        <w:t> 570,0</w:t>
      </w:r>
      <w:r w:rsidRPr="00EA3160">
        <w:rPr>
          <w:rFonts w:ascii="Times New Roman" w:hAnsi="Times New Roman"/>
          <w:sz w:val="28"/>
          <w:szCs w:val="28"/>
        </w:rPr>
        <w:t xml:space="preserve"> тыс. руб.;</w:t>
      </w:r>
    </w:p>
    <w:p w:rsidR="00E11A98" w:rsidRPr="00EA3160" w:rsidRDefault="00E11A98" w:rsidP="001B60F5">
      <w:pPr>
        <w:tabs>
          <w:tab w:val="left" w:pos="993"/>
        </w:tabs>
        <w:spacing w:after="0" w:line="240" w:lineRule="auto"/>
        <w:ind w:firstLine="426"/>
        <w:contextualSpacing/>
        <w:jc w:val="both"/>
        <w:rPr>
          <w:rFonts w:ascii="Times New Roman" w:hAnsi="Times New Roman"/>
          <w:sz w:val="28"/>
          <w:szCs w:val="28"/>
        </w:rPr>
      </w:pPr>
      <w:r w:rsidRPr="00EA3160">
        <w:rPr>
          <w:rFonts w:ascii="Times New Roman" w:hAnsi="Times New Roman"/>
          <w:sz w:val="28"/>
          <w:szCs w:val="28"/>
        </w:rPr>
        <w:t>–</w:t>
      </w:r>
      <w:r w:rsidRPr="00EA3160">
        <w:rPr>
          <w:rFonts w:ascii="Times New Roman" w:hAnsi="Times New Roman"/>
          <w:sz w:val="28"/>
          <w:szCs w:val="28"/>
        </w:rPr>
        <w:tab/>
        <w:t>доходы от сдачи имущества в аренду снизились на 57,</w:t>
      </w:r>
      <w:r>
        <w:rPr>
          <w:rFonts w:ascii="Times New Roman" w:hAnsi="Times New Roman"/>
          <w:sz w:val="28"/>
          <w:szCs w:val="28"/>
        </w:rPr>
        <w:t>7</w:t>
      </w:r>
      <w:r w:rsidRPr="00EA3160">
        <w:rPr>
          <w:rFonts w:ascii="Times New Roman" w:hAnsi="Times New Roman"/>
          <w:sz w:val="28"/>
          <w:szCs w:val="28"/>
        </w:rPr>
        <w:t>% до</w:t>
      </w:r>
      <w:r w:rsidR="001B60F5">
        <w:rPr>
          <w:rFonts w:ascii="Times New Roman" w:hAnsi="Times New Roman"/>
          <w:sz w:val="28"/>
          <w:szCs w:val="28"/>
        </w:rPr>
        <w:br/>
      </w:r>
      <w:r w:rsidRPr="00EA3160">
        <w:rPr>
          <w:rFonts w:ascii="Times New Roman" w:hAnsi="Times New Roman"/>
          <w:sz w:val="28"/>
          <w:szCs w:val="28"/>
        </w:rPr>
        <w:t xml:space="preserve"> </w:t>
      </w:r>
      <w:r>
        <w:rPr>
          <w:rFonts w:ascii="Times New Roman" w:hAnsi="Times New Roman"/>
          <w:sz w:val="28"/>
          <w:szCs w:val="28"/>
        </w:rPr>
        <w:t>49,0</w:t>
      </w:r>
      <w:r w:rsidRPr="00B8410E">
        <w:t xml:space="preserve"> </w:t>
      </w:r>
      <w:r w:rsidRPr="00EA3160">
        <w:rPr>
          <w:rFonts w:ascii="Times New Roman" w:hAnsi="Times New Roman"/>
          <w:sz w:val="28"/>
          <w:szCs w:val="28"/>
        </w:rPr>
        <w:t>тыс. руб.</w:t>
      </w:r>
    </w:p>
    <w:p w:rsidR="00E11A98" w:rsidRPr="00EA3160" w:rsidRDefault="00E11A98" w:rsidP="001B60F5">
      <w:pPr>
        <w:spacing w:after="0" w:line="240" w:lineRule="auto"/>
        <w:ind w:firstLine="426"/>
        <w:jc w:val="both"/>
        <w:rPr>
          <w:rFonts w:ascii="Times New Roman" w:hAnsi="Times New Roman"/>
          <w:sz w:val="28"/>
          <w:szCs w:val="28"/>
        </w:rPr>
      </w:pPr>
      <w:r>
        <w:rPr>
          <w:rFonts w:ascii="Times New Roman" w:hAnsi="Times New Roman"/>
          <w:sz w:val="28"/>
          <w:szCs w:val="28"/>
        </w:rPr>
        <w:t>По итогам 2018 года т</w:t>
      </w:r>
      <w:r w:rsidRPr="00EA3160">
        <w:rPr>
          <w:rFonts w:ascii="Times New Roman" w:hAnsi="Times New Roman"/>
          <w:sz w:val="28"/>
          <w:szCs w:val="28"/>
        </w:rPr>
        <w:t xml:space="preserve">екущие затраты </w:t>
      </w:r>
      <w:r>
        <w:rPr>
          <w:rFonts w:ascii="Times New Roman" w:hAnsi="Times New Roman"/>
          <w:sz w:val="28"/>
          <w:szCs w:val="28"/>
        </w:rPr>
        <w:t xml:space="preserve">ГУП «Почта Приднестровья» </w:t>
      </w:r>
      <w:r w:rsidRPr="00EA3160">
        <w:rPr>
          <w:rFonts w:ascii="Times New Roman" w:hAnsi="Times New Roman"/>
          <w:sz w:val="28"/>
          <w:szCs w:val="28"/>
        </w:rPr>
        <w:t xml:space="preserve">по основным видам деятельности </w:t>
      </w:r>
      <w:r>
        <w:rPr>
          <w:rFonts w:ascii="Times New Roman" w:hAnsi="Times New Roman"/>
          <w:sz w:val="28"/>
          <w:szCs w:val="28"/>
        </w:rPr>
        <w:t xml:space="preserve">увеличились </w:t>
      </w:r>
      <w:r w:rsidRPr="00EA3160">
        <w:rPr>
          <w:rFonts w:ascii="Times New Roman" w:hAnsi="Times New Roman"/>
          <w:sz w:val="28"/>
          <w:szCs w:val="28"/>
        </w:rPr>
        <w:t xml:space="preserve">на </w:t>
      </w:r>
      <w:r>
        <w:rPr>
          <w:rFonts w:ascii="Times New Roman" w:hAnsi="Times New Roman"/>
          <w:sz w:val="28"/>
          <w:szCs w:val="28"/>
        </w:rPr>
        <w:t>5,2</w:t>
      </w:r>
      <w:r w:rsidRPr="00EA3160">
        <w:rPr>
          <w:rFonts w:ascii="Times New Roman" w:hAnsi="Times New Roman"/>
          <w:sz w:val="28"/>
          <w:szCs w:val="28"/>
        </w:rPr>
        <w:t>%</w:t>
      </w:r>
      <w:r>
        <w:rPr>
          <w:rFonts w:ascii="Times New Roman" w:hAnsi="Times New Roman"/>
          <w:sz w:val="28"/>
          <w:szCs w:val="28"/>
        </w:rPr>
        <w:t xml:space="preserve"> к уровню 2017 года</w:t>
      </w:r>
      <w:r w:rsidRPr="00EA3160">
        <w:rPr>
          <w:rFonts w:ascii="Times New Roman" w:hAnsi="Times New Roman"/>
          <w:sz w:val="28"/>
          <w:szCs w:val="28"/>
        </w:rPr>
        <w:t xml:space="preserve">, составив </w:t>
      </w:r>
      <w:r>
        <w:rPr>
          <w:rFonts w:ascii="Times New Roman" w:hAnsi="Times New Roman"/>
          <w:sz w:val="28"/>
          <w:szCs w:val="28"/>
        </w:rPr>
        <w:t>25 558,0</w:t>
      </w:r>
      <w:r w:rsidRPr="00EA3160">
        <w:rPr>
          <w:rFonts w:ascii="Times New Roman" w:hAnsi="Times New Roman"/>
          <w:sz w:val="28"/>
          <w:szCs w:val="28"/>
        </w:rPr>
        <w:t xml:space="preserve"> тыс. руб., из которых </w:t>
      </w:r>
      <w:r>
        <w:rPr>
          <w:rFonts w:ascii="Times New Roman" w:hAnsi="Times New Roman"/>
          <w:sz w:val="28"/>
          <w:szCs w:val="28"/>
        </w:rPr>
        <w:t>82,1</w:t>
      </w:r>
      <w:r w:rsidRPr="00EA3160">
        <w:rPr>
          <w:rFonts w:ascii="Times New Roman" w:hAnsi="Times New Roman"/>
          <w:sz w:val="28"/>
          <w:szCs w:val="28"/>
        </w:rPr>
        <w:t>%</w:t>
      </w:r>
      <w:r w:rsidR="001B60F5">
        <w:rPr>
          <w:rFonts w:ascii="Times New Roman" w:hAnsi="Times New Roman"/>
          <w:sz w:val="28"/>
          <w:szCs w:val="28"/>
        </w:rPr>
        <w:t>,</w:t>
      </w:r>
      <w:r w:rsidRPr="00EA3160">
        <w:rPr>
          <w:rFonts w:ascii="Times New Roman" w:hAnsi="Times New Roman"/>
          <w:sz w:val="28"/>
          <w:szCs w:val="28"/>
        </w:rPr>
        <w:t xml:space="preserve"> или </w:t>
      </w:r>
      <w:r>
        <w:rPr>
          <w:rFonts w:ascii="Times New Roman" w:hAnsi="Times New Roman"/>
          <w:sz w:val="28"/>
          <w:szCs w:val="28"/>
        </w:rPr>
        <w:t>20 984,0</w:t>
      </w:r>
      <w:r w:rsidRPr="00EA3160">
        <w:rPr>
          <w:rFonts w:ascii="Times New Roman" w:hAnsi="Times New Roman"/>
          <w:sz w:val="28"/>
          <w:szCs w:val="28"/>
        </w:rPr>
        <w:t xml:space="preserve"> тыс. руб.</w:t>
      </w:r>
      <w:r w:rsidR="001B60F5">
        <w:rPr>
          <w:rFonts w:ascii="Times New Roman" w:hAnsi="Times New Roman"/>
          <w:sz w:val="28"/>
          <w:szCs w:val="28"/>
        </w:rPr>
        <w:t>,</w:t>
      </w:r>
      <w:r w:rsidRPr="00EA3160">
        <w:rPr>
          <w:rFonts w:ascii="Times New Roman" w:hAnsi="Times New Roman"/>
          <w:sz w:val="28"/>
          <w:szCs w:val="28"/>
        </w:rPr>
        <w:t xml:space="preserve"> пришлось на оплату труда работников и уплату единого социального налога (ЕСН), абсолютная величина которых увеличилась на </w:t>
      </w:r>
      <w:r>
        <w:rPr>
          <w:rFonts w:ascii="Times New Roman" w:hAnsi="Times New Roman"/>
          <w:sz w:val="28"/>
          <w:szCs w:val="28"/>
        </w:rPr>
        <w:t>7,3</w:t>
      </w:r>
      <w:r w:rsidRPr="00EA3160">
        <w:rPr>
          <w:rFonts w:ascii="Times New Roman" w:hAnsi="Times New Roman"/>
          <w:sz w:val="28"/>
          <w:szCs w:val="28"/>
        </w:rPr>
        <w:t>%.</w:t>
      </w:r>
    </w:p>
    <w:p w:rsidR="00E11A98" w:rsidRPr="00EA3160" w:rsidRDefault="00E11A98" w:rsidP="001B60F5">
      <w:pPr>
        <w:spacing w:after="0" w:line="240" w:lineRule="auto"/>
        <w:ind w:firstLine="426"/>
        <w:jc w:val="both"/>
        <w:rPr>
          <w:rFonts w:ascii="Times New Roman" w:hAnsi="Times New Roman"/>
          <w:sz w:val="28"/>
          <w:szCs w:val="28"/>
        </w:rPr>
      </w:pPr>
      <w:r w:rsidRPr="00EA3160">
        <w:rPr>
          <w:rFonts w:ascii="Times New Roman" w:hAnsi="Times New Roman"/>
          <w:sz w:val="28"/>
          <w:szCs w:val="28"/>
        </w:rPr>
        <w:lastRenderedPageBreak/>
        <w:t xml:space="preserve">Кредиторская задолженность по оплате труда </w:t>
      </w:r>
      <w:r>
        <w:rPr>
          <w:rFonts w:ascii="Times New Roman" w:hAnsi="Times New Roman"/>
          <w:sz w:val="28"/>
          <w:szCs w:val="28"/>
        </w:rPr>
        <w:t xml:space="preserve">по состоянию на </w:t>
      </w:r>
      <w:r w:rsidRPr="00EA3160">
        <w:rPr>
          <w:rFonts w:ascii="Times New Roman" w:hAnsi="Times New Roman"/>
          <w:sz w:val="28"/>
          <w:szCs w:val="28"/>
        </w:rPr>
        <w:t>1</w:t>
      </w:r>
      <w:r>
        <w:t> </w:t>
      </w:r>
      <w:r w:rsidRPr="00EA3160">
        <w:rPr>
          <w:rFonts w:ascii="Times New Roman" w:hAnsi="Times New Roman"/>
          <w:sz w:val="28"/>
          <w:szCs w:val="28"/>
        </w:rPr>
        <w:t>января 201</w:t>
      </w:r>
      <w:r>
        <w:rPr>
          <w:rFonts w:ascii="Times New Roman" w:hAnsi="Times New Roman"/>
          <w:sz w:val="28"/>
          <w:szCs w:val="28"/>
        </w:rPr>
        <w:t>9</w:t>
      </w:r>
      <w:r w:rsidRPr="00EA3160">
        <w:rPr>
          <w:rFonts w:ascii="Times New Roman" w:hAnsi="Times New Roman"/>
          <w:sz w:val="28"/>
          <w:szCs w:val="28"/>
        </w:rPr>
        <w:t xml:space="preserve"> года, после предоставления дотаций из республиканского бюджета в сумме </w:t>
      </w:r>
      <w:r>
        <w:rPr>
          <w:rFonts w:ascii="Times New Roman" w:hAnsi="Times New Roman"/>
          <w:sz w:val="28"/>
          <w:szCs w:val="28"/>
        </w:rPr>
        <w:t>20 199,0</w:t>
      </w:r>
      <w:r w:rsidRPr="00EA3160">
        <w:rPr>
          <w:rFonts w:ascii="Times New Roman" w:hAnsi="Times New Roman"/>
          <w:sz w:val="28"/>
          <w:szCs w:val="28"/>
        </w:rPr>
        <w:t xml:space="preserve"> тыс. руб., составила 1</w:t>
      </w:r>
      <w:r>
        <w:rPr>
          <w:rFonts w:ascii="Times New Roman" w:hAnsi="Times New Roman"/>
          <w:sz w:val="28"/>
          <w:szCs w:val="28"/>
        </w:rPr>
        <w:t> 510,0</w:t>
      </w:r>
      <w:r w:rsidRPr="00EA3160">
        <w:rPr>
          <w:rFonts w:ascii="Times New Roman" w:hAnsi="Times New Roman"/>
          <w:sz w:val="28"/>
          <w:szCs w:val="28"/>
        </w:rPr>
        <w:t xml:space="preserve"> тыс. руб., при этом общая сумма кредиторской задолженности возросла на </w:t>
      </w:r>
      <w:r>
        <w:rPr>
          <w:rFonts w:ascii="Times New Roman" w:hAnsi="Times New Roman"/>
          <w:sz w:val="28"/>
          <w:szCs w:val="28"/>
        </w:rPr>
        <w:t>4,9</w:t>
      </w:r>
      <w:r w:rsidRPr="00EA3160">
        <w:rPr>
          <w:rFonts w:ascii="Times New Roman" w:hAnsi="Times New Roman"/>
          <w:sz w:val="28"/>
          <w:szCs w:val="28"/>
        </w:rPr>
        <w:t>% до 7</w:t>
      </w:r>
      <w:r>
        <w:rPr>
          <w:rFonts w:ascii="Times New Roman" w:hAnsi="Times New Roman"/>
          <w:sz w:val="28"/>
          <w:szCs w:val="28"/>
        </w:rPr>
        <w:t xml:space="preserve"> 646,9 </w:t>
      </w:r>
      <w:r w:rsidRPr="00EA3160">
        <w:rPr>
          <w:rFonts w:ascii="Times New Roman" w:hAnsi="Times New Roman"/>
          <w:sz w:val="28"/>
          <w:szCs w:val="28"/>
        </w:rPr>
        <w:t>тыс. руб. Необходимо отметить, что поступающие дотации из республиканского бюджета для компенсации убытков от предоставления универсальных услуг по тарифам</w:t>
      </w:r>
      <w:r w:rsidR="001B60F5">
        <w:rPr>
          <w:rFonts w:ascii="Times New Roman" w:hAnsi="Times New Roman"/>
          <w:sz w:val="28"/>
          <w:szCs w:val="28"/>
        </w:rPr>
        <w:t>,</w:t>
      </w:r>
      <w:r w:rsidRPr="00EA3160">
        <w:rPr>
          <w:rFonts w:ascii="Times New Roman" w:hAnsi="Times New Roman"/>
          <w:sz w:val="28"/>
          <w:szCs w:val="28"/>
        </w:rPr>
        <w:t xml:space="preserve"> не покрывающим затраты на их производство, направляется только на возмещение затрат по заработной плате.</w:t>
      </w:r>
    </w:p>
    <w:p w:rsidR="00E11A98" w:rsidRPr="00FB46EC" w:rsidRDefault="00E11A98" w:rsidP="00E11A98">
      <w:pPr>
        <w:spacing w:after="0" w:line="240" w:lineRule="auto"/>
        <w:ind w:firstLine="426"/>
        <w:jc w:val="both"/>
        <w:rPr>
          <w:rFonts w:ascii="Times New Roman" w:hAnsi="Times New Roman"/>
          <w:sz w:val="28"/>
          <w:szCs w:val="28"/>
        </w:rPr>
      </w:pPr>
      <w:r>
        <w:rPr>
          <w:rFonts w:ascii="Times New Roman" w:hAnsi="Times New Roman"/>
          <w:sz w:val="28"/>
          <w:szCs w:val="28"/>
        </w:rPr>
        <w:t>С целью</w:t>
      </w:r>
      <w:r w:rsidRPr="00FB46EC">
        <w:rPr>
          <w:rFonts w:ascii="Times New Roman" w:hAnsi="Times New Roman"/>
          <w:sz w:val="28"/>
          <w:szCs w:val="28"/>
        </w:rPr>
        <w:t xml:space="preserve"> созда</w:t>
      </w:r>
      <w:r>
        <w:rPr>
          <w:rFonts w:ascii="Times New Roman" w:hAnsi="Times New Roman"/>
          <w:sz w:val="28"/>
          <w:szCs w:val="28"/>
        </w:rPr>
        <w:t>ния</w:t>
      </w:r>
      <w:r w:rsidRPr="00FB46EC">
        <w:rPr>
          <w:rFonts w:ascii="Times New Roman" w:hAnsi="Times New Roman"/>
          <w:sz w:val="28"/>
          <w:szCs w:val="28"/>
        </w:rPr>
        <w:t xml:space="preserve"> современн</w:t>
      </w:r>
      <w:r>
        <w:rPr>
          <w:rFonts w:ascii="Times New Roman" w:hAnsi="Times New Roman"/>
          <w:sz w:val="28"/>
          <w:szCs w:val="28"/>
        </w:rPr>
        <w:t>ой</w:t>
      </w:r>
      <w:r w:rsidRPr="00FB46EC">
        <w:rPr>
          <w:rFonts w:ascii="Times New Roman" w:hAnsi="Times New Roman"/>
          <w:sz w:val="28"/>
          <w:szCs w:val="28"/>
        </w:rPr>
        <w:t xml:space="preserve"> почтов</w:t>
      </w:r>
      <w:r>
        <w:rPr>
          <w:rFonts w:ascii="Times New Roman" w:hAnsi="Times New Roman"/>
          <w:sz w:val="28"/>
          <w:szCs w:val="28"/>
        </w:rPr>
        <w:t>ой</w:t>
      </w:r>
      <w:r w:rsidRPr="00FB46EC">
        <w:rPr>
          <w:rFonts w:ascii="Times New Roman" w:hAnsi="Times New Roman"/>
          <w:sz w:val="28"/>
          <w:szCs w:val="28"/>
        </w:rPr>
        <w:t xml:space="preserve"> инфраструктур</w:t>
      </w:r>
      <w:r>
        <w:rPr>
          <w:rFonts w:ascii="Times New Roman" w:hAnsi="Times New Roman"/>
          <w:sz w:val="28"/>
          <w:szCs w:val="28"/>
        </w:rPr>
        <w:t xml:space="preserve">ы с </w:t>
      </w:r>
      <w:r w:rsidRPr="00FB46EC">
        <w:rPr>
          <w:rFonts w:ascii="Times New Roman" w:hAnsi="Times New Roman"/>
          <w:sz w:val="28"/>
          <w:szCs w:val="28"/>
        </w:rPr>
        <w:t>оптимиз</w:t>
      </w:r>
      <w:r>
        <w:rPr>
          <w:rFonts w:ascii="Times New Roman" w:hAnsi="Times New Roman"/>
          <w:sz w:val="28"/>
          <w:szCs w:val="28"/>
        </w:rPr>
        <w:t xml:space="preserve">ированной </w:t>
      </w:r>
      <w:r w:rsidRPr="00FB46EC">
        <w:rPr>
          <w:rFonts w:ascii="Times New Roman" w:hAnsi="Times New Roman"/>
          <w:sz w:val="28"/>
          <w:szCs w:val="28"/>
        </w:rPr>
        <w:t>структур</w:t>
      </w:r>
      <w:r>
        <w:rPr>
          <w:rFonts w:ascii="Times New Roman" w:hAnsi="Times New Roman"/>
          <w:sz w:val="28"/>
          <w:szCs w:val="28"/>
        </w:rPr>
        <w:t>ой</w:t>
      </w:r>
      <w:r w:rsidRPr="00FB46EC">
        <w:rPr>
          <w:rFonts w:ascii="Times New Roman" w:hAnsi="Times New Roman"/>
          <w:sz w:val="28"/>
          <w:szCs w:val="28"/>
        </w:rPr>
        <w:t xml:space="preserve"> и метод</w:t>
      </w:r>
      <w:r>
        <w:rPr>
          <w:rFonts w:ascii="Times New Roman" w:hAnsi="Times New Roman"/>
          <w:sz w:val="28"/>
          <w:szCs w:val="28"/>
        </w:rPr>
        <w:t>ами</w:t>
      </w:r>
      <w:r w:rsidRPr="00FB46EC">
        <w:rPr>
          <w:rFonts w:ascii="Times New Roman" w:hAnsi="Times New Roman"/>
          <w:sz w:val="28"/>
          <w:szCs w:val="28"/>
        </w:rPr>
        <w:t xml:space="preserve"> управления </w:t>
      </w:r>
      <w:r>
        <w:rPr>
          <w:rFonts w:ascii="Times New Roman" w:hAnsi="Times New Roman"/>
          <w:sz w:val="28"/>
          <w:szCs w:val="28"/>
        </w:rPr>
        <w:t>в</w:t>
      </w:r>
      <w:r w:rsidRPr="00FB46EC">
        <w:rPr>
          <w:rFonts w:ascii="Times New Roman" w:hAnsi="Times New Roman"/>
          <w:sz w:val="28"/>
          <w:szCs w:val="28"/>
        </w:rPr>
        <w:t xml:space="preserve"> </w:t>
      </w:r>
      <w:r>
        <w:rPr>
          <w:rFonts w:ascii="Times New Roman" w:hAnsi="Times New Roman"/>
          <w:sz w:val="28"/>
          <w:szCs w:val="28"/>
          <w:lang w:val="en-US"/>
        </w:rPr>
        <w:t>I</w:t>
      </w:r>
      <w:r w:rsidRPr="00FB46EC">
        <w:rPr>
          <w:rFonts w:ascii="Times New Roman" w:hAnsi="Times New Roman"/>
          <w:sz w:val="28"/>
          <w:szCs w:val="28"/>
        </w:rPr>
        <w:t xml:space="preserve"> полугодии 2018</w:t>
      </w:r>
      <w:r>
        <w:rPr>
          <w:rFonts w:ascii="Times New Roman" w:hAnsi="Times New Roman"/>
          <w:sz w:val="28"/>
          <w:szCs w:val="28"/>
        </w:rPr>
        <w:t> </w:t>
      </w:r>
      <w:r w:rsidRPr="00FB46EC">
        <w:rPr>
          <w:rFonts w:ascii="Times New Roman" w:hAnsi="Times New Roman"/>
          <w:sz w:val="28"/>
          <w:szCs w:val="28"/>
        </w:rPr>
        <w:t xml:space="preserve">года </w:t>
      </w:r>
      <w:r>
        <w:rPr>
          <w:rFonts w:ascii="Times New Roman" w:hAnsi="Times New Roman"/>
          <w:sz w:val="28"/>
          <w:szCs w:val="28"/>
        </w:rPr>
        <w:t xml:space="preserve">был </w:t>
      </w:r>
      <w:r w:rsidRPr="00FB46EC">
        <w:rPr>
          <w:rFonts w:ascii="Times New Roman" w:hAnsi="Times New Roman"/>
          <w:sz w:val="28"/>
          <w:szCs w:val="28"/>
        </w:rPr>
        <w:t>завершен процесс реорганизаци</w:t>
      </w:r>
      <w:r>
        <w:rPr>
          <w:rFonts w:ascii="Times New Roman" w:hAnsi="Times New Roman"/>
          <w:sz w:val="28"/>
          <w:szCs w:val="28"/>
        </w:rPr>
        <w:t>и</w:t>
      </w:r>
      <w:r w:rsidRPr="00FB46EC">
        <w:rPr>
          <w:rFonts w:ascii="Times New Roman" w:hAnsi="Times New Roman"/>
          <w:sz w:val="28"/>
          <w:szCs w:val="28"/>
        </w:rPr>
        <w:t xml:space="preserve"> предприятия ГУП</w:t>
      </w:r>
      <w:r>
        <w:rPr>
          <w:rFonts w:ascii="Times New Roman" w:hAnsi="Times New Roman"/>
          <w:sz w:val="28"/>
          <w:szCs w:val="28"/>
          <w:lang w:val="en-US"/>
        </w:rPr>
        <w:t> </w:t>
      </w:r>
      <w:r w:rsidRPr="00FB46EC">
        <w:rPr>
          <w:rFonts w:ascii="Times New Roman" w:hAnsi="Times New Roman"/>
          <w:sz w:val="28"/>
          <w:szCs w:val="28"/>
        </w:rPr>
        <w:t>«Почта Приднестровья</w:t>
      </w:r>
      <w:r>
        <w:rPr>
          <w:rFonts w:ascii="Times New Roman" w:hAnsi="Times New Roman"/>
          <w:sz w:val="28"/>
          <w:szCs w:val="28"/>
        </w:rPr>
        <w:t>». Ц</w:t>
      </w:r>
      <w:r w:rsidRPr="00FB46EC">
        <w:rPr>
          <w:rFonts w:ascii="Times New Roman" w:hAnsi="Times New Roman"/>
          <w:sz w:val="28"/>
          <w:szCs w:val="28"/>
        </w:rPr>
        <w:t>ентрализ</w:t>
      </w:r>
      <w:r>
        <w:rPr>
          <w:rFonts w:ascii="Times New Roman" w:hAnsi="Times New Roman"/>
          <w:sz w:val="28"/>
          <w:szCs w:val="28"/>
        </w:rPr>
        <w:t xml:space="preserve">ация </w:t>
      </w:r>
      <w:r w:rsidRPr="00FB46EC">
        <w:rPr>
          <w:rFonts w:ascii="Times New Roman" w:hAnsi="Times New Roman"/>
          <w:sz w:val="28"/>
          <w:szCs w:val="28"/>
        </w:rPr>
        <w:t>управлени</w:t>
      </w:r>
      <w:r>
        <w:rPr>
          <w:rFonts w:ascii="Times New Roman" w:hAnsi="Times New Roman"/>
          <w:sz w:val="28"/>
          <w:szCs w:val="28"/>
        </w:rPr>
        <w:t>я</w:t>
      </w:r>
      <w:r w:rsidRPr="00FB46EC">
        <w:rPr>
          <w:rFonts w:ascii="Times New Roman" w:hAnsi="Times New Roman"/>
          <w:sz w:val="28"/>
          <w:szCs w:val="28"/>
        </w:rPr>
        <w:t xml:space="preserve"> хозяйственной деятельностью и качеством услуг сети почтовой связи</w:t>
      </w:r>
      <w:r>
        <w:rPr>
          <w:rFonts w:ascii="Times New Roman" w:hAnsi="Times New Roman"/>
          <w:sz w:val="28"/>
          <w:szCs w:val="28"/>
        </w:rPr>
        <w:t xml:space="preserve"> направлена на</w:t>
      </w:r>
      <w:r w:rsidRPr="00FB46EC">
        <w:rPr>
          <w:rFonts w:ascii="Times New Roman" w:hAnsi="Times New Roman"/>
          <w:sz w:val="28"/>
          <w:szCs w:val="28"/>
        </w:rPr>
        <w:t xml:space="preserve"> повы</w:t>
      </w:r>
      <w:r>
        <w:rPr>
          <w:rFonts w:ascii="Times New Roman" w:hAnsi="Times New Roman"/>
          <w:sz w:val="28"/>
          <w:szCs w:val="28"/>
        </w:rPr>
        <w:t xml:space="preserve">шение </w:t>
      </w:r>
      <w:r w:rsidRPr="00FB46EC">
        <w:rPr>
          <w:rFonts w:ascii="Times New Roman" w:hAnsi="Times New Roman"/>
          <w:sz w:val="28"/>
          <w:szCs w:val="28"/>
        </w:rPr>
        <w:t>эффективност</w:t>
      </w:r>
      <w:r>
        <w:rPr>
          <w:rFonts w:ascii="Times New Roman" w:hAnsi="Times New Roman"/>
          <w:sz w:val="28"/>
          <w:szCs w:val="28"/>
        </w:rPr>
        <w:t>и</w:t>
      </w:r>
      <w:r w:rsidRPr="00FB46EC">
        <w:rPr>
          <w:rFonts w:ascii="Times New Roman" w:hAnsi="Times New Roman"/>
          <w:sz w:val="28"/>
          <w:szCs w:val="28"/>
        </w:rPr>
        <w:t xml:space="preserve"> использования государственного имущества, </w:t>
      </w:r>
      <w:r>
        <w:rPr>
          <w:rFonts w:ascii="Times New Roman" w:hAnsi="Times New Roman"/>
          <w:sz w:val="28"/>
          <w:szCs w:val="28"/>
        </w:rPr>
        <w:t xml:space="preserve">а также </w:t>
      </w:r>
      <w:r w:rsidRPr="00FB46EC">
        <w:rPr>
          <w:rFonts w:ascii="Times New Roman" w:hAnsi="Times New Roman"/>
          <w:sz w:val="28"/>
          <w:szCs w:val="28"/>
        </w:rPr>
        <w:t>обеспечени</w:t>
      </w:r>
      <w:r>
        <w:rPr>
          <w:rFonts w:ascii="Times New Roman" w:hAnsi="Times New Roman"/>
          <w:sz w:val="28"/>
          <w:szCs w:val="28"/>
        </w:rPr>
        <w:t>я</w:t>
      </w:r>
      <w:r w:rsidRPr="00FB46EC">
        <w:rPr>
          <w:rFonts w:ascii="Times New Roman" w:hAnsi="Times New Roman"/>
          <w:sz w:val="28"/>
          <w:szCs w:val="28"/>
        </w:rPr>
        <w:t xml:space="preserve"> прозрачности финансовой деятельности предприяти</w:t>
      </w:r>
      <w:r>
        <w:rPr>
          <w:rFonts w:ascii="Times New Roman" w:hAnsi="Times New Roman"/>
          <w:sz w:val="28"/>
          <w:szCs w:val="28"/>
        </w:rPr>
        <w:t xml:space="preserve">й почтовой связи. </w:t>
      </w:r>
    </w:p>
    <w:p w:rsidR="00E11A98" w:rsidRPr="00FB46EC" w:rsidRDefault="00E11A98" w:rsidP="00E11A98">
      <w:pPr>
        <w:spacing w:after="0" w:line="240" w:lineRule="auto"/>
        <w:ind w:firstLine="426"/>
        <w:jc w:val="both"/>
        <w:rPr>
          <w:rFonts w:ascii="Times New Roman" w:hAnsi="Times New Roman"/>
          <w:sz w:val="28"/>
          <w:szCs w:val="28"/>
        </w:rPr>
      </w:pPr>
      <w:r w:rsidRPr="00FB46EC">
        <w:rPr>
          <w:rFonts w:ascii="Times New Roman" w:hAnsi="Times New Roman"/>
          <w:sz w:val="28"/>
          <w:szCs w:val="28"/>
        </w:rPr>
        <w:t>В целях повышения качества обслуживания населения в сети почтовой связи функционирует программное обеспечение, позволяющее отслеживать местонахождение входящих регистрируемых международных почтовых отправлений по трек-кодам на официальном сайте ГУП «Почта Приднестровья».</w:t>
      </w:r>
      <w:r>
        <w:rPr>
          <w:rFonts w:ascii="Times New Roman" w:hAnsi="Times New Roman"/>
          <w:sz w:val="28"/>
          <w:szCs w:val="28"/>
        </w:rPr>
        <w:t xml:space="preserve"> Также в</w:t>
      </w:r>
      <w:r w:rsidRPr="00FB46EC">
        <w:rPr>
          <w:rFonts w:ascii="Times New Roman" w:hAnsi="Times New Roman"/>
          <w:sz w:val="28"/>
          <w:szCs w:val="28"/>
        </w:rPr>
        <w:t xml:space="preserve"> настоящее время проводится работа по внедрению на государственных предприятиях почтовой связи банковских услуг по погашению кредитов и осуществлению ускоренных денежных переводов по Приднестров</w:t>
      </w:r>
      <w:r>
        <w:rPr>
          <w:rFonts w:ascii="Times New Roman" w:hAnsi="Times New Roman"/>
          <w:sz w:val="28"/>
          <w:szCs w:val="28"/>
        </w:rPr>
        <w:t>ью</w:t>
      </w:r>
      <w:r w:rsidRPr="00FB46EC">
        <w:rPr>
          <w:rFonts w:ascii="Times New Roman" w:hAnsi="Times New Roman"/>
          <w:sz w:val="28"/>
          <w:szCs w:val="28"/>
        </w:rPr>
        <w:t xml:space="preserve">. </w:t>
      </w:r>
    </w:p>
    <w:p w:rsidR="00E11A98" w:rsidRDefault="00E11A98" w:rsidP="007D3AA7">
      <w:pPr>
        <w:pStyle w:val="ae"/>
        <w:ind w:firstLine="426"/>
        <w:jc w:val="left"/>
        <w:rPr>
          <w:szCs w:val="28"/>
        </w:rPr>
      </w:pPr>
    </w:p>
    <w:p w:rsidR="008C182C" w:rsidRPr="0021689F" w:rsidRDefault="008C182C" w:rsidP="008C182C">
      <w:pPr>
        <w:shd w:val="clear" w:color="auto" w:fill="FFFFFF"/>
        <w:spacing w:after="0" w:line="240" w:lineRule="auto"/>
        <w:ind w:firstLine="426"/>
        <w:contextualSpacing/>
        <w:jc w:val="both"/>
        <w:rPr>
          <w:rFonts w:ascii="Times New Roman" w:hAnsi="Times New Roman"/>
          <w:b/>
          <w:color w:val="000000"/>
          <w:sz w:val="28"/>
          <w:szCs w:val="28"/>
        </w:rPr>
      </w:pPr>
      <w:r w:rsidRPr="0021689F">
        <w:rPr>
          <w:rFonts w:ascii="Times New Roman" w:hAnsi="Times New Roman"/>
          <w:b/>
          <w:sz w:val="28"/>
          <w:szCs w:val="28"/>
        </w:rPr>
        <w:t>В</w:t>
      </w:r>
      <w:r w:rsidRPr="0021689F">
        <w:rPr>
          <w:rFonts w:ascii="Times New Roman" w:hAnsi="Times New Roman"/>
          <w:b/>
          <w:color w:val="000000"/>
          <w:sz w:val="28"/>
          <w:szCs w:val="28"/>
        </w:rPr>
        <w:t>нешнеэкономическая деятельность</w:t>
      </w:r>
      <w:r w:rsidRPr="0021689F">
        <w:rPr>
          <w:rStyle w:val="aff"/>
          <w:b/>
          <w:color w:val="000000"/>
          <w:sz w:val="28"/>
          <w:szCs w:val="28"/>
        </w:rPr>
        <w:footnoteReference w:id="1"/>
      </w:r>
    </w:p>
    <w:p w:rsidR="008C182C" w:rsidRPr="0021689F" w:rsidRDefault="008C182C" w:rsidP="008C182C">
      <w:pPr>
        <w:shd w:val="clear" w:color="auto" w:fill="FFFFFF"/>
        <w:spacing w:after="0" w:line="240" w:lineRule="auto"/>
        <w:ind w:firstLine="426"/>
        <w:contextualSpacing/>
        <w:jc w:val="both"/>
        <w:rPr>
          <w:rFonts w:ascii="Times New Roman" w:hAnsi="Times New Roman"/>
          <w:color w:val="000000"/>
          <w:sz w:val="28"/>
          <w:szCs w:val="28"/>
        </w:rPr>
      </w:pPr>
    </w:p>
    <w:p w:rsidR="003F1E7D" w:rsidRDefault="008C182C" w:rsidP="008C182C">
      <w:pPr>
        <w:spacing w:after="0" w:line="240" w:lineRule="auto"/>
        <w:ind w:firstLine="426"/>
        <w:jc w:val="both"/>
        <w:rPr>
          <w:rFonts w:ascii="Times New Roman" w:hAnsi="Times New Roman"/>
          <w:sz w:val="28"/>
          <w:szCs w:val="28"/>
        </w:rPr>
      </w:pPr>
      <w:r w:rsidRPr="0021689F">
        <w:rPr>
          <w:rFonts w:ascii="Times New Roman" w:hAnsi="Times New Roman"/>
          <w:sz w:val="28"/>
          <w:szCs w:val="28"/>
        </w:rPr>
        <w:t>Складывающаяся на протяжении 2018 года ситуация во внешнеэкономической сфере республики характеризовалась разновекторной направленностью. Так, если в I полугодии на фоне устойчивой производственной деятельности ведущих экспортоориен</w:t>
      </w:r>
    </w:p>
    <w:p w:rsidR="008C182C" w:rsidRPr="0021689F" w:rsidRDefault="008C182C" w:rsidP="008C182C">
      <w:pPr>
        <w:spacing w:after="0" w:line="240" w:lineRule="auto"/>
        <w:ind w:firstLine="426"/>
        <w:jc w:val="both"/>
        <w:rPr>
          <w:rFonts w:ascii="Times New Roman" w:hAnsi="Times New Roman"/>
          <w:sz w:val="28"/>
          <w:szCs w:val="28"/>
        </w:rPr>
      </w:pPr>
      <w:r w:rsidRPr="0021689F">
        <w:rPr>
          <w:rFonts w:ascii="Times New Roman" w:hAnsi="Times New Roman"/>
          <w:sz w:val="28"/>
          <w:szCs w:val="28"/>
        </w:rPr>
        <w:t>тированных предприятий и отчасти низкой базы сравнения 2017 года фиксировалось стремительное наращивание экспортно-импортных поставок, то в дальнейшем нестабильная конъюнктура внешних товарно-сырьевых рынков в совокупности с протекционистскими мерами, принятыми рядом стран – торговых партнеров Приднестровья, стали фактором замедления активности в сфере внешнеторговых операций. Несмотря на трудности, фиксируемые в конце отчетного периода, общие итоги внешней торговли республики характеризовались формированием максимальных за последние четыре года значений как экспортных, так и импортных поставок.</w:t>
      </w:r>
    </w:p>
    <w:p w:rsidR="008C182C" w:rsidRPr="0021689F" w:rsidRDefault="008C182C" w:rsidP="008C182C">
      <w:pPr>
        <w:spacing w:after="0" w:line="240" w:lineRule="auto"/>
        <w:ind w:firstLine="426"/>
        <w:jc w:val="both"/>
        <w:rPr>
          <w:rFonts w:ascii="Times New Roman" w:hAnsi="Times New Roman"/>
          <w:sz w:val="28"/>
          <w:szCs w:val="28"/>
        </w:rPr>
      </w:pPr>
      <w:r w:rsidRPr="0021689F">
        <w:rPr>
          <w:rFonts w:ascii="Times New Roman" w:hAnsi="Times New Roman"/>
          <w:sz w:val="28"/>
          <w:szCs w:val="28"/>
        </w:rPr>
        <w:t xml:space="preserve">Так, в соответствии с данными Государственного таможенного комитета ПМР, по итогам 2018 года стоимостной </w:t>
      </w:r>
      <w:r w:rsidRPr="00D40991">
        <w:rPr>
          <w:rFonts w:ascii="Times New Roman" w:hAnsi="Times New Roman"/>
          <w:sz w:val="28"/>
          <w:szCs w:val="28"/>
        </w:rPr>
        <w:t xml:space="preserve">объём экспорта сложился в размере 697,0 млн долл., превысив базисный уровень 2017 года на 30,3%. Абсолютная величина импорта (с учётом операций физических лиц) составила 1 216,2 млн </w:t>
      </w:r>
      <w:r w:rsidRPr="000E4AEA">
        <w:rPr>
          <w:rFonts w:ascii="Times New Roman" w:hAnsi="Times New Roman"/>
          <w:sz w:val="28"/>
          <w:szCs w:val="28"/>
        </w:rPr>
        <w:lastRenderedPageBreak/>
        <w:t>долл., увеличившись к сопоставимому значению 2017 года</w:t>
      </w:r>
      <w:r w:rsidRPr="000E4AEA">
        <w:rPr>
          <w:rFonts w:ascii="Times New Roman" w:hAnsi="Times New Roman"/>
          <w:b/>
          <w:sz w:val="28"/>
          <w:szCs w:val="28"/>
        </w:rPr>
        <w:t xml:space="preserve"> </w:t>
      </w:r>
      <w:r w:rsidRPr="000E4AEA">
        <w:rPr>
          <w:rFonts w:ascii="Times New Roman" w:hAnsi="Times New Roman"/>
          <w:sz w:val="28"/>
          <w:szCs w:val="28"/>
        </w:rPr>
        <w:t xml:space="preserve">на 23,6%. Совокупная величина внешнеторгового оборота республики сформировалась на уровне 1 913,2 млн долл., расширившись на 26,0%, отрицательное сальдо зафиксировано на уровне </w:t>
      </w:r>
      <w:r w:rsidRPr="000E4AEA">
        <w:rPr>
          <w:rFonts w:ascii="Times New Roman" w:hAnsi="Times New Roman"/>
          <w:b/>
          <w:sz w:val="28"/>
          <w:szCs w:val="28"/>
        </w:rPr>
        <w:t>-</w:t>
      </w:r>
      <w:r w:rsidRPr="000E4AEA">
        <w:rPr>
          <w:rFonts w:ascii="Times New Roman" w:hAnsi="Times New Roman"/>
          <w:sz w:val="28"/>
          <w:szCs w:val="28"/>
        </w:rPr>
        <w:t xml:space="preserve">519,2 млн долл. против -448,9 млн долл. в 2017 году (рис. </w:t>
      </w:r>
      <w:r w:rsidR="000E4AEA" w:rsidRPr="000E4AEA">
        <w:rPr>
          <w:rFonts w:ascii="Times New Roman" w:hAnsi="Times New Roman"/>
          <w:sz w:val="28"/>
          <w:szCs w:val="28"/>
        </w:rPr>
        <w:t>14</w:t>
      </w:r>
      <w:r w:rsidRPr="000E4AEA">
        <w:rPr>
          <w:rFonts w:ascii="Times New Roman" w:hAnsi="Times New Roman"/>
          <w:sz w:val="28"/>
          <w:szCs w:val="28"/>
        </w:rPr>
        <w:t>).</w:t>
      </w:r>
    </w:p>
    <w:p w:rsidR="008C182C" w:rsidRPr="0021689F" w:rsidRDefault="008C182C" w:rsidP="008C182C">
      <w:pPr>
        <w:spacing w:before="120" w:after="0" w:line="240" w:lineRule="auto"/>
        <w:ind w:firstLine="425"/>
        <w:jc w:val="right"/>
        <w:rPr>
          <w:rFonts w:ascii="Times New Roman" w:hAnsi="Times New Roman"/>
          <w:b/>
          <w:i/>
          <w:sz w:val="28"/>
          <w:szCs w:val="28"/>
        </w:rPr>
      </w:pPr>
      <w:r w:rsidRPr="0021689F">
        <w:rPr>
          <w:rFonts w:ascii="Times New Roman" w:hAnsi="Times New Roman"/>
          <w:b/>
          <w:i/>
          <w:sz w:val="28"/>
          <w:szCs w:val="28"/>
        </w:rPr>
        <w:t xml:space="preserve">Рисунок </w:t>
      </w:r>
      <w:r w:rsidR="000E4AEA">
        <w:rPr>
          <w:rFonts w:ascii="Times New Roman" w:hAnsi="Times New Roman"/>
          <w:b/>
          <w:i/>
          <w:sz w:val="28"/>
          <w:szCs w:val="28"/>
        </w:rPr>
        <w:t>14</w:t>
      </w:r>
    </w:p>
    <w:p w:rsidR="008C182C" w:rsidRPr="00962CF5" w:rsidRDefault="008C182C" w:rsidP="008C182C">
      <w:pPr>
        <w:spacing w:after="0" w:line="240" w:lineRule="auto"/>
        <w:jc w:val="both"/>
        <w:rPr>
          <w:rFonts w:ascii="Times New Roman" w:hAnsi="Times New Roman"/>
          <w:sz w:val="24"/>
          <w:szCs w:val="24"/>
        </w:rPr>
      </w:pPr>
      <w:r w:rsidRPr="00962CF5">
        <w:rPr>
          <w:noProof/>
        </w:rPr>
        <w:drawing>
          <wp:inline distT="0" distB="0" distL="0" distR="0">
            <wp:extent cx="6124575" cy="1673225"/>
            <wp:effectExtent l="19050" t="0" r="0" b="0"/>
            <wp:docPr id="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182C" w:rsidRDefault="008C182C" w:rsidP="008C182C">
      <w:pPr>
        <w:spacing w:after="0" w:line="240" w:lineRule="auto"/>
        <w:ind w:firstLine="426"/>
        <w:jc w:val="both"/>
        <w:rPr>
          <w:rFonts w:ascii="Times New Roman" w:hAnsi="Times New Roman"/>
          <w:sz w:val="24"/>
          <w:szCs w:val="24"/>
        </w:rPr>
      </w:pPr>
    </w:p>
    <w:p w:rsidR="008C182C" w:rsidRPr="0021689F" w:rsidRDefault="008C182C" w:rsidP="008C182C">
      <w:pPr>
        <w:spacing w:after="0" w:line="240" w:lineRule="auto"/>
        <w:ind w:firstLine="426"/>
        <w:jc w:val="both"/>
        <w:rPr>
          <w:rFonts w:ascii="Times New Roman" w:hAnsi="Times New Roman"/>
          <w:sz w:val="28"/>
          <w:szCs w:val="28"/>
        </w:rPr>
      </w:pPr>
      <w:r w:rsidRPr="0021689F">
        <w:rPr>
          <w:rFonts w:ascii="Times New Roman" w:hAnsi="Times New Roman"/>
          <w:sz w:val="28"/>
          <w:szCs w:val="28"/>
        </w:rPr>
        <w:t xml:space="preserve">Основные объемы внешнеторговых операций были сформированы во </w:t>
      </w:r>
      <w:r w:rsidRPr="0021689F">
        <w:rPr>
          <w:rFonts w:ascii="Times New Roman" w:hAnsi="Times New Roman"/>
          <w:sz w:val="28"/>
          <w:szCs w:val="28"/>
          <w:lang w:val="en-US"/>
        </w:rPr>
        <w:t>II</w:t>
      </w:r>
      <w:r w:rsidRPr="0021689F">
        <w:rPr>
          <w:rFonts w:ascii="Times New Roman" w:hAnsi="Times New Roman"/>
          <w:sz w:val="28"/>
          <w:szCs w:val="28"/>
        </w:rPr>
        <w:t xml:space="preserve"> </w:t>
      </w:r>
      <w:r w:rsidRPr="00761279">
        <w:rPr>
          <w:rFonts w:ascii="Times New Roman" w:hAnsi="Times New Roman"/>
          <w:sz w:val="28"/>
          <w:szCs w:val="28"/>
        </w:rPr>
        <w:t xml:space="preserve">квартале 2018 года – 26,1% совокупного экспорта и 26,9% итогового импорта. При этом в </w:t>
      </w:r>
      <w:r w:rsidRPr="00761279">
        <w:rPr>
          <w:rFonts w:ascii="Times New Roman" w:hAnsi="Times New Roman"/>
          <w:sz w:val="28"/>
          <w:szCs w:val="28"/>
          <w:lang w:val="en-US"/>
        </w:rPr>
        <w:t>III</w:t>
      </w:r>
      <w:r w:rsidRPr="00761279">
        <w:rPr>
          <w:rFonts w:ascii="Times New Roman" w:hAnsi="Times New Roman"/>
          <w:sz w:val="28"/>
          <w:szCs w:val="28"/>
        </w:rPr>
        <w:t xml:space="preserve"> и </w:t>
      </w:r>
      <w:r w:rsidRPr="00761279">
        <w:rPr>
          <w:rFonts w:ascii="Times New Roman" w:hAnsi="Times New Roman"/>
          <w:sz w:val="28"/>
          <w:szCs w:val="28"/>
          <w:lang w:val="en-US"/>
        </w:rPr>
        <w:t>IV</w:t>
      </w:r>
      <w:r w:rsidRPr="00761279">
        <w:rPr>
          <w:rFonts w:ascii="Times New Roman" w:hAnsi="Times New Roman"/>
          <w:sz w:val="28"/>
          <w:szCs w:val="28"/>
        </w:rPr>
        <w:t xml:space="preserve"> кварталах значительное влияние на динамику экспортно-импортных потоков оказала нестабильная ситуация в чёрной металлургии (рис. </w:t>
      </w:r>
      <w:r w:rsidR="00761279" w:rsidRPr="00761279">
        <w:rPr>
          <w:rFonts w:ascii="Times New Roman" w:hAnsi="Times New Roman"/>
          <w:sz w:val="28"/>
          <w:szCs w:val="28"/>
        </w:rPr>
        <w:t>15</w:t>
      </w:r>
      <w:r w:rsidRPr="00761279">
        <w:rPr>
          <w:rFonts w:ascii="Times New Roman" w:hAnsi="Times New Roman"/>
          <w:sz w:val="28"/>
          <w:szCs w:val="28"/>
        </w:rPr>
        <w:t>).</w:t>
      </w:r>
    </w:p>
    <w:p w:rsidR="008C182C" w:rsidRPr="0021689F" w:rsidRDefault="008C182C" w:rsidP="008C182C">
      <w:pPr>
        <w:spacing w:after="0" w:line="240" w:lineRule="auto"/>
        <w:ind w:firstLine="426"/>
        <w:jc w:val="both"/>
        <w:rPr>
          <w:rFonts w:ascii="Times New Roman" w:hAnsi="Times New Roman"/>
          <w:sz w:val="28"/>
          <w:szCs w:val="28"/>
        </w:rPr>
      </w:pPr>
      <w:r w:rsidRPr="0021689F">
        <w:rPr>
          <w:rFonts w:ascii="Times New Roman" w:hAnsi="Times New Roman"/>
          <w:sz w:val="28"/>
          <w:szCs w:val="28"/>
        </w:rPr>
        <w:t xml:space="preserve">При этом относительно сопоставимых значений 2017 года поквартальная динамика импорта была исключительно повышательной и варьировала в диапазоне от +59,9% во </w:t>
      </w:r>
      <w:r w:rsidRPr="0021689F">
        <w:rPr>
          <w:rFonts w:ascii="Times New Roman" w:hAnsi="Times New Roman"/>
          <w:sz w:val="28"/>
          <w:szCs w:val="28"/>
          <w:lang w:val="en-US"/>
        </w:rPr>
        <w:t>II</w:t>
      </w:r>
      <w:r w:rsidRPr="0021689F">
        <w:rPr>
          <w:rFonts w:ascii="Times New Roman" w:hAnsi="Times New Roman"/>
          <w:sz w:val="28"/>
          <w:szCs w:val="28"/>
        </w:rPr>
        <w:t xml:space="preserve"> квартале до +1,8% в </w:t>
      </w:r>
      <w:r w:rsidRPr="0021689F">
        <w:rPr>
          <w:rFonts w:ascii="Times New Roman" w:hAnsi="Times New Roman"/>
          <w:sz w:val="28"/>
          <w:szCs w:val="28"/>
          <w:lang w:val="en-US"/>
        </w:rPr>
        <w:t>IV</w:t>
      </w:r>
      <w:r w:rsidRPr="0021689F">
        <w:rPr>
          <w:rFonts w:ascii="Times New Roman" w:hAnsi="Times New Roman"/>
          <w:sz w:val="28"/>
          <w:szCs w:val="28"/>
        </w:rPr>
        <w:t xml:space="preserve"> квартале, тогда как динамика экспорта после максимального прироста во </w:t>
      </w:r>
      <w:r w:rsidRPr="0021689F">
        <w:rPr>
          <w:rFonts w:ascii="Times New Roman" w:hAnsi="Times New Roman"/>
          <w:sz w:val="28"/>
          <w:szCs w:val="28"/>
          <w:lang w:val="en-US"/>
        </w:rPr>
        <w:t>II</w:t>
      </w:r>
      <w:r w:rsidRPr="0021689F">
        <w:rPr>
          <w:rFonts w:ascii="Times New Roman" w:hAnsi="Times New Roman"/>
          <w:sz w:val="28"/>
          <w:szCs w:val="28"/>
        </w:rPr>
        <w:t xml:space="preserve"> квартале (+78,6%) сменилась отрицательным вектором в </w:t>
      </w:r>
      <w:r w:rsidRPr="0021689F">
        <w:rPr>
          <w:rFonts w:ascii="Times New Roman" w:hAnsi="Times New Roman"/>
          <w:sz w:val="28"/>
          <w:szCs w:val="28"/>
          <w:lang w:val="en-US"/>
        </w:rPr>
        <w:t>IV</w:t>
      </w:r>
      <w:r w:rsidRPr="0021689F">
        <w:rPr>
          <w:rFonts w:ascii="Times New Roman" w:hAnsi="Times New Roman"/>
          <w:sz w:val="28"/>
          <w:szCs w:val="28"/>
        </w:rPr>
        <w:t> квартале (-1,0%).</w:t>
      </w:r>
    </w:p>
    <w:p w:rsidR="008C182C" w:rsidRPr="0021689F" w:rsidRDefault="008C182C" w:rsidP="008C182C">
      <w:pPr>
        <w:spacing w:before="120" w:after="0" w:line="240" w:lineRule="auto"/>
        <w:ind w:firstLine="425"/>
        <w:jc w:val="right"/>
        <w:rPr>
          <w:rFonts w:ascii="Times New Roman" w:hAnsi="Times New Roman"/>
          <w:b/>
          <w:i/>
          <w:sz w:val="28"/>
          <w:szCs w:val="28"/>
        </w:rPr>
      </w:pPr>
      <w:r w:rsidRPr="0021689F">
        <w:rPr>
          <w:rFonts w:ascii="Times New Roman" w:hAnsi="Times New Roman"/>
          <w:b/>
          <w:i/>
          <w:sz w:val="28"/>
          <w:szCs w:val="28"/>
        </w:rPr>
        <w:t xml:space="preserve">Рисунок </w:t>
      </w:r>
      <w:r w:rsidR="00761279">
        <w:rPr>
          <w:rFonts w:ascii="Times New Roman" w:hAnsi="Times New Roman"/>
          <w:b/>
          <w:i/>
          <w:sz w:val="28"/>
          <w:szCs w:val="28"/>
        </w:rPr>
        <w:t>15</w:t>
      </w:r>
    </w:p>
    <w:p w:rsidR="008C182C" w:rsidRPr="00962CF5" w:rsidRDefault="008C182C" w:rsidP="008C182C">
      <w:pPr>
        <w:spacing w:after="0" w:line="240" w:lineRule="auto"/>
        <w:jc w:val="both"/>
        <w:rPr>
          <w:rFonts w:ascii="Times New Roman" w:hAnsi="Times New Roman"/>
          <w:sz w:val="24"/>
          <w:szCs w:val="24"/>
        </w:rPr>
      </w:pPr>
      <w:r w:rsidRPr="00962CF5">
        <w:rPr>
          <w:rFonts w:ascii="Times New Roman" w:hAnsi="Times New Roman"/>
          <w:noProof/>
          <w:sz w:val="24"/>
          <w:szCs w:val="24"/>
        </w:rPr>
        <w:drawing>
          <wp:inline distT="0" distB="0" distL="0" distR="0">
            <wp:extent cx="6124575" cy="1933575"/>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182C" w:rsidRPr="00962CF5" w:rsidRDefault="008C182C" w:rsidP="008C182C">
      <w:pPr>
        <w:spacing w:after="0" w:line="240" w:lineRule="auto"/>
        <w:ind w:firstLine="426"/>
        <w:jc w:val="both"/>
        <w:rPr>
          <w:rFonts w:ascii="Times New Roman" w:hAnsi="Times New Roman"/>
          <w:sz w:val="24"/>
          <w:szCs w:val="24"/>
        </w:rPr>
      </w:pPr>
    </w:p>
    <w:p w:rsidR="008C182C" w:rsidRDefault="008C182C" w:rsidP="008C182C">
      <w:pPr>
        <w:spacing w:after="0" w:line="240" w:lineRule="auto"/>
        <w:ind w:firstLine="426"/>
        <w:jc w:val="both"/>
        <w:rPr>
          <w:rFonts w:ascii="Times New Roman" w:hAnsi="Times New Roman"/>
          <w:sz w:val="28"/>
          <w:szCs w:val="28"/>
        </w:rPr>
      </w:pPr>
      <w:r w:rsidRPr="0021689F">
        <w:rPr>
          <w:rFonts w:ascii="Times New Roman" w:hAnsi="Times New Roman"/>
          <w:sz w:val="28"/>
          <w:szCs w:val="28"/>
        </w:rPr>
        <w:t xml:space="preserve">В структуре экспортных поставок по итогам года фиксировалось </w:t>
      </w:r>
      <w:r w:rsidRPr="00761279">
        <w:rPr>
          <w:rFonts w:ascii="Times New Roman" w:hAnsi="Times New Roman"/>
          <w:sz w:val="28"/>
          <w:szCs w:val="28"/>
        </w:rPr>
        <w:t>увеличение стоимостных параметров в разрезе большинства товарных групп (рис.</w:t>
      </w:r>
      <w:r w:rsidR="00761279" w:rsidRPr="00761279">
        <w:rPr>
          <w:rFonts w:ascii="Times New Roman" w:hAnsi="Times New Roman"/>
          <w:sz w:val="28"/>
          <w:szCs w:val="28"/>
        </w:rPr>
        <w:t xml:space="preserve"> 16</w:t>
      </w:r>
      <w:r w:rsidRPr="00761279">
        <w:rPr>
          <w:rFonts w:ascii="Times New Roman" w:hAnsi="Times New Roman"/>
          <w:sz w:val="28"/>
          <w:szCs w:val="28"/>
        </w:rPr>
        <w:t>). Наибольший</w:t>
      </w:r>
      <w:r w:rsidRPr="0021689F">
        <w:rPr>
          <w:rFonts w:ascii="Times New Roman" w:hAnsi="Times New Roman"/>
          <w:sz w:val="28"/>
          <w:szCs w:val="28"/>
        </w:rPr>
        <w:t xml:space="preserve"> удельный вес (42,8%) в товарной структуре заняли поставки металлов и изделий из них, стоимостная величина которых превысила уровень 2017 года на 30,6%, соста</w:t>
      </w:r>
      <w:r w:rsidR="00761279">
        <w:rPr>
          <w:rFonts w:ascii="Times New Roman" w:hAnsi="Times New Roman"/>
          <w:sz w:val="28"/>
          <w:szCs w:val="28"/>
        </w:rPr>
        <w:t>вив 298,2 млн долл.</w:t>
      </w:r>
    </w:p>
    <w:p w:rsidR="0023357F" w:rsidRDefault="0023357F" w:rsidP="008C182C">
      <w:pPr>
        <w:spacing w:after="0" w:line="240" w:lineRule="auto"/>
        <w:ind w:firstLine="426"/>
        <w:jc w:val="both"/>
        <w:rPr>
          <w:rFonts w:ascii="Times New Roman" w:hAnsi="Times New Roman"/>
          <w:sz w:val="28"/>
          <w:szCs w:val="28"/>
        </w:rPr>
      </w:pPr>
    </w:p>
    <w:p w:rsidR="0023357F" w:rsidRDefault="0023357F" w:rsidP="008C182C">
      <w:pPr>
        <w:spacing w:after="0" w:line="240" w:lineRule="auto"/>
        <w:ind w:firstLine="426"/>
        <w:jc w:val="both"/>
        <w:rPr>
          <w:rFonts w:ascii="Times New Roman" w:hAnsi="Times New Roman"/>
          <w:sz w:val="28"/>
          <w:szCs w:val="28"/>
        </w:rPr>
      </w:pPr>
    </w:p>
    <w:p w:rsidR="0023357F" w:rsidRDefault="0023357F" w:rsidP="008C182C">
      <w:pPr>
        <w:spacing w:after="0" w:line="240" w:lineRule="auto"/>
        <w:ind w:firstLine="426"/>
        <w:jc w:val="both"/>
        <w:rPr>
          <w:rFonts w:ascii="Times New Roman" w:hAnsi="Times New Roman"/>
          <w:sz w:val="28"/>
          <w:szCs w:val="28"/>
        </w:rPr>
      </w:pPr>
    </w:p>
    <w:p w:rsidR="0023357F" w:rsidRDefault="0023357F" w:rsidP="008C182C">
      <w:pPr>
        <w:spacing w:after="0" w:line="240" w:lineRule="auto"/>
        <w:ind w:firstLine="426"/>
        <w:jc w:val="both"/>
        <w:rPr>
          <w:rFonts w:ascii="Times New Roman" w:hAnsi="Times New Roman"/>
          <w:sz w:val="28"/>
          <w:szCs w:val="28"/>
        </w:rPr>
      </w:pPr>
    </w:p>
    <w:p w:rsidR="008C182C" w:rsidRPr="0021689F" w:rsidRDefault="008C182C" w:rsidP="008C182C">
      <w:pPr>
        <w:spacing w:after="0" w:line="240" w:lineRule="auto"/>
        <w:ind w:firstLine="426"/>
        <w:jc w:val="right"/>
        <w:rPr>
          <w:rFonts w:ascii="Times New Roman" w:hAnsi="Times New Roman"/>
          <w:b/>
          <w:i/>
          <w:sz w:val="28"/>
          <w:szCs w:val="28"/>
        </w:rPr>
      </w:pPr>
      <w:r w:rsidRPr="0021689F">
        <w:rPr>
          <w:rFonts w:ascii="Times New Roman" w:hAnsi="Times New Roman"/>
          <w:b/>
          <w:i/>
          <w:sz w:val="28"/>
          <w:szCs w:val="28"/>
        </w:rPr>
        <w:lastRenderedPageBreak/>
        <w:t xml:space="preserve">Рисунок </w:t>
      </w:r>
      <w:r w:rsidR="00761279">
        <w:rPr>
          <w:rFonts w:ascii="Times New Roman" w:hAnsi="Times New Roman"/>
          <w:b/>
          <w:i/>
          <w:sz w:val="28"/>
          <w:szCs w:val="28"/>
        </w:rPr>
        <w:t>16</w:t>
      </w:r>
    </w:p>
    <w:p w:rsidR="008C182C" w:rsidRPr="00962CF5" w:rsidRDefault="008C182C" w:rsidP="008C182C">
      <w:pPr>
        <w:spacing w:after="0" w:line="240" w:lineRule="auto"/>
        <w:jc w:val="both"/>
        <w:rPr>
          <w:rFonts w:ascii="Times New Roman" w:hAnsi="Times New Roman"/>
          <w:b/>
          <w:i/>
          <w:sz w:val="24"/>
          <w:szCs w:val="24"/>
        </w:rPr>
      </w:pPr>
      <w:r w:rsidRPr="00962CF5">
        <w:rPr>
          <w:noProof/>
        </w:rPr>
        <w:drawing>
          <wp:inline distT="0" distB="0" distL="0" distR="0">
            <wp:extent cx="6124575" cy="2486025"/>
            <wp:effectExtent l="0" t="0" r="0" b="0"/>
            <wp:docPr id="1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C182C" w:rsidRPr="00761279" w:rsidRDefault="008C182C" w:rsidP="008C182C">
      <w:pPr>
        <w:pStyle w:val="a4"/>
        <w:ind w:firstLine="426"/>
        <w:rPr>
          <w:sz w:val="12"/>
          <w:szCs w:val="12"/>
        </w:rPr>
      </w:pPr>
    </w:p>
    <w:p w:rsidR="008C182C" w:rsidRPr="0021689F" w:rsidRDefault="008C182C" w:rsidP="008C182C">
      <w:pPr>
        <w:pStyle w:val="a4"/>
        <w:ind w:firstLine="426"/>
        <w:rPr>
          <w:sz w:val="28"/>
          <w:szCs w:val="28"/>
        </w:rPr>
      </w:pPr>
      <w:r w:rsidRPr="0021689F">
        <w:rPr>
          <w:sz w:val="28"/>
          <w:szCs w:val="28"/>
        </w:rPr>
        <w:t xml:space="preserve">На фоне увеличения со </w:t>
      </w:r>
      <w:r w:rsidRPr="0021689F">
        <w:rPr>
          <w:sz w:val="28"/>
          <w:szCs w:val="28"/>
          <w:lang w:val="en-US"/>
        </w:rPr>
        <w:t>II</w:t>
      </w:r>
      <w:r w:rsidRPr="0021689F">
        <w:rPr>
          <w:sz w:val="28"/>
          <w:szCs w:val="28"/>
        </w:rPr>
        <w:t xml:space="preserve"> квартала 2018 года контрактной цены на поставляемую в Республику Молдова электроэнергию экспорт топливно-энергетических товаров превысил сопоставимый уровень 2017 года на 11,7% и составил 119,5 млн долл., однако доля группы в товарной структуре экспорта сузилась на 2,8 п.п. до 17,2%. </w:t>
      </w:r>
    </w:p>
    <w:p w:rsidR="008C182C" w:rsidRPr="0021689F" w:rsidRDefault="008C182C" w:rsidP="008C182C">
      <w:pPr>
        <w:pStyle w:val="a4"/>
        <w:ind w:firstLine="426"/>
        <w:rPr>
          <w:sz w:val="28"/>
          <w:szCs w:val="28"/>
        </w:rPr>
      </w:pPr>
      <w:r w:rsidRPr="0021689F">
        <w:rPr>
          <w:sz w:val="28"/>
          <w:szCs w:val="28"/>
        </w:rPr>
        <w:t>Экспорт продовольственных товаров и сырья в денежном эквиваленте превысил показатель 2017 года на 70,0%, составив 118,4 млн долл., что соответствует 17,0%</w:t>
      </w:r>
      <w:r>
        <w:rPr>
          <w:sz w:val="28"/>
          <w:szCs w:val="28"/>
        </w:rPr>
        <w:t xml:space="preserve"> </w:t>
      </w:r>
      <w:r w:rsidRPr="0021689F">
        <w:rPr>
          <w:sz w:val="28"/>
          <w:szCs w:val="28"/>
        </w:rPr>
        <w:t>(+4,0 п.п.) в структуре показателя. Зафиксированный рост обусловлен значительным наращиванием стоимостных объемов поставок злаков и масличных семян (в 2,1 раза) на фоне установления индикативных цен на данные составляющие, что обеспечило в совокупности свыше 70% экспорта продовольственных товаров.</w:t>
      </w:r>
    </w:p>
    <w:p w:rsidR="008C182C" w:rsidRPr="0021689F" w:rsidRDefault="008C182C" w:rsidP="008C182C">
      <w:pPr>
        <w:pStyle w:val="a4"/>
        <w:ind w:firstLine="426"/>
        <w:rPr>
          <w:sz w:val="28"/>
          <w:szCs w:val="28"/>
        </w:rPr>
      </w:pPr>
      <w:r w:rsidRPr="0021689F">
        <w:rPr>
          <w:sz w:val="28"/>
          <w:szCs w:val="28"/>
        </w:rPr>
        <w:t>Эффективная маркетинговая политика ЗАО «Рыбницкий цементный комбинат», позволившая вернуть и укрепить позиции предприятия на традиционных рынках сбыта, определила рост стоимостной величины реализуемых за рубеж минеральных продуктов в 3,8 раза до 39,1 млн долл., или 5,6% (+3,7 п.п.) в структуре.</w:t>
      </w:r>
    </w:p>
    <w:p w:rsidR="008C182C" w:rsidRPr="0021689F" w:rsidRDefault="008C182C" w:rsidP="008C182C">
      <w:pPr>
        <w:pStyle w:val="a4"/>
        <w:ind w:firstLine="426"/>
        <w:rPr>
          <w:sz w:val="28"/>
          <w:szCs w:val="28"/>
        </w:rPr>
      </w:pPr>
      <w:r w:rsidRPr="0021689F">
        <w:rPr>
          <w:sz w:val="28"/>
          <w:szCs w:val="28"/>
        </w:rPr>
        <w:t>Экспортные поставки продукции химической и связанных с ней отраслей промышленности выросли на 32,6% до 12,1 млн долл., с сохранением удельного представления в товарной структуре экспорта на уровне 1,7%. В рассматриваемой группе доминируют поставки пластмасс и изделий из них (96,8%), а именно: плит, листов, пленки и полос или лент из пластмасс, объём которых превысили базовый уровень 2017 года на 42,2%.</w:t>
      </w:r>
    </w:p>
    <w:p w:rsidR="008C182C" w:rsidRPr="0021689F" w:rsidRDefault="008C182C" w:rsidP="008C182C">
      <w:pPr>
        <w:pStyle w:val="a4"/>
        <w:ind w:firstLine="426"/>
        <w:rPr>
          <w:sz w:val="28"/>
          <w:szCs w:val="28"/>
        </w:rPr>
      </w:pPr>
      <w:r w:rsidRPr="0021689F">
        <w:rPr>
          <w:sz w:val="28"/>
          <w:szCs w:val="28"/>
        </w:rPr>
        <w:t xml:space="preserve">Понижение стоимостного объема экспорта к базисному уровню отмечено по машиностроительной продукции и товарам легкой промышленности на 8,7% до 28,2 млн долл. и на 0,8% до 73,7 млн долл. соответственно, что определило сужение удельного представления данных групп до 4,0% (-1,8 п.п.) и до 10,6% (-3,3 п.п.) соответственно. </w:t>
      </w:r>
    </w:p>
    <w:p w:rsidR="008C182C" w:rsidRPr="0021689F" w:rsidRDefault="008C182C" w:rsidP="008C182C">
      <w:pPr>
        <w:pStyle w:val="a4"/>
        <w:ind w:firstLine="425"/>
        <w:rPr>
          <w:sz w:val="28"/>
          <w:szCs w:val="28"/>
        </w:rPr>
      </w:pPr>
      <w:r w:rsidRPr="0021689F">
        <w:rPr>
          <w:sz w:val="28"/>
          <w:szCs w:val="28"/>
        </w:rPr>
        <w:t xml:space="preserve">В части динамики экспорта машиностроительной продукции необходимо отметить, что основной спад фиксировался по поставкам средств наземного транспорта (-94,7%) в условиях высокой базы сравнения на фоне действовавшего в 2017 году в Республике Молдова льготного режима таможенного оформления машин с иностранными номерами. С учетом этого </w:t>
      </w:r>
      <w:r w:rsidRPr="0021689F">
        <w:rPr>
          <w:sz w:val="28"/>
          <w:szCs w:val="28"/>
        </w:rPr>
        <w:lastRenderedPageBreak/>
        <w:t xml:space="preserve">фактора в 2017 году осуществлялось активное переоформление автотранспортных средств, что по действовавшей на тот момент методике Государственного таможенного комитета ПМР отражалось как экспорт легковых автомобилей. </w:t>
      </w:r>
    </w:p>
    <w:p w:rsidR="008C182C" w:rsidRPr="0021689F" w:rsidRDefault="008C182C" w:rsidP="008C182C">
      <w:pPr>
        <w:pStyle w:val="a4"/>
        <w:ind w:firstLine="425"/>
        <w:rPr>
          <w:sz w:val="28"/>
          <w:szCs w:val="28"/>
        </w:rPr>
      </w:pPr>
      <w:r w:rsidRPr="0021689F">
        <w:rPr>
          <w:sz w:val="28"/>
          <w:szCs w:val="28"/>
        </w:rPr>
        <w:t xml:space="preserve">При этом, исключая из совокупной величины экспорта машиностроительной продукции поставки средств наземного транспорта, её стоимостное значение превысило уровень 2017 года на 3,2%. Основной объем в рассматриваемой группе пришёлся на электрические машины, оборудование и их части (49,8%), поставки которых увеличились на 5,8%. </w:t>
      </w:r>
    </w:p>
    <w:p w:rsidR="008C182C" w:rsidRPr="0021689F" w:rsidRDefault="008C182C" w:rsidP="008C182C">
      <w:pPr>
        <w:pStyle w:val="a4"/>
        <w:ind w:firstLine="425"/>
        <w:rPr>
          <w:sz w:val="28"/>
          <w:szCs w:val="28"/>
        </w:rPr>
      </w:pPr>
      <w:r w:rsidRPr="0021689F">
        <w:rPr>
          <w:sz w:val="28"/>
          <w:szCs w:val="28"/>
        </w:rPr>
        <w:t xml:space="preserve">В разрезе товаров легкой промышленности снижение зафиксировано по экспорту текстильных материалов (-8,8%), а также обуви и частей обуви </w:t>
      </w:r>
      <w:r>
        <w:rPr>
          <w:sz w:val="28"/>
          <w:szCs w:val="28"/>
        </w:rPr>
        <w:br/>
      </w:r>
      <w:r w:rsidRPr="0021689F">
        <w:rPr>
          <w:sz w:val="28"/>
          <w:szCs w:val="28"/>
        </w:rPr>
        <w:t xml:space="preserve">(-7,8%), преимущественно вследствие агрессивной ценовой политики конкурентов по завоеванию европейского рынка. </w:t>
      </w:r>
    </w:p>
    <w:p w:rsidR="008C182C" w:rsidRPr="00761279" w:rsidRDefault="008C182C" w:rsidP="008C182C">
      <w:pPr>
        <w:pStyle w:val="a4"/>
        <w:ind w:firstLine="426"/>
        <w:rPr>
          <w:sz w:val="28"/>
          <w:szCs w:val="28"/>
        </w:rPr>
      </w:pPr>
      <w:r w:rsidRPr="0021689F">
        <w:rPr>
          <w:sz w:val="28"/>
          <w:szCs w:val="28"/>
        </w:rPr>
        <w:t xml:space="preserve">В </w:t>
      </w:r>
      <w:r w:rsidRPr="00761279">
        <w:rPr>
          <w:sz w:val="28"/>
          <w:szCs w:val="28"/>
        </w:rPr>
        <w:t xml:space="preserve">географическом разрезе основными контрагентами приднестровских экспортеров являлись (рис. </w:t>
      </w:r>
      <w:r w:rsidR="00761279" w:rsidRPr="00761279">
        <w:rPr>
          <w:sz w:val="28"/>
          <w:szCs w:val="28"/>
        </w:rPr>
        <w:t>17</w:t>
      </w:r>
      <w:r w:rsidRPr="00761279">
        <w:rPr>
          <w:sz w:val="28"/>
          <w:szCs w:val="28"/>
        </w:rPr>
        <w:t>):</w:t>
      </w:r>
    </w:p>
    <w:p w:rsidR="008C182C" w:rsidRPr="0021689F" w:rsidRDefault="008C182C" w:rsidP="008C182C">
      <w:pPr>
        <w:pStyle w:val="a4"/>
        <w:ind w:firstLine="426"/>
        <w:rPr>
          <w:sz w:val="28"/>
          <w:szCs w:val="28"/>
        </w:rPr>
      </w:pPr>
      <w:r w:rsidRPr="00761279">
        <w:rPr>
          <w:sz w:val="28"/>
          <w:szCs w:val="28"/>
        </w:rPr>
        <w:t>- Республика Молдова (29,8%</w:t>
      </w:r>
      <w:r w:rsidRPr="0021689F">
        <w:rPr>
          <w:sz w:val="28"/>
          <w:szCs w:val="28"/>
        </w:rPr>
        <w:t xml:space="preserve"> совокупного экспорта, или 208,0 млн долл. (+27,0% к уровню 2017 года в стоимостном выражении)). 98,4% экспорта в данную республику составляли такие товарные группы как: топливно-энергетические товары (57,5%), минеральные продукты (14,7%), металлы и изделия из них (14,9%), продовольственные товары и сырье (11,3%). По данным товарным группам в отчетном периоде отмечено увеличение поставок;</w:t>
      </w:r>
    </w:p>
    <w:p w:rsidR="0023357F" w:rsidRPr="0023357F" w:rsidRDefault="0023357F" w:rsidP="008C182C">
      <w:pPr>
        <w:spacing w:after="0" w:line="240" w:lineRule="auto"/>
        <w:ind w:firstLine="426"/>
        <w:jc w:val="right"/>
        <w:rPr>
          <w:rFonts w:ascii="Times New Roman" w:hAnsi="Times New Roman"/>
          <w:b/>
          <w:i/>
          <w:sz w:val="20"/>
          <w:szCs w:val="20"/>
        </w:rPr>
      </w:pPr>
    </w:p>
    <w:p w:rsidR="008C182C" w:rsidRPr="0021689F" w:rsidRDefault="008C182C" w:rsidP="008C182C">
      <w:pPr>
        <w:spacing w:after="0" w:line="240" w:lineRule="auto"/>
        <w:ind w:firstLine="426"/>
        <w:jc w:val="right"/>
        <w:rPr>
          <w:rFonts w:ascii="Times New Roman" w:hAnsi="Times New Roman"/>
          <w:b/>
          <w:i/>
          <w:sz w:val="28"/>
          <w:szCs w:val="28"/>
        </w:rPr>
      </w:pPr>
      <w:r w:rsidRPr="0021689F">
        <w:rPr>
          <w:rFonts w:ascii="Times New Roman" w:hAnsi="Times New Roman"/>
          <w:b/>
          <w:i/>
          <w:sz w:val="28"/>
          <w:szCs w:val="28"/>
        </w:rPr>
        <w:t xml:space="preserve">Рисунок </w:t>
      </w:r>
      <w:r w:rsidR="00761279">
        <w:rPr>
          <w:rFonts w:ascii="Times New Roman" w:hAnsi="Times New Roman"/>
          <w:b/>
          <w:i/>
          <w:sz w:val="28"/>
          <w:szCs w:val="28"/>
        </w:rPr>
        <w:t>17</w:t>
      </w:r>
    </w:p>
    <w:p w:rsidR="008C182C" w:rsidRPr="00962CF5" w:rsidRDefault="008C182C" w:rsidP="008C182C">
      <w:pPr>
        <w:pStyle w:val="a4"/>
        <w:ind w:firstLine="0"/>
        <w:rPr>
          <w:szCs w:val="24"/>
        </w:rPr>
      </w:pPr>
      <w:r w:rsidRPr="00962CF5">
        <w:rPr>
          <w:noProof/>
        </w:rPr>
        <w:drawing>
          <wp:inline distT="0" distB="0" distL="0" distR="0">
            <wp:extent cx="6057900" cy="1895475"/>
            <wp:effectExtent l="0" t="0" r="0" b="0"/>
            <wp:docPr id="1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3357F" w:rsidRDefault="0023357F" w:rsidP="008C182C">
      <w:pPr>
        <w:pStyle w:val="a4"/>
        <w:ind w:firstLine="426"/>
        <w:rPr>
          <w:sz w:val="28"/>
          <w:szCs w:val="28"/>
        </w:rPr>
      </w:pPr>
    </w:p>
    <w:p w:rsidR="008C182C" w:rsidRPr="0021689F" w:rsidRDefault="008C182C" w:rsidP="008C182C">
      <w:pPr>
        <w:pStyle w:val="a4"/>
        <w:ind w:firstLine="426"/>
        <w:rPr>
          <w:sz w:val="28"/>
          <w:szCs w:val="28"/>
        </w:rPr>
      </w:pPr>
      <w:r w:rsidRPr="0021689F">
        <w:rPr>
          <w:sz w:val="28"/>
          <w:szCs w:val="28"/>
        </w:rPr>
        <w:t>- Украина (20,4% совокупного показателя, или 142,0 млн долл. (+49,7%)). Основной объем экспорта в данную страну пришелся на продовольственные товары и сырье (48,2%), металлы и изделия из них (38,6%), минеральные продукты (5,8%) и товары легкой промышленности (3,9%). По всем товарным категориям зафиксирован прирост стоимостной величины, за исключением товаров легкой промышленности;</w:t>
      </w:r>
    </w:p>
    <w:p w:rsidR="008C182C" w:rsidRPr="0021689F" w:rsidRDefault="008C182C" w:rsidP="008C182C">
      <w:pPr>
        <w:pStyle w:val="a4"/>
        <w:ind w:firstLine="426"/>
        <w:rPr>
          <w:sz w:val="28"/>
          <w:szCs w:val="28"/>
        </w:rPr>
      </w:pPr>
      <w:r w:rsidRPr="0021689F">
        <w:rPr>
          <w:sz w:val="28"/>
          <w:szCs w:val="28"/>
        </w:rPr>
        <w:t>- Румыния (15,6% всего экспорта, или 108,5 млн долл. (+5,7%)). Налаживание торговых связей с румынскими партнерами позволило возобновить поставки металлов и изделий из них, обеспечив 95,7% всего экспорта в данном направлении;</w:t>
      </w:r>
    </w:p>
    <w:p w:rsidR="008C182C" w:rsidRPr="0021689F" w:rsidRDefault="008C182C" w:rsidP="008C182C">
      <w:pPr>
        <w:pStyle w:val="a4"/>
        <w:ind w:firstLine="426"/>
        <w:rPr>
          <w:sz w:val="28"/>
          <w:szCs w:val="28"/>
        </w:rPr>
      </w:pPr>
      <w:r w:rsidRPr="0021689F">
        <w:rPr>
          <w:sz w:val="28"/>
          <w:szCs w:val="28"/>
        </w:rPr>
        <w:t xml:space="preserve">- Российская Федерация (10,3% совокупного значения, или 71,9 млн долл. (+8,6%)). В данном направлении реализовывались такие товарные группы как: машиностроительная продукция (32,0%), товары легкой промышленности (22,0%), металлы и изделия из них (18,2%), продовольственные товары и сырье </w:t>
      </w:r>
      <w:r w:rsidRPr="0021689F">
        <w:rPr>
          <w:sz w:val="28"/>
          <w:szCs w:val="28"/>
        </w:rPr>
        <w:lastRenderedPageBreak/>
        <w:t>(14,2%), продукция химической и связанных с ней отраслей промышленности (11,7%). По всем позициям наблюдалось увеличение поставок;</w:t>
      </w:r>
    </w:p>
    <w:p w:rsidR="008C182C" w:rsidRPr="0021689F" w:rsidRDefault="008C182C" w:rsidP="008C182C">
      <w:pPr>
        <w:pStyle w:val="a4"/>
        <w:ind w:firstLine="426"/>
        <w:rPr>
          <w:sz w:val="28"/>
          <w:szCs w:val="28"/>
        </w:rPr>
      </w:pPr>
      <w:r w:rsidRPr="0021689F">
        <w:rPr>
          <w:sz w:val="28"/>
          <w:szCs w:val="28"/>
        </w:rPr>
        <w:t>- Республика Польша (10,8%, или 75,0 млн долл. (увеличение в 3,1 раза)). Основной объем поставок на вновь завоеванный польский рынок приходился на металлы и изделия из них (96,6%), стоимостной объём которых увеличился в 3,5 раза;</w:t>
      </w:r>
    </w:p>
    <w:p w:rsidR="008C182C" w:rsidRPr="0021689F" w:rsidRDefault="008C182C" w:rsidP="008C182C">
      <w:pPr>
        <w:pStyle w:val="a4"/>
        <w:ind w:firstLine="426"/>
        <w:rPr>
          <w:sz w:val="28"/>
          <w:szCs w:val="28"/>
        </w:rPr>
      </w:pPr>
      <w:r w:rsidRPr="0021689F">
        <w:rPr>
          <w:sz w:val="28"/>
          <w:szCs w:val="28"/>
        </w:rPr>
        <w:t xml:space="preserve">- Итальянская Республика (3,9%, или 27,2 млн долл. (+17,5%)). В данную страну в основном экспортируются товары легкой промышленности (97,6%), по которым отмечен прирост поставок. </w:t>
      </w:r>
    </w:p>
    <w:p w:rsidR="008C182C" w:rsidRPr="0021689F" w:rsidRDefault="008C182C" w:rsidP="008C182C">
      <w:pPr>
        <w:pStyle w:val="a4"/>
        <w:ind w:firstLine="426"/>
        <w:rPr>
          <w:sz w:val="28"/>
          <w:szCs w:val="28"/>
        </w:rPr>
      </w:pPr>
      <w:r w:rsidRPr="0021689F">
        <w:rPr>
          <w:sz w:val="28"/>
          <w:szCs w:val="28"/>
        </w:rPr>
        <w:t>Значительная сырьевая зависимость отечественных предприятий промышленности в совокупности с недостаточным уровнем обеспеченности продовольствием обусловили в 2018 году увеличение спроса на зарубежные промышленные и потребительские товары</w:t>
      </w:r>
      <w:r>
        <w:rPr>
          <w:sz w:val="28"/>
          <w:szCs w:val="28"/>
        </w:rPr>
        <w:t xml:space="preserve"> </w:t>
      </w:r>
      <w:r w:rsidRPr="0021689F">
        <w:rPr>
          <w:sz w:val="28"/>
          <w:szCs w:val="28"/>
        </w:rPr>
        <w:t>(</w:t>
      </w:r>
      <w:r w:rsidRPr="00761279">
        <w:rPr>
          <w:sz w:val="28"/>
          <w:szCs w:val="28"/>
        </w:rPr>
        <w:t xml:space="preserve">рис. </w:t>
      </w:r>
      <w:r w:rsidR="00761279" w:rsidRPr="00761279">
        <w:rPr>
          <w:sz w:val="28"/>
          <w:szCs w:val="28"/>
        </w:rPr>
        <w:t>18</w:t>
      </w:r>
      <w:r w:rsidRPr="00761279">
        <w:rPr>
          <w:sz w:val="28"/>
          <w:szCs w:val="28"/>
        </w:rPr>
        <w:t>).</w:t>
      </w:r>
      <w:r w:rsidRPr="0021689F">
        <w:rPr>
          <w:sz w:val="28"/>
          <w:szCs w:val="28"/>
        </w:rPr>
        <w:t xml:space="preserve"> </w:t>
      </w:r>
    </w:p>
    <w:p w:rsidR="008C182C" w:rsidRPr="0021689F" w:rsidRDefault="008C182C" w:rsidP="008C182C">
      <w:pPr>
        <w:pStyle w:val="a4"/>
        <w:ind w:firstLine="426"/>
        <w:rPr>
          <w:sz w:val="28"/>
          <w:szCs w:val="28"/>
        </w:rPr>
      </w:pPr>
      <w:r w:rsidRPr="0021689F">
        <w:rPr>
          <w:sz w:val="28"/>
          <w:szCs w:val="28"/>
        </w:rPr>
        <w:t>Так, импортные поставки топливно-энергетических товаров превысили сопоставимый уровень 2017 года на 34,3% до 448,1 млн долл., что сопровождалось расширением долевого представления группы в структуре импорта до 36,8% против 33,9%. При этом без учета газовой составляющей объём импортируемых топливно-энергетических товаров (уголь, торф, кокс, бензин и дизельное топливо) превысил базисный уровень 2017 года на 20,6%. Ключевое воздействие на данный прирост оказало увеличение поставок бензина и дизельного топлива, на долю которых приходится 13,5% всех топливно-энергетических поставок. Необходимо отметить, что в рассматриваемом периоде условная расчетная цена по данной группе повысилась на 11%.</w:t>
      </w:r>
    </w:p>
    <w:p w:rsidR="008C182C" w:rsidRPr="0021689F" w:rsidRDefault="008C182C" w:rsidP="008C182C">
      <w:pPr>
        <w:pStyle w:val="a4"/>
        <w:ind w:firstLine="426"/>
        <w:jc w:val="right"/>
        <w:rPr>
          <w:b/>
          <w:i/>
          <w:sz w:val="28"/>
          <w:szCs w:val="28"/>
        </w:rPr>
      </w:pPr>
      <w:r w:rsidRPr="0021689F">
        <w:rPr>
          <w:b/>
          <w:i/>
          <w:sz w:val="28"/>
          <w:szCs w:val="28"/>
        </w:rPr>
        <w:t xml:space="preserve">Рисунок </w:t>
      </w:r>
      <w:r w:rsidR="00761279">
        <w:rPr>
          <w:b/>
          <w:i/>
          <w:sz w:val="28"/>
          <w:szCs w:val="28"/>
        </w:rPr>
        <w:t>18</w:t>
      </w:r>
    </w:p>
    <w:p w:rsidR="008C182C" w:rsidRPr="00962CF5" w:rsidRDefault="008C182C" w:rsidP="008C182C">
      <w:pPr>
        <w:pStyle w:val="a4"/>
        <w:ind w:firstLine="0"/>
        <w:rPr>
          <w:szCs w:val="24"/>
        </w:rPr>
      </w:pPr>
      <w:r w:rsidRPr="00962CF5">
        <w:rPr>
          <w:noProof/>
        </w:rPr>
        <w:drawing>
          <wp:inline distT="0" distB="0" distL="0" distR="0">
            <wp:extent cx="6219825" cy="2209800"/>
            <wp:effectExtent l="0" t="0" r="0" b="0"/>
            <wp:docPr id="1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C182C" w:rsidRPr="00761279" w:rsidRDefault="008C182C" w:rsidP="008C182C">
      <w:pPr>
        <w:pStyle w:val="a4"/>
        <w:ind w:firstLine="426"/>
        <w:rPr>
          <w:sz w:val="16"/>
          <w:szCs w:val="16"/>
        </w:rPr>
      </w:pPr>
    </w:p>
    <w:p w:rsidR="008C182C" w:rsidRPr="0021689F" w:rsidRDefault="008C182C" w:rsidP="008C182C">
      <w:pPr>
        <w:pStyle w:val="a4"/>
        <w:ind w:firstLine="426"/>
        <w:rPr>
          <w:sz w:val="28"/>
          <w:szCs w:val="28"/>
        </w:rPr>
      </w:pPr>
      <w:r w:rsidRPr="0021689F">
        <w:rPr>
          <w:sz w:val="28"/>
          <w:szCs w:val="28"/>
        </w:rPr>
        <w:t>На фоне фиксируемой в 2018 году активизации производственной деятельности в черной металлургии росла потребность в сырьевых материалах, обусловившая наращивание объемов импорта металлов и изделий из них к сопоставимому значению 2017</w:t>
      </w:r>
      <w:r w:rsidRPr="0021689F">
        <w:rPr>
          <w:sz w:val="28"/>
          <w:szCs w:val="28"/>
          <w:lang w:val="en-US"/>
        </w:rPr>
        <w:t> </w:t>
      </w:r>
      <w:r w:rsidRPr="0021689F">
        <w:rPr>
          <w:sz w:val="28"/>
          <w:szCs w:val="28"/>
        </w:rPr>
        <w:t>года на 24,1% до 229,6 млн долл., что соответствует 18,9% в совокупном импорте.</w:t>
      </w:r>
    </w:p>
    <w:p w:rsidR="008C182C" w:rsidRPr="0021689F" w:rsidRDefault="008C182C" w:rsidP="008C182C">
      <w:pPr>
        <w:pStyle w:val="a4"/>
        <w:ind w:firstLine="426"/>
        <w:rPr>
          <w:sz w:val="28"/>
          <w:szCs w:val="28"/>
        </w:rPr>
      </w:pPr>
      <w:r w:rsidRPr="0021689F">
        <w:rPr>
          <w:sz w:val="28"/>
          <w:szCs w:val="28"/>
        </w:rPr>
        <w:t xml:space="preserve">В отчетном периоде также отмечено увеличение стоимостной величины ввозимых на территорию республики продовольственных товаров (сырья) на 3,0% до 138,3 млн долл., удельный вес которых сузился на 2,3 п.п. до 11,4%. В данной товарной группе наибольший объем поставок приходился на ввоз мяса и пищевых мясных субпродуктов (13,1%), молока и молочных продуктов, яиц, </w:t>
      </w:r>
      <w:r w:rsidRPr="0021689F">
        <w:rPr>
          <w:sz w:val="28"/>
          <w:szCs w:val="28"/>
        </w:rPr>
        <w:lastRenderedPageBreak/>
        <w:t>меда (9,7%), сахара и кондитерских изделий из сахара (6,1%), а также изделий из зерна, муки, крахмала и молока (5,6%). При этом если по поставкам мяса и сахара отмечен прирост на 6,1% и 3,6% соответственно, то по молочной продукции и изделиям из зерна наблюдался спад на 5,5% и 9,1% соответственно.</w:t>
      </w:r>
    </w:p>
    <w:p w:rsidR="008C182C" w:rsidRPr="0021689F" w:rsidRDefault="008C182C" w:rsidP="008C182C">
      <w:pPr>
        <w:pStyle w:val="a4"/>
        <w:ind w:firstLine="426"/>
        <w:rPr>
          <w:sz w:val="28"/>
          <w:szCs w:val="28"/>
        </w:rPr>
      </w:pPr>
      <w:r w:rsidRPr="0021689F">
        <w:rPr>
          <w:sz w:val="28"/>
          <w:szCs w:val="28"/>
        </w:rPr>
        <w:t>В 2018 году особое внимание</w:t>
      </w:r>
      <w:r w:rsidR="0023357F">
        <w:rPr>
          <w:sz w:val="28"/>
          <w:szCs w:val="28"/>
        </w:rPr>
        <w:t xml:space="preserve"> уделялось инвестиционной сфере.</w:t>
      </w:r>
      <w:r w:rsidRPr="0021689F">
        <w:rPr>
          <w:sz w:val="28"/>
          <w:szCs w:val="28"/>
        </w:rPr>
        <w:t xml:space="preserve"> </w:t>
      </w:r>
      <w:r w:rsidR="0023357F">
        <w:rPr>
          <w:sz w:val="28"/>
          <w:szCs w:val="28"/>
        </w:rPr>
        <w:t>Т</w:t>
      </w:r>
      <w:r w:rsidRPr="0021689F">
        <w:rPr>
          <w:sz w:val="28"/>
          <w:szCs w:val="28"/>
        </w:rPr>
        <w:t>ак реализованный на государственном уровне комплекс мер по поддержке отечественных предприятий способствовал активизации инвестиционных вложений в модернизацию и обновление основных средств, что выразилось в темпах прироста импорта машиностроительной продукции: +28,9% до 135,0</w:t>
      </w:r>
      <w:r>
        <w:rPr>
          <w:sz w:val="28"/>
          <w:szCs w:val="28"/>
        </w:rPr>
        <w:t> </w:t>
      </w:r>
      <w:r w:rsidRPr="0021689F">
        <w:rPr>
          <w:sz w:val="28"/>
          <w:szCs w:val="28"/>
        </w:rPr>
        <w:t>млн долл., с одновременным расширением долевого участия до 11,1% (+0,5</w:t>
      </w:r>
      <w:r>
        <w:rPr>
          <w:sz w:val="28"/>
          <w:szCs w:val="28"/>
        </w:rPr>
        <w:t> </w:t>
      </w:r>
      <w:r w:rsidRPr="0021689F">
        <w:rPr>
          <w:sz w:val="28"/>
          <w:szCs w:val="28"/>
        </w:rPr>
        <w:t>п.п.).</w:t>
      </w:r>
    </w:p>
    <w:p w:rsidR="008C182C" w:rsidRPr="00761279" w:rsidRDefault="008C182C" w:rsidP="008C182C">
      <w:pPr>
        <w:pStyle w:val="a4"/>
        <w:ind w:firstLine="426"/>
        <w:rPr>
          <w:sz w:val="28"/>
          <w:szCs w:val="28"/>
        </w:rPr>
      </w:pPr>
      <w:r w:rsidRPr="0021689F">
        <w:rPr>
          <w:sz w:val="28"/>
          <w:szCs w:val="28"/>
        </w:rPr>
        <w:t xml:space="preserve">Также увеличение стоимостной величины импорта отмечено по товарам лёгкой промышленности на 29,4% до 58,4 млн долл., с расширением долевого представления до 4,8% (+0,2 п.п.). Наибольшую долю в рассматриваемой группе занимали поставки текстильных материалов (67,3%), стоимостная величина которых превысила уровень 2017 года на 26,9%, что обусловлено значительным ростом мировых цен на хлопок, в том числе вследствие проводимой азиатскими странами, в первую очередь Узбекистаном, политикой, нацеленной на наращивание переработки сырья внутри страны. На импорт одежды пришлось 18,7% товаров легкой промышленности, в денежном эквиваленте уровень предыдущего года был превышен на 47,2%. Импорт обуви и частей обуви составил 10,4% </w:t>
      </w:r>
      <w:r w:rsidRPr="00761279">
        <w:rPr>
          <w:sz w:val="28"/>
          <w:szCs w:val="28"/>
        </w:rPr>
        <w:t xml:space="preserve">с увеличением стоимостного объёма на 18,6%. </w:t>
      </w:r>
    </w:p>
    <w:p w:rsidR="008C182C" w:rsidRPr="0021689F" w:rsidRDefault="008C182C" w:rsidP="008C182C">
      <w:pPr>
        <w:pStyle w:val="a4"/>
        <w:ind w:firstLine="426"/>
        <w:rPr>
          <w:sz w:val="28"/>
          <w:szCs w:val="28"/>
        </w:rPr>
      </w:pPr>
      <w:r w:rsidRPr="00761279">
        <w:rPr>
          <w:sz w:val="28"/>
          <w:szCs w:val="28"/>
        </w:rPr>
        <w:t>На протяжении 2018 года большая часть импорта традиционно поставлялась из следующих государств (рис.</w:t>
      </w:r>
      <w:r w:rsidR="00761279" w:rsidRPr="00761279">
        <w:rPr>
          <w:sz w:val="28"/>
          <w:szCs w:val="28"/>
        </w:rPr>
        <w:t xml:space="preserve"> 19</w:t>
      </w:r>
      <w:r w:rsidRPr="00761279">
        <w:rPr>
          <w:sz w:val="28"/>
          <w:szCs w:val="28"/>
        </w:rPr>
        <w:t>):</w:t>
      </w:r>
    </w:p>
    <w:p w:rsidR="008C182C" w:rsidRPr="0021689F" w:rsidRDefault="008C182C" w:rsidP="008C182C">
      <w:pPr>
        <w:pStyle w:val="a4"/>
        <w:ind w:firstLine="426"/>
        <w:rPr>
          <w:sz w:val="28"/>
          <w:szCs w:val="28"/>
        </w:rPr>
      </w:pPr>
      <w:r w:rsidRPr="0021689F">
        <w:rPr>
          <w:sz w:val="28"/>
          <w:szCs w:val="28"/>
        </w:rPr>
        <w:t>- Российская Федерация (40,2% совокупного импорта, или 488,5 млн долл. в стоимостном выражении (+38,5% к уровню 2017 года)). Наибольшую долю поставок составляли топливно-энергетические товары (78,8%), а также продукция химической и связанных с ней отраслей промышленности (5,6%), металлы и изделия из них (4,4%), машиностроительная продукция (4,0%). По всем вышеуказанным позициям отмечен рост поставок;</w:t>
      </w:r>
    </w:p>
    <w:p w:rsidR="008C182C" w:rsidRPr="0021689F" w:rsidRDefault="008C182C" w:rsidP="008C182C">
      <w:pPr>
        <w:pStyle w:val="a4"/>
        <w:ind w:firstLine="426"/>
        <w:rPr>
          <w:sz w:val="28"/>
          <w:szCs w:val="28"/>
        </w:rPr>
      </w:pPr>
      <w:r w:rsidRPr="0021689F">
        <w:rPr>
          <w:sz w:val="28"/>
          <w:szCs w:val="28"/>
        </w:rPr>
        <w:t>- Украина (22,8% итогового показателя, или 277,2 млн долл. (+19,9%)). Основная часть импорта из Украины пришлась на металлы и изделия из них (34,7%), продовольственные товары и сырье (21,6%), машиностроительную продукцию (10,3%) и продукцию химической и связанных с ней отраслей промышленности (8,2%), по которым фиксировался прирост поставок;</w:t>
      </w:r>
    </w:p>
    <w:p w:rsidR="008C182C" w:rsidRPr="0021689F" w:rsidRDefault="008C182C" w:rsidP="008C182C">
      <w:pPr>
        <w:spacing w:after="0" w:line="240" w:lineRule="auto"/>
        <w:ind w:firstLine="426"/>
        <w:jc w:val="right"/>
        <w:rPr>
          <w:rFonts w:ascii="Times New Roman" w:hAnsi="Times New Roman"/>
          <w:b/>
          <w:i/>
          <w:sz w:val="28"/>
          <w:szCs w:val="28"/>
        </w:rPr>
      </w:pPr>
      <w:r w:rsidRPr="0021689F">
        <w:rPr>
          <w:rFonts w:ascii="Times New Roman" w:hAnsi="Times New Roman"/>
          <w:b/>
          <w:i/>
          <w:sz w:val="28"/>
          <w:szCs w:val="28"/>
        </w:rPr>
        <w:t xml:space="preserve">Рисунок </w:t>
      </w:r>
      <w:r w:rsidR="00761279">
        <w:rPr>
          <w:rFonts w:ascii="Times New Roman" w:hAnsi="Times New Roman"/>
          <w:b/>
          <w:i/>
          <w:sz w:val="28"/>
          <w:szCs w:val="28"/>
        </w:rPr>
        <w:t>19</w:t>
      </w:r>
    </w:p>
    <w:p w:rsidR="008C182C" w:rsidRPr="00962CF5" w:rsidRDefault="008C182C" w:rsidP="008C182C">
      <w:pPr>
        <w:pStyle w:val="2"/>
        <w:widowControl/>
        <w:tabs>
          <w:tab w:val="left" w:pos="1080"/>
        </w:tabs>
        <w:ind w:firstLine="0"/>
        <w:rPr>
          <w:sz w:val="24"/>
          <w:szCs w:val="24"/>
        </w:rPr>
      </w:pPr>
      <w:r w:rsidRPr="00962CF5">
        <w:rPr>
          <w:noProof/>
        </w:rPr>
        <w:drawing>
          <wp:inline distT="0" distB="0" distL="0" distR="0">
            <wp:extent cx="6115050" cy="1809750"/>
            <wp:effectExtent l="0" t="0" r="0" b="0"/>
            <wp:docPr id="3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C182C" w:rsidRPr="00761279" w:rsidRDefault="008C182C" w:rsidP="008C182C">
      <w:pPr>
        <w:pStyle w:val="2"/>
        <w:widowControl/>
        <w:tabs>
          <w:tab w:val="left" w:pos="1080"/>
        </w:tabs>
        <w:ind w:firstLine="426"/>
        <w:rPr>
          <w:sz w:val="10"/>
          <w:szCs w:val="10"/>
        </w:rPr>
      </w:pPr>
    </w:p>
    <w:p w:rsidR="008C182C" w:rsidRPr="0021689F" w:rsidRDefault="008C182C" w:rsidP="008C182C">
      <w:pPr>
        <w:pStyle w:val="2"/>
        <w:widowControl/>
        <w:tabs>
          <w:tab w:val="left" w:pos="1080"/>
        </w:tabs>
        <w:ind w:firstLine="426"/>
        <w:rPr>
          <w:sz w:val="28"/>
          <w:szCs w:val="28"/>
        </w:rPr>
      </w:pPr>
      <w:r w:rsidRPr="0021689F">
        <w:rPr>
          <w:sz w:val="28"/>
          <w:szCs w:val="28"/>
        </w:rPr>
        <w:lastRenderedPageBreak/>
        <w:t>- Республика Молдова (9,7%, или 117,7 млн долл. (+1,3%)). Из Молдовы в большем объеме поступали металлы и изделия из них (59,0%) и продовольственные товары и сырье (13,0%). При этом по импорту металлов и изделий из них отмечался рост стоимостных показателей, тогда как по продовольственным товарам и сырью – снижение;</w:t>
      </w:r>
    </w:p>
    <w:p w:rsidR="008C182C" w:rsidRPr="0021689F" w:rsidRDefault="008C182C" w:rsidP="008C182C">
      <w:pPr>
        <w:pStyle w:val="2"/>
        <w:widowControl/>
        <w:tabs>
          <w:tab w:val="left" w:pos="1080"/>
        </w:tabs>
        <w:ind w:firstLine="426"/>
        <w:rPr>
          <w:sz w:val="28"/>
          <w:szCs w:val="28"/>
        </w:rPr>
      </w:pPr>
      <w:r w:rsidRPr="0021689F">
        <w:rPr>
          <w:sz w:val="28"/>
          <w:szCs w:val="28"/>
        </w:rPr>
        <w:t>- Республика Беларусь (3,9%, или 47,3 млн долл. (+12,9%)). Преимущественно из данной страны импортировались топливно-энергетические товары (70,2%), машиностроительная продукция (7,7%), а также продовольственные товары (4,7%). По итогам 2018 года увеличение поставок отмечалось лишь по топливно-энергетическим товарам;</w:t>
      </w:r>
    </w:p>
    <w:p w:rsidR="008C182C" w:rsidRPr="0021689F" w:rsidRDefault="008C182C" w:rsidP="008C182C">
      <w:pPr>
        <w:pStyle w:val="2"/>
        <w:widowControl/>
        <w:tabs>
          <w:tab w:val="left" w:pos="1080"/>
        </w:tabs>
        <w:ind w:firstLine="426"/>
        <w:rPr>
          <w:sz w:val="28"/>
          <w:szCs w:val="28"/>
        </w:rPr>
      </w:pPr>
      <w:r w:rsidRPr="0021689F">
        <w:rPr>
          <w:sz w:val="28"/>
          <w:szCs w:val="28"/>
        </w:rPr>
        <w:t>- Румыния (4,1%, или 49,3 млн долл. (+27,4%)). Из Румынии на территорию Приднестровья поступали металлы и изделия из них (62,4%), машиностроительная продукция (21,5%), продукция химической и связанных с ней отраслей промышленности (7,0%) и продовольственные товары и сырьё (4,5%).</w:t>
      </w:r>
    </w:p>
    <w:p w:rsidR="008C182C" w:rsidRPr="0051611E" w:rsidRDefault="008C182C" w:rsidP="008C182C">
      <w:pPr>
        <w:spacing w:after="0" w:line="240" w:lineRule="auto"/>
        <w:ind w:firstLine="426"/>
        <w:jc w:val="both"/>
        <w:rPr>
          <w:rFonts w:ascii="Times New Roman" w:hAnsi="Times New Roman"/>
          <w:sz w:val="24"/>
          <w:szCs w:val="24"/>
        </w:rPr>
      </w:pPr>
      <w:r w:rsidRPr="00102883">
        <w:rPr>
          <w:rFonts w:ascii="Times New Roman" w:hAnsi="Times New Roman"/>
          <w:sz w:val="28"/>
          <w:szCs w:val="28"/>
        </w:rPr>
        <w:t xml:space="preserve">На протяжении </w:t>
      </w:r>
      <w:r>
        <w:rPr>
          <w:rFonts w:ascii="Times New Roman" w:hAnsi="Times New Roman"/>
          <w:sz w:val="28"/>
          <w:szCs w:val="28"/>
        </w:rPr>
        <w:t xml:space="preserve">2018 </w:t>
      </w:r>
      <w:r w:rsidRPr="00102883">
        <w:rPr>
          <w:rFonts w:ascii="Times New Roman" w:hAnsi="Times New Roman"/>
          <w:sz w:val="28"/>
          <w:szCs w:val="28"/>
        </w:rPr>
        <w:t>года в области внешнеэкономической деятельности государств</w:t>
      </w:r>
      <w:r>
        <w:rPr>
          <w:rFonts w:ascii="Times New Roman" w:hAnsi="Times New Roman"/>
          <w:sz w:val="28"/>
          <w:szCs w:val="28"/>
        </w:rPr>
        <w:t>ом была продолжена</w:t>
      </w:r>
      <w:r w:rsidRPr="00102883">
        <w:rPr>
          <w:rFonts w:ascii="Times New Roman" w:hAnsi="Times New Roman"/>
          <w:sz w:val="28"/>
          <w:szCs w:val="28"/>
        </w:rPr>
        <w:t xml:space="preserve"> </w:t>
      </w:r>
      <w:r>
        <w:rPr>
          <w:rFonts w:ascii="Times New Roman" w:hAnsi="Times New Roman"/>
          <w:sz w:val="28"/>
          <w:szCs w:val="28"/>
        </w:rPr>
        <w:t>работа,</w:t>
      </w:r>
      <w:r w:rsidRPr="00321803">
        <w:rPr>
          <w:rFonts w:ascii="Times New Roman" w:hAnsi="Times New Roman"/>
          <w:sz w:val="28"/>
          <w:szCs w:val="28"/>
        </w:rPr>
        <w:t xml:space="preserve"> направленная на оптимизацию условий </w:t>
      </w:r>
      <w:r w:rsidR="0023357F">
        <w:rPr>
          <w:rFonts w:ascii="Times New Roman" w:hAnsi="Times New Roman"/>
          <w:sz w:val="28"/>
          <w:szCs w:val="28"/>
        </w:rPr>
        <w:t xml:space="preserve">ее </w:t>
      </w:r>
      <w:r w:rsidRPr="00321803">
        <w:rPr>
          <w:rFonts w:ascii="Times New Roman" w:hAnsi="Times New Roman"/>
          <w:sz w:val="28"/>
          <w:szCs w:val="28"/>
        </w:rPr>
        <w:t>осуществления, поддержку отечественных производителей, сохранени</w:t>
      </w:r>
      <w:r w:rsidR="00310DA6">
        <w:rPr>
          <w:rFonts w:ascii="Times New Roman" w:hAnsi="Times New Roman"/>
          <w:sz w:val="28"/>
          <w:szCs w:val="28"/>
        </w:rPr>
        <w:t>е</w:t>
      </w:r>
      <w:r w:rsidRPr="00321803">
        <w:rPr>
          <w:rFonts w:ascii="Times New Roman" w:hAnsi="Times New Roman"/>
          <w:sz w:val="28"/>
          <w:szCs w:val="28"/>
        </w:rPr>
        <w:t xml:space="preserve"> для приднестровских товаров преференционных условий экспорта, снижение негативного влияния от функционирования совместного таможенно-пограничного контроля Республики Молдова на приднестровско-украинской границе в пункте пропуска «Первомайск-Кучурган».</w:t>
      </w:r>
    </w:p>
    <w:p w:rsidR="008C182C" w:rsidRDefault="008C182C" w:rsidP="008C182C">
      <w:pPr>
        <w:spacing w:after="0" w:line="240" w:lineRule="auto"/>
        <w:ind w:firstLine="567"/>
        <w:jc w:val="both"/>
        <w:rPr>
          <w:rFonts w:ascii="Times New Roman" w:hAnsi="Times New Roman"/>
          <w:sz w:val="28"/>
          <w:szCs w:val="28"/>
        </w:rPr>
      </w:pPr>
      <w:r w:rsidRPr="00321803">
        <w:rPr>
          <w:rFonts w:ascii="Times New Roman" w:hAnsi="Times New Roman"/>
          <w:sz w:val="28"/>
          <w:szCs w:val="28"/>
        </w:rPr>
        <w:t>Также</w:t>
      </w:r>
      <w:r>
        <w:rPr>
          <w:rFonts w:ascii="Times New Roman" w:hAnsi="Times New Roman"/>
          <w:sz w:val="28"/>
          <w:szCs w:val="28"/>
        </w:rPr>
        <w:t xml:space="preserve"> осуществлялась деятельность по:</w:t>
      </w:r>
    </w:p>
    <w:p w:rsidR="008C182C" w:rsidRDefault="008C182C" w:rsidP="008C182C">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321803">
        <w:rPr>
          <w:rFonts w:ascii="Times New Roman" w:hAnsi="Times New Roman"/>
          <w:sz w:val="28"/>
          <w:szCs w:val="28"/>
        </w:rPr>
        <w:t>реализаци</w:t>
      </w:r>
      <w:r>
        <w:rPr>
          <w:rFonts w:ascii="Times New Roman" w:hAnsi="Times New Roman"/>
          <w:sz w:val="28"/>
          <w:szCs w:val="28"/>
        </w:rPr>
        <w:t>и</w:t>
      </w:r>
      <w:r w:rsidRPr="00321803">
        <w:rPr>
          <w:rFonts w:ascii="Times New Roman" w:hAnsi="Times New Roman"/>
          <w:sz w:val="28"/>
          <w:szCs w:val="28"/>
        </w:rPr>
        <w:t xml:space="preserve"> </w:t>
      </w:r>
      <w:r>
        <w:rPr>
          <w:rFonts w:ascii="Times New Roman" w:hAnsi="Times New Roman"/>
          <w:sz w:val="28"/>
          <w:szCs w:val="28"/>
        </w:rPr>
        <w:t>Д</w:t>
      </w:r>
      <w:r w:rsidRPr="00321803">
        <w:rPr>
          <w:rFonts w:ascii="Times New Roman" w:hAnsi="Times New Roman"/>
          <w:sz w:val="28"/>
          <w:szCs w:val="28"/>
        </w:rPr>
        <w:t xml:space="preserve">орожной карты «Поддержка доступа приднестровских производителей на рынки зарубежных стран и поддержка экспорта». На конец </w:t>
      </w:r>
      <w:r>
        <w:rPr>
          <w:rFonts w:ascii="Times New Roman" w:hAnsi="Times New Roman"/>
          <w:sz w:val="28"/>
          <w:szCs w:val="28"/>
        </w:rPr>
        <w:t>отчетного периода</w:t>
      </w:r>
      <w:r w:rsidRPr="00321803">
        <w:rPr>
          <w:rFonts w:ascii="Times New Roman" w:hAnsi="Times New Roman"/>
          <w:sz w:val="28"/>
          <w:szCs w:val="28"/>
        </w:rPr>
        <w:t xml:space="preserve"> реализовано 8</w:t>
      </w:r>
      <w:r>
        <w:rPr>
          <w:rFonts w:ascii="Times New Roman" w:hAnsi="Times New Roman"/>
          <w:sz w:val="28"/>
          <w:szCs w:val="28"/>
        </w:rPr>
        <w:t>8</w:t>
      </w:r>
      <w:r w:rsidRPr="00321803">
        <w:rPr>
          <w:rFonts w:ascii="Times New Roman" w:hAnsi="Times New Roman"/>
          <w:sz w:val="28"/>
          <w:szCs w:val="28"/>
        </w:rPr>
        <w:t>% запланированных мероприятий</w:t>
      </w:r>
      <w:r>
        <w:rPr>
          <w:rFonts w:ascii="Times New Roman" w:hAnsi="Times New Roman"/>
          <w:sz w:val="28"/>
          <w:szCs w:val="28"/>
        </w:rPr>
        <w:t>;</w:t>
      </w:r>
    </w:p>
    <w:p w:rsidR="008C182C" w:rsidRPr="00321803" w:rsidRDefault="008C182C" w:rsidP="008C182C">
      <w:pPr>
        <w:spacing w:after="0" w:line="240" w:lineRule="auto"/>
        <w:ind w:firstLine="567"/>
        <w:jc w:val="both"/>
        <w:rPr>
          <w:rFonts w:ascii="Times New Roman" w:hAnsi="Times New Roman"/>
          <w:sz w:val="28"/>
          <w:szCs w:val="28"/>
        </w:rPr>
      </w:pPr>
      <w:r>
        <w:rPr>
          <w:rFonts w:ascii="Times New Roman" w:hAnsi="Times New Roman"/>
          <w:sz w:val="28"/>
          <w:szCs w:val="28"/>
        </w:rPr>
        <w:t>-</w:t>
      </w:r>
      <w:r w:rsidRPr="00321803">
        <w:rPr>
          <w:rFonts w:ascii="Times New Roman" w:hAnsi="Times New Roman"/>
          <w:sz w:val="28"/>
          <w:szCs w:val="28"/>
        </w:rPr>
        <w:t xml:space="preserve"> формированию таможенного тарифа на 2019</w:t>
      </w:r>
      <w:r>
        <w:rPr>
          <w:rFonts w:ascii="Times New Roman" w:hAnsi="Times New Roman"/>
          <w:sz w:val="28"/>
          <w:szCs w:val="28"/>
        </w:rPr>
        <w:t> </w:t>
      </w:r>
      <w:r w:rsidRPr="00321803">
        <w:rPr>
          <w:rFonts w:ascii="Times New Roman" w:hAnsi="Times New Roman"/>
          <w:sz w:val="28"/>
          <w:szCs w:val="28"/>
        </w:rPr>
        <w:t xml:space="preserve">год </w:t>
      </w:r>
      <w:r>
        <w:rPr>
          <w:rFonts w:ascii="Times New Roman" w:hAnsi="Times New Roman"/>
          <w:sz w:val="28"/>
          <w:szCs w:val="28"/>
        </w:rPr>
        <w:t xml:space="preserve">на </w:t>
      </w:r>
      <w:r w:rsidRPr="00321803">
        <w:rPr>
          <w:rFonts w:ascii="Times New Roman" w:hAnsi="Times New Roman"/>
          <w:sz w:val="28"/>
          <w:szCs w:val="28"/>
        </w:rPr>
        <w:t xml:space="preserve">импортируемые </w:t>
      </w:r>
      <w:r>
        <w:rPr>
          <w:rFonts w:ascii="Times New Roman" w:hAnsi="Times New Roman"/>
          <w:sz w:val="28"/>
          <w:szCs w:val="28"/>
        </w:rPr>
        <w:t>и</w:t>
      </w:r>
      <w:r w:rsidRPr="00321803">
        <w:rPr>
          <w:rFonts w:ascii="Times New Roman" w:hAnsi="Times New Roman"/>
          <w:sz w:val="28"/>
          <w:szCs w:val="28"/>
        </w:rPr>
        <w:t xml:space="preserve"> экспортируемые </w:t>
      </w:r>
      <w:r>
        <w:rPr>
          <w:rFonts w:ascii="Times New Roman" w:hAnsi="Times New Roman"/>
          <w:sz w:val="28"/>
          <w:szCs w:val="28"/>
        </w:rPr>
        <w:t>товары;</w:t>
      </w:r>
    </w:p>
    <w:p w:rsidR="008C182C" w:rsidRPr="00321803" w:rsidRDefault="008C182C" w:rsidP="008C182C">
      <w:pPr>
        <w:spacing w:after="0" w:line="240" w:lineRule="auto"/>
        <w:ind w:firstLine="567"/>
        <w:jc w:val="both"/>
        <w:rPr>
          <w:rFonts w:ascii="Times New Roman" w:hAnsi="Times New Roman"/>
          <w:sz w:val="28"/>
          <w:szCs w:val="28"/>
        </w:rPr>
      </w:pPr>
      <w:r w:rsidRPr="00321803">
        <w:rPr>
          <w:rFonts w:ascii="Times New Roman" w:hAnsi="Times New Roman"/>
          <w:sz w:val="28"/>
          <w:szCs w:val="28"/>
        </w:rPr>
        <w:t>- поддержк</w:t>
      </w:r>
      <w:r>
        <w:rPr>
          <w:rFonts w:ascii="Times New Roman" w:hAnsi="Times New Roman"/>
          <w:sz w:val="28"/>
          <w:szCs w:val="28"/>
        </w:rPr>
        <w:t>е</w:t>
      </w:r>
      <w:r w:rsidRPr="00321803">
        <w:rPr>
          <w:rFonts w:ascii="Times New Roman" w:hAnsi="Times New Roman"/>
          <w:sz w:val="28"/>
          <w:szCs w:val="28"/>
        </w:rPr>
        <w:t xml:space="preserve"> предпринимателей и производителей посредством снижения специфической составляющей ставки таможенной пошлины на импортируемые цветы, а также ставки акцизного сбора на ввозимое сырье для производства предметов одежды, принадлежностей к одежде из натурального меха, ювелирных изделий и изделий золотых или серебряных дел мастеров; </w:t>
      </w:r>
    </w:p>
    <w:p w:rsidR="008C182C" w:rsidRPr="00321803" w:rsidRDefault="008C182C" w:rsidP="008C182C">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321803">
        <w:rPr>
          <w:rFonts w:ascii="Times New Roman" w:hAnsi="Times New Roman"/>
          <w:sz w:val="28"/>
          <w:szCs w:val="28"/>
        </w:rPr>
        <w:t>обеспечени</w:t>
      </w:r>
      <w:r>
        <w:rPr>
          <w:rFonts w:ascii="Times New Roman" w:hAnsi="Times New Roman"/>
          <w:sz w:val="28"/>
          <w:szCs w:val="28"/>
        </w:rPr>
        <w:t>ю</w:t>
      </w:r>
      <w:r w:rsidRPr="00321803">
        <w:rPr>
          <w:rFonts w:ascii="Times New Roman" w:hAnsi="Times New Roman"/>
          <w:sz w:val="28"/>
          <w:szCs w:val="28"/>
        </w:rPr>
        <w:t xml:space="preserve"> полноты поступлений валютных средств посредством продлен</w:t>
      </w:r>
      <w:r>
        <w:rPr>
          <w:rFonts w:ascii="Times New Roman" w:hAnsi="Times New Roman"/>
          <w:sz w:val="28"/>
          <w:szCs w:val="28"/>
        </w:rPr>
        <w:t>ия</w:t>
      </w:r>
      <w:r w:rsidRPr="00321803">
        <w:rPr>
          <w:rFonts w:ascii="Times New Roman" w:hAnsi="Times New Roman"/>
          <w:sz w:val="28"/>
          <w:szCs w:val="28"/>
        </w:rPr>
        <w:t xml:space="preserve"> действи</w:t>
      </w:r>
      <w:r>
        <w:rPr>
          <w:rFonts w:ascii="Times New Roman" w:hAnsi="Times New Roman"/>
          <w:sz w:val="28"/>
          <w:szCs w:val="28"/>
        </w:rPr>
        <w:t>я</w:t>
      </w:r>
      <w:r w:rsidRPr="00321803">
        <w:rPr>
          <w:rFonts w:ascii="Times New Roman" w:hAnsi="Times New Roman"/>
          <w:sz w:val="28"/>
          <w:szCs w:val="28"/>
        </w:rPr>
        <w:t xml:space="preserve"> экспортной сезонной пошлины на масличные и зерновые культуры на период по 31 декабря 2018 года. С 16 ноября 2018 года установлена экспортная сезонная пошлина на нут и кондитерский подсолнечник.</w:t>
      </w:r>
    </w:p>
    <w:p w:rsidR="008C182C" w:rsidRPr="00D40991" w:rsidRDefault="008C182C" w:rsidP="008C182C">
      <w:pPr>
        <w:spacing w:after="0" w:line="240" w:lineRule="auto"/>
        <w:ind w:firstLine="567"/>
        <w:jc w:val="both"/>
        <w:rPr>
          <w:rFonts w:ascii="Times New Roman" w:hAnsi="Times New Roman"/>
          <w:sz w:val="28"/>
          <w:szCs w:val="28"/>
        </w:rPr>
      </w:pPr>
      <w:r w:rsidRPr="00D40991">
        <w:rPr>
          <w:rFonts w:ascii="Times New Roman" w:hAnsi="Times New Roman"/>
          <w:sz w:val="28"/>
          <w:szCs w:val="28"/>
        </w:rPr>
        <w:t xml:space="preserve">В 2018 году продолжено взаимодействие с Российской Федерацией по </w:t>
      </w:r>
      <w:r>
        <w:rPr>
          <w:rFonts w:ascii="Times New Roman" w:hAnsi="Times New Roman"/>
          <w:sz w:val="28"/>
          <w:szCs w:val="28"/>
        </w:rPr>
        <w:t xml:space="preserve">следующим </w:t>
      </w:r>
      <w:r w:rsidRPr="00D40991">
        <w:rPr>
          <w:rFonts w:ascii="Times New Roman" w:hAnsi="Times New Roman"/>
          <w:sz w:val="28"/>
          <w:szCs w:val="28"/>
        </w:rPr>
        <w:t>направлениям:</w:t>
      </w:r>
    </w:p>
    <w:p w:rsidR="008C182C" w:rsidRPr="00D40991" w:rsidRDefault="008C182C" w:rsidP="008C182C">
      <w:pPr>
        <w:spacing w:after="0" w:line="240" w:lineRule="auto"/>
        <w:ind w:firstLine="567"/>
        <w:jc w:val="both"/>
        <w:rPr>
          <w:rFonts w:ascii="Times New Roman" w:hAnsi="Times New Roman"/>
          <w:sz w:val="28"/>
          <w:szCs w:val="28"/>
        </w:rPr>
      </w:pPr>
      <w:r w:rsidRPr="00D40991">
        <w:rPr>
          <w:rFonts w:ascii="Times New Roman" w:hAnsi="Times New Roman"/>
          <w:sz w:val="28"/>
          <w:szCs w:val="28"/>
        </w:rPr>
        <w:t xml:space="preserve">а) </w:t>
      </w:r>
      <w:r w:rsidRPr="00D40991">
        <w:rPr>
          <w:rFonts w:ascii="Times New Roman" w:hAnsi="Times New Roman"/>
          <w:sz w:val="28"/>
          <w:szCs w:val="28"/>
          <w:shd w:val="clear" w:color="auto" w:fill="FFFFFF"/>
        </w:rPr>
        <w:t>п</w:t>
      </w:r>
      <w:r w:rsidRPr="00D40991">
        <w:rPr>
          <w:rFonts w:ascii="Times New Roman" w:hAnsi="Times New Roman"/>
          <w:sz w:val="28"/>
          <w:szCs w:val="28"/>
        </w:rPr>
        <w:t>редоставлени</w:t>
      </w:r>
      <w:r>
        <w:rPr>
          <w:rFonts w:ascii="Times New Roman" w:hAnsi="Times New Roman"/>
          <w:sz w:val="28"/>
          <w:szCs w:val="28"/>
        </w:rPr>
        <w:t>е</w:t>
      </w:r>
      <w:r w:rsidRPr="00D40991">
        <w:rPr>
          <w:rFonts w:ascii="Times New Roman" w:hAnsi="Times New Roman"/>
          <w:sz w:val="28"/>
          <w:szCs w:val="28"/>
        </w:rPr>
        <w:t xml:space="preserve"> приднестровским товарам режима благоприятствования, аналогичного предоставляемому российским товарам и товарам, произведенным на территории государств-членов Евразийского экономического союза;</w:t>
      </w:r>
    </w:p>
    <w:p w:rsidR="008C182C" w:rsidRPr="00D40991" w:rsidRDefault="008C182C" w:rsidP="008C182C">
      <w:pPr>
        <w:spacing w:after="0" w:line="240" w:lineRule="auto"/>
        <w:ind w:firstLine="567"/>
        <w:jc w:val="both"/>
        <w:rPr>
          <w:rFonts w:ascii="Times New Roman" w:hAnsi="Times New Roman"/>
          <w:sz w:val="28"/>
          <w:szCs w:val="28"/>
        </w:rPr>
      </w:pPr>
      <w:r w:rsidRPr="00D40991">
        <w:rPr>
          <w:rFonts w:ascii="Times New Roman" w:hAnsi="Times New Roman"/>
          <w:sz w:val="28"/>
          <w:szCs w:val="28"/>
        </w:rPr>
        <w:t>б) получени</w:t>
      </w:r>
      <w:r>
        <w:rPr>
          <w:rFonts w:ascii="Times New Roman" w:hAnsi="Times New Roman"/>
          <w:sz w:val="28"/>
          <w:szCs w:val="28"/>
        </w:rPr>
        <w:t>е</w:t>
      </w:r>
      <w:r w:rsidRPr="00D40991">
        <w:rPr>
          <w:rFonts w:ascii="Times New Roman" w:hAnsi="Times New Roman"/>
          <w:sz w:val="28"/>
          <w:szCs w:val="28"/>
        </w:rPr>
        <w:t xml:space="preserve"> </w:t>
      </w:r>
      <w:r w:rsidRPr="00D40991">
        <w:rPr>
          <w:rFonts w:ascii="Times New Roman" w:hAnsi="Times New Roman"/>
          <w:bCs/>
          <w:sz w:val="28"/>
          <w:szCs w:val="28"/>
        </w:rPr>
        <w:t>разрешительных документов для экспорта приднестровской продукции в Российскую Федерацию</w:t>
      </w:r>
      <w:r w:rsidRPr="00D40991">
        <w:rPr>
          <w:rFonts w:ascii="Times New Roman" w:hAnsi="Times New Roman"/>
          <w:sz w:val="28"/>
          <w:szCs w:val="28"/>
        </w:rPr>
        <w:t>;</w:t>
      </w:r>
    </w:p>
    <w:p w:rsidR="008C182C" w:rsidRPr="00D40991" w:rsidRDefault="008C182C" w:rsidP="008C182C">
      <w:pPr>
        <w:spacing w:after="0" w:line="240" w:lineRule="auto"/>
        <w:ind w:firstLine="567"/>
        <w:jc w:val="both"/>
        <w:rPr>
          <w:rFonts w:ascii="Times New Roman" w:hAnsi="Times New Roman"/>
          <w:color w:val="000000"/>
          <w:sz w:val="28"/>
          <w:szCs w:val="28"/>
        </w:rPr>
      </w:pPr>
      <w:r w:rsidRPr="00D40991">
        <w:rPr>
          <w:rFonts w:ascii="Times New Roman" w:hAnsi="Times New Roman"/>
          <w:sz w:val="28"/>
          <w:szCs w:val="28"/>
        </w:rPr>
        <w:lastRenderedPageBreak/>
        <w:t xml:space="preserve">в) </w:t>
      </w:r>
      <w:r w:rsidRPr="00D40991">
        <w:rPr>
          <w:rFonts w:ascii="Times New Roman" w:hAnsi="Times New Roman"/>
          <w:color w:val="000000"/>
          <w:sz w:val="28"/>
          <w:szCs w:val="28"/>
        </w:rPr>
        <w:t>содействи</w:t>
      </w:r>
      <w:r>
        <w:rPr>
          <w:rFonts w:ascii="Times New Roman" w:hAnsi="Times New Roman"/>
          <w:color w:val="000000"/>
          <w:sz w:val="28"/>
          <w:szCs w:val="28"/>
        </w:rPr>
        <w:t>е</w:t>
      </w:r>
      <w:r w:rsidRPr="00D40991">
        <w:rPr>
          <w:rFonts w:ascii="Times New Roman" w:hAnsi="Times New Roman"/>
          <w:color w:val="000000"/>
          <w:sz w:val="28"/>
          <w:szCs w:val="28"/>
        </w:rPr>
        <w:t xml:space="preserve"> в техническом перевооружении отрасли дорожного хозяйства, электротранспорта;</w:t>
      </w:r>
    </w:p>
    <w:p w:rsidR="008C182C" w:rsidRPr="00D40991" w:rsidRDefault="008C182C" w:rsidP="008C182C">
      <w:pPr>
        <w:spacing w:after="0" w:line="240" w:lineRule="auto"/>
        <w:ind w:firstLine="567"/>
        <w:jc w:val="both"/>
        <w:rPr>
          <w:rFonts w:ascii="Times New Roman" w:hAnsi="Times New Roman"/>
          <w:sz w:val="28"/>
          <w:szCs w:val="28"/>
        </w:rPr>
      </w:pPr>
      <w:r w:rsidRPr="00D40991">
        <w:rPr>
          <w:rFonts w:ascii="Times New Roman" w:hAnsi="Times New Roman"/>
          <w:color w:val="000000"/>
          <w:sz w:val="28"/>
          <w:szCs w:val="28"/>
        </w:rPr>
        <w:t xml:space="preserve">г) </w:t>
      </w:r>
      <w:r w:rsidRPr="00D40991">
        <w:rPr>
          <w:rFonts w:ascii="Times New Roman" w:hAnsi="Times New Roman"/>
          <w:sz w:val="28"/>
          <w:szCs w:val="28"/>
        </w:rPr>
        <w:t>создани</w:t>
      </w:r>
      <w:r>
        <w:rPr>
          <w:rFonts w:ascii="Times New Roman" w:hAnsi="Times New Roman"/>
          <w:sz w:val="28"/>
          <w:szCs w:val="28"/>
        </w:rPr>
        <w:t>е</w:t>
      </w:r>
      <w:r w:rsidRPr="00D40991">
        <w:rPr>
          <w:rFonts w:ascii="Times New Roman" w:hAnsi="Times New Roman"/>
          <w:sz w:val="28"/>
          <w:szCs w:val="28"/>
        </w:rPr>
        <w:t xml:space="preserve"> торгово-логистического хаба (ТЛХ) на территории Приднестровья;</w:t>
      </w:r>
    </w:p>
    <w:p w:rsidR="008C182C" w:rsidRPr="00D40991" w:rsidRDefault="008C182C" w:rsidP="008C182C">
      <w:pPr>
        <w:spacing w:after="0" w:line="240" w:lineRule="auto"/>
        <w:ind w:firstLine="567"/>
        <w:jc w:val="both"/>
        <w:rPr>
          <w:rFonts w:ascii="Times New Roman" w:hAnsi="Times New Roman"/>
          <w:sz w:val="28"/>
          <w:szCs w:val="28"/>
        </w:rPr>
      </w:pPr>
      <w:r w:rsidRPr="00D40991">
        <w:rPr>
          <w:rFonts w:ascii="Times New Roman" w:hAnsi="Times New Roman"/>
          <w:sz w:val="28"/>
          <w:szCs w:val="28"/>
        </w:rPr>
        <w:t xml:space="preserve">д) проработка проектов Соглашения и Программы между Правительством субъектов Российской Федерации и Правительством Приднестровской Молдавской Республики о торгово-экономическом, научно-техническом и социально-гуманитарном сотрудничестве. </w:t>
      </w:r>
    </w:p>
    <w:p w:rsidR="008C182C" w:rsidRPr="00D40991" w:rsidRDefault="008C182C" w:rsidP="008C182C">
      <w:pPr>
        <w:tabs>
          <w:tab w:val="left" w:pos="709"/>
          <w:tab w:val="left" w:pos="851"/>
          <w:tab w:val="left" w:pos="993"/>
        </w:tabs>
        <w:spacing w:after="0" w:line="240" w:lineRule="auto"/>
        <w:ind w:firstLine="567"/>
        <w:jc w:val="both"/>
        <w:outlineLvl w:val="0"/>
        <w:rPr>
          <w:rFonts w:ascii="Times New Roman" w:hAnsi="Times New Roman"/>
          <w:sz w:val="28"/>
          <w:szCs w:val="28"/>
        </w:rPr>
      </w:pPr>
      <w:r w:rsidRPr="00D40991">
        <w:rPr>
          <w:rFonts w:ascii="Times New Roman" w:hAnsi="Times New Roman"/>
          <w:sz w:val="28"/>
          <w:szCs w:val="28"/>
        </w:rPr>
        <w:t xml:space="preserve">С целью продолжения преференционной торговли со странами </w:t>
      </w:r>
      <w:r w:rsidRPr="00694DCE">
        <w:rPr>
          <w:rFonts w:ascii="Times New Roman" w:hAnsi="Times New Roman"/>
          <w:sz w:val="28"/>
          <w:szCs w:val="28"/>
        </w:rPr>
        <w:t>Евр</w:t>
      </w:r>
      <w:r w:rsidR="00694DCE" w:rsidRPr="00694DCE">
        <w:rPr>
          <w:rFonts w:ascii="Times New Roman" w:hAnsi="Times New Roman"/>
          <w:sz w:val="28"/>
          <w:szCs w:val="28"/>
        </w:rPr>
        <w:t>опейского</w:t>
      </w:r>
      <w:r w:rsidRPr="00694DCE">
        <w:rPr>
          <w:rFonts w:ascii="Times New Roman" w:hAnsi="Times New Roman"/>
          <w:sz w:val="28"/>
          <w:szCs w:val="28"/>
        </w:rPr>
        <w:t xml:space="preserve"> союза</w:t>
      </w:r>
      <w:r w:rsidRPr="00D40991">
        <w:rPr>
          <w:rFonts w:ascii="Times New Roman" w:hAnsi="Times New Roman"/>
          <w:sz w:val="28"/>
          <w:szCs w:val="28"/>
        </w:rPr>
        <w:t xml:space="preserve"> проводились мероприятия в рамках выполнения Дорожной карты «Облегчение торговли с Европейским Союзом»</w:t>
      </w:r>
      <w:r>
        <w:rPr>
          <w:rFonts w:ascii="Times New Roman" w:hAnsi="Times New Roman"/>
          <w:sz w:val="28"/>
          <w:szCs w:val="28"/>
        </w:rPr>
        <w:t xml:space="preserve">, </w:t>
      </w:r>
      <w:r w:rsidRPr="00804457">
        <w:rPr>
          <w:rFonts w:ascii="Times New Roman" w:hAnsi="Times New Roman"/>
          <w:sz w:val="28"/>
          <w:szCs w:val="28"/>
        </w:rPr>
        <w:t>обнулены ставки ввозной таможенной пошлины</w:t>
      </w:r>
      <w:r>
        <w:rPr>
          <w:rFonts w:ascii="Times New Roman" w:hAnsi="Times New Roman"/>
          <w:sz w:val="28"/>
          <w:szCs w:val="28"/>
        </w:rPr>
        <w:t xml:space="preserve">, </w:t>
      </w:r>
      <w:r w:rsidRPr="00804457">
        <w:rPr>
          <w:rFonts w:ascii="Times New Roman" w:hAnsi="Times New Roman"/>
          <w:sz w:val="28"/>
          <w:szCs w:val="28"/>
        </w:rPr>
        <w:t xml:space="preserve">гармонизирована товарная номенклатура внешнеэкономической деятельности </w:t>
      </w:r>
      <w:r>
        <w:rPr>
          <w:rFonts w:ascii="Times New Roman" w:hAnsi="Times New Roman"/>
          <w:sz w:val="28"/>
          <w:szCs w:val="28"/>
        </w:rPr>
        <w:t>в соответствии с</w:t>
      </w:r>
      <w:r w:rsidRPr="00804457">
        <w:rPr>
          <w:rFonts w:ascii="Times New Roman" w:hAnsi="Times New Roman"/>
          <w:sz w:val="28"/>
          <w:szCs w:val="28"/>
        </w:rPr>
        <w:t xml:space="preserve"> систем</w:t>
      </w:r>
      <w:r>
        <w:rPr>
          <w:rFonts w:ascii="Times New Roman" w:hAnsi="Times New Roman"/>
          <w:sz w:val="28"/>
          <w:szCs w:val="28"/>
        </w:rPr>
        <w:t>ой</w:t>
      </w:r>
      <w:r w:rsidRPr="00804457">
        <w:rPr>
          <w:rFonts w:ascii="Times New Roman" w:hAnsi="Times New Roman"/>
          <w:sz w:val="28"/>
          <w:szCs w:val="28"/>
        </w:rPr>
        <w:t xml:space="preserve"> описания и кодирования товаров Всемирной Торговой Организации</w:t>
      </w:r>
      <w:r>
        <w:rPr>
          <w:rFonts w:ascii="Times New Roman" w:hAnsi="Times New Roman"/>
          <w:sz w:val="28"/>
          <w:szCs w:val="28"/>
        </w:rPr>
        <w:t>.</w:t>
      </w:r>
    </w:p>
    <w:p w:rsidR="008C182C" w:rsidRDefault="008C182C" w:rsidP="007D3AA7">
      <w:pPr>
        <w:spacing w:after="0" w:line="240" w:lineRule="auto"/>
        <w:ind w:firstLine="426"/>
        <w:jc w:val="both"/>
        <w:rPr>
          <w:rFonts w:ascii="Times New Roman" w:hAnsi="Times New Roman"/>
          <w:sz w:val="28"/>
          <w:szCs w:val="28"/>
        </w:rPr>
      </w:pPr>
    </w:p>
    <w:p w:rsidR="00814BB0" w:rsidRDefault="00814BB0" w:rsidP="007D3AA7">
      <w:pPr>
        <w:widowControl w:val="0"/>
        <w:autoSpaceDE w:val="0"/>
        <w:autoSpaceDN w:val="0"/>
        <w:adjustRightInd w:val="0"/>
        <w:spacing w:after="0" w:line="240" w:lineRule="auto"/>
        <w:ind w:firstLine="426"/>
        <w:jc w:val="both"/>
        <w:rPr>
          <w:rFonts w:ascii="Times New Roman" w:eastAsia="Calibri" w:hAnsi="Times New Roman" w:cstheme="minorBidi"/>
          <w:b/>
          <w:sz w:val="28"/>
          <w:szCs w:val="28"/>
          <w:lang w:eastAsia="en-US"/>
        </w:rPr>
      </w:pPr>
      <w:r w:rsidRPr="00814BB0">
        <w:rPr>
          <w:rFonts w:ascii="Times New Roman" w:eastAsia="Calibri" w:hAnsi="Times New Roman" w:cstheme="minorBidi"/>
          <w:b/>
          <w:sz w:val="28"/>
          <w:szCs w:val="28"/>
          <w:lang w:eastAsia="en-US"/>
        </w:rPr>
        <w:t>Инвестиционная деятельность</w:t>
      </w:r>
    </w:p>
    <w:p w:rsidR="00814BB0" w:rsidRPr="00814BB0" w:rsidRDefault="00814BB0" w:rsidP="007D3AA7">
      <w:pPr>
        <w:widowControl w:val="0"/>
        <w:autoSpaceDE w:val="0"/>
        <w:autoSpaceDN w:val="0"/>
        <w:adjustRightInd w:val="0"/>
        <w:spacing w:after="0" w:line="240" w:lineRule="auto"/>
        <w:ind w:firstLine="426"/>
        <w:jc w:val="both"/>
        <w:rPr>
          <w:rFonts w:ascii="Times New Roman" w:eastAsia="Calibri" w:hAnsi="Times New Roman" w:cstheme="minorBidi"/>
          <w:b/>
          <w:sz w:val="28"/>
          <w:szCs w:val="28"/>
          <w:lang w:eastAsia="en-US"/>
        </w:rPr>
      </w:pPr>
    </w:p>
    <w:p w:rsidR="00814BB0" w:rsidRPr="00814BB0" w:rsidRDefault="00814BB0" w:rsidP="007D3AA7">
      <w:pPr>
        <w:shd w:val="clear" w:color="auto" w:fill="FFFFFF" w:themeFill="background1"/>
        <w:spacing w:after="0" w:line="240" w:lineRule="auto"/>
        <w:ind w:firstLine="426"/>
        <w:jc w:val="both"/>
        <w:rPr>
          <w:rFonts w:ascii="Times New Roman" w:hAnsi="Times New Roman"/>
          <w:sz w:val="28"/>
          <w:szCs w:val="28"/>
          <w:lang w:eastAsia="en-US"/>
        </w:rPr>
      </w:pPr>
      <w:r w:rsidRPr="00814BB0">
        <w:rPr>
          <w:rFonts w:ascii="Times New Roman" w:eastAsiaTheme="minorHAnsi" w:hAnsi="Times New Roman" w:cstheme="minorBidi"/>
          <w:sz w:val="28"/>
          <w:szCs w:val="28"/>
          <w:lang w:eastAsia="en-US"/>
        </w:rPr>
        <w:t xml:space="preserve">Реализуемый в 2018 году комплекс действенных мер по </w:t>
      </w:r>
      <w:r w:rsidR="001C56FC">
        <w:rPr>
          <w:rFonts w:ascii="Times New Roman" w:eastAsiaTheme="minorHAnsi" w:hAnsi="Times New Roman" w:cstheme="minorBidi"/>
          <w:sz w:val="28"/>
          <w:szCs w:val="28"/>
          <w:lang w:eastAsia="en-US"/>
        </w:rPr>
        <w:t>улучшению</w:t>
      </w:r>
      <w:r w:rsidRPr="00814BB0">
        <w:rPr>
          <w:rFonts w:ascii="Times New Roman" w:hAnsi="Times New Roman"/>
          <w:sz w:val="28"/>
          <w:szCs w:val="28"/>
          <w:lang w:eastAsia="en-US"/>
        </w:rPr>
        <w:t xml:space="preserve"> экономической конъюнктуры </w:t>
      </w:r>
      <w:r w:rsidRPr="00814BB0">
        <w:rPr>
          <w:rFonts w:ascii="Times New Roman" w:eastAsiaTheme="minorHAnsi" w:hAnsi="Times New Roman" w:cstheme="minorBidi"/>
          <w:sz w:val="28"/>
          <w:szCs w:val="28"/>
          <w:lang w:eastAsia="en-US"/>
        </w:rPr>
        <w:t>посредством модернизации инвестиционного законодательства, предоставляющего режим максимального благоприятствования, как для внутренних, так и для внешних инвесторов, разработка правовых норм, направленных на стимулирование обновления основных фондов</w:t>
      </w:r>
      <w:r w:rsidR="001C56FC">
        <w:rPr>
          <w:rFonts w:ascii="Times New Roman" w:eastAsiaTheme="minorHAnsi" w:hAnsi="Times New Roman" w:cstheme="minorBidi"/>
          <w:sz w:val="28"/>
          <w:szCs w:val="28"/>
          <w:lang w:eastAsia="en-US"/>
        </w:rPr>
        <w:t>,</w:t>
      </w:r>
      <w:r w:rsidRPr="00814BB0">
        <w:rPr>
          <w:rFonts w:ascii="Times New Roman" w:eastAsiaTheme="minorHAnsi" w:hAnsi="Times New Roman" w:cstheme="minorBidi"/>
          <w:sz w:val="28"/>
          <w:szCs w:val="28"/>
          <w:lang w:eastAsia="en-US"/>
        </w:rPr>
        <w:t xml:space="preserve"> способствовали </w:t>
      </w:r>
      <w:r w:rsidR="001C56FC">
        <w:rPr>
          <w:rFonts w:ascii="Times New Roman" w:eastAsiaTheme="minorHAnsi" w:hAnsi="Times New Roman" w:cstheme="minorBidi"/>
          <w:sz w:val="28"/>
          <w:szCs w:val="28"/>
          <w:lang w:eastAsia="en-US"/>
        </w:rPr>
        <w:t xml:space="preserve">восстановлению доверия </w:t>
      </w:r>
      <w:r w:rsidRPr="00814BB0">
        <w:rPr>
          <w:rFonts w:ascii="Times New Roman" w:eastAsiaTheme="minorHAnsi" w:hAnsi="Times New Roman" w:cstheme="minorBidi"/>
          <w:sz w:val="28"/>
          <w:szCs w:val="28"/>
          <w:lang w:eastAsia="en-US"/>
        </w:rPr>
        <w:t xml:space="preserve">бизнеса </w:t>
      </w:r>
      <w:r w:rsidR="001C56FC">
        <w:rPr>
          <w:rFonts w:ascii="Times New Roman" w:eastAsiaTheme="minorHAnsi" w:hAnsi="Times New Roman" w:cstheme="minorBidi"/>
          <w:sz w:val="28"/>
          <w:szCs w:val="28"/>
          <w:lang w:eastAsia="en-US"/>
        </w:rPr>
        <w:t>к</w:t>
      </w:r>
      <w:r w:rsidRPr="00814BB0">
        <w:rPr>
          <w:rFonts w:ascii="Times New Roman" w:eastAsiaTheme="minorHAnsi" w:hAnsi="Times New Roman" w:cstheme="minorBidi"/>
          <w:sz w:val="28"/>
          <w:szCs w:val="28"/>
          <w:lang w:eastAsia="en-US"/>
        </w:rPr>
        <w:t xml:space="preserve"> политик</w:t>
      </w:r>
      <w:r w:rsidR="001C56FC">
        <w:rPr>
          <w:rFonts w:ascii="Times New Roman" w:eastAsiaTheme="minorHAnsi" w:hAnsi="Times New Roman" w:cstheme="minorBidi"/>
          <w:sz w:val="28"/>
          <w:szCs w:val="28"/>
          <w:lang w:eastAsia="en-US"/>
        </w:rPr>
        <w:t>е</w:t>
      </w:r>
      <w:r w:rsidRPr="00814BB0">
        <w:rPr>
          <w:rFonts w:ascii="Times New Roman" w:eastAsiaTheme="minorHAnsi" w:hAnsi="Times New Roman" w:cstheme="minorBidi"/>
          <w:sz w:val="28"/>
          <w:szCs w:val="28"/>
          <w:lang w:eastAsia="en-US"/>
        </w:rPr>
        <w:t xml:space="preserve"> государств</w:t>
      </w:r>
      <w:r w:rsidR="001C56FC">
        <w:rPr>
          <w:rFonts w:ascii="Times New Roman" w:eastAsiaTheme="minorHAnsi" w:hAnsi="Times New Roman" w:cstheme="minorBidi"/>
          <w:sz w:val="28"/>
          <w:szCs w:val="28"/>
          <w:lang w:eastAsia="en-US"/>
        </w:rPr>
        <w:t>а, что выразилось в</w:t>
      </w:r>
      <w:r w:rsidRPr="00814BB0">
        <w:rPr>
          <w:rFonts w:ascii="Times New Roman" w:hAnsi="Times New Roman"/>
          <w:sz w:val="28"/>
          <w:szCs w:val="28"/>
          <w:lang w:eastAsia="en-US"/>
        </w:rPr>
        <w:t xml:space="preserve"> росте инвестиционной активности в республике.</w:t>
      </w:r>
    </w:p>
    <w:p w:rsidR="00814BB0" w:rsidRPr="00814BB0" w:rsidRDefault="00814BB0" w:rsidP="007D3AA7">
      <w:pPr>
        <w:spacing w:after="0" w:line="240" w:lineRule="auto"/>
        <w:ind w:firstLine="426"/>
        <w:jc w:val="both"/>
        <w:rPr>
          <w:rFonts w:ascii="Times New Roman" w:hAnsi="Times New Roman"/>
          <w:sz w:val="28"/>
          <w:szCs w:val="28"/>
          <w:highlight w:val="yellow"/>
          <w:lang w:eastAsia="en-US"/>
        </w:rPr>
      </w:pPr>
      <w:r w:rsidRPr="00814BB0">
        <w:rPr>
          <w:rFonts w:ascii="Times New Roman" w:eastAsiaTheme="minorHAnsi" w:hAnsi="Times New Roman" w:cstheme="minorBidi"/>
          <w:sz w:val="28"/>
          <w:szCs w:val="28"/>
          <w:lang w:eastAsia="en-US"/>
        </w:rPr>
        <w:t>В результате совокупная величина вложений в основной капитал с учетом субъектов малого предпринимательства и индивидуальных застройщиков по итогам 2018 года</w:t>
      </w:r>
      <w:r w:rsidR="001C56FC">
        <w:rPr>
          <w:rFonts w:ascii="Times New Roman" w:eastAsiaTheme="minorHAnsi" w:hAnsi="Times New Roman" w:cstheme="minorBidi"/>
          <w:sz w:val="28"/>
          <w:szCs w:val="28"/>
          <w:lang w:eastAsia="en-US"/>
        </w:rPr>
        <w:t>,</w:t>
      </w:r>
      <w:r w:rsidRPr="00814BB0">
        <w:rPr>
          <w:rFonts w:ascii="Times New Roman" w:eastAsiaTheme="minorHAnsi" w:hAnsi="Times New Roman" w:cstheme="minorBidi"/>
          <w:sz w:val="28"/>
          <w:szCs w:val="28"/>
          <w:lang w:eastAsia="en-US"/>
        </w:rPr>
        <w:t xml:space="preserve"> по оценке</w:t>
      </w:r>
      <w:r w:rsidR="001C56FC">
        <w:rPr>
          <w:rFonts w:ascii="Times New Roman" w:eastAsiaTheme="minorHAnsi" w:hAnsi="Times New Roman" w:cstheme="minorBidi"/>
          <w:sz w:val="28"/>
          <w:szCs w:val="28"/>
          <w:lang w:eastAsia="en-US"/>
        </w:rPr>
        <w:t>,</w:t>
      </w:r>
      <w:r w:rsidRPr="00814BB0">
        <w:rPr>
          <w:rFonts w:ascii="Times New Roman" w:eastAsiaTheme="minorHAnsi" w:hAnsi="Times New Roman" w:cstheme="minorBidi"/>
          <w:sz w:val="28"/>
          <w:szCs w:val="28"/>
          <w:lang w:eastAsia="en-US"/>
        </w:rPr>
        <w:t xml:space="preserve"> составила 1 742,3 млн руб., превысив показатель 2017 года на 167,4%</w:t>
      </w:r>
      <w:r w:rsidR="00434F04">
        <w:rPr>
          <w:rFonts w:ascii="Times New Roman" w:eastAsiaTheme="minorHAnsi" w:hAnsi="Times New Roman" w:cstheme="minorBidi"/>
          <w:sz w:val="28"/>
          <w:szCs w:val="28"/>
          <w:lang w:eastAsia="en-US"/>
        </w:rPr>
        <w:t xml:space="preserve"> </w:t>
      </w:r>
      <w:r w:rsidRPr="00814BB0">
        <w:rPr>
          <w:rFonts w:ascii="Times New Roman" w:eastAsiaTheme="minorHAnsi" w:hAnsi="Times New Roman"/>
          <w:sz w:val="28"/>
          <w:szCs w:val="28"/>
          <w:lang w:eastAsia="en-US"/>
        </w:rPr>
        <w:t>(рис.</w:t>
      </w:r>
      <w:r>
        <w:rPr>
          <w:rFonts w:ascii="Times New Roman" w:eastAsiaTheme="minorHAnsi" w:hAnsi="Times New Roman"/>
          <w:sz w:val="28"/>
          <w:szCs w:val="28"/>
          <w:lang w:eastAsia="en-US"/>
        </w:rPr>
        <w:t xml:space="preserve"> </w:t>
      </w:r>
      <w:r w:rsidR="00761279">
        <w:rPr>
          <w:rFonts w:ascii="Times New Roman" w:eastAsiaTheme="minorHAnsi" w:hAnsi="Times New Roman"/>
          <w:sz w:val="28"/>
          <w:szCs w:val="28"/>
          <w:lang w:eastAsia="en-US"/>
        </w:rPr>
        <w:t>20</w:t>
      </w:r>
      <w:r w:rsidRPr="00814BB0">
        <w:rPr>
          <w:rFonts w:ascii="Times New Roman" w:eastAsiaTheme="minorHAnsi" w:hAnsi="Times New Roman"/>
          <w:sz w:val="28"/>
          <w:szCs w:val="28"/>
          <w:lang w:eastAsia="en-US"/>
        </w:rPr>
        <w:t>).</w:t>
      </w:r>
    </w:p>
    <w:p w:rsidR="00814BB0" w:rsidRPr="00814BB0" w:rsidRDefault="00814BB0" w:rsidP="007D3AA7">
      <w:pPr>
        <w:spacing w:after="0" w:line="240" w:lineRule="auto"/>
        <w:ind w:firstLine="709"/>
        <w:jc w:val="right"/>
        <w:rPr>
          <w:rFonts w:ascii="Times New Roman" w:hAnsi="Times New Roman"/>
          <w:b/>
          <w:i/>
          <w:sz w:val="28"/>
          <w:szCs w:val="28"/>
        </w:rPr>
      </w:pPr>
      <w:r w:rsidRPr="00814BB0">
        <w:rPr>
          <w:rFonts w:ascii="Times New Roman" w:hAnsi="Times New Roman"/>
          <w:b/>
          <w:i/>
          <w:sz w:val="28"/>
          <w:szCs w:val="28"/>
        </w:rPr>
        <w:t xml:space="preserve">Рисунок </w:t>
      </w:r>
      <w:r w:rsidR="00761279">
        <w:rPr>
          <w:rFonts w:ascii="Times New Roman" w:hAnsi="Times New Roman"/>
          <w:b/>
          <w:i/>
          <w:sz w:val="28"/>
          <w:szCs w:val="28"/>
        </w:rPr>
        <w:t>20</w:t>
      </w:r>
    </w:p>
    <w:p w:rsidR="00814BB0" w:rsidRPr="00814BB0" w:rsidRDefault="00814BB0" w:rsidP="007D3AA7">
      <w:pPr>
        <w:shd w:val="clear" w:color="auto" w:fill="FFFFFF" w:themeFill="background1"/>
        <w:spacing w:after="0" w:line="240" w:lineRule="auto"/>
        <w:ind w:firstLine="284"/>
        <w:jc w:val="both"/>
        <w:rPr>
          <w:rFonts w:ascii="Times New Roman" w:hAnsi="Times New Roman"/>
          <w:sz w:val="28"/>
          <w:szCs w:val="28"/>
          <w:lang w:eastAsia="en-US"/>
        </w:rPr>
      </w:pPr>
      <w:r w:rsidRPr="00814BB0">
        <w:rPr>
          <w:rFonts w:ascii="Times New Roman" w:hAnsi="Times New Roman"/>
          <w:noProof/>
          <w:sz w:val="28"/>
          <w:szCs w:val="28"/>
        </w:rPr>
        <w:drawing>
          <wp:inline distT="0" distB="0" distL="0" distR="0">
            <wp:extent cx="5915025" cy="1981200"/>
            <wp:effectExtent l="0" t="0" r="0" b="0"/>
            <wp:docPr id="19"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14BB0" w:rsidRPr="00761279" w:rsidRDefault="00814BB0" w:rsidP="007D3AA7">
      <w:pPr>
        <w:shd w:val="clear" w:color="auto" w:fill="FFFFFF" w:themeFill="background1"/>
        <w:spacing w:after="0" w:line="240" w:lineRule="auto"/>
        <w:ind w:firstLine="426"/>
        <w:jc w:val="both"/>
        <w:rPr>
          <w:rFonts w:ascii="Times New Roman" w:hAnsi="Times New Roman"/>
          <w:sz w:val="20"/>
          <w:szCs w:val="20"/>
          <w:lang w:eastAsia="en-US"/>
        </w:rPr>
      </w:pPr>
    </w:p>
    <w:p w:rsidR="00814BB0" w:rsidRDefault="00814BB0" w:rsidP="001C56FC">
      <w:pPr>
        <w:spacing w:after="0" w:line="240" w:lineRule="auto"/>
        <w:ind w:firstLine="426"/>
        <w:jc w:val="both"/>
        <w:rPr>
          <w:rFonts w:ascii="Times New Roman" w:hAnsi="Times New Roman"/>
          <w:sz w:val="28"/>
          <w:szCs w:val="28"/>
          <w:lang w:eastAsia="en-US"/>
        </w:rPr>
      </w:pPr>
      <w:r w:rsidRPr="00814BB0">
        <w:rPr>
          <w:rFonts w:ascii="Times New Roman" w:eastAsiaTheme="minorHAnsi" w:hAnsi="Times New Roman" w:cstheme="minorBidi"/>
          <w:sz w:val="28"/>
          <w:szCs w:val="28"/>
          <w:lang w:eastAsia="en-US"/>
        </w:rPr>
        <w:t>Сумма капитальных вложений на развитие и обновление основных фондов по организациям всех форм собственности (в части новых и приобретенных по импорту основных средств) кроме субъектов малого предпринимательства</w:t>
      </w:r>
      <w:r w:rsidRPr="00814BB0">
        <w:rPr>
          <w:rFonts w:ascii="Times New Roman" w:hAnsi="Times New Roman"/>
          <w:sz w:val="28"/>
          <w:szCs w:val="28"/>
          <w:lang w:eastAsia="en-US"/>
        </w:rPr>
        <w:t>, согласно данным Государственной службы статистики</w:t>
      </w:r>
      <w:r w:rsidR="001C56FC">
        <w:rPr>
          <w:rFonts w:ascii="Times New Roman" w:hAnsi="Times New Roman"/>
          <w:sz w:val="28"/>
          <w:szCs w:val="28"/>
          <w:lang w:eastAsia="en-US"/>
        </w:rPr>
        <w:t xml:space="preserve"> ПМР</w:t>
      </w:r>
      <w:r w:rsidRPr="00814BB0">
        <w:rPr>
          <w:rFonts w:ascii="Times New Roman" w:hAnsi="Times New Roman"/>
          <w:sz w:val="28"/>
          <w:szCs w:val="28"/>
          <w:lang w:eastAsia="en-US"/>
        </w:rPr>
        <w:t xml:space="preserve">, </w:t>
      </w:r>
      <w:r w:rsidR="001C56FC">
        <w:rPr>
          <w:rFonts w:ascii="Times New Roman" w:hAnsi="Times New Roman"/>
          <w:sz w:val="28"/>
          <w:szCs w:val="28"/>
          <w:lang w:eastAsia="en-US"/>
        </w:rPr>
        <w:t>достигла</w:t>
      </w:r>
      <w:r w:rsidRPr="00814BB0">
        <w:rPr>
          <w:rFonts w:ascii="Times New Roman" w:hAnsi="Times New Roman"/>
          <w:sz w:val="28"/>
          <w:szCs w:val="28"/>
          <w:lang w:eastAsia="en-US"/>
        </w:rPr>
        <w:t xml:space="preserve"> 1 387,9 млн руб., превысив показатель 2017 года в текущих ценах в 1,7 раза, в сопоставимых на 41,8% </w:t>
      </w:r>
      <w:r w:rsidRPr="00814BB0">
        <w:rPr>
          <w:rFonts w:ascii="Times New Roman" w:eastAsiaTheme="minorHAnsi" w:hAnsi="Times New Roman" w:cstheme="minorBidi"/>
          <w:sz w:val="28"/>
          <w:szCs w:val="28"/>
          <w:lang w:eastAsia="en-US"/>
        </w:rPr>
        <w:t>(рис</w:t>
      </w:r>
      <w:r>
        <w:rPr>
          <w:rFonts w:ascii="Times New Roman" w:eastAsiaTheme="minorHAnsi" w:hAnsi="Times New Roman" w:cstheme="minorBidi"/>
          <w:sz w:val="28"/>
          <w:szCs w:val="28"/>
          <w:lang w:eastAsia="en-US"/>
        </w:rPr>
        <w:t>.</w:t>
      </w:r>
      <w:r w:rsidRPr="00814BB0">
        <w:rPr>
          <w:rFonts w:ascii="Times New Roman" w:eastAsiaTheme="minorHAnsi" w:hAnsi="Times New Roman" w:cstheme="minorBidi"/>
          <w:sz w:val="28"/>
          <w:szCs w:val="28"/>
          <w:lang w:eastAsia="en-US"/>
        </w:rPr>
        <w:t xml:space="preserve"> </w:t>
      </w:r>
      <w:r w:rsidR="00761279">
        <w:rPr>
          <w:rFonts w:ascii="Times New Roman" w:eastAsiaTheme="minorHAnsi" w:hAnsi="Times New Roman" w:cstheme="minorBidi"/>
          <w:sz w:val="28"/>
          <w:szCs w:val="28"/>
          <w:lang w:eastAsia="en-US"/>
        </w:rPr>
        <w:t>21</w:t>
      </w:r>
      <w:r w:rsidRPr="00814BB0">
        <w:rPr>
          <w:rFonts w:ascii="Times New Roman" w:eastAsiaTheme="minorHAnsi" w:hAnsi="Times New Roman" w:cstheme="minorBidi"/>
          <w:sz w:val="28"/>
          <w:szCs w:val="28"/>
          <w:lang w:eastAsia="en-US"/>
        </w:rPr>
        <w:t>)</w:t>
      </w:r>
      <w:r w:rsidRPr="00814BB0">
        <w:rPr>
          <w:rFonts w:ascii="Times New Roman" w:hAnsi="Times New Roman"/>
          <w:sz w:val="28"/>
          <w:szCs w:val="28"/>
          <w:lang w:eastAsia="en-US"/>
        </w:rPr>
        <w:t>.</w:t>
      </w:r>
    </w:p>
    <w:p w:rsidR="001C56FC" w:rsidRPr="00814BB0" w:rsidRDefault="001C56FC" w:rsidP="001C56FC">
      <w:pPr>
        <w:spacing w:after="0" w:line="240" w:lineRule="auto"/>
        <w:ind w:firstLine="426"/>
        <w:jc w:val="both"/>
        <w:rPr>
          <w:rFonts w:ascii="Times New Roman" w:hAnsi="Times New Roman"/>
          <w:sz w:val="28"/>
          <w:szCs w:val="28"/>
          <w:lang w:eastAsia="en-US"/>
        </w:rPr>
      </w:pPr>
    </w:p>
    <w:p w:rsidR="00814BB0" w:rsidRPr="00814BB0" w:rsidRDefault="00814BB0" w:rsidP="007D3AA7">
      <w:pPr>
        <w:shd w:val="clear" w:color="auto" w:fill="FFFFFF"/>
        <w:spacing w:after="0" w:line="240" w:lineRule="auto"/>
        <w:ind w:firstLine="709"/>
        <w:jc w:val="right"/>
        <w:rPr>
          <w:rFonts w:ascii="Times New Roman" w:eastAsiaTheme="minorHAnsi" w:hAnsi="Times New Roman" w:cstheme="minorBidi"/>
          <w:b/>
          <w:i/>
          <w:sz w:val="28"/>
          <w:szCs w:val="28"/>
          <w:lang w:eastAsia="en-US"/>
        </w:rPr>
      </w:pPr>
      <w:r w:rsidRPr="00814BB0">
        <w:rPr>
          <w:rFonts w:ascii="Times New Roman" w:eastAsiaTheme="minorHAnsi" w:hAnsi="Times New Roman" w:cstheme="minorBidi"/>
          <w:b/>
          <w:i/>
          <w:sz w:val="28"/>
          <w:szCs w:val="28"/>
          <w:lang w:eastAsia="en-US"/>
        </w:rPr>
        <w:lastRenderedPageBreak/>
        <w:t xml:space="preserve">Рисунок </w:t>
      </w:r>
      <w:r w:rsidR="00761279">
        <w:rPr>
          <w:rFonts w:ascii="Times New Roman" w:eastAsiaTheme="minorHAnsi" w:hAnsi="Times New Roman" w:cstheme="minorBidi"/>
          <w:b/>
          <w:i/>
          <w:sz w:val="28"/>
          <w:szCs w:val="28"/>
          <w:lang w:eastAsia="en-US"/>
        </w:rPr>
        <w:t>21</w:t>
      </w:r>
    </w:p>
    <w:p w:rsidR="00814BB0" w:rsidRPr="00814BB0" w:rsidRDefault="00814BB0" w:rsidP="007D3AA7">
      <w:pPr>
        <w:spacing w:after="0" w:line="240" w:lineRule="auto"/>
        <w:jc w:val="both"/>
        <w:rPr>
          <w:rFonts w:ascii="Times New Roman" w:eastAsiaTheme="minorHAnsi" w:hAnsi="Times New Roman" w:cstheme="minorBidi"/>
          <w:sz w:val="28"/>
          <w:szCs w:val="28"/>
          <w:lang w:eastAsia="en-US"/>
        </w:rPr>
      </w:pPr>
      <w:r w:rsidRPr="00814BB0">
        <w:rPr>
          <w:rFonts w:ascii="Times New Roman" w:hAnsi="Times New Roman"/>
          <w:noProof/>
          <w:sz w:val="28"/>
          <w:szCs w:val="28"/>
        </w:rPr>
        <w:drawing>
          <wp:inline distT="0" distB="0" distL="0" distR="0">
            <wp:extent cx="6162675" cy="2305050"/>
            <wp:effectExtent l="0" t="0" r="0" b="0"/>
            <wp:docPr id="2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4BB0" w:rsidRPr="00814BB0" w:rsidRDefault="00814BB0" w:rsidP="007D3AA7">
      <w:pPr>
        <w:spacing w:after="0" w:line="240" w:lineRule="auto"/>
        <w:ind w:firstLine="426"/>
        <w:jc w:val="both"/>
        <w:rPr>
          <w:rFonts w:ascii="Times New Roman" w:eastAsiaTheme="minorHAnsi" w:hAnsi="Times New Roman" w:cstheme="minorBidi"/>
          <w:sz w:val="28"/>
          <w:szCs w:val="28"/>
          <w:lang w:eastAsia="en-US"/>
        </w:rPr>
      </w:pPr>
      <w:r w:rsidRPr="00814BB0">
        <w:rPr>
          <w:rFonts w:ascii="Times New Roman" w:eastAsiaTheme="minorHAnsi" w:hAnsi="Times New Roman" w:cstheme="minorBidi"/>
          <w:sz w:val="28"/>
          <w:szCs w:val="28"/>
          <w:lang w:eastAsia="en-US"/>
        </w:rPr>
        <w:t xml:space="preserve">Масштабы вложений в 2018 году расширились относительно базовой отметки как на </w:t>
      </w:r>
      <w:r w:rsidRPr="00814BB0">
        <w:rPr>
          <w:rFonts w:ascii="Times New Roman" w:eastAsiaTheme="minorHAnsi" w:hAnsi="Times New Roman" w:cstheme="minorBidi"/>
          <w:spacing w:val="4"/>
          <w:sz w:val="28"/>
          <w:szCs w:val="28"/>
          <w:lang w:eastAsia="en-US"/>
        </w:rPr>
        <w:t>обновление машин, оборудования, транспортных средств (в 1,8 раза д</w:t>
      </w:r>
      <w:r w:rsidRPr="00814BB0">
        <w:rPr>
          <w:rFonts w:ascii="Times New Roman" w:eastAsiaTheme="minorHAnsi" w:hAnsi="Times New Roman" w:cstheme="minorBidi"/>
          <w:sz w:val="28"/>
          <w:szCs w:val="28"/>
          <w:lang w:eastAsia="en-US"/>
        </w:rPr>
        <w:t xml:space="preserve">о 853,9 млн руб.), так и на финансирование строительно-монтажных работ (+47,9% до 508,1 </w:t>
      </w:r>
      <w:r w:rsidRPr="00814BB0">
        <w:rPr>
          <w:rFonts w:ascii="Times New Roman" w:eastAsiaTheme="minorHAnsi" w:hAnsi="Times New Roman" w:cstheme="minorBidi"/>
          <w:spacing w:val="4"/>
          <w:sz w:val="28"/>
          <w:szCs w:val="28"/>
          <w:lang w:eastAsia="en-US"/>
        </w:rPr>
        <w:t>млн руб.</w:t>
      </w:r>
      <w:r w:rsidRPr="00814BB0">
        <w:rPr>
          <w:rFonts w:ascii="Times New Roman" w:eastAsiaTheme="minorHAnsi" w:hAnsi="Times New Roman" w:cstheme="minorBidi"/>
          <w:sz w:val="28"/>
          <w:szCs w:val="28"/>
          <w:lang w:eastAsia="en-US"/>
        </w:rPr>
        <w:t xml:space="preserve">). </w:t>
      </w:r>
    </w:p>
    <w:p w:rsidR="00814BB0" w:rsidRPr="00814BB0" w:rsidRDefault="00814BB0" w:rsidP="007D3AA7">
      <w:pPr>
        <w:spacing w:after="0" w:line="240" w:lineRule="auto"/>
        <w:ind w:firstLine="426"/>
        <w:jc w:val="both"/>
        <w:rPr>
          <w:rFonts w:ascii="Times New Roman" w:eastAsia="Calibri" w:hAnsi="Times New Roman" w:cstheme="minorBidi"/>
          <w:spacing w:val="2"/>
          <w:sz w:val="28"/>
          <w:szCs w:val="28"/>
          <w:lang w:eastAsia="en-US"/>
        </w:rPr>
      </w:pPr>
      <w:r w:rsidRPr="00814BB0">
        <w:rPr>
          <w:rFonts w:ascii="Times New Roman" w:eastAsiaTheme="minorHAnsi" w:hAnsi="Times New Roman" w:cstheme="minorBidi"/>
          <w:spacing w:val="2"/>
          <w:sz w:val="28"/>
          <w:szCs w:val="28"/>
          <w:lang w:eastAsia="en-US"/>
        </w:rPr>
        <w:t xml:space="preserve">Основным источником </w:t>
      </w:r>
      <w:r w:rsidRPr="00814BB0">
        <w:rPr>
          <w:rFonts w:ascii="Times New Roman" w:eastAsia="Calibri" w:hAnsi="Times New Roman" w:cstheme="minorBidi"/>
          <w:spacing w:val="2"/>
          <w:sz w:val="28"/>
          <w:szCs w:val="28"/>
          <w:lang w:eastAsia="en-US"/>
        </w:rPr>
        <w:t xml:space="preserve">финансирования долгосрочных инвестиционных проектов </w:t>
      </w:r>
      <w:r w:rsidRPr="00814BB0">
        <w:rPr>
          <w:rFonts w:ascii="Times New Roman" w:eastAsiaTheme="minorHAnsi" w:hAnsi="Times New Roman" w:cstheme="minorBidi"/>
          <w:spacing w:val="2"/>
          <w:sz w:val="28"/>
          <w:szCs w:val="28"/>
          <w:lang w:eastAsia="en-US"/>
        </w:rPr>
        <w:t xml:space="preserve">по-прежнему выступали собственные средства предприятий (85,2%), долевое участие которых в структуре инвестирования расширилось на 3,0 п. п. На этом фоне отмечается сужение </w:t>
      </w:r>
      <w:r w:rsidR="001C56FC">
        <w:rPr>
          <w:rFonts w:ascii="Times New Roman" w:eastAsiaTheme="minorHAnsi" w:hAnsi="Times New Roman" w:cstheme="minorBidi"/>
          <w:spacing w:val="2"/>
          <w:sz w:val="28"/>
          <w:szCs w:val="28"/>
          <w:lang w:eastAsia="en-US"/>
        </w:rPr>
        <w:t>долевого представления</w:t>
      </w:r>
      <w:r w:rsidRPr="00814BB0">
        <w:rPr>
          <w:rFonts w:ascii="Times New Roman" w:eastAsiaTheme="minorHAnsi" w:hAnsi="Times New Roman" w:cstheme="minorBidi"/>
          <w:spacing w:val="2"/>
          <w:sz w:val="28"/>
          <w:szCs w:val="28"/>
          <w:lang w:eastAsia="en-US"/>
        </w:rPr>
        <w:t xml:space="preserve"> прочих источников, обеспечивших </w:t>
      </w:r>
      <w:r w:rsidRPr="00814BB0">
        <w:rPr>
          <w:rFonts w:ascii="Times New Roman" w:eastAsiaTheme="minorHAnsi" w:hAnsi="Times New Roman" w:cstheme="minorBidi"/>
          <w:sz w:val="28"/>
          <w:szCs w:val="28"/>
          <w:lang w:eastAsia="en-US"/>
        </w:rPr>
        <w:t>5,4% всех инвестиций (-3,4 п. п.), из средств бюджетов в рассматриваемом периоде было профинансировано 8,4% (-0,5 п. п.) инвестиций (рис. 2</w:t>
      </w:r>
      <w:r w:rsidR="00984054">
        <w:rPr>
          <w:rFonts w:ascii="Times New Roman" w:eastAsiaTheme="minorHAnsi" w:hAnsi="Times New Roman" w:cstheme="minorBidi"/>
          <w:sz w:val="28"/>
          <w:szCs w:val="28"/>
          <w:lang w:eastAsia="en-US"/>
        </w:rPr>
        <w:t>2</w:t>
      </w:r>
      <w:r w:rsidRPr="00814BB0">
        <w:rPr>
          <w:rFonts w:ascii="Times New Roman" w:eastAsiaTheme="minorHAnsi" w:hAnsi="Times New Roman" w:cstheme="minorBidi"/>
          <w:sz w:val="28"/>
          <w:szCs w:val="28"/>
          <w:lang w:eastAsia="en-US"/>
        </w:rPr>
        <w:t>)</w:t>
      </w:r>
      <w:r w:rsidRPr="00814BB0">
        <w:rPr>
          <w:rFonts w:ascii="Times New Roman" w:eastAsia="Calibri" w:hAnsi="Times New Roman" w:cstheme="minorBidi"/>
          <w:spacing w:val="2"/>
          <w:sz w:val="28"/>
          <w:szCs w:val="28"/>
          <w:lang w:eastAsia="en-US"/>
        </w:rPr>
        <w:t>.</w:t>
      </w:r>
    </w:p>
    <w:p w:rsidR="00814BB0" w:rsidRPr="00814BB0" w:rsidRDefault="00814BB0" w:rsidP="007D3AA7">
      <w:pPr>
        <w:spacing w:after="0" w:line="240" w:lineRule="auto"/>
        <w:jc w:val="right"/>
        <w:rPr>
          <w:rFonts w:ascii="Times New Roman" w:eastAsia="Calibri" w:hAnsi="Times New Roman" w:cstheme="minorBidi"/>
          <w:b/>
          <w:i/>
          <w:spacing w:val="2"/>
          <w:sz w:val="28"/>
          <w:szCs w:val="28"/>
          <w:lang w:eastAsia="en-US"/>
        </w:rPr>
      </w:pPr>
      <w:r w:rsidRPr="00814BB0">
        <w:rPr>
          <w:rFonts w:ascii="Times New Roman" w:eastAsia="Calibri" w:hAnsi="Times New Roman" w:cstheme="minorBidi"/>
          <w:b/>
          <w:i/>
          <w:spacing w:val="2"/>
          <w:sz w:val="28"/>
          <w:szCs w:val="28"/>
          <w:lang w:eastAsia="en-US"/>
        </w:rPr>
        <w:t xml:space="preserve">Рисунок </w:t>
      </w:r>
      <w:r w:rsidR="00984054">
        <w:rPr>
          <w:rFonts w:ascii="Times New Roman" w:eastAsia="Calibri" w:hAnsi="Times New Roman" w:cstheme="minorBidi"/>
          <w:b/>
          <w:i/>
          <w:spacing w:val="2"/>
          <w:sz w:val="28"/>
          <w:szCs w:val="28"/>
          <w:lang w:eastAsia="en-US"/>
        </w:rPr>
        <w:t>22</w:t>
      </w:r>
    </w:p>
    <w:p w:rsidR="00814BB0" w:rsidRPr="00814BB0" w:rsidRDefault="00814BB0" w:rsidP="007D3AA7">
      <w:pPr>
        <w:spacing w:after="0" w:line="240" w:lineRule="auto"/>
        <w:ind w:firstLine="567"/>
        <w:jc w:val="center"/>
        <w:rPr>
          <w:rFonts w:ascii="Times New Roman" w:eastAsia="Calibri" w:hAnsi="Times New Roman" w:cstheme="minorBidi"/>
          <w:b/>
          <w:sz w:val="26"/>
          <w:szCs w:val="26"/>
          <w:lang w:eastAsia="en-US"/>
        </w:rPr>
      </w:pPr>
      <w:r w:rsidRPr="00814BB0">
        <w:rPr>
          <w:rFonts w:ascii="Times New Roman" w:eastAsia="Calibri" w:hAnsi="Times New Roman" w:cstheme="minorBidi"/>
          <w:b/>
          <w:sz w:val="26"/>
          <w:szCs w:val="26"/>
          <w:lang w:eastAsia="en-US"/>
        </w:rPr>
        <w:t xml:space="preserve">Структура инвестиций в основной капитал </w:t>
      </w:r>
    </w:p>
    <w:p w:rsidR="00814BB0" w:rsidRPr="00814BB0" w:rsidRDefault="00814BB0" w:rsidP="007D3AA7">
      <w:pPr>
        <w:spacing w:after="0" w:line="240" w:lineRule="auto"/>
        <w:jc w:val="center"/>
        <w:rPr>
          <w:rFonts w:ascii="Times New Roman" w:eastAsia="Calibri" w:hAnsi="Times New Roman" w:cstheme="minorBidi"/>
          <w:sz w:val="26"/>
          <w:szCs w:val="26"/>
          <w:lang w:eastAsia="en-US"/>
        </w:rPr>
      </w:pPr>
      <w:r w:rsidRPr="00814BB0">
        <w:rPr>
          <w:rFonts w:ascii="Times New Roman" w:eastAsia="Calibri" w:hAnsi="Times New Roman" w:cstheme="minorBidi"/>
          <w:b/>
          <w:sz w:val="26"/>
          <w:szCs w:val="26"/>
          <w:lang w:eastAsia="en-US"/>
        </w:rPr>
        <w:t>по источникам финансирования, %</w:t>
      </w:r>
    </w:p>
    <w:p w:rsidR="00814BB0" w:rsidRPr="00814BB0" w:rsidRDefault="00814BB0" w:rsidP="00984054">
      <w:pPr>
        <w:spacing w:after="0" w:line="240" w:lineRule="auto"/>
        <w:ind w:right="-285" w:firstLine="284"/>
        <w:jc w:val="both"/>
        <w:rPr>
          <w:rFonts w:ascii="Times New Roman" w:eastAsia="Calibri" w:hAnsi="Times New Roman" w:cstheme="minorBidi"/>
          <w:spacing w:val="2"/>
          <w:sz w:val="28"/>
          <w:szCs w:val="28"/>
          <w:lang w:eastAsia="en-US"/>
        </w:rPr>
      </w:pPr>
      <w:r w:rsidRPr="00814BB0">
        <w:rPr>
          <w:rFonts w:ascii="Times New Roman" w:eastAsia="Calibri" w:hAnsi="Times New Roman" w:cstheme="minorBidi"/>
          <w:noProof/>
          <w:spacing w:val="2"/>
          <w:sz w:val="28"/>
          <w:szCs w:val="28"/>
        </w:rPr>
        <w:drawing>
          <wp:inline distT="0" distB="0" distL="0" distR="0">
            <wp:extent cx="2419350" cy="1895475"/>
            <wp:effectExtent l="0" t="0" r="0" b="0"/>
            <wp:docPr id="22" name="Объект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814BB0">
        <w:rPr>
          <w:rFonts w:ascii="Times New Roman" w:eastAsia="Calibri" w:hAnsi="Times New Roman" w:cstheme="minorBidi"/>
          <w:noProof/>
          <w:spacing w:val="2"/>
          <w:sz w:val="28"/>
          <w:szCs w:val="28"/>
        </w:rPr>
        <w:drawing>
          <wp:inline distT="0" distB="0" distL="0" distR="0">
            <wp:extent cx="3432361" cy="1891553"/>
            <wp:effectExtent l="19050" t="0" r="0" b="0"/>
            <wp:docPr id="23" name="Объект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14BB0" w:rsidRPr="00814BB0" w:rsidRDefault="00814BB0" w:rsidP="007D3AA7">
      <w:pPr>
        <w:spacing w:after="0" w:line="240" w:lineRule="auto"/>
        <w:ind w:firstLine="426"/>
        <w:jc w:val="both"/>
        <w:rPr>
          <w:rFonts w:ascii="Times New Roman" w:eastAsiaTheme="minorHAnsi" w:hAnsi="Times New Roman" w:cstheme="minorBidi"/>
          <w:sz w:val="28"/>
          <w:szCs w:val="28"/>
          <w:lang w:eastAsia="en-US"/>
        </w:rPr>
      </w:pPr>
    </w:p>
    <w:p w:rsidR="00814BB0" w:rsidRDefault="00814BB0" w:rsidP="007D3AA7">
      <w:pPr>
        <w:spacing w:after="0" w:line="240" w:lineRule="auto"/>
        <w:ind w:firstLine="426"/>
        <w:jc w:val="both"/>
        <w:rPr>
          <w:rFonts w:ascii="Times New Roman" w:eastAsia="Calibri" w:hAnsi="Times New Roman" w:cstheme="minorBidi"/>
          <w:spacing w:val="2"/>
          <w:sz w:val="28"/>
          <w:szCs w:val="28"/>
          <w:lang w:eastAsia="en-US"/>
        </w:rPr>
      </w:pPr>
      <w:r w:rsidRPr="00814BB0">
        <w:rPr>
          <w:rFonts w:ascii="Times New Roman" w:eastAsia="Calibri" w:hAnsi="Times New Roman" w:cstheme="minorBidi"/>
          <w:spacing w:val="2"/>
          <w:sz w:val="28"/>
          <w:szCs w:val="28"/>
          <w:lang w:eastAsia="en-US"/>
        </w:rPr>
        <w:t xml:space="preserve">Наибольший вклад в формирование совокупного показателя инвестиций в основной капитал в рассматриваемом периоде обеспечен организациями </w:t>
      </w:r>
      <w:r w:rsidRPr="00814BB0">
        <w:rPr>
          <w:rFonts w:ascii="Times New Roman" w:eastAsia="Calibri" w:hAnsi="Times New Roman" w:cstheme="minorBidi"/>
          <w:b/>
          <w:spacing w:val="2"/>
          <w:sz w:val="28"/>
          <w:szCs w:val="28"/>
          <w:lang w:eastAsia="en-US"/>
        </w:rPr>
        <w:t xml:space="preserve">частной формы собственности, </w:t>
      </w:r>
      <w:r w:rsidRPr="00814BB0">
        <w:rPr>
          <w:rFonts w:ascii="Times New Roman" w:eastAsia="Calibri" w:hAnsi="Times New Roman" w:cstheme="minorBidi"/>
          <w:spacing w:val="2"/>
          <w:sz w:val="28"/>
          <w:szCs w:val="28"/>
          <w:lang w:eastAsia="en-US"/>
        </w:rPr>
        <w:t xml:space="preserve">на долю которых пришлось 69,3% (+5,7 п.п.) всех инвестиционных вложений, при соответствующем сужении (-5,6 п.п.) капиталовложений государственных и муниципальных организаций до 30,2% </w:t>
      </w:r>
      <w:r w:rsidRPr="00814BB0">
        <w:rPr>
          <w:rFonts w:ascii="Times New Roman" w:eastAsiaTheme="minorHAnsi" w:hAnsi="Times New Roman" w:cstheme="minorBidi"/>
          <w:sz w:val="28"/>
          <w:szCs w:val="28"/>
          <w:lang w:eastAsia="en-US"/>
        </w:rPr>
        <w:t>(рис. 2</w:t>
      </w:r>
      <w:r w:rsidR="00D13B24">
        <w:rPr>
          <w:rFonts w:ascii="Times New Roman" w:eastAsiaTheme="minorHAnsi" w:hAnsi="Times New Roman" w:cstheme="minorBidi"/>
          <w:sz w:val="28"/>
          <w:szCs w:val="28"/>
          <w:lang w:eastAsia="en-US"/>
        </w:rPr>
        <w:t>3</w:t>
      </w:r>
      <w:r w:rsidRPr="00814BB0">
        <w:rPr>
          <w:rFonts w:ascii="Times New Roman" w:eastAsiaTheme="minorHAnsi" w:hAnsi="Times New Roman" w:cstheme="minorBidi"/>
          <w:sz w:val="28"/>
          <w:szCs w:val="28"/>
          <w:lang w:eastAsia="en-US"/>
        </w:rPr>
        <w:t>)</w:t>
      </w:r>
      <w:r w:rsidRPr="00814BB0">
        <w:rPr>
          <w:rFonts w:ascii="Times New Roman" w:eastAsia="Calibri" w:hAnsi="Times New Roman" w:cstheme="minorBidi"/>
          <w:spacing w:val="2"/>
          <w:sz w:val="28"/>
          <w:szCs w:val="28"/>
          <w:lang w:eastAsia="en-US"/>
        </w:rPr>
        <w:t>.</w:t>
      </w:r>
    </w:p>
    <w:p w:rsidR="00D13B24" w:rsidRDefault="00D13B24" w:rsidP="007D3AA7">
      <w:pPr>
        <w:spacing w:after="0" w:line="240" w:lineRule="auto"/>
        <w:ind w:firstLine="426"/>
        <w:jc w:val="both"/>
        <w:rPr>
          <w:rFonts w:ascii="Times New Roman" w:eastAsia="Calibri" w:hAnsi="Times New Roman" w:cstheme="minorBidi"/>
          <w:spacing w:val="2"/>
          <w:sz w:val="28"/>
          <w:szCs w:val="28"/>
          <w:lang w:eastAsia="en-US"/>
        </w:rPr>
      </w:pPr>
    </w:p>
    <w:p w:rsidR="001C56FC" w:rsidRDefault="001C56FC" w:rsidP="007D3AA7">
      <w:pPr>
        <w:spacing w:after="0" w:line="240" w:lineRule="auto"/>
        <w:ind w:firstLine="426"/>
        <w:jc w:val="both"/>
        <w:rPr>
          <w:rFonts w:ascii="Times New Roman" w:eastAsia="Calibri" w:hAnsi="Times New Roman" w:cstheme="minorBidi"/>
          <w:spacing w:val="2"/>
          <w:sz w:val="28"/>
          <w:szCs w:val="28"/>
          <w:lang w:eastAsia="en-US"/>
        </w:rPr>
      </w:pPr>
    </w:p>
    <w:p w:rsidR="001C56FC" w:rsidRDefault="001C56FC" w:rsidP="007D3AA7">
      <w:pPr>
        <w:spacing w:after="0" w:line="240" w:lineRule="auto"/>
        <w:ind w:firstLine="426"/>
        <w:jc w:val="both"/>
        <w:rPr>
          <w:rFonts w:ascii="Times New Roman" w:eastAsia="Calibri" w:hAnsi="Times New Roman" w:cstheme="minorBidi"/>
          <w:spacing w:val="2"/>
          <w:sz w:val="28"/>
          <w:szCs w:val="28"/>
          <w:lang w:eastAsia="en-US"/>
        </w:rPr>
      </w:pPr>
    </w:p>
    <w:p w:rsidR="001C56FC" w:rsidRPr="00814BB0" w:rsidRDefault="001C56FC" w:rsidP="007D3AA7">
      <w:pPr>
        <w:spacing w:after="0" w:line="240" w:lineRule="auto"/>
        <w:ind w:firstLine="426"/>
        <w:jc w:val="both"/>
        <w:rPr>
          <w:rFonts w:ascii="Times New Roman" w:eastAsia="Calibri" w:hAnsi="Times New Roman" w:cstheme="minorBidi"/>
          <w:spacing w:val="2"/>
          <w:sz w:val="28"/>
          <w:szCs w:val="28"/>
          <w:lang w:eastAsia="en-US"/>
        </w:rPr>
      </w:pPr>
    </w:p>
    <w:p w:rsidR="00814BB0" w:rsidRPr="00814BB0" w:rsidRDefault="00814BB0" w:rsidP="007D3AA7">
      <w:pPr>
        <w:spacing w:after="0" w:line="240" w:lineRule="auto"/>
        <w:ind w:firstLine="708"/>
        <w:jc w:val="right"/>
        <w:rPr>
          <w:rFonts w:ascii="Times New Roman" w:eastAsia="Calibri" w:hAnsi="Times New Roman" w:cstheme="minorBidi"/>
          <w:b/>
          <w:i/>
          <w:spacing w:val="2"/>
          <w:sz w:val="28"/>
          <w:szCs w:val="28"/>
          <w:lang w:eastAsia="en-US"/>
        </w:rPr>
      </w:pPr>
      <w:r w:rsidRPr="00814BB0">
        <w:rPr>
          <w:rFonts w:ascii="Times New Roman" w:eastAsia="Calibri" w:hAnsi="Times New Roman" w:cstheme="minorBidi"/>
          <w:b/>
          <w:i/>
          <w:spacing w:val="2"/>
          <w:sz w:val="28"/>
          <w:szCs w:val="28"/>
          <w:lang w:eastAsia="en-US"/>
        </w:rPr>
        <w:lastRenderedPageBreak/>
        <w:t>Рисунок 2</w:t>
      </w:r>
      <w:r w:rsidR="00D13B24">
        <w:rPr>
          <w:rFonts w:ascii="Times New Roman" w:eastAsia="Calibri" w:hAnsi="Times New Roman" w:cstheme="minorBidi"/>
          <w:b/>
          <w:i/>
          <w:spacing w:val="2"/>
          <w:sz w:val="28"/>
          <w:szCs w:val="28"/>
          <w:lang w:eastAsia="en-US"/>
        </w:rPr>
        <w:t>3</w:t>
      </w:r>
    </w:p>
    <w:p w:rsidR="00814BB0" w:rsidRPr="00814BB0" w:rsidRDefault="00814BB0" w:rsidP="007D3AA7">
      <w:pPr>
        <w:spacing w:after="0" w:line="240" w:lineRule="auto"/>
        <w:ind w:firstLine="709"/>
        <w:jc w:val="center"/>
        <w:rPr>
          <w:rFonts w:ascii="Times New Roman" w:eastAsia="Calibri" w:hAnsi="Times New Roman" w:cstheme="minorBidi"/>
          <w:b/>
          <w:sz w:val="26"/>
          <w:szCs w:val="26"/>
          <w:lang w:eastAsia="en-US"/>
        </w:rPr>
      </w:pPr>
      <w:r w:rsidRPr="00814BB0">
        <w:rPr>
          <w:rFonts w:ascii="Times New Roman" w:eastAsia="Calibri" w:hAnsi="Times New Roman" w:cstheme="minorBidi"/>
          <w:b/>
          <w:sz w:val="26"/>
          <w:szCs w:val="26"/>
          <w:lang w:eastAsia="en-US"/>
        </w:rPr>
        <w:t>Структура инвестиций в основной капитал</w:t>
      </w:r>
    </w:p>
    <w:p w:rsidR="00814BB0" w:rsidRPr="00814BB0" w:rsidRDefault="00814BB0" w:rsidP="007D3AA7">
      <w:pPr>
        <w:spacing w:after="0" w:line="240" w:lineRule="auto"/>
        <w:ind w:firstLine="709"/>
        <w:jc w:val="center"/>
        <w:rPr>
          <w:rFonts w:ascii="Times New Roman" w:eastAsia="Calibri" w:hAnsi="Times New Roman" w:cstheme="minorBidi"/>
          <w:b/>
          <w:sz w:val="26"/>
          <w:szCs w:val="26"/>
          <w:lang w:eastAsia="en-US"/>
        </w:rPr>
      </w:pPr>
      <w:r w:rsidRPr="00814BB0">
        <w:rPr>
          <w:rFonts w:ascii="Times New Roman" w:eastAsia="Calibri" w:hAnsi="Times New Roman" w:cstheme="minorBidi"/>
          <w:b/>
          <w:sz w:val="26"/>
          <w:szCs w:val="26"/>
          <w:lang w:eastAsia="en-US"/>
        </w:rPr>
        <w:t>по формам собственности, %</w:t>
      </w:r>
    </w:p>
    <w:p w:rsidR="00814BB0" w:rsidRPr="00814BB0" w:rsidRDefault="00814BB0" w:rsidP="00B432C5">
      <w:pPr>
        <w:spacing w:after="0" w:line="240" w:lineRule="auto"/>
        <w:rPr>
          <w:rFonts w:ascii="Times New Roman" w:eastAsia="Calibri" w:hAnsi="Times New Roman" w:cstheme="minorBidi"/>
          <w:b/>
          <w:sz w:val="26"/>
          <w:szCs w:val="26"/>
          <w:lang w:eastAsia="en-US"/>
        </w:rPr>
      </w:pPr>
      <w:r w:rsidRPr="00814BB0">
        <w:rPr>
          <w:rFonts w:ascii="Times New Roman" w:eastAsia="Calibri" w:hAnsi="Times New Roman" w:cstheme="minorBidi"/>
          <w:b/>
          <w:noProof/>
          <w:sz w:val="26"/>
          <w:szCs w:val="26"/>
        </w:rPr>
        <w:drawing>
          <wp:inline distT="0" distB="0" distL="0" distR="0">
            <wp:extent cx="2581275" cy="1657350"/>
            <wp:effectExtent l="19050" t="0" r="0" b="0"/>
            <wp:docPr id="24" name="Объект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814BB0">
        <w:rPr>
          <w:rFonts w:ascii="Times New Roman" w:eastAsia="Calibri" w:hAnsi="Times New Roman" w:cstheme="minorBidi"/>
          <w:b/>
          <w:noProof/>
          <w:sz w:val="26"/>
          <w:szCs w:val="26"/>
        </w:rPr>
        <w:drawing>
          <wp:inline distT="0" distB="0" distL="0" distR="0">
            <wp:extent cx="3409950" cy="1790700"/>
            <wp:effectExtent l="19050" t="0" r="0" b="0"/>
            <wp:docPr id="25" name="Объект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4BB0" w:rsidRPr="00814BB0" w:rsidRDefault="00814BB0" w:rsidP="007D3AA7">
      <w:pPr>
        <w:spacing w:after="0" w:line="240" w:lineRule="auto"/>
        <w:ind w:firstLine="426"/>
        <w:jc w:val="both"/>
        <w:rPr>
          <w:rFonts w:ascii="Times New Roman" w:eastAsiaTheme="minorHAnsi" w:hAnsi="Times New Roman" w:cstheme="minorBidi"/>
          <w:sz w:val="28"/>
          <w:szCs w:val="28"/>
          <w:lang w:eastAsia="en-US"/>
        </w:rPr>
      </w:pPr>
    </w:p>
    <w:p w:rsidR="00814BB0" w:rsidRPr="00814BB0" w:rsidRDefault="00814BB0" w:rsidP="001C56FC">
      <w:pPr>
        <w:spacing w:after="0" w:line="240" w:lineRule="auto"/>
        <w:ind w:firstLine="426"/>
        <w:jc w:val="both"/>
        <w:rPr>
          <w:rFonts w:ascii="Times New Roman" w:eastAsiaTheme="minorHAnsi" w:hAnsi="Times New Roman" w:cstheme="minorBidi"/>
          <w:spacing w:val="3"/>
          <w:sz w:val="28"/>
          <w:szCs w:val="28"/>
          <w:lang w:eastAsia="en-US"/>
        </w:rPr>
      </w:pPr>
      <w:r w:rsidRPr="00814BB0">
        <w:rPr>
          <w:rFonts w:ascii="Times New Roman" w:eastAsiaTheme="minorHAnsi" w:hAnsi="Times New Roman"/>
          <w:sz w:val="28"/>
          <w:szCs w:val="28"/>
          <w:lang w:eastAsia="en-US"/>
        </w:rPr>
        <w:t xml:space="preserve">Структурный анализ </w:t>
      </w:r>
      <w:r w:rsidRPr="00814BB0">
        <w:rPr>
          <w:rFonts w:ascii="Times New Roman" w:eastAsia="Calibri" w:hAnsi="Times New Roman" w:cstheme="minorBidi"/>
          <w:spacing w:val="3"/>
          <w:sz w:val="28"/>
          <w:szCs w:val="28"/>
          <w:lang w:eastAsia="en-US"/>
        </w:rPr>
        <w:t xml:space="preserve">инвестиционных потоков в разрезе объектов производственного и непроизводственного назначения (рис. </w:t>
      </w:r>
      <w:r w:rsidR="00B432C5">
        <w:rPr>
          <w:rFonts w:ascii="Times New Roman" w:eastAsia="Calibri" w:hAnsi="Times New Roman" w:cstheme="minorBidi"/>
          <w:spacing w:val="3"/>
          <w:sz w:val="28"/>
          <w:szCs w:val="28"/>
          <w:lang w:eastAsia="en-US"/>
        </w:rPr>
        <w:t>24</w:t>
      </w:r>
      <w:r w:rsidRPr="00814BB0">
        <w:rPr>
          <w:rFonts w:ascii="Times New Roman" w:eastAsia="Calibri" w:hAnsi="Times New Roman" w:cstheme="minorBidi"/>
          <w:spacing w:val="3"/>
          <w:sz w:val="28"/>
          <w:szCs w:val="28"/>
          <w:lang w:eastAsia="en-US"/>
        </w:rPr>
        <w:t>) свидетельствует, что</w:t>
      </w:r>
      <w:r w:rsidRPr="00814BB0">
        <w:rPr>
          <w:rFonts w:ascii="Times New Roman" w:eastAsiaTheme="minorHAnsi" w:hAnsi="Times New Roman" w:cstheme="minorBidi"/>
          <w:spacing w:val="3"/>
          <w:sz w:val="28"/>
          <w:szCs w:val="28"/>
          <w:lang w:eastAsia="en-US"/>
        </w:rPr>
        <w:t xml:space="preserve"> основной объем капитальных вложений (1 179,1 млн руб., +92,9%) был направлен на строительство, реконструкцию и техническое перевооружение объектов производственного назначения, обеспечивший тем самым расширение долевого участия в общем объеме инвестиций на 9,8 п.п. до 84,9%.</w:t>
      </w:r>
    </w:p>
    <w:p w:rsidR="00814BB0" w:rsidRPr="00814BB0" w:rsidRDefault="00814BB0" w:rsidP="001C56FC">
      <w:pPr>
        <w:spacing w:after="0" w:line="240" w:lineRule="auto"/>
        <w:ind w:firstLine="426"/>
        <w:jc w:val="both"/>
        <w:rPr>
          <w:rFonts w:ascii="Times New Roman" w:eastAsia="Calibri" w:hAnsi="Times New Roman" w:cstheme="minorBidi"/>
          <w:spacing w:val="2"/>
          <w:sz w:val="28"/>
          <w:szCs w:val="28"/>
          <w:lang w:eastAsia="en-US"/>
        </w:rPr>
      </w:pPr>
      <w:r w:rsidRPr="00814BB0">
        <w:rPr>
          <w:rFonts w:ascii="Times New Roman" w:eastAsia="Calibri" w:hAnsi="Times New Roman" w:cstheme="minorBidi"/>
          <w:spacing w:val="3"/>
          <w:sz w:val="28"/>
          <w:szCs w:val="28"/>
          <w:lang w:eastAsia="en-US"/>
        </w:rPr>
        <w:t xml:space="preserve">При этом абсолютная величина освоенных средств, направленных на обновление объектов </w:t>
      </w:r>
      <w:r w:rsidRPr="00814BB0">
        <w:rPr>
          <w:rFonts w:ascii="Times New Roman" w:eastAsia="Calibri" w:hAnsi="Times New Roman" w:cstheme="minorBidi"/>
          <w:spacing w:val="2"/>
          <w:sz w:val="28"/>
          <w:szCs w:val="28"/>
          <w:lang w:eastAsia="en-US"/>
        </w:rPr>
        <w:t>непроизводственного назначения</w:t>
      </w:r>
      <w:r w:rsidR="001C56FC">
        <w:rPr>
          <w:rFonts w:ascii="Times New Roman" w:eastAsia="Calibri" w:hAnsi="Times New Roman" w:cstheme="minorBidi"/>
          <w:spacing w:val="2"/>
          <w:sz w:val="28"/>
          <w:szCs w:val="28"/>
          <w:lang w:eastAsia="en-US"/>
        </w:rPr>
        <w:t>,</w:t>
      </w:r>
      <w:r w:rsidRPr="00814BB0">
        <w:rPr>
          <w:rFonts w:ascii="Times New Roman" w:eastAsia="Calibri" w:hAnsi="Times New Roman" w:cstheme="minorBidi"/>
          <w:spacing w:val="2"/>
          <w:sz w:val="28"/>
          <w:szCs w:val="28"/>
          <w:lang w:eastAsia="en-US"/>
        </w:rPr>
        <w:t xml:space="preserve"> по итогам 2018 года</w:t>
      </w:r>
      <w:r w:rsidRPr="00814BB0">
        <w:rPr>
          <w:rFonts w:ascii="Times New Roman" w:eastAsia="Calibri" w:hAnsi="Times New Roman" w:cstheme="minorBidi"/>
          <w:b/>
          <w:spacing w:val="2"/>
          <w:sz w:val="28"/>
          <w:szCs w:val="28"/>
          <w:lang w:eastAsia="en-US"/>
        </w:rPr>
        <w:t xml:space="preserve"> </w:t>
      </w:r>
      <w:r w:rsidRPr="00814BB0">
        <w:rPr>
          <w:rFonts w:ascii="Times New Roman" w:eastAsia="Calibri" w:hAnsi="Times New Roman" w:cstheme="minorBidi"/>
          <w:spacing w:val="2"/>
          <w:sz w:val="28"/>
          <w:szCs w:val="28"/>
          <w:lang w:eastAsia="en-US"/>
        </w:rPr>
        <w:t xml:space="preserve">продемонстрировала понижающий тренд, сократившись на 9,0% до </w:t>
      </w:r>
      <w:r w:rsidR="001C56FC">
        <w:rPr>
          <w:rFonts w:ascii="Times New Roman" w:eastAsia="Calibri" w:hAnsi="Times New Roman" w:cstheme="minorBidi"/>
          <w:spacing w:val="2"/>
          <w:sz w:val="28"/>
          <w:szCs w:val="28"/>
          <w:lang w:eastAsia="en-US"/>
        </w:rPr>
        <w:br/>
      </w:r>
      <w:r w:rsidRPr="00814BB0">
        <w:rPr>
          <w:rFonts w:ascii="Times New Roman" w:eastAsia="Calibri" w:hAnsi="Times New Roman" w:cstheme="minorBidi"/>
          <w:spacing w:val="2"/>
          <w:sz w:val="28"/>
          <w:szCs w:val="28"/>
          <w:lang w:eastAsia="en-US"/>
        </w:rPr>
        <w:t xml:space="preserve">208,8 млн руб. </w:t>
      </w:r>
    </w:p>
    <w:p w:rsidR="00814BB0" w:rsidRPr="00814BB0" w:rsidRDefault="00814BB0" w:rsidP="007D3AA7">
      <w:pPr>
        <w:shd w:val="clear" w:color="auto" w:fill="FFFFFF"/>
        <w:spacing w:after="0" w:line="240" w:lineRule="auto"/>
        <w:ind w:firstLine="709"/>
        <w:contextualSpacing/>
        <w:jc w:val="right"/>
        <w:rPr>
          <w:rFonts w:ascii="Times New Roman" w:eastAsiaTheme="minorHAnsi" w:hAnsi="Times New Roman" w:cstheme="minorBidi"/>
          <w:b/>
          <w:i/>
          <w:sz w:val="28"/>
          <w:szCs w:val="28"/>
          <w:lang w:eastAsia="en-US"/>
        </w:rPr>
      </w:pPr>
      <w:r w:rsidRPr="00814BB0">
        <w:rPr>
          <w:rFonts w:ascii="Times New Roman" w:eastAsiaTheme="minorHAnsi" w:hAnsi="Times New Roman" w:cstheme="minorBidi"/>
          <w:b/>
          <w:i/>
          <w:sz w:val="28"/>
          <w:szCs w:val="28"/>
          <w:lang w:eastAsia="en-US"/>
        </w:rPr>
        <w:t xml:space="preserve">Рисунок </w:t>
      </w:r>
      <w:r w:rsidR="00B432C5">
        <w:rPr>
          <w:rFonts w:ascii="Times New Roman" w:eastAsiaTheme="minorHAnsi" w:hAnsi="Times New Roman" w:cstheme="minorBidi"/>
          <w:b/>
          <w:i/>
          <w:sz w:val="28"/>
          <w:szCs w:val="28"/>
          <w:lang w:eastAsia="en-US"/>
        </w:rPr>
        <w:t>24</w:t>
      </w:r>
    </w:p>
    <w:p w:rsidR="00814BB0" w:rsidRPr="00814BB0" w:rsidRDefault="00814BB0" w:rsidP="007D3AA7">
      <w:pPr>
        <w:spacing w:after="0" w:line="240" w:lineRule="auto"/>
        <w:rPr>
          <w:rFonts w:ascii="Times New Roman" w:eastAsiaTheme="minorHAnsi" w:hAnsi="Times New Roman" w:cstheme="minorBidi"/>
          <w:spacing w:val="3"/>
          <w:sz w:val="28"/>
          <w:szCs w:val="28"/>
          <w:lang w:eastAsia="en-US"/>
        </w:rPr>
      </w:pPr>
      <w:r w:rsidRPr="00814BB0">
        <w:rPr>
          <w:rFonts w:ascii="Times New Roman" w:eastAsiaTheme="minorHAnsi" w:hAnsi="Times New Roman" w:cstheme="minorBidi"/>
          <w:noProof/>
          <w:spacing w:val="3"/>
          <w:sz w:val="28"/>
          <w:szCs w:val="28"/>
        </w:rPr>
        <w:drawing>
          <wp:inline distT="0" distB="0" distL="0" distR="0">
            <wp:extent cx="5943600" cy="2572871"/>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4BB0" w:rsidRPr="00814BB0" w:rsidRDefault="00814BB0" w:rsidP="007D3AA7">
      <w:pPr>
        <w:spacing w:after="0" w:line="240" w:lineRule="auto"/>
        <w:ind w:firstLine="426"/>
        <w:jc w:val="both"/>
        <w:rPr>
          <w:rFonts w:ascii="Times New Roman" w:eastAsiaTheme="minorHAnsi" w:hAnsi="Times New Roman" w:cstheme="minorBidi"/>
          <w:sz w:val="28"/>
          <w:szCs w:val="28"/>
          <w:lang w:eastAsia="en-US"/>
        </w:rPr>
      </w:pPr>
    </w:p>
    <w:p w:rsidR="00814BB0" w:rsidRPr="00814BB0" w:rsidRDefault="00814BB0" w:rsidP="007D3AA7">
      <w:pPr>
        <w:tabs>
          <w:tab w:val="left" w:pos="993"/>
        </w:tabs>
        <w:spacing w:after="0" w:line="240" w:lineRule="auto"/>
        <w:ind w:firstLine="426"/>
        <w:jc w:val="both"/>
        <w:rPr>
          <w:rFonts w:ascii="Times New Roman" w:eastAsia="Calibri" w:hAnsi="Times New Roman" w:cstheme="minorBidi"/>
          <w:sz w:val="28"/>
          <w:szCs w:val="28"/>
          <w:lang w:eastAsia="en-US"/>
        </w:rPr>
      </w:pPr>
      <w:r w:rsidRPr="00814BB0">
        <w:rPr>
          <w:rFonts w:ascii="Times New Roman" w:hAnsi="Times New Roman"/>
          <w:sz w:val="28"/>
          <w:szCs w:val="28"/>
          <w:lang w:eastAsia="en-US"/>
        </w:rPr>
        <w:t>В 2018 году наибольший объём финансирования вложений в долгосрочное развитие</w:t>
      </w:r>
      <w:r w:rsidRPr="00814BB0">
        <w:rPr>
          <w:rFonts w:ascii="Times New Roman" w:hAnsi="Times New Roman"/>
          <w:sz w:val="24"/>
          <w:szCs w:val="24"/>
          <w:lang w:eastAsia="en-US"/>
        </w:rPr>
        <w:t xml:space="preserve"> </w:t>
      </w:r>
      <w:r w:rsidRPr="00814BB0">
        <w:rPr>
          <w:rFonts w:ascii="Times New Roman" w:hAnsi="Times New Roman"/>
          <w:sz w:val="28"/>
          <w:szCs w:val="28"/>
          <w:lang w:eastAsia="en-US"/>
        </w:rPr>
        <w:t xml:space="preserve">освоен в промышленности – 49,5% совокупного показателя. В денежном выражении сумма инвестиций достигла 687,7 млн руб., в 2,2 раза превысив значение 2017 года. В частности, это стало отражением увеличения капиталовложений на таких предприятиях </w:t>
      </w:r>
      <w:r w:rsidRPr="00814BB0">
        <w:rPr>
          <w:rFonts w:ascii="Times New Roman" w:eastAsia="Calibri" w:hAnsi="Times New Roman" w:cstheme="minorBidi"/>
          <w:sz w:val="28"/>
          <w:szCs w:val="28"/>
          <w:lang w:eastAsia="en-US"/>
        </w:rPr>
        <w:t xml:space="preserve">как: </w:t>
      </w:r>
    </w:p>
    <w:p w:rsidR="00814BB0" w:rsidRPr="00814BB0" w:rsidRDefault="00814BB0" w:rsidP="007D3AA7">
      <w:pPr>
        <w:numPr>
          <w:ilvl w:val="0"/>
          <w:numId w:val="9"/>
        </w:numPr>
        <w:tabs>
          <w:tab w:val="left" w:pos="993"/>
        </w:tabs>
        <w:spacing w:after="0" w:line="240" w:lineRule="auto"/>
        <w:ind w:left="0" w:firstLine="426"/>
        <w:contextualSpacing/>
        <w:jc w:val="both"/>
        <w:rPr>
          <w:rFonts w:ascii="Times New Roman" w:eastAsia="Calibri" w:hAnsi="Times New Roman"/>
          <w:sz w:val="28"/>
          <w:szCs w:val="28"/>
          <w:lang w:eastAsia="en-US"/>
        </w:rPr>
      </w:pPr>
      <w:r w:rsidRPr="00814BB0">
        <w:rPr>
          <w:rFonts w:ascii="Times New Roman" w:eastAsia="Calibri" w:hAnsi="Times New Roman"/>
          <w:sz w:val="28"/>
          <w:szCs w:val="28"/>
          <w:lang w:eastAsia="en-US"/>
        </w:rPr>
        <w:t>ЗАО Молдавская ГРЭС (20,2%, что в 2,7 раза превышает базовое значение 2017 года);</w:t>
      </w:r>
    </w:p>
    <w:p w:rsidR="00814BB0" w:rsidRPr="00814BB0" w:rsidRDefault="00814BB0" w:rsidP="007D3AA7">
      <w:pPr>
        <w:numPr>
          <w:ilvl w:val="0"/>
          <w:numId w:val="9"/>
        </w:numPr>
        <w:tabs>
          <w:tab w:val="left" w:pos="993"/>
        </w:tabs>
        <w:spacing w:after="0" w:line="240" w:lineRule="auto"/>
        <w:ind w:left="0" w:firstLine="426"/>
        <w:contextualSpacing/>
        <w:jc w:val="both"/>
        <w:rPr>
          <w:rFonts w:ascii="Times New Roman" w:eastAsia="Calibri" w:hAnsi="Times New Roman"/>
          <w:sz w:val="28"/>
          <w:szCs w:val="28"/>
          <w:lang w:eastAsia="en-US"/>
        </w:rPr>
      </w:pPr>
      <w:r w:rsidRPr="00814BB0">
        <w:rPr>
          <w:rFonts w:ascii="Times New Roman" w:eastAsia="Calibri" w:hAnsi="Times New Roman"/>
          <w:sz w:val="28"/>
          <w:szCs w:val="28"/>
          <w:lang w:eastAsia="en-US"/>
        </w:rPr>
        <w:lastRenderedPageBreak/>
        <w:t>ОАО «Молдавский металлургический завод» (12,9%, что в 6,6 раза превышает базовое значение 2017 года);</w:t>
      </w:r>
    </w:p>
    <w:p w:rsidR="00814BB0" w:rsidRPr="00814BB0" w:rsidRDefault="00814BB0" w:rsidP="007D3AA7">
      <w:pPr>
        <w:numPr>
          <w:ilvl w:val="0"/>
          <w:numId w:val="9"/>
        </w:numPr>
        <w:tabs>
          <w:tab w:val="left" w:pos="993"/>
        </w:tabs>
        <w:spacing w:after="0" w:line="240" w:lineRule="auto"/>
        <w:ind w:left="0" w:firstLine="426"/>
        <w:contextualSpacing/>
        <w:jc w:val="both"/>
        <w:rPr>
          <w:rFonts w:ascii="Times New Roman" w:eastAsia="Calibri" w:hAnsi="Times New Roman"/>
          <w:sz w:val="28"/>
          <w:szCs w:val="28"/>
          <w:lang w:eastAsia="en-US"/>
        </w:rPr>
      </w:pPr>
      <w:r w:rsidRPr="00814BB0">
        <w:rPr>
          <w:rFonts w:ascii="Times New Roman" w:eastAsia="Calibri" w:hAnsi="Times New Roman"/>
          <w:sz w:val="28"/>
          <w:szCs w:val="28"/>
          <w:lang w:eastAsia="en-US"/>
        </w:rPr>
        <w:t>ГУП ГК «Днестрэнерго» (8,1%, при превышении базовой отметки 2017 года в 2,5 раза);</w:t>
      </w:r>
    </w:p>
    <w:p w:rsidR="00814BB0" w:rsidRPr="00814BB0" w:rsidRDefault="00814BB0" w:rsidP="007D3AA7">
      <w:pPr>
        <w:numPr>
          <w:ilvl w:val="0"/>
          <w:numId w:val="9"/>
        </w:numPr>
        <w:tabs>
          <w:tab w:val="left" w:pos="993"/>
        </w:tabs>
        <w:spacing w:after="0" w:line="240" w:lineRule="auto"/>
        <w:ind w:left="0" w:firstLine="426"/>
        <w:contextualSpacing/>
        <w:jc w:val="both"/>
        <w:rPr>
          <w:rFonts w:ascii="Times New Roman" w:eastAsia="Calibri" w:hAnsi="Times New Roman"/>
          <w:sz w:val="28"/>
          <w:szCs w:val="28"/>
          <w:lang w:eastAsia="en-US"/>
        </w:rPr>
      </w:pPr>
      <w:r w:rsidRPr="00814BB0">
        <w:rPr>
          <w:rFonts w:ascii="Times New Roman" w:eastAsia="Calibri" w:hAnsi="Times New Roman"/>
          <w:sz w:val="28"/>
          <w:szCs w:val="28"/>
          <w:lang w:eastAsia="en-US"/>
        </w:rPr>
        <w:t>ЗАО «Тиротекс» (6,9% всех вложений по промышленности</w:t>
      </w:r>
      <w:r w:rsidR="00813FDD">
        <w:rPr>
          <w:rFonts w:ascii="Times New Roman" w:eastAsia="Calibri" w:hAnsi="Times New Roman"/>
          <w:sz w:val="28"/>
          <w:szCs w:val="28"/>
          <w:lang w:eastAsia="en-US"/>
        </w:rPr>
        <w:t>,</w:t>
      </w:r>
      <w:r w:rsidRPr="00814BB0">
        <w:rPr>
          <w:rFonts w:ascii="Times New Roman" w:eastAsia="Calibri" w:hAnsi="Times New Roman"/>
          <w:sz w:val="28"/>
          <w:szCs w:val="28"/>
          <w:lang w:eastAsia="en-US"/>
        </w:rPr>
        <w:t xml:space="preserve"> при превышении базового уровня 2017 года в 8,3 раза);</w:t>
      </w:r>
    </w:p>
    <w:p w:rsidR="00814BB0" w:rsidRPr="00814BB0" w:rsidRDefault="00814BB0" w:rsidP="007D3AA7">
      <w:pPr>
        <w:numPr>
          <w:ilvl w:val="0"/>
          <w:numId w:val="9"/>
        </w:numPr>
        <w:tabs>
          <w:tab w:val="left" w:pos="993"/>
        </w:tabs>
        <w:spacing w:after="0" w:line="240" w:lineRule="auto"/>
        <w:ind w:left="0" w:firstLine="426"/>
        <w:contextualSpacing/>
        <w:jc w:val="both"/>
        <w:rPr>
          <w:rFonts w:ascii="Times New Roman" w:eastAsia="Calibri" w:hAnsi="Times New Roman"/>
          <w:sz w:val="28"/>
          <w:szCs w:val="28"/>
          <w:lang w:eastAsia="en-US"/>
        </w:rPr>
      </w:pPr>
      <w:r w:rsidRPr="00814BB0">
        <w:rPr>
          <w:rFonts w:ascii="Times New Roman" w:eastAsia="Calibri" w:hAnsi="Times New Roman"/>
          <w:sz w:val="28"/>
          <w:szCs w:val="28"/>
          <w:lang w:eastAsia="en-US"/>
        </w:rPr>
        <w:t>ГУП «Единые распределительные сети» (6,8% инвестиций по индустрии, превысив уровень 2017 года на 57,1%);</w:t>
      </w:r>
    </w:p>
    <w:p w:rsidR="00814BB0" w:rsidRPr="00814BB0" w:rsidRDefault="00814BB0" w:rsidP="007D3AA7">
      <w:pPr>
        <w:numPr>
          <w:ilvl w:val="0"/>
          <w:numId w:val="9"/>
        </w:numPr>
        <w:tabs>
          <w:tab w:val="left" w:pos="993"/>
        </w:tabs>
        <w:spacing w:after="0" w:line="240" w:lineRule="auto"/>
        <w:ind w:left="0" w:firstLine="426"/>
        <w:contextualSpacing/>
        <w:jc w:val="both"/>
        <w:rPr>
          <w:rFonts w:ascii="Times New Roman" w:eastAsia="Calibri" w:hAnsi="Times New Roman"/>
          <w:sz w:val="28"/>
          <w:szCs w:val="28"/>
          <w:lang w:eastAsia="en-US"/>
        </w:rPr>
      </w:pPr>
      <w:r w:rsidRPr="00814BB0">
        <w:rPr>
          <w:rFonts w:ascii="Times New Roman" w:eastAsia="Calibri" w:hAnsi="Times New Roman"/>
          <w:sz w:val="28"/>
          <w:szCs w:val="28"/>
          <w:lang w:eastAsia="en-US"/>
        </w:rPr>
        <w:t>ООО Тиротекс-энерго (6,2%, при превышении базовой отметки 2017 года в 8,3 раза);</w:t>
      </w:r>
    </w:p>
    <w:p w:rsidR="00814BB0" w:rsidRPr="00814BB0" w:rsidRDefault="00814BB0" w:rsidP="007D3AA7">
      <w:pPr>
        <w:numPr>
          <w:ilvl w:val="0"/>
          <w:numId w:val="9"/>
        </w:numPr>
        <w:tabs>
          <w:tab w:val="left" w:pos="993"/>
        </w:tabs>
        <w:spacing w:after="0" w:line="240" w:lineRule="auto"/>
        <w:ind w:left="0" w:firstLine="426"/>
        <w:contextualSpacing/>
        <w:jc w:val="both"/>
        <w:rPr>
          <w:rFonts w:ascii="Times New Roman" w:eastAsia="Calibri" w:hAnsi="Times New Roman"/>
          <w:sz w:val="28"/>
          <w:szCs w:val="28"/>
          <w:lang w:eastAsia="en-US"/>
        </w:rPr>
      </w:pPr>
      <w:r w:rsidRPr="00814BB0">
        <w:rPr>
          <w:rFonts w:ascii="Times New Roman" w:eastAsia="Calibri" w:hAnsi="Times New Roman"/>
          <w:sz w:val="28"/>
          <w:szCs w:val="28"/>
          <w:lang w:eastAsia="en-US"/>
        </w:rPr>
        <w:t>ЗАО «Рыбницкий цементный комбинат» (20,9% всех вложений по промышленности</w:t>
      </w:r>
      <w:r w:rsidR="00813FDD">
        <w:rPr>
          <w:rFonts w:ascii="Times New Roman" w:eastAsia="Calibri" w:hAnsi="Times New Roman"/>
          <w:sz w:val="28"/>
          <w:szCs w:val="28"/>
          <w:lang w:eastAsia="en-US"/>
        </w:rPr>
        <w:t>,</w:t>
      </w:r>
      <w:r w:rsidRPr="00814BB0">
        <w:rPr>
          <w:rFonts w:ascii="Times New Roman" w:eastAsia="Calibri" w:hAnsi="Times New Roman"/>
          <w:sz w:val="28"/>
          <w:szCs w:val="28"/>
          <w:lang w:eastAsia="en-US"/>
        </w:rPr>
        <w:t xml:space="preserve"> при сокращении к уровню 2017 года на 34,7%);</w:t>
      </w:r>
    </w:p>
    <w:p w:rsidR="00814BB0" w:rsidRPr="00814BB0" w:rsidRDefault="00814BB0" w:rsidP="007D3AA7">
      <w:pPr>
        <w:numPr>
          <w:ilvl w:val="0"/>
          <w:numId w:val="9"/>
        </w:numPr>
        <w:tabs>
          <w:tab w:val="left" w:pos="993"/>
        </w:tabs>
        <w:spacing w:after="0" w:line="240" w:lineRule="auto"/>
        <w:ind w:left="0" w:firstLine="426"/>
        <w:contextualSpacing/>
        <w:jc w:val="both"/>
        <w:rPr>
          <w:rFonts w:ascii="Times New Roman" w:eastAsia="Calibri" w:hAnsi="Times New Roman"/>
          <w:sz w:val="28"/>
          <w:szCs w:val="28"/>
          <w:lang w:eastAsia="en-US"/>
        </w:rPr>
      </w:pPr>
      <w:r w:rsidRPr="00814BB0">
        <w:rPr>
          <w:rFonts w:ascii="Times New Roman" w:eastAsia="Calibri" w:hAnsi="Times New Roman"/>
          <w:sz w:val="28"/>
          <w:szCs w:val="28"/>
          <w:lang w:eastAsia="en-US"/>
        </w:rPr>
        <w:t>ЗАО «Траспольский виноконьячный завод «КВИНТ» (4,1%, что в 8,2 раза превышает базовое значение 2017 года);</w:t>
      </w:r>
    </w:p>
    <w:p w:rsidR="00814BB0" w:rsidRPr="00814BB0" w:rsidRDefault="00814BB0" w:rsidP="007D3AA7">
      <w:pPr>
        <w:numPr>
          <w:ilvl w:val="0"/>
          <w:numId w:val="9"/>
        </w:numPr>
        <w:tabs>
          <w:tab w:val="left" w:pos="993"/>
        </w:tabs>
        <w:spacing w:after="0" w:line="240" w:lineRule="auto"/>
        <w:ind w:left="0" w:firstLine="426"/>
        <w:contextualSpacing/>
        <w:jc w:val="both"/>
        <w:rPr>
          <w:rFonts w:ascii="Times New Roman" w:eastAsia="Calibri" w:hAnsi="Times New Roman"/>
          <w:sz w:val="28"/>
          <w:szCs w:val="28"/>
          <w:lang w:eastAsia="en-US"/>
        </w:rPr>
      </w:pPr>
      <w:r w:rsidRPr="00814BB0">
        <w:rPr>
          <w:rFonts w:ascii="Times New Roman" w:eastAsia="Calibri" w:hAnsi="Times New Roman"/>
          <w:sz w:val="28"/>
          <w:szCs w:val="28"/>
          <w:lang w:eastAsia="en-US"/>
        </w:rPr>
        <w:t xml:space="preserve">ООО «Динисал» (2,8% всех вложений по промышленности, с превышением базовой отметки 2017 года в 14,5 раза). </w:t>
      </w:r>
    </w:p>
    <w:p w:rsidR="00814BB0" w:rsidRPr="00814BB0" w:rsidRDefault="00814BB0" w:rsidP="007D3AA7">
      <w:pPr>
        <w:tabs>
          <w:tab w:val="left" w:pos="0"/>
        </w:tabs>
        <w:spacing w:after="0" w:line="240" w:lineRule="auto"/>
        <w:ind w:firstLine="426"/>
        <w:contextualSpacing/>
        <w:jc w:val="both"/>
        <w:rPr>
          <w:rFonts w:ascii="Times New Roman" w:eastAsia="Calibri" w:hAnsi="Times New Roman"/>
          <w:sz w:val="24"/>
          <w:szCs w:val="24"/>
          <w:lang w:eastAsia="en-US"/>
        </w:rPr>
      </w:pPr>
      <w:r w:rsidRPr="00814BB0">
        <w:rPr>
          <w:rFonts w:ascii="Times New Roman" w:eastAsia="Calibri" w:hAnsi="Times New Roman"/>
          <w:sz w:val="28"/>
          <w:szCs w:val="28"/>
          <w:lang w:eastAsia="en-US"/>
        </w:rPr>
        <w:t>Совокупный объем инвестиционных потоков данных предприятий составил порядка 515,1 млн руб., что обеспечило 74,9% общего объема инвестиций по промышленности, или 37,1% в целом по экономике</w:t>
      </w:r>
      <w:r w:rsidRPr="00814BB0">
        <w:rPr>
          <w:rFonts w:ascii="Times New Roman" w:eastAsia="Calibri" w:hAnsi="Times New Roman"/>
          <w:sz w:val="24"/>
          <w:szCs w:val="24"/>
          <w:lang w:eastAsia="en-US"/>
        </w:rPr>
        <w:t>.</w:t>
      </w:r>
    </w:p>
    <w:p w:rsidR="00814BB0" w:rsidRPr="00814BB0" w:rsidRDefault="00814BB0" w:rsidP="007D3AA7">
      <w:pPr>
        <w:spacing w:after="0" w:line="240" w:lineRule="auto"/>
        <w:ind w:firstLine="426"/>
        <w:jc w:val="both"/>
        <w:rPr>
          <w:rFonts w:ascii="Times New Roman" w:eastAsiaTheme="minorHAnsi" w:hAnsi="Times New Roman"/>
          <w:sz w:val="28"/>
          <w:szCs w:val="28"/>
          <w:lang w:eastAsia="en-US"/>
        </w:rPr>
      </w:pPr>
      <w:r w:rsidRPr="00814BB0">
        <w:rPr>
          <w:rFonts w:ascii="Times New Roman" w:eastAsiaTheme="minorHAnsi" w:hAnsi="Times New Roman"/>
          <w:sz w:val="28"/>
          <w:szCs w:val="28"/>
          <w:lang w:eastAsia="en-US"/>
        </w:rPr>
        <w:t xml:space="preserve">За счет </w:t>
      </w:r>
      <w:r w:rsidR="00813FDD">
        <w:rPr>
          <w:rFonts w:ascii="Times New Roman" w:eastAsiaTheme="minorHAnsi" w:hAnsi="Times New Roman"/>
          <w:sz w:val="28"/>
          <w:szCs w:val="28"/>
          <w:lang w:eastAsia="en-US"/>
        </w:rPr>
        <w:t>льготного кредитования отмечалось двукратное</w:t>
      </w:r>
      <w:r w:rsidRPr="00814BB0">
        <w:rPr>
          <w:rFonts w:ascii="Times New Roman" w:eastAsiaTheme="minorHAnsi" w:hAnsi="Times New Roman"/>
          <w:sz w:val="28"/>
          <w:szCs w:val="28"/>
          <w:lang w:eastAsia="en-US"/>
        </w:rPr>
        <w:t xml:space="preserve"> расширение инвестиций в сфере сельского хозяйства до 218,8 млн руб., </w:t>
      </w:r>
      <w:r w:rsidR="00813FDD">
        <w:rPr>
          <w:rFonts w:ascii="Times New Roman" w:eastAsiaTheme="minorHAnsi" w:hAnsi="Times New Roman"/>
          <w:sz w:val="28"/>
          <w:szCs w:val="28"/>
          <w:lang w:eastAsia="en-US"/>
        </w:rPr>
        <w:t xml:space="preserve">что соответствует </w:t>
      </w:r>
      <w:r w:rsidRPr="00814BB0">
        <w:rPr>
          <w:rFonts w:ascii="Times New Roman" w:eastAsiaTheme="minorHAnsi" w:hAnsi="Times New Roman"/>
          <w:sz w:val="28"/>
          <w:szCs w:val="28"/>
          <w:lang w:eastAsia="en-US"/>
        </w:rPr>
        <w:t>15,8% всех капиталовложений по экономике</w:t>
      </w:r>
      <w:r w:rsidR="00813FDD">
        <w:rPr>
          <w:rFonts w:ascii="Times New Roman" w:eastAsiaTheme="minorHAnsi" w:hAnsi="Times New Roman"/>
          <w:sz w:val="28"/>
          <w:szCs w:val="28"/>
          <w:lang w:eastAsia="en-US"/>
        </w:rPr>
        <w:t xml:space="preserve"> (табл. 4)</w:t>
      </w:r>
      <w:r w:rsidRPr="00814BB0">
        <w:rPr>
          <w:rFonts w:ascii="Times New Roman" w:eastAsiaTheme="minorHAnsi" w:hAnsi="Times New Roman"/>
          <w:sz w:val="28"/>
          <w:szCs w:val="28"/>
          <w:lang w:eastAsia="en-US"/>
        </w:rPr>
        <w:t xml:space="preserve">. </w:t>
      </w:r>
    </w:p>
    <w:p w:rsidR="00814BB0" w:rsidRPr="00814BB0" w:rsidRDefault="00653B80" w:rsidP="007D3AA7">
      <w:pPr>
        <w:spacing w:after="0" w:line="240" w:lineRule="auto"/>
        <w:ind w:left="283" w:firstLine="709"/>
        <w:jc w:val="right"/>
        <w:rPr>
          <w:rFonts w:ascii="Times New Roman" w:eastAsia="Calibri" w:hAnsi="Times New Roman" w:cstheme="minorBidi"/>
          <w:spacing w:val="2"/>
          <w:sz w:val="28"/>
          <w:szCs w:val="28"/>
          <w:lang w:eastAsia="en-US"/>
        </w:rPr>
      </w:pPr>
      <w:r>
        <w:rPr>
          <w:rFonts w:ascii="Times New Roman" w:eastAsia="Calibri" w:hAnsi="Times New Roman" w:cstheme="minorBidi"/>
          <w:spacing w:val="2"/>
          <w:sz w:val="28"/>
          <w:szCs w:val="28"/>
          <w:lang w:eastAsia="en-US"/>
        </w:rPr>
        <w:t>Таблица №</w:t>
      </w:r>
      <w:r w:rsidR="00B432C5">
        <w:rPr>
          <w:rFonts w:ascii="Times New Roman" w:eastAsia="Calibri" w:hAnsi="Times New Roman" w:cstheme="minorBidi"/>
          <w:spacing w:val="2"/>
          <w:sz w:val="28"/>
          <w:szCs w:val="28"/>
          <w:lang w:eastAsia="en-US"/>
        </w:rPr>
        <w:t>4</w:t>
      </w:r>
    </w:p>
    <w:p w:rsidR="00814BB0" w:rsidRPr="00814BB0" w:rsidRDefault="00814BB0" w:rsidP="007D3AA7">
      <w:pPr>
        <w:spacing w:after="0" w:line="240" w:lineRule="auto"/>
        <w:jc w:val="center"/>
        <w:rPr>
          <w:rFonts w:ascii="Times New Roman" w:eastAsia="Calibri" w:hAnsi="Times New Roman" w:cstheme="minorBidi"/>
          <w:b/>
          <w:sz w:val="28"/>
          <w:szCs w:val="28"/>
          <w:lang w:eastAsia="en-US"/>
        </w:rPr>
      </w:pPr>
      <w:r w:rsidRPr="00814BB0">
        <w:rPr>
          <w:rFonts w:ascii="Times New Roman" w:eastAsia="Calibri" w:hAnsi="Times New Roman" w:cstheme="minorBidi"/>
          <w:b/>
          <w:sz w:val="28"/>
          <w:szCs w:val="28"/>
          <w:lang w:eastAsia="en-US"/>
        </w:rPr>
        <w:t xml:space="preserve">Динамика инвестиций в основной капитал и их структура </w:t>
      </w:r>
    </w:p>
    <w:p w:rsidR="00814BB0" w:rsidRPr="00814BB0" w:rsidRDefault="00814BB0" w:rsidP="007D3AA7">
      <w:pPr>
        <w:spacing w:after="0" w:line="240" w:lineRule="auto"/>
        <w:jc w:val="center"/>
        <w:rPr>
          <w:rFonts w:ascii="Times New Roman" w:eastAsia="Calibri" w:hAnsi="Times New Roman" w:cstheme="minorBidi"/>
          <w:b/>
          <w:sz w:val="28"/>
          <w:szCs w:val="28"/>
          <w:lang w:eastAsia="en-US"/>
        </w:rPr>
      </w:pPr>
      <w:r w:rsidRPr="00814BB0">
        <w:rPr>
          <w:rFonts w:ascii="Times New Roman" w:eastAsia="Calibri" w:hAnsi="Times New Roman" w:cstheme="minorBidi"/>
          <w:b/>
          <w:sz w:val="28"/>
          <w:szCs w:val="28"/>
          <w:lang w:eastAsia="en-US"/>
        </w:rPr>
        <w:t xml:space="preserve">по основным отраслям экономики </w:t>
      </w:r>
    </w:p>
    <w:p w:rsidR="00814BB0" w:rsidRPr="003E4487" w:rsidRDefault="00814BB0" w:rsidP="007D3AA7">
      <w:pPr>
        <w:spacing w:after="0" w:line="240" w:lineRule="auto"/>
        <w:jc w:val="center"/>
        <w:rPr>
          <w:rFonts w:ascii="Times New Roman" w:eastAsia="Calibri" w:hAnsi="Times New Roman" w:cstheme="minorBidi"/>
          <w:sz w:val="28"/>
          <w:szCs w:val="28"/>
          <w:lang w:eastAsia="en-US"/>
        </w:rPr>
      </w:pPr>
      <w:r w:rsidRPr="003E4487">
        <w:rPr>
          <w:rFonts w:ascii="Times New Roman" w:eastAsia="Calibri" w:hAnsi="Times New Roman" w:cstheme="minorBidi"/>
          <w:sz w:val="28"/>
          <w:szCs w:val="28"/>
          <w:lang w:eastAsia="en-US"/>
        </w:rPr>
        <w:t>(без субъектов малого предпринимательства)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35"/>
        <w:gridCol w:w="1043"/>
        <w:gridCol w:w="1025"/>
        <w:gridCol w:w="1044"/>
        <w:gridCol w:w="1042"/>
        <w:gridCol w:w="1300"/>
      </w:tblGrid>
      <w:tr w:rsidR="00814BB0" w:rsidRPr="00814BB0" w:rsidTr="00980D6F">
        <w:trPr>
          <w:trHeight w:val="448"/>
        </w:trPr>
        <w:tc>
          <w:tcPr>
            <w:tcW w:w="4435" w:type="dxa"/>
            <w:vMerge w:val="restart"/>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b/>
                <w:lang w:eastAsia="en-US"/>
              </w:rPr>
            </w:pPr>
            <w:r w:rsidRPr="00814BB0">
              <w:rPr>
                <w:rFonts w:ascii="Times New Roman" w:eastAsia="Calibri" w:hAnsi="Times New Roman" w:cstheme="minorBidi"/>
                <w:b/>
                <w:spacing w:val="2"/>
                <w:lang w:eastAsia="en-US"/>
              </w:rPr>
              <w:t>Показатели</w:t>
            </w:r>
          </w:p>
        </w:tc>
        <w:tc>
          <w:tcPr>
            <w:tcW w:w="2068" w:type="dxa"/>
            <w:gridSpan w:val="2"/>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cstheme="minorBidi"/>
                <w:b/>
                <w:lang w:eastAsia="en-US"/>
              </w:rPr>
            </w:pPr>
            <w:r w:rsidRPr="00814BB0">
              <w:rPr>
                <w:rFonts w:ascii="Times New Roman" w:eastAsia="Calibri" w:hAnsi="Times New Roman" w:cstheme="minorBidi"/>
                <w:b/>
                <w:lang w:eastAsia="en-US"/>
              </w:rPr>
              <w:t>январь - декабрь</w:t>
            </w:r>
          </w:p>
          <w:p w:rsidR="00814BB0" w:rsidRPr="00814BB0" w:rsidRDefault="00814BB0" w:rsidP="007D3AA7">
            <w:pPr>
              <w:spacing w:after="0" w:line="240" w:lineRule="auto"/>
              <w:jc w:val="center"/>
              <w:rPr>
                <w:rFonts w:ascii="Times New Roman" w:eastAsia="Calibri" w:hAnsi="Times New Roman"/>
                <w:b/>
                <w:lang w:eastAsia="en-US"/>
              </w:rPr>
            </w:pPr>
            <w:r w:rsidRPr="00814BB0">
              <w:rPr>
                <w:rFonts w:ascii="Times New Roman" w:eastAsia="Calibri" w:hAnsi="Times New Roman" w:cstheme="minorBidi"/>
                <w:b/>
                <w:lang w:eastAsia="en-US"/>
              </w:rPr>
              <w:t>2017 г.</w:t>
            </w:r>
          </w:p>
        </w:tc>
        <w:tc>
          <w:tcPr>
            <w:tcW w:w="2086" w:type="dxa"/>
            <w:gridSpan w:val="2"/>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980D6F" w:rsidP="007D3AA7">
            <w:pPr>
              <w:spacing w:after="0" w:line="240" w:lineRule="auto"/>
              <w:jc w:val="center"/>
              <w:rPr>
                <w:rFonts w:ascii="Times New Roman" w:eastAsia="Calibri" w:hAnsi="Times New Roman" w:cstheme="minorBidi"/>
                <w:b/>
                <w:lang w:eastAsia="en-US"/>
              </w:rPr>
            </w:pPr>
            <w:r>
              <w:rPr>
                <w:rFonts w:ascii="Times New Roman" w:eastAsia="Calibri" w:hAnsi="Times New Roman" w:cstheme="minorBidi"/>
                <w:b/>
                <w:lang w:eastAsia="en-US"/>
              </w:rPr>
              <w:t>я</w:t>
            </w:r>
            <w:r w:rsidR="00814BB0" w:rsidRPr="00814BB0">
              <w:rPr>
                <w:rFonts w:ascii="Times New Roman" w:eastAsia="Calibri" w:hAnsi="Times New Roman" w:cstheme="minorBidi"/>
                <w:b/>
                <w:lang w:eastAsia="en-US"/>
              </w:rPr>
              <w:t>нварь</w:t>
            </w:r>
            <w:r>
              <w:rPr>
                <w:rFonts w:ascii="Times New Roman" w:eastAsia="Calibri" w:hAnsi="Times New Roman" w:cstheme="minorBidi"/>
                <w:b/>
                <w:lang w:eastAsia="en-US"/>
              </w:rPr>
              <w:t xml:space="preserve"> </w:t>
            </w:r>
            <w:r w:rsidR="00814BB0" w:rsidRPr="00814BB0">
              <w:rPr>
                <w:rFonts w:ascii="Times New Roman" w:eastAsia="Calibri" w:hAnsi="Times New Roman" w:cstheme="minorBidi"/>
                <w:b/>
                <w:lang w:eastAsia="en-US"/>
              </w:rPr>
              <w:t>-</w:t>
            </w:r>
            <w:r>
              <w:rPr>
                <w:rFonts w:ascii="Times New Roman" w:eastAsia="Calibri" w:hAnsi="Times New Roman" w:cstheme="minorBidi"/>
                <w:b/>
                <w:lang w:eastAsia="en-US"/>
              </w:rPr>
              <w:t xml:space="preserve"> декабрь</w:t>
            </w:r>
          </w:p>
          <w:p w:rsidR="00814BB0" w:rsidRPr="00814BB0" w:rsidRDefault="00814BB0" w:rsidP="007D3AA7">
            <w:pPr>
              <w:spacing w:after="0" w:line="240" w:lineRule="auto"/>
              <w:jc w:val="center"/>
              <w:rPr>
                <w:rFonts w:ascii="Times New Roman" w:eastAsia="Calibri" w:hAnsi="Times New Roman"/>
                <w:b/>
                <w:lang w:eastAsia="en-US"/>
              </w:rPr>
            </w:pPr>
            <w:r w:rsidRPr="00814BB0">
              <w:rPr>
                <w:rFonts w:ascii="Times New Roman" w:eastAsia="Calibri" w:hAnsi="Times New Roman" w:cstheme="minorBidi"/>
                <w:b/>
                <w:lang w:eastAsia="en-US"/>
              </w:rPr>
              <w:t>2018 г.</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cstheme="minorBidi"/>
                <w:b/>
                <w:bCs/>
                <w:lang w:eastAsia="en-US"/>
              </w:rPr>
            </w:pPr>
            <w:r w:rsidRPr="00814BB0">
              <w:rPr>
                <w:rFonts w:ascii="Times New Roman" w:eastAsia="Calibri" w:hAnsi="Times New Roman" w:cstheme="minorBidi"/>
                <w:b/>
                <w:bCs/>
                <w:lang w:eastAsia="en-US"/>
              </w:rPr>
              <w:t>Темп роста</w:t>
            </w:r>
          </w:p>
          <w:p w:rsidR="00814BB0" w:rsidRPr="00814BB0" w:rsidRDefault="00814BB0" w:rsidP="007D3AA7">
            <w:pPr>
              <w:spacing w:after="0" w:line="240" w:lineRule="auto"/>
              <w:jc w:val="center"/>
              <w:rPr>
                <w:rFonts w:ascii="Times New Roman" w:eastAsia="Calibri" w:hAnsi="Times New Roman" w:cstheme="minorBidi"/>
                <w:b/>
                <w:bCs/>
                <w:lang w:eastAsia="en-US"/>
              </w:rPr>
            </w:pPr>
            <w:r w:rsidRPr="00814BB0">
              <w:rPr>
                <w:rFonts w:ascii="Times New Roman" w:eastAsia="Calibri" w:hAnsi="Times New Roman" w:cstheme="minorBidi"/>
                <w:b/>
                <w:bCs/>
                <w:lang w:eastAsia="en-US"/>
              </w:rPr>
              <w:t xml:space="preserve">в % к </w:t>
            </w:r>
          </w:p>
          <w:p w:rsidR="00814BB0" w:rsidRPr="00814BB0" w:rsidRDefault="00814BB0" w:rsidP="007D3AA7">
            <w:pPr>
              <w:spacing w:after="0" w:line="240" w:lineRule="auto"/>
              <w:jc w:val="center"/>
              <w:rPr>
                <w:rFonts w:ascii="Times New Roman" w:eastAsia="Calibri" w:hAnsi="Times New Roman"/>
                <w:b/>
                <w:lang w:eastAsia="en-US"/>
              </w:rPr>
            </w:pPr>
            <w:r w:rsidRPr="00814BB0">
              <w:rPr>
                <w:rFonts w:ascii="Times New Roman" w:eastAsia="Calibri" w:hAnsi="Times New Roman" w:cstheme="minorBidi"/>
                <w:b/>
                <w:bCs/>
                <w:lang w:eastAsia="en-US"/>
              </w:rPr>
              <w:t>2017г.*</w:t>
            </w:r>
          </w:p>
        </w:tc>
      </w:tr>
      <w:tr w:rsidR="00814BB0" w:rsidRPr="00814BB0" w:rsidTr="003E4487">
        <w:trPr>
          <w:trHeight w:val="462"/>
        </w:trPr>
        <w:tc>
          <w:tcPr>
            <w:tcW w:w="4435" w:type="dxa"/>
            <w:vMerge/>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eastAsia="Calibri" w:hAnsi="Times New Roman"/>
                <w:b/>
                <w:lang w:eastAsia="en-US"/>
              </w:rPr>
            </w:pP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b/>
                <w:lang w:eastAsia="en-US"/>
              </w:rPr>
            </w:pPr>
            <w:r w:rsidRPr="00814BB0">
              <w:rPr>
                <w:rFonts w:ascii="Times New Roman" w:eastAsia="Calibri" w:hAnsi="Times New Roman" w:cstheme="minorBidi"/>
                <w:b/>
                <w:lang w:eastAsia="en-US"/>
              </w:rPr>
              <w:t>млн руб.</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cstheme="minorBidi"/>
                <w:b/>
                <w:lang w:eastAsia="en-US"/>
              </w:rPr>
            </w:pPr>
            <w:r w:rsidRPr="00814BB0">
              <w:rPr>
                <w:rFonts w:ascii="Times New Roman" w:eastAsia="Calibri" w:hAnsi="Times New Roman" w:cstheme="minorBidi"/>
                <w:b/>
                <w:lang w:eastAsia="en-US"/>
              </w:rPr>
              <w:t xml:space="preserve">уд.вес, </w:t>
            </w:r>
          </w:p>
          <w:p w:rsidR="00814BB0" w:rsidRPr="00814BB0" w:rsidRDefault="00814BB0" w:rsidP="007D3AA7">
            <w:pPr>
              <w:spacing w:after="0" w:line="240" w:lineRule="auto"/>
              <w:ind w:left="-124" w:right="-89"/>
              <w:jc w:val="center"/>
              <w:rPr>
                <w:rFonts w:ascii="Times New Roman" w:eastAsia="Calibri" w:hAnsi="Times New Roman"/>
                <w:b/>
                <w:lang w:eastAsia="en-US"/>
              </w:rPr>
            </w:pPr>
            <w:r w:rsidRPr="00814BB0">
              <w:rPr>
                <w:rFonts w:ascii="Times New Roman" w:eastAsia="Calibri" w:hAnsi="Times New Roman" w:cstheme="minorBidi"/>
                <w:b/>
                <w:lang w:eastAsia="en-US"/>
              </w:rPr>
              <w:t>%</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b/>
                <w:lang w:eastAsia="en-US"/>
              </w:rPr>
            </w:pPr>
            <w:r w:rsidRPr="00814BB0">
              <w:rPr>
                <w:rFonts w:ascii="Times New Roman" w:eastAsia="Calibri" w:hAnsi="Times New Roman" w:cstheme="minorBidi"/>
                <w:b/>
                <w:lang w:eastAsia="en-US"/>
              </w:rPr>
              <w:t>млн руб.</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b/>
                <w:lang w:eastAsia="en-US"/>
              </w:rPr>
            </w:pPr>
            <w:r w:rsidRPr="00814BB0">
              <w:rPr>
                <w:rFonts w:ascii="Times New Roman" w:eastAsia="Calibri" w:hAnsi="Times New Roman" w:cstheme="minorBidi"/>
                <w:b/>
                <w:lang w:eastAsia="en-US"/>
              </w:rPr>
              <w:t>уд. вес, %</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eastAsia="Calibri" w:hAnsi="Times New Roman"/>
                <w:b/>
                <w:lang w:eastAsia="en-US"/>
              </w:rPr>
            </w:pPr>
          </w:p>
        </w:tc>
      </w:tr>
      <w:tr w:rsidR="00814BB0" w:rsidRPr="00814BB0" w:rsidTr="00980D6F">
        <w:trPr>
          <w:trHeight w:val="677"/>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eastAsia="Calibri" w:hAnsi="Times New Roman" w:cstheme="minorBidi"/>
                <w:lang w:eastAsia="en-US"/>
              </w:rPr>
            </w:pPr>
            <w:r w:rsidRPr="00814BB0">
              <w:rPr>
                <w:rFonts w:ascii="Times New Roman" w:eastAsia="Calibri" w:hAnsi="Times New Roman" w:cstheme="minorBidi"/>
                <w:b/>
                <w:lang w:eastAsia="en-US"/>
              </w:rPr>
              <w:t>Инвестиции в основной капитал</w:t>
            </w:r>
          </w:p>
          <w:p w:rsidR="00814BB0" w:rsidRPr="00814BB0" w:rsidRDefault="00814BB0" w:rsidP="007D3AA7">
            <w:pPr>
              <w:spacing w:after="0" w:line="240" w:lineRule="auto"/>
              <w:rPr>
                <w:rFonts w:ascii="Times New Roman" w:eastAsia="Calibri" w:hAnsi="Times New Roman"/>
                <w:lang w:eastAsia="en-US"/>
              </w:rPr>
            </w:pPr>
            <w:r w:rsidRPr="00814BB0">
              <w:rPr>
                <w:rFonts w:ascii="Times New Roman" w:eastAsia="Calibri" w:hAnsi="Times New Roman" w:cstheme="minorBidi"/>
                <w:lang w:eastAsia="en-US"/>
              </w:rPr>
              <w:t>(в части новых и приобретенных по импорту основных средств) – всего</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b/>
                <w:lang w:eastAsia="en-US"/>
              </w:rPr>
            </w:pPr>
            <w:r w:rsidRPr="00814BB0">
              <w:rPr>
                <w:rFonts w:ascii="Times New Roman" w:eastAsia="Calibri" w:hAnsi="Times New Roman" w:cstheme="minorBidi"/>
                <w:b/>
                <w:lang w:eastAsia="en-US"/>
              </w:rPr>
              <w:t>818,0</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b/>
                <w:lang w:eastAsia="en-US"/>
              </w:rPr>
            </w:pPr>
            <w:r w:rsidRPr="00814BB0">
              <w:rPr>
                <w:rFonts w:ascii="Times New Roman" w:eastAsia="Calibri" w:hAnsi="Times New Roman" w:cstheme="minorBidi"/>
                <w:b/>
                <w:lang w:eastAsia="en-US"/>
              </w:rPr>
              <w:t>100,0</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b/>
                <w:lang w:eastAsia="en-US"/>
              </w:rPr>
            </w:pPr>
            <w:r w:rsidRPr="00814BB0">
              <w:rPr>
                <w:rFonts w:ascii="Times New Roman" w:eastAsia="Calibri" w:hAnsi="Times New Roman"/>
                <w:b/>
                <w:lang w:eastAsia="en-US"/>
              </w:rPr>
              <w:t>1 387,9</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b/>
                <w:lang w:eastAsia="en-US"/>
              </w:rPr>
            </w:pPr>
            <w:r w:rsidRPr="00814BB0">
              <w:rPr>
                <w:rFonts w:ascii="Times New Roman" w:eastAsia="Calibri" w:hAnsi="Times New Roman" w:cstheme="minorBidi"/>
                <w:b/>
                <w:lang w:eastAsia="en-US"/>
              </w:rPr>
              <w:t>100,0</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b/>
                <w:lang w:eastAsia="en-US"/>
              </w:rPr>
            </w:pPr>
            <w:r w:rsidRPr="00814BB0">
              <w:rPr>
                <w:rFonts w:ascii="Times New Roman" w:eastAsia="Calibri" w:hAnsi="Times New Roman" w:cstheme="minorBidi"/>
                <w:b/>
                <w:lang w:eastAsia="en-US"/>
              </w:rPr>
              <w:t>141,0</w:t>
            </w:r>
          </w:p>
        </w:tc>
      </w:tr>
      <w:tr w:rsidR="00814BB0" w:rsidRPr="00814BB0" w:rsidTr="003E4487">
        <w:trPr>
          <w:trHeight w:val="437"/>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hAnsi="Times New Roman" w:cstheme="minorBidi"/>
                <w:lang w:eastAsia="en-US"/>
              </w:rPr>
            </w:pPr>
            <w:r w:rsidRPr="00814BB0">
              <w:rPr>
                <w:rFonts w:ascii="Times New Roman" w:eastAsiaTheme="minorHAnsi" w:hAnsi="Times New Roman" w:cstheme="minorBidi"/>
                <w:lang w:eastAsia="en-US"/>
              </w:rPr>
              <w:t>в том числе:</w:t>
            </w:r>
          </w:p>
          <w:p w:rsidR="00814BB0" w:rsidRPr="00814BB0" w:rsidRDefault="00814BB0" w:rsidP="007D3AA7">
            <w:pPr>
              <w:spacing w:after="0" w:line="240" w:lineRule="auto"/>
              <w:rPr>
                <w:rFonts w:ascii="Times New Roman" w:hAnsi="Times New Roman"/>
                <w:lang w:eastAsia="en-US"/>
              </w:rPr>
            </w:pPr>
            <w:r w:rsidRPr="00814BB0">
              <w:rPr>
                <w:rFonts w:ascii="Times New Roman" w:eastAsiaTheme="minorHAnsi" w:hAnsi="Times New Roman" w:cstheme="minorBidi"/>
                <w:lang w:eastAsia="en-US"/>
              </w:rPr>
              <w:t>промышленность</w:t>
            </w:r>
          </w:p>
        </w:tc>
        <w:tc>
          <w:tcPr>
            <w:tcW w:w="1043" w:type="dxa"/>
            <w:tcBorders>
              <w:top w:val="single" w:sz="4" w:space="0" w:color="000000"/>
              <w:left w:val="single" w:sz="4" w:space="0" w:color="000000"/>
              <w:bottom w:val="single" w:sz="4" w:space="0" w:color="000000"/>
              <w:right w:val="single" w:sz="4" w:space="0" w:color="000000"/>
            </w:tcBorders>
            <w:vAlign w:val="bottom"/>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lang w:eastAsia="en-US"/>
              </w:rPr>
              <w:t>308,4</w:t>
            </w:r>
          </w:p>
        </w:tc>
        <w:tc>
          <w:tcPr>
            <w:tcW w:w="1025" w:type="dxa"/>
            <w:tcBorders>
              <w:top w:val="single" w:sz="4" w:space="0" w:color="000000"/>
              <w:left w:val="single" w:sz="4" w:space="0" w:color="000000"/>
              <w:bottom w:val="single" w:sz="4" w:space="0" w:color="000000"/>
              <w:right w:val="single" w:sz="4" w:space="0" w:color="000000"/>
            </w:tcBorders>
            <w:vAlign w:val="bottom"/>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37,7</w:t>
            </w:r>
          </w:p>
        </w:tc>
        <w:tc>
          <w:tcPr>
            <w:tcW w:w="1044" w:type="dxa"/>
            <w:tcBorders>
              <w:top w:val="single" w:sz="4" w:space="0" w:color="000000"/>
              <w:left w:val="single" w:sz="4" w:space="0" w:color="000000"/>
              <w:bottom w:val="single" w:sz="4" w:space="0" w:color="000000"/>
              <w:right w:val="single" w:sz="4" w:space="0" w:color="000000"/>
            </w:tcBorders>
            <w:vAlign w:val="bottom"/>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687,7</w:t>
            </w:r>
          </w:p>
        </w:tc>
        <w:tc>
          <w:tcPr>
            <w:tcW w:w="1042" w:type="dxa"/>
            <w:tcBorders>
              <w:top w:val="single" w:sz="4" w:space="0" w:color="000000"/>
              <w:left w:val="single" w:sz="4" w:space="0" w:color="000000"/>
              <w:bottom w:val="single" w:sz="4" w:space="0" w:color="000000"/>
              <w:right w:val="single" w:sz="4" w:space="0" w:color="000000"/>
            </w:tcBorders>
            <w:vAlign w:val="bottom"/>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42,7</w:t>
            </w:r>
          </w:p>
        </w:tc>
        <w:tc>
          <w:tcPr>
            <w:tcW w:w="1300" w:type="dxa"/>
            <w:tcBorders>
              <w:top w:val="single" w:sz="4" w:space="0" w:color="000000"/>
              <w:left w:val="single" w:sz="4" w:space="0" w:color="000000"/>
              <w:bottom w:val="single" w:sz="4" w:space="0" w:color="000000"/>
              <w:right w:val="single" w:sz="4" w:space="0" w:color="000000"/>
            </w:tcBorders>
            <w:vAlign w:val="bottom"/>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в 2,2р.</w:t>
            </w:r>
          </w:p>
        </w:tc>
      </w:tr>
      <w:tr w:rsidR="00814BB0" w:rsidRPr="00814BB0" w:rsidTr="00980D6F">
        <w:trPr>
          <w:trHeight w:val="221"/>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eastAsia="Calibri" w:hAnsi="Times New Roman"/>
                <w:lang w:eastAsia="en-US"/>
              </w:rPr>
            </w:pPr>
            <w:r w:rsidRPr="00814BB0">
              <w:rPr>
                <w:rFonts w:ascii="Times New Roman" w:eastAsia="Calibri" w:hAnsi="Times New Roman" w:cstheme="minorBidi"/>
                <w:lang w:eastAsia="en-US"/>
              </w:rPr>
              <w:t>сельское хозяйство</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lang w:eastAsia="en-US"/>
              </w:rPr>
              <w:t>111,9</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13,7</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218,8</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21,6</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195,5</w:t>
            </w:r>
          </w:p>
        </w:tc>
      </w:tr>
      <w:tr w:rsidR="00814BB0" w:rsidRPr="00814BB0" w:rsidTr="00980D6F">
        <w:trPr>
          <w:trHeight w:val="221"/>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eastAsia="Calibri" w:hAnsi="Times New Roman"/>
                <w:lang w:eastAsia="en-US"/>
              </w:rPr>
            </w:pPr>
            <w:r w:rsidRPr="00814BB0">
              <w:rPr>
                <w:rFonts w:ascii="Times New Roman" w:eastAsia="Calibri" w:hAnsi="Times New Roman" w:cstheme="minorBidi"/>
                <w:lang w:eastAsia="en-US"/>
              </w:rPr>
              <w:t>транспорт</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lang w:eastAsia="en-US"/>
              </w:rPr>
              <w:t>37,9</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4,6</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71,8</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4,3</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189,6</w:t>
            </w:r>
          </w:p>
        </w:tc>
      </w:tr>
      <w:tr w:rsidR="00814BB0" w:rsidRPr="00814BB0" w:rsidTr="00980D6F">
        <w:trPr>
          <w:trHeight w:val="221"/>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eastAsia="Calibri" w:hAnsi="Times New Roman"/>
                <w:lang w:eastAsia="en-US"/>
              </w:rPr>
            </w:pPr>
            <w:r w:rsidRPr="00814BB0">
              <w:rPr>
                <w:rFonts w:ascii="Times New Roman" w:eastAsia="Calibri" w:hAnsi="Times New Roman" w:cstheme="minorBidi"/>
                <w:lang w:eastAsia="en-US"/>
              </w:rPr>
              <w:t>связь</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lang w:eastAsia="en-US"/>
              </w:rPr>
              <w:t>53,6</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6,6</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82,8</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4,5</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154,9</w:t>
            </w:r>
          </w:p>
        </w:tc>
      </w:tr>
      <w:tr w:rsidR="00814BB0" w:rsidRPr="00814BB0" w:rsidTr="00980D6F">
        <w:trPr>
          <w:trHeight w:val="221"/>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eastAsia="Calibri" w:hAnsi="Times New Roman"/>
                <w:lang w:eastAsia="en-US"/>
              </w:rPr>
            </w:pPr>
            <w:r w:rsidRPr="00814BB0">
              <w:rPr>
                <w:rFonts w:ascii="Times New Roman" w:eastAsia="Calibri" w:hAnsi="Times New Roman" w:cstheme="minorBidi"/>
                <w:lang w:eastAsia="en-US"/>
              </w:rPr>
              <w:t>строительство</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lang w:eastAsia="en-US"/>
              </w:rPr>
              <w:t>4,0</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0,5</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3,3</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0,4</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83,3</w:t>
            </w:r>
          </w:p>
        </w:tc>
      </w:tr>
      <w:tr w:rsidR="00814BB0" w:rsidRPr="00814BB0" w:rsidTr="00980D6F">
        <w:trPr>
          <w:trHeight w:val="221"/>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eastAsia="Calibri" w:hAnsi="Times New Roman"/>
                <w:lang w:eastAsia="en-US"/>
              </w:rPr>
            </w:pPr>
            <w:r w:rsidRPr="00814BB0">
              <w:rPr>
                <w:rFonts w:ascii="Times New Roman" w:eastAsia="Calibri" w:hAnsi="Times New Roman" w:cstheme="minorBidi"/>
                <w:lang w:eastAsia="en-US"/>
              </w:rPr>
              <w:t>торговля и общественное питание</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lang w:eastAsia="en-US"/>
              </w:rPr>
              <w:t>93,0</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11,4</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92,8</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8,2</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102,6</w:t>
            </w:r>
          </w:p>
        </w:tc>
      </w:tr>
      <w:tr w:rsidR="00814BB0" w:rsidRPr="00814BB0" w:rsidTr="00980D6F">
        <w:trPr>
          <w:trHeight w:val="221"/>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eastAsia="Calibri" w:hAnsi="Times New Roman"/>
                <w:lang w:eastAsia="en-US"/>
              </w:rPr>
            </w:pPr>
            <w:r w:rsidRPr="00814BB0">
              <w:rPr>
                <w:rFonts w:ascii="Times New Roman" w:eastAsia="Calibri" w:hAnsi="Times New Roman" w:cstheme="minorBidi"/>
                <w:lang w:eastAsia="en-US"/>
              </w:rPr>
              <w:t>жилищное строительство</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lang w:eastAsia="en-US"/>
              </w:rPr>
              <w:t>67,4</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0,8</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2,4</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0,3</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12,3</w:t>
            </w:r>
          </w:p>
        </w:tc>
      </w:tr>
      <w:tr w:rsidR="00814BB0" w:rsidRPr="00814BB0" w:rsidTr="00980D6F">
        <w:trPr>
          <w:trHeight w:val="221"/>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eastAsia="Calibri" w:hAnsi="Times New Roman"/>
                <w:lang w:eastAsia="en-US"/>
              </w:rPr>
            </w:pPr>
            <w:r w:rsidRPr="00814BB0">
              <w:rPr>
                <w:rFonts w:ascii="Times New Roman" w:eastAsia="Calibri" w:hAnsi="Times New Roman" w:cstheme="minorBidi"/>
                <w:lang w:eastAsia="en-US"/>
              </w:rPr>
              <w:t>коммунальное хозяйство</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lang w:eastAsia="en-US"/>
              </w:rPr>
              <w:t>21,9</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2,7</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23,5</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1,1</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104,8</w:t>
            </w:r>
          </w:p>
        </w:tc>
      </w:tr>
      <w:tr w:rsidR="00814BB0" w:rsidRPr="00814BB0" w:rsidTr="00980D6F">
        <w:trPr>
          <w:trHeight w:val="221"/>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hAnsi="Times New Roman"/>
                <w:lang w:eastAsia="en-US"/>
              </w:rPr>
            </w:pPr>
            <w:r w:rsidRPr="00814BB0">
              <w:rPr>
                <w:rFonts w:ascii="Times New Roman" w:eastAsiaTheme="minorHAnsi" w:hAnsi="Times New Roman" w:cstheme="minorBidi"/>
                <w:lang w:eastAsia="en-US"/>
              </w:rPr>
              <w:t xml:space="preserve">здравоохранение </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lang w:eastAsia="en-US"/>
              </w:rPr>
              <w:t>68,8</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8,4</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64,6</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1,9</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80,0</w:t>
            </w:r>
          </w:p>
        </w:tc>
      </w:tr>
      <w:tr w:rsidR="00814BB0" w:rsidRPr="00814BB0" w:rsidTr="00980D6F">
        <w:trPr>
          <w:trHeight w:val="221"/>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hAnsi="Times New Roman"/>
                <w:lang w:eastAsia="en-US"/>
              </w:rPr>
            </w:pPr>
            <w:r w:rsidRPr="00814BB0">
              <w:rPr>
                <w:rFonts w:ascii="Times New Roman" w:eastAsiaTheme="minorHAnsi" w:hAnsi="Times New Roman" w:cstheme="minorBidi"/>
                <w:lang w:eastAsia="en-US"/>
              </w:rPr>
              <w:t>образование</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lang w:eastAsia="en-US"/>
              </w:rPr>
              <w:t>51,8</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6,3</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70,6</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7,8</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136,4</w:t>
            </w:r>
          </w:p>
        </w:tc>
      </w:tr>
      <w:tr w:rsidR="00814BB0" w:rsidRPr="00814BB0" w:rsidTr="00980D6F">
        <w:trPr>
          <w:trHeight w:val="236"/>
        </w:trPr>
        <w:tc>
          <w:tcPr>
            <w:tcW w:w="443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rPr>
                <w:rFonts w:ascii="Times New Roman" w:hAnsi="Times New Roman"/>
                <w:lang w:eastAsia="en-US"/>
              </w:rPr>
            </w:pPr>
            <w:r w:rsidRPr="00814BB0">
              <w:rPr>
                <w:rFonts w:ascii="Times New Roman" w:eastAsiaTheme="minorHAnsi" w:hAnsi="Times New Roman" w:cstheme="minorBidi"/>
                <w:lang w:eastAsia="en-US"/>
              </w:rPr>
              <w:t>прочие</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1" w:right="-92"/>
              <w:jc w:val="center"/>
              <w:rPr>
                <w:rFonts w:ascii="Times New Roman" w:eastAsia="Calibri" w:hAnsi="Times New Roman"/>
                <w:lang w:eastAsia="en-US"/>
              </w:rPr>
            </w:pPr>
            <w:r w:rsidRPr="00814BB0">
              <w:rPr>
                <w:rFonts w:ascii="Times New Roman" w:eastAsia="Calibri" w:hAnsi="Times New Roman" w:cstheme="minorBidi"/>
                <w:lang w:eastAsia="en-US"/>
              </w:rPr>
              <w:t>60,0</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4" w:right="-89"/>
              <w:jc w:val="center"/>
              <w:rPr>
                <w:rFonts w:ascii="Times New Roman" w:eastAsia="Calibri" w:hAnsi="Times New Roman"/>
                <w:lang w:eastAsia="en-US"/>
              </w:rPr>
            </w:pPr>
            <w:r w:rsidRPr="00814BB0">
              <w:rPr>
                <w:rFonts w:ascii="Times New Roman" w:eastAsia="Calibri" w:hAnsi="Times New Roman"/>
                <w:lang w:eastAsia="en-US"/>
              </w:rPr>
              <w:t>7,3</w:t>
            </w:r>
          </w:p>
        </w:tc>
        <w:tc>
          <w:tcPr>
            <w:tcW w:w="1044"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ind w:left="-127" w:right="-85"/>
              <w:jc w:val="center"/>
              <w:rPr>
                <w:rFonts w:ascii="Times New Roman" w:eastAsia="Calibri" w:hAnsi="Times New Roman"/>
                <w:lang w:eastAsia="en-US"/>
              </w:rPr>
            </w:pPr>
            <w:r w:rsidRPr="00814BB0">
              <w:rPr>
                <w:rFonts w:ascii="Times New Roman" w:eastAsia="Calibri" w:hAnsi="Times New Roman"/>
                <w:lang w:eastAsia="en-US"/>
              </w:rPr>
              <w:t>69,5</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4,9</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814BB0" w:rsidRPr="00814BB0" w:rsidRDefault="00814BB0" w:rsidP="007D3AA7">
            <w:pPr>
              <w:spacing w:after="0" w:line="240" w:lineRule="auto"/>
              <w:jc w:val="center"/>
              <w:rPr>
                <w:rFonts w:ascii="Times New Roman" w:eastAsia="Calibri" w:hAnsi="Times New Roman"/>
                <w:lang w:eastAsia="en-US"/>
              </w:rPr>
            </w:pPr>
            <w:r w:rsidRPr="00814BB0">
              <w:rPr>
                <w:rFonts w:ascii="Times New Roman" w:eastAsia="Calibri" w:hAnsi="Times New Roman"/>
                <w:lang w:eastAsia="en-US"/>
              </w:rPr>
              <w:t>116,0</w:t>
            </w:r>
          </w:p>
        </w:tc>
      </w:tr>
    </w:tbl>
    <w:p w:rsidR="00814BB0" w:rsidRPr="00814BB0" w:rsidRDefault="00814BB0" w:rsidP="007D3AA7">
      <w:pPr>
        <w:spacing w:after="0" w:line="240" w:lineRule="auto"/>
        <w:rPr>
          <w:rFonts w:ascii="Times New Roman" w:eastAsia="Calibri" w:hAnsi="Times New Roman" w:cstheme="minorBidi"/>
          <w:spacing w:val="2"/>
          <w:lang w:eastAsia="en-US"/>
        </w:rPr>
      </w:pPr>
      <w:r w:rsidRPr="00814BB0">
        <w:rPr>
          <w:rFonts w:ascii="Times New Roman" w:eastAsia="Calibri" w:hAnsi="Times New Roman" w:cstheme="minorBidi"/>
          <w:i/>
          <w:spacing w:val="2"/>
          <w:lang w:eastAsia="en-US"/>
        </w:rPr>
        <w:t>*</w:t>
      </w:r>
      <w:r w:rsidRPr="00814BB0">
        <w:rPr>
          <w:rFonts w:ascii="Times New Roman" w:eastAsia="Calibri" w:hAnsi="Times New Roman" w:cstheme="minorBidi"/>
          <w:spacing w:val="2"/>
          <w:lang w:eastAsia="en-US"/>
        </w:rPr>
        <w:t>-темпы роста приведены к уточнённым данным ГСС</w:t>
      </w:r>
    </w:p>
    <w:p w:rsidR="00813FDD" w:rsidRDefault="00813FDD" w:rsidP="00813FDD">
      <w:pPr>
        <w:spacing w:after="0" w:line="240" w:lineRule="auto"/>
        <w:ind w:firstLine="425"/>
        <w:jc w:val="both"/>
        <w:rPr>
          <w:rFonts w:ascii="Times New Roman" w:hAnsi="Times New Roman"/>
          <w:sz w:val="28"/>
          <w:szCs w:val="28"/>
        </w:rPr>
      </w:pPr>
    </w:p>
    <w:p w:rsidR="00813FDD" w:rsidRPr="00814BB0" w:rsidRDefault="00813FDD" w:rsidP="00813FDD">
      <w:pPr>
        <w:spacing w:after="0" w:line="240" w:lineRule="auto"/>
        <w:ind w:firstLine="425"/>
        <w:jc w:val="both"/>
        <w:rPr>
          <w:rFonts w:ascii="Times New Roman" w:hAnsi="Times New Roman"/>
          <w:sz w:val="28"/>
          <w:szCs w:val="28"/>
        </w:rPr>
      </w:pPr>
      <w:r w:rsidRPr="00814BB0">
        <w:rPr>
          <w:rFonts w:ascii="Times New Roman" w:hAnsi="Times New Roman"/>
          <w:sz w:val="28"/>
          <w:szCs w:val="28"/>
        </w:rPr>
        <w:t xml:space="preserve">Среди сельскохозяйственных предприятий, инвестировавших ресурсы в долгосрочное развитие, наибольшая доля пришлась на: ООО «АГРО КОМПАКТ» (17,0%, +50,2% к базисной отметке 2017 года), </w:t>
      </w:r>
      <w:r w:rsidRPr="00814BB0">
        <w:rPr>
          <w:rFonts w:ascii="Times New Roman" w:eastAsia="Calibri" w:hAnsi="Times New Roman"/>
          <w:sz w:val="28"/>
          <w:szCs w:val="28"/>
        </w:rPr>
        <w:t xml:space="preserve">ЗАО </w:t>
      </w:r>
      <w:r w:rsidRPr="00814BB0">
        <w:rPr>
          <w:rFonts w:ascii="Times New Roman" w:eastAsia="Calibri" w:hAnsi="Times New Roman"/>
          <w:sz w:val="28"/>
          <w:szCs w:val="28"/>
        </w:rPr>
        <w:lastRenderedPageBreak/>
        <w:t>«Тираспольский комбинат хлебопродуктов» (</w:t>
      </w:r>
      <w:r w:rsidRPr="00814BB0">
        <w:rPr>
          <w:rFonts w:ascii="Times New Roman" w:hAnsi="Times New Roman"/>
          <w:sz w:val="28"/>
          <w:szCs w:val="28"/>
        </w:rPr>
        <w:t>8,4%, +73,4% относительно отметки 2017 года), ООО «Каменский Колос» (7,9%, +45,3% к параметру 2017 года), ООО «АГРОСЕМ» (6,2%, превышение базовой отметки в 8,7 раза),</w:t>
      </w:r>
      <w:r w:rsidRPr="00814BB0">
        <w:rPr>
          <w:rFonts w:ascii="Times New Roman" w:eastAsia="Calibri" w:hAnsi="Times New Roman"/>
          <w:sz w:val="28"/>
          <w:szCs w:val="28"/>
        </w:rPr>
        <w:t xml:space="preserve"> ООО «Рист» </w:t>
      </w:r>
      <w:r w:rsidRPr="00814BB0">
        <w:rPr>
          <w:rFonts w:ascii="Times New Roman" w:hAnsi="Times New Roman"/>
          <w:sz w:val="28"/>
          <w:szCs w:val="28"/>
        </w:rPr>
        <w:t>(5,1%, +34,2% к показателю 2017 года), ООО ТПФ «Интерцентер Люкс» (4,9%, +5,0% к базисной отметке 2017 года).</w:t>
      </w:r>
    </w:p>
    <w:p w:rsidR="00813FDD" w:rsidRDefault="00813FDD" w:rsidP="00813FDD">
      <w:pPr>
        <w:tabs>
          <w:tab w:val="left" w:pos="935"/>
        </w:tabs>
        <w:spacing w:after="0" w:line="240" w:lineRule="auto"/>
        <w:ind w:firstLine="425"/>
        <w:jc w:val="both"/>
        <w:rPr>
          <w:rFonts w:ascii="Times New Roman" w:eastAsiaTheme="minorHAnsi" w:hAnsi="Times New Roman" w:cstheme="minorBidi"/>
          <w:sz w:val="28"/>
          <w:szCs w:val="28"/>
          <w:lang w:eastAsia="en-US"/>
        </w:rPr>
      </w:pPr>
      <w:r w:rsidRPr="00814BB0">
        <w:rPr>
          <w:rFonts w:ascii="Times New Roman" w:eastAsiaTheme="minorHAnsi" w:hAnsi="Times New Roman" w:cstheme="minorBidi"/>
          <w:sz w:val="28"/>
          <w:szCs w:val="28"/>
          <w:lang w:eastAsia="en-US"/>
        </w:rPr>
        <w:t>В целях повышения эффективности политики государства в сфере землепользования в 2018 году продолжилось заключение инвестиционных соглашений об обязательствах хозяйствующих субъектов при предоставлении им земель сельскохозяйственного назначения в пользование (аренду). Всего за обозначенный период было заключено 186 Соглашений, в соответствии с которыми общая сумма инвестиционных вложений планируется в размере 37 917,0 тыс. руб. ПМР, из которых в материальные оборотные и внеоборотные активы будет направленно 34 855,1 тыс. руб. ПМР, в инфраструктуру сел 2 261,9 тыс. руб. ПМР. В рамках заключенных Соглашений</w:t>
      </w:r>
      <w:r w:rsidRPr="00814BB0">
        <w:rPr>
          <w:rFonts w:ascii="Times New Roman" w:eastAsiaTheme="minorHAnsi" w:hAnsi="Times New Roman" w:cstheme="minorBidi"/>
          <w:b/>
          <w:sz w:val="28"/>
          <w:szCs w:val="28"/>
          <w:lang w:eastAsia="en-US"/>
        </w:rPr>
        <w:t xml:space="preserve"> </w:t>
      </w:r>
      <w:r w:rsidRPr="00814BB0">
        <w:rPr>
          <w:rFonts w:ascii="Times New Roman" w:eastAsiaTheme="minorHAnsi" w:hAnsi="Times New Roman" w:cstheme="minorBidi"/>
          <w:sz w:val="28"/>
          <w:szCs w:val="28"/>
          <w:lang w:eastAsia="en-US"/>
        </w:rPr>
        <w:t>хозяйствующими субъектами</w:t>
      </w:r>
      <w:r w:rsidRPr="00814BB0">
        <w:rPr>
          <w:rFonts w:ascii="Times New Roman" w:eastAsiaTheme="minorHAnsi" w:hAnsi="Times New Roman" w:cstheme="minorBidi"/>
          <w:b/>
          <w:sz w:val="28"/>
          <w:szCs w:val="28"/>
          <w:lang w:eastAsia="en-US"/>
        </w:rPr>
        <w:t xml:space="preserve"> </w:t>
      </w:r>
      <w:r w:rsidRPr="00814BB0">
        <w:rPr>
          <w:rFonts w:ascii="Times New Roman" w:eastAsiaTheme="minorHAnsi" w:hAnsi="Times New Roman" w:cstheme="minorBidi"/>
          <w:sz w:val="28"/>
          <w:szCs w:val="28"/>
          <w:lang w:eastAsia="en-US"/>
        </w:rPr>
        <w:t>с</w:t>
      </w:r>
      <w:r w:rsidRPr="00814BB0">
        <w:rPr>
          <w:rFonts w:ascii="Times New Roman" w:eastAsiaTheme="minorHAnsi" w:hAnsi="Times New Roman" w:cstheme="minorBidi"/>
          <w:b/>
          <w:sz w:val="28"/>
          <w:szCs w:val="28"/>
          <w:lang w:eastAsia="en-US"/>
        </w:rPr>
        <w:t xml:space="preserve"> </w:t>
      </w:r>
      <w:r w:rsidRPr="00814BB0">
        <w:rPr>
          <w:rFonts w:ascii="Times New Roman" w:eastAsiaTheme="minorHAnsi" w:hAnsi="Times New Roman" w:cstheme="minorBidi"/>
          <w:sz w:val="28"/>
          <w:szCs w:val="28"/>
          <w:lang w:eastAsia="en-US"/>
        </w:rPr>
        <w:t xml:space="preserve">государственными администрациями городов и районов инвестиционные средства будут направлены на ремонт социальных объектов (детские сады, общеобразовательные школы, сельские врачебные амбулатории и т.д.). </w:t>
      </w:r>
    </w:p>
    <w:p w:rsidR="00814BB0" w:rsidRPr="00814BB0" w:rsidRDefault="00814BB0" w:rsidP="007D3AA7">
      <w:pPr>
        <w:tabs>
          <w:tab w:val="left" w:pos="993"/>
        </w:tabs>
        <w:spacing w:after="0" w:line="240" w:lineRule="auto"/>
        <w:ind w:firstLine="426"/>
        <w:jc w:val="both"/>
        <w:rPr>
          <w:rFonts w:ascii="Times New Roman" w:eastAsiaTheme="minorHAnsi" w:hAnsi="Times New Roman" w:cstheme="minorBidi"/>
          <w:sz w:val="28"/>
          <w:szCs w:val="28"/>
          <w:lang w:eastAsia="en-US"/>
        </w:rPr>
      </w:pPr>
      <w:r w:rsidRPr="00814BB0">
        <w:rPr>
          <w:rFonts w:ascii="Times New Roman" w:eastAsiaTheme="minorHAnsi" w:hAnsi="Times New Roman" w:cstheme="minorBidi"/>
          <w:spacing w:val="2"/>
          <w:sz w:val="28"/>
          <w:szCs w:val="28"/>
          <w:lang w:eastAsia="en-US"/>
        </w:rPr>
        <w:t xml:space="preserve">В 2018 году достаточно высоким оставался уровень инвестиционной активности в отрасли «Связь», </w:t>
      </w:r>
      <w:r w:rsidR="00813FDD">
        <w:rPr>
          <w:rFonts w:ascii="Times New Roman" w:eastAsiaTheme="minorHAnsi" w:hAnsi="Times New Roman" w:cstheme="minorBidi"/>
          <w:spacing w:val="2"/>
          <w:sz w:val="28"/>
          <w:szCs w:val="28"/>
          <w:lang w:eastAsia="en-US"/>
        </w:rPr>
        <w:t>предприятиями которой было</w:t>
      </w:r>
      <w:r w:rsidRPr="00814BB0">
        <w:rPr>
          <w:rFonts w:ascii="Times New Roman" w:eastAsiaTheme="minorHAnsi" w:hAnsi="Times New Roman" w:cstheme="minorBidi"/>
          <w:spacing w:val="2"/>
          <w:sz w:val="28"/>
          <w:szCs w:val="28"/>
          <w:lang w:eastAsia="en-US"/>
        </w:rPr>
        <w:t xml:space="preserve"> освоен</w:t>
      </w:r>
      <w:r w:rsidR="00813FDD">
        <w:rPr>
          <w:rFonts w:ascii="Times New Roman" w:eastAsiaTheme="minorHAnsi" w:hAnsi="Times New Roman" w:cstheme="minorBidi"/>
          <w:spacing w:val="2"/>
          <w:sz w:val="28"/>
          <w:szCs w:val="28"/>
          <w:lang w:eastAsia="en-US"/>
        </w:rPr>
        <w:t>о</w:t>
      </w:r>
      <w:r w:rsidRPr="00814BB0">
        <w:rPr>
          <w:rFonts w:ascii="Times New Roman" w:eastAsiaTheme="minorHAnsi" w:hAnsi="Times New Roman" w:cstheme="minorBidi"/>
          <w:spacing w:val="2"/>
          <w:sz w:val="28"/>
          <w:szCs w:val="28"/>
          <w:lang w:eastAsia="en-US"/>
        </w:rPr>
        <w:t xml:space="preserve"> </w:t>
      </w:r>
      <w:r w:rsidRPr="00814BB0">
        <w:rPr>
          <w:rFonts w:ascii="Times New Roman" w:eastAsiaTheme="minorHAnsi" w:hAnsi="Times New Roman" w:cstheme="minorBidi"/>
          <w:sz w:val="28"/>
          <w:szCs w:val="28"/>
          <w:lang w:eastAsia="en-US"/>
        </w:rPr>
        <w:t>6,0% общего объема капитальных вложений по республике</w:t>
      </w:r>
      <w:r w:rsidR="00813FDD">
        <w:rPr>
          <w:rFonts w:ascii="Times New Roman" w:eastAsiaTheme="minorHAnsi" w:hAnsi="Times New Roman" w:cstheme="minorBidi"/>
          <w:sz w:val="28"/>
          <w:szCs w:val="28"/>
          <w:lang w:eastAsia="en-US"/>
        </w:rPr>
        <w:t>,</w:t>
      </w:r>
      <w:r w:rsidRPr="00814BB0">
        <w:rPr>
          <w:rFonts w:ascii="Times New Roman" w:eastAsiaTheme="minorHAnsi" w:hAnsi="Times New Roman" w:cstheme="minorBidi"/>
          <w:sz w:val="28"/>
          <w:szCs w:val="28"/>
          <w:lang w:eastAsia="en-US"/>
        </w:rPr>
        <w:t xml:space="preserve"> или 82,8 млн руб.</w:t>
      </w:r>
      <w:r w:rsidR="00813FDD">
        <w:rPr>
          <w:rFonts w:ascii="Times New Roman" w:eastAsiaTheme="minorHAnsi" w:hAnsi="Times New Roman" w:cstheme="minorBidi"/>
          <w:sz w:val="28"/>
          <w:szCs w:val="28"/>
          <w:lang w:eastAsia="en-US"/>
        </w:rPr>
        <w:t>,</w:t>
      </w:r>
      <w:r w:rsidRPr="00814BB0">
        <w:rPr>
          <w:rFonts w:ascii="Times New Roman" w:eastAsiaTheme="minorHAnsi" w:hAnsi="Times New Roman" w:cstheme="minorBidi"/>
          <w:sz w:val="28"/>
          <w:szCs w:val="28"/>
          <w:lang w:eastAsia="en-US"/>
        </w:rPr>
        <w:t xml:space="preserve"> </w:t>
      </w:r>
      <w:r w:rsidR="00813FDD">
        <w:rPr>
          <w:rFonts w:ascii="Times New Roman" w:eastAsiaTheme="minorHAnsi" w:hAnsi="Times New Roman" w:cstheme="minorBidi"/>
          <w:sz w:val="28"/>
          <w:szCs w:val="28"/>
          <w:lang w:eastAsia="en-US"/>
        </w:rPr>
        <w:t xml:space="preserve">что </w:t>
      </w:r>
      <w:r w:rsidRPr="00814BB0">
        <w:rPr>
          <w:rFonts w:ascii="Times New Roman" w:eastAsiaTheme="minorHAnsi" w:hAnsi="Times New Roman" w:cstheme="minorBidi"/>
          <w:sz w:val="28"/>
          <w:szCs w:val="28"/>
          <w:lang w:eastAsia="en-US"/>
        </w:rPr>
        <w:t>превыш</w:t>
      </w:r>
      <w:r w:rsidR="00813FDD">
        <w:rPr>
          <w:rFonts w:ascii="Times New Roman" w:eastAsiaTheme="minorHAnsi" w:hAnsi="Times New Roman" w:cstheme="minorBidi"/>
          <w:sz w:val="28"/>
          <w:szCs w:val="28"/>
          <w:lang w:eastAsia="en-US"/>
        </w:rPr>
        <w:t>ает</w:t>
      </w:r>
      <w:r w:rsidRPr="00814BB0">
        <w:rPr>
          <w:rFonts w:ascii="Times New Roman" w:eastAsiaTheme="minorHAnsi" w:hAnsi="Times New Roman" w:cstheme="minorBidi"/>
          <w:sz w:val="28"/>
          <w:szCs w:val="28"/>
          <w:lang w:eastAsia="en-US"/>
        </w:rPr>
        <w:t xml:space="preserve"> отметк</w:t>
      </w:r>
      <w:r w:rsidR="00813FDD">
        <w:rPr>
          <w:rFonts w:ascii="Times New Roman" w:eastAsiaTheme="minorHAnsi" w:hAnsi="Times New Roman" w:cstheme="minorBidi"/>
          <w:sz w:val="28"/>
          <w:szCs w:val="28"/>
          <w:lang w:eastAsia="en-US"/>
        </w:rPr>
        <w:t>у</w:t>
      </w:r>
      <w:r w:rsidRPr="00814BB0">
        <w:rPr>
          <w:rFonts w:ascii="Times New Roman" w:eastAsiaTheme="minorHAnsi" w:hAnsi="Times New Roman" w:cstheme="minorBidi"/>
          <w:sz w:val="28"/>
          <w:szCs w:val="28"/>
          <w:lang w:eastAsia="en-US"/>
        </w:rPr>
        <w:t xml:space="preserve"> 2017 года на</w:t>
      </w:r>
      <w:r w:rsidR="00813FDD">
        <w:rPr>
          <w:rFonts w:ascii="Times New Roman" w:eastAsiaTheme="minorHAnsi" w:hAnsi="Times New Roman" w:cstheme="minorBidi"/>
          <w:sz w:val="28"/>
          <w:szCs w:val="28"/>
          <w:lang w:eastAsia="en-US"/>
        </w:rPr>
        <w:t xml:space="preserve"> </w:t>
      </w:r>
      <w:r w:rsidRPr="00814BB0">
        <w:rPr>
          <w:rFonts w:ascii="Times New Roman" w:eastAsiaTheme="minorHAnsi" w:hAnsi="Times New Roman" w:cstheme="minorBidi"/>
          <w:sz w:val="28"/>
          <w:szCs w:val="28"/>
          <w:lang w:eastAsia="en-US"/>
        </w:rPr>
        <w:t>54,9%.</w:t>
      </w:r>
    </w:p>
    <w:p w:rsidR="00814BB0" w:rsidRPr="00814BB0" w:rsidRDefault="00814BB0" w:rsidP="007D3AA7">
      <w:pPr>
        <w:spacing w:after="0" w:line="240" w:lineRule="auto"/>
        <w:ind w:firstLine="426"/>
        <w:jc w:val="both"/>
        <w:rPr>
          <w:rFonts w:ascii="Times New Roman" w:hAnsi="Times New Roman"/>
          <w:sz w:val="28"/>
          <w:szCs w:val="28"/>
          <w:lang w:eastAsia="en-US"/>
        </w:rPr>
      </w:pPr>
      <w:r w:rsidRPr="00814BB0">
        <w:rPr>
          <w:rFonts w:ascii="Times New Roman" w:hAnsi="Times New Roman"/>
          <w:sz w:val="28"/>
          <w:szCs w:val="28"/>
          <w:lang w:eastAsia="en-US"/>
        </w:rPr>
        <w:t xml:space="preserve">Транспортными организациями по итогам 2018 года на развитие и обновление основных фондов было направлено 71,8 млн руб. инвестиций (5,2% от общего объема по экономике), что </w:t>
      </w:r>
      <w:r w:rsidR="00813FDD">
        <w:rPr>
          <w:rFonts w:ascii="Times New Roman" w:hAnsi="Times New Roman"/>
          <w:sz w:val="28"/>
          <w:szCs w:val="28"/>
          <w:lang w:eastAsia="en-US"/>
        </w:rPr>
        <w:t>в 1,9 раза</w:t>
      </w:r>
      <w:r w:rsidRPr="00814BB0">
        <w:rPr>
          <w:rFonts w:ascii="Times New Roman" w:hAnsi="Times New Roman"/>
          <w:sz w:val="28"/>
          <w:szCs w:val="28"/>
          <w:lang w:eastAsia="en-US"/>
        </w:rPr>
        <w:t xml:space="preserve"> превы</w:t>
      </w:r>
      <w:r w:rsidR="00813FDD">
        <w:rPr>
          <w:rFonts w:ascii="Times New Roman" w:hAnsi="Times New Roman"/>
          <w:sz w:val="28"/>
          <w:szCs w:val="28"/>
          <w:lang w:eastAsia="en-US"/>
        </w:rPr>
        <w:t>сило</w:t>
      </w:r>
      <w:r w:rsidRPr="00814BB0">
        <w:rPr>
          <w:rFonts w:ascii="Times New Roman" w:hAnsi="Times New Roman"/>
          <w:sz w:val="28"/>
          <w:szCs w:val="28"/>
          <w:lang w:eastAsia="en-US"/>
        </w:rPr>
        <w:t xml:space="preserve"> показател</w:t>
      </w:r>
      <w:r w:rsidR="00813FDD">
        <w:rPr>
          <w:rFonts w:ascii="Times New Roman" w:hAnsi="Times New Roman"/>
          <w:sz w:val="28"/>
          <w:szCs w:val="28"/>
          <w:lang w:eastAsia="en-US"/>
        </w:rPr>
        <w:t>ь 2017 года</w:t>
      </w:r>
      <w:r w:rsidRPr="00814BB0">
        <w:rPr>
          <w:rFonts w:ascii="Times New Roman" w:hAnsi="Times New Roman"/>
          <w:sz w:val="28"/>
          <w:szCs w:val="28"/>
          <w:lang w:eastAsia="en-US"/>
        </w:rPr>
        <w:t>, а параметр двухлетней давности</w:t>
      </w:r>
      <w:r w:rsidR="00813FDD">
        <w:rPr>
          <w:rFonts w:ascii="Times New Roman" w:hAnsi="Times New Roman"/>
          <w:sz w:val="28"/>
          <w:szCs w:val="28"/>
          <w:lang w:eastAsia="en-US"/>
        </w:rPr>
        <w:t xml:space="preserve"> –</w:t>
      </w:r>
      <w:r w:rsidRPr="00814BB0">
        <w:rPr>
          <w:rFonts w:ascii="Times New Roman" w:hAnsi="Times New Roman"/>
          <w:sz w:val="28"/>
          <w:szCs w:val="28"/>
          <w:lang w:eastAsia="en-US"/>
        </w:rPr>
        <w:t xml:space="preserve"> на 28,2%.</w:t>
      </w:r>
    </w:p>
    <w:p w:rsidR="00814BB0" w:rsidRPr="00814BB0" w:rsidRDefault="00814BB0" w:rsidP="007D3AA7">
      <w:pPr>
        <w:spacing w:after="0" w:line="240" w:lineRule="auto"/>
        <w:ind w:firstLine="426"/>
        <w:jc w:val="both"/>
        <w:rPr>
          <w:rFonts w:ascii="Times New Roman" w:hAnsi="Times New Roman"/>
          <w:sz w:val="28"/>
          <w:szCs w:val="28"/>
          <w:lang w:eastAsia="en-US"/>
        </w:rPr>
      </w:pPr>
      <w:r w:rsidRPr="00814BB0">
        <w:rPr>
          <w:rFonts w:ascii="Times New Roman" w:hAnsi="Times New Roman"/>
          <w:sz w:val="28"/>
          <w:szCs w:val="28"/>
          <w:lang w:eastAsia="en-US"/>
        </w:rPr>
        <w:t xml:space="preserve">Ввод в действие новых и ремонт действующих объектов в сфере образования </w:t>
      </w:r>
      <w:r w:rsidR="00813FDD">
        <w:rPr>
          <w:rFonts w:ascii="Times New Roman" w:hAnsi="Times New Roman"/>
          <w:sz w:val="28"/>
          <w:szCs w:val="28"/>
          <w:lang w:eastAsia="en-US"/>
        </w:rPr>
        <w:t>обусловили</w:t>
      </w:r>
      <w:r w:rsidRPr="00814BB0">
        <w:rPr>
          <w:rFonts w:ascii="Times New Roman" w:hAnsi="Times New Roman"/>
          <w:sz w:val="28"/>
          <w:szCs w:val="28"/>
          <w:lang w:eastAsia="en-US"/>
        </w:rPr>
        <w:t xml:space="preserve"> рост инвестиций в долгосрочное развитие</w:t>
      </w:r>
      <w:r w:rsidR="00813FDD">
        <w:rPr>
          <w:rFonts w:ascii="Times New Roman" w:hAnsi="Times New Roman"/>
          <w:sz w:val="28"/>
          <w:szCs w:val="28"/>
          <w:lang w:eastAsia="en-US"/>
        </w:rPr>
        <w:t xml:space="preserve"> отрасли</w:t>
      </w:r>
      <w:r w:rsidRPr="00814BB0">
        <w:rPr>
          <w:rFonts w:ascii="Times New Roman" w:hAnsi="Times New Roman"/>
          <w:sz w:val="28"/>
          <w:szCs w:val="28"/>
          <w:lang w:eastAsia="en-US"/>
        </w:rPr>
        <w:t xml:space="preserve"> по итогам 2018 года более чем на треть (+36,4% до 70,6 млн руб.), обеспечив тем самым 5,1% общего объема инвестиций. </w:t>
      </w:r>
    </w:p>
    <w:p w:rsidR="00814BB0" w:rsidRPr="00814BB0" w:rsidRDefault="00814BB0" w:rsidP="007D3AA7">
      <w:pPr>
        <w:spacing w:after="0" w:line="240" w:lineRule="auto"/>
        <w:ind w:firstLine="426"/>
        <w:jc w:val="both"/>
        <w:rPr>
          <w:rFonts w:ascii="Times New Roman" w:eastAsiaTheme="minorHAnsi" w:hAnsi="Times New Roman" w:cstheme="minorBidi"/>
          <w:sz w:val="28"/>
          <w:szCs w:val="28"/>
          <w:lang w:eastAsia="en-US"/>
        </w:rPr>
      </w:pPr>
      <w:r w:rsidRPr="00814BB0">
        <w:rPr>
          <w:rFonts w:ascii="Times New Roman" w:eastAsiaTheme="minorHAnsi" w:hAnsi="Times New Roman" w:cstheme="minorBidi"/>
          <w:spacing w:val="2"/>
          <w:sz w:val="28"/>
          <w:szCs w:val="28"/>
          <w:lang w:eastAsia="en-US"/>
        </w:rPr>
        <w:t>Организациями здравоохранения в 2018</w:t>
      </w:r>
      <w:r w:rsidR="00813FDD">
        <w:rPr>
          <w:rFonts w:ascii="Times New Roman" w:eastAsiaTheme="minorHAnsi" w:hAnsi="Times New Roman" w:cstheme="minorBidi"/>
          <w:spacing w:val="2"/>
          <w:sz w:val="28"/>
          <w:szCs w:val="28"/>
          <w:lang w:eastAsia="en-US"/>
        </w:rPr>
        <w:t xml:space="preserve"> было</w:t>
      </w:r>
      <w:r w:rsidRPr="00814BB0">
        <w:rPr>
          <w:rFonts w:ascii="Times New Roman" w:eastAsiaTheme="minorHAnsi" w:hAnsi="Times New Roman" w:cstheme="minorBidi"/>
          <w:spacing w:val="2"/>
          <w:sz w:val="28"/>
          <w:szCs w:val="28"/>
          <w:lang w:eastAsia="en-US"/>
        </w:rPr>
        <w:t xml:space="preserve"> освоено 64,6 млн руб. инвестиционных вложений (4,7% от общего объема освоенные средства), однако их абсолютная величина сложилась на 20,0% ниже отметки 2017 года. </w:t>
      </w:r>
    </w:p>
    <w:p w:rsidR="00814BB0" w:rsidRPr="00814BB0" w:rsidRDefault="00814BB0" w:rsidP="007D3AA7">
      <w:pPr>
        <w:spacing w:after="0" w:line="240" w:lineRule="auto"/>
        <w:ind w:firstLine="425"/>
        <w:jc w:val="both"/>
        <w:rPr>
          <w:rFonts w:ascii="Times New Roman" w:eastAsiaTheme="minorHAnsi" w:hAnsi="Times New Roman" w:cstheme="minorBidi"/>
          <w:sz w:val="28"/>
          <w:szCs w:val="28"/>
          <w:lang w:eastAsia="en-US"/>
        </w:rPr>
      </w:pPr>
      <w:r w:rsidRPr="00814BB0">
        <w:rPr>
          <w:rFonts w:ascii="Times New Roman" w:eastAsiaTheme="minorHAnsi" w:hAnsi="Times New Roman" w:cstheme="minorBidi"/>
          <w:sz w:val="28"/>
          <w:szCs w:val="28"/>
          <w:lang w:eastAsia="en-US"/>
        </w:rPr>
        <w:t>Существенно меньшими, по сравнению с базисными параметрами</w:t>
      </w:r>
      <w:r w:rsidR="00813FDD">
        <w:rPr>
          <w:rFonts w:ascii="Times New Roman" w:eastAsiaTheme="minorHAnsi" w:hAnsi="Times New Roman" w:cstheme="minorBidi"/>
          <w:sz w:val="28"/>
          <w:szCs w:val="28"/>
          <w:lang w:eastAsia="en-US"/>
        </w:rPr>
        <w:t>,</w:t>
      </w:r>
      <w:r w:rsidRPr="00814BB0">
        <w:rPr>
          <w:rFonts w:ascii="Times New Roman" w:eastAsiaTheme="minorHAnsi" w:hAnsi="Times New Roman" w:cstheme="minorBidi"/>
          <w:sz w:val="28"/>
          <w:szCs w:val="28"/>
          <w:lang w:eastAsia="en-US"/>
        </w:rPr>
        <w:t xml:space="preserve"> сложились объемы средств, направленные на обновление и модернизацию объектов жилищного строительства (-87,3%) и строительства (-16,7%). </w:t>
      </w:r>
    </w:p>
    <w:p w:rsidR="00814BB0" w:rsidRPr="00814BB0" w:rsidRDefault="00814BB0" w:rsidP="007D3AA7">
      <w:pPr>
        <w:spacing w:after="0" w:line="240" w:lineRule="auto"/>
        <w:ind w:firstLine="425"/>
        <w:jc w:val="both"/>
        <w:rPr>
          <w:rFonts w:ascii="Times New Roman" w:eastAsiaTheme="minorHAnsi" w:hAnsi="Times New Roman" w:cstheme="minorBidi"/>
          <w:sz w:val="28"/>
          <w:szCs w:val="28"/>
          <w:lang w:eastAsia="en-US"/>
        </w:rPr>
      </w:pPr>
      <w:r w:rsidRPr="00805FBA">
        <w:rPr>
          <w:rFonts w:ascii="Times New Roman" w:eastAsiaTheme="minorHAnsi" w:hAnsi="Times New Roman"/>
          <w:sz w:val="28"/>
          <w:szCs w:val="28"/>
          <w:lang w:eastAsia="en-US"/>
        </w:rPr>
        <w:t xml:space="preserve">Необходимо отметить, что в 2018 году впервые в республике был сформирован целевой бюджетный фонд «Фонд капитальных вложений Приднестровской Молдавской Республики» в объёме </w:t>
      </w:r>
      <w:r w:rsidR="00641CCA" w:rsidRPr="00805FBA">
        <w:rPr>
          <w:rFonts w:ascii="Times New Roman" w:eastAsiaTheme="minorHAnsi" w:hAnsi="Times New Roman"/>
          <w:sz w:val="28"/>
          <w:szCs w:val="28"/>
          <w:lang w:eastAsia="en-US"/>
        </w:rPr>
        <w:t>186,6 млн руб. (</w:t>
      </w:r>
      <w:r w:rsidRPr="00805FBA">
        <w:rPr>
          <w:rFonts w:ascii="Times New Roman" w:eastAsiaTheme="minorHAnsi" w:hAnsi="Times New Roman"/>
          <w:sz w:val="28"/>
          <w:szCs w:val="28"/>
          <w:lang w:eastAsia="en-US"/>
        </w:rPr>
        <w:t xml:space="preserve">порядка </w:t>
      </w:r>
      <w:r w:rsidR="00641CCA" w:rsidRPr="00805FBA">
        <w:rPr>
          <w:rFonts w:ascii="Times New Roman" w:eastAsiaTheme="minorHAnsi" w:hAnsi="Times New Roman"/>
          <w:sz w:val="28"/>
          <w:szCs w:val="28"/>
          <w:lang w:eastAsia="en-US"/>
        </w:rPr>
        <w:t>2,5</w:t>
      </w:r>
      <w:r w:rsidRPr="00805FBA">
        <w:rPr>
          <w:rFonts w:ascii="Times New Roman" w:eastAsiaTheme="minorHAnsi" w:hAnsi="Times New Roman"/>
          <w:sz w:val="28"/>
          <w:szCs w:val="28"/>
          <w:lang w:eastAsia="en-US"/>
        </w:rPr>
        <w:t>% от совокупных государственных расходов</w:t>
      </w:r>
      <w:r w:rsidR="00641CCA" w:rsidRPr="00805FBA">
        <w:rPr>
          <w:rFonts w:ascii="Times New Roman" w:eastAsiaTheme="minorHAnsi" w:hAnsi="Times New Roman"/>
          <w:sz w:val="28"/>
          <w:szCs w:val="28"/>
          <w:lang w:eastAsia="en-US"/>
        </w:rPr>
        <w:t>)</w:t>
      </w:r>
      <w:r w:rsidR="00805FBA">
        <w:rPr>
          <w:rFonts w:ascii="Times New Roman" w:eastAsiaTheme="minorHAnsi" w:hAnsi="Times New Roman"/>
          <w:sz w:val="28"/>
          <w:szCs w:val="28"/>
          <w:lang w:eastAsia="en-US"/>
        </w:rPr>
        <w:t xml:space="preserve">, </w:t>
      </w:r>
      <w:r w:rsidR="00641CCA" w:rsidRPr="00805FBA">
        <w:rPr>
          <w:rFonts w:ascii="Times New Roman" w:eastAsiaTheme="minorHAnsi" w:hAnsi="Times New Roman"/>
          <w:sz w:val="28"/>
          <w:szCs w:val="28"/>
          <w:lang w:eastAsia="en-US"/>
        </w:rPr>
        <w:t>из котор</w:t>
      </w:r>
      <w:r w:rsidR="00813FDD">
        <w:rPr>
          <w:rFonts w:ascii="Times New Roman" w:eastAsiaTheme="minorHAnsi" w:hAnsi="Times New Roman"/>
          <w:sz w:val="28"/>
          <w:szCs w:val="28"/>
          <w:lang w:eastAsia="en-US"/>
        </w:rPr>
        <w:t>ых</w:t>
      </w:r>
      <w:r w:rsidRPr="00805FBA">
        <w:rPr>
          <w:rFonts w:ascii="Times New Roman" w:eastAsiaTheme="minorHAnsi" w:hAnsi="Times New Roman"/>
          <w:sz w:val="28"/>
          <w:szCs w:val="28"/>
          <w:lang w:eastAsia="en-US"/>
        </w:rPr>
        <w:t xml:space="preserve"> 150 млн руб. </w:t>
      </w:r>
      <w:r w:rsidR="00641CCA" w:rsidRPr="00805FBA">
        <w:rPr>
          <w:rFonts w:ascii="Times New Roman" w:eastAsiaTheme="minorHAnsi" w:hAnsi="Times New Roman"/>
          <w:sz w:val="28"/>
          <w:szCs w:val="28"/>
          <w:lang w:eastAsia="en-US"/>
        </w:rPr>
        <w:t xml:space="preserve">было направленно на капитальный ремонт, строительство </w:t>
      </w:r>
      <w:r w:rsidR="00641CCA" w:rsidRPr="00805FBA">
        <w:rPr>
          <w:rFonts w:ascii="Times New Roman" w:hAnsi="Times New Roman"/>
          <w:sz w:val="28"/>
          <w:szCs w:val="28"/>
        </w:rPr>
        <w:t>школ и детских садов.</w:t>
      </w:r>
      <w:r w:rsidR="00641CCA" w:rsidRPr="00805FBA">
        <w:rPr>
          <w:rFonts w:ascii="Times New Roman" w:eastAsiaTheme="minorHAnsi" w:hAnsi="Times New Roman"/>
          <w:sz w:val="28"/>
          <w:szCs w:val="28"/>
          <w:lang w:eastAsia="en-US"/>
        </w:rPr>
        <w:t xml:space="preserve"> </w:t>
      </w:r>
      <w:r w:rsidRPr="00814BB0">
        <w:rPr>
          <w:rFonts w:ascii="Times New Roman" w:eastAsiaTheme="minorHAnsi" w:hAnsi="Times New Roman" w:cstheme="minorBidi"/>
          <w:sz w:val="28"/>
          <w:szCs w:val="28"/>
          <w:lang w:eastAsia="en-US"/>
        </w:rPr>
        <w:t xml:space="preserve">Реализация данного проекта будет способствовать повышению качества социальных объектов и улучшению инфраструктуры городов и районов республики. По итогам 2018 года сумма освоенных денежных средств в рамках реализации мероприятий Фонда капитальных вложений ПМР составила </w:t>
      </w:r>
      <w:r w:rsidR="00B90605">
        <w:rPr>
          <w:rFonts w:ascii="Times New Roman" w:eastAsiaTheme="minorHAnsi" w:hAnsi="Times New Roman" w:cstheme="minorBidi"/>
          <w:sz w:val="28"/>
          <w:szCs w:val="28"/>
          <w:lang w:eastAsia="en-US"/>
        </w:rPr>
        <w:br/>
      </w:r>
      <w:r w:rsidRPr="00814BB0">
        <w:rPr>
          <w:rFonts w:ascii="Times New Roman" w:eastAsiaTheme="minorHAnsi" w:hAnsi="Times New Roman" w:cstheme="minorBidi"/>
          <w:sz w:val="28"/>
          <w:szCs w:val="28"/>
          <w:lang w:eastAsia="en-US"/>
        </w:rPr>
        <w:t>144,9 млн руб.</w:t>
      </w:r>
    </w:p>
    <w:p w:rsidR="00B90605" w:rsidRDefault="00B90605" w:rsidP="007D3AA7">
      <w:pPr>
        <w:widowControl w:val="0"/>
        <w:shd w:val="clear" w:color="auto" w:fill="FFFFFF" w:themeFill="background1"/>
        <w:autoSpaceDE w:val="0"/>
        <w:autoSpaceDN w:val="0"/>
        <w:adjustRightInd w:val="0"/>
        <w:spacing w:after="0" w:line="240" w:lineRule="auto"/>
        <w:ind w:firstLine="426"/>
        <w:jc w:val="both"/>
        <w:rPr>
          <w:rFonts w:ascii="Times New Roman" w:eastAsia="Calibri" w:hAnsi="Times New Roman"/>
          <w:b/>
          <w:sz w:val="28"/>
          <w:szCs w:val="28"/>
        </w:rPr>
      </w:pPr>
    </w:p>
    <w:p w:rsidR="00814BB0" w:rsidRPr="00814BB0" w:rsidRDefault="00814BB0" w:rsidP="007D3AA7">
      <w:pPr>
        <w:widowControl w:val="0"/>
        <w:shd w:val="clear" w:color="auto" w:fill="FFFFFF" w:themeFill="background1"/>
        <w:autoSpaceDE w:val="0"/>
        <w:autoSpaceDN w:val="0"/>
        <w:adjustRightInd w:val="0"/>
        <w:spacing w:after="0" w:line="240" w:lineRule="auto"/>
        <w:ind w:firstLine="426"/>
        <w:jc w:val="both"/>
        <w:rPr>
          <w:rFonts w:ascii="Times New Roman" w:eastAsia="Calibri" w:hAnsi="Times New Roman"/>
          <w:b/>
          <w:sz w:val="28"/>
          <w:szCs w:val="28"/>
        </w:rPr>
      </w:pPr>
      <w:r w:rsidRPr="00814BB0">
        <w:rPr>
          <w:rFonts w:ascii="Times New Roman" w:eastAsia="Calibri" w:hAnsi="Times New Roman"/>
          <w:b/>
          <w:sz w:val="28"/>
          <w:szCs w:val="28"/>
        </w:rPr>
        <w:lastRenderedPageBreak/>
        <w:t>Малое предпринимательство</w:t>
      </w:r>
    </w:p>
    <w:p w:rsidR="00814BB0" w:rsidRPr="00814BB0" w:rsidRDefault="00814BB0" w:rsidP="007D3AA7">
      <w:pPr>
        <w:shd w:val="clear" w:color="auto" w:fill="FFFFFF" w:themeFill="background1"/>
        <w:spacing w:after="0" w:line="240" w:lineRule="auto"/>
        <w:ind w:firstLine="426"/>
        <w:jc w:val="both"/>
        <w:rPr>
          <w:rFonts w:ascii="Times New Roman" w:eastAsia="Calibri" w:hAnsi="Times New Roman"/>
          <w:sz w:val="28"/>
          <w:szCs w:val="28"/>
        </w:rPr>
      </w:pPr>
    </w:p>
    <w:p w:rsidR="00814BB0" w:rsidRPr="00814BB0" w:rsidRDefault="00814BB0" w:rsidP="007D3AA7">
      <w:pPr>
        <w:spacing w:after="0" w:line="240" w:lineRule="auto"/>
        <w:ind w:firstLine="426"/>
        <w:jc w:val="both"/>
        <w:rPr>
          <w:rFonts w:ascii="Times New Roman" w:hAnsi="Times New Roman"/>
          <w:sz w:val="28"/>
          <w:szCs w:val="28"/>
        </w:rPr>
      </w:pPr>
      <w:r w:rsidRPr="00814BB0">
        <w:rPr>
          <w:rFonts w:ascii="Times New Roman" w:hAnsi="Times New Roman"/>
          <w:sz w:val="28"/>
          <w:szCs w:val="28"/>
        </w:rPr>
        <w:t xml:space="preserve">Важной задачей, стоящей перед органами государственной власти и управления, является создание благоприятных условий ведения предпринимательской деятельности, уменьшение административных барьеров внутри республики. Комплекс мер в рамках Плана мероприятий («дорожная карта») «Улучшение внутренних условий ведения предпринимательской деятельности в Приднестровской Молдавской Республике», направленный на формирование оптимальной экономической конъюнктуры, </w:t>
      </w:r>
      <w:r w:rsidRPr="00814BB0">
        <w:rPr>
          <w:rFonts w:ascii="Times New Roman" w:eastAsia="Calibri" w:hAnsi="Times New Roman"/>
          <w:sz w:val="28"/>
          <w:szCs w:val="28"/>
        </w:rPr>
        <w:t>позволил достичь позитивных тенденций в динамике по отдельным показателям развития малого предпринимательства.</w:t>
      </w:r>
    </w:p>
    <w:p w:rsidR="00814BB0" w:rsidRPr="00814BB0" w:rsidRDefault="00814BB0" w:rsidP="007D3AA7">
      <w:pPr>
        <w:shd w:val="clear" w:color="auto" w:fill="FFFFFF" w:themeFill="background1"/>
        <w:spacing w:after="0" w:line="240" w:lineRule="auto"/>
        <w:ind w:firstLine="426"/>
        <w:jc w:val="both"/>
        <w:rPr>
          <w:rFonts w:ascii="Times New Roman" w:eastAsia="Calibri" w:hAnsi="Times New Roman"/>
          <w:sz w:val="28"/>
          <w:szCs w:val="28"/>
        </w:rPr>
      </w:pPr>
      <w:r w:rsidRPr="00814BB0">
        <w:rPr>
          <w:rFonts w:ascii="Times New Roman" w:eastAsia="Calibri" w:hAnsi="Times New Roman"/>
          <w:sz w:val="28"/>
          <w:szCs w:val="28"/>
        </w:rPr>
        <w:t>Количество субъектов малого бизнеса в 2018 году увеличилось на 0,3% по отношению к уровню 2017 года, составив 4 201 организации, при этом порядка 91,2% (3 831 организаций) всех субъектов малого предпринимательства являются микропредприятиями.</w:t>
      </w:r>
    </w:p>
    <w:p w:rsidR="00814BB0" w:rsidRDefault="00814BB0" w:rsidP="007D3AA7">
      <w:pPr>
        <w:shd w:val="clear" w:color="auto" w:fill="FFFFFF" w:themeFill="background1"/>
        <w:spacing w:after="0" w:line="240" w:lineRule="auto"/>
        <w:ind w:firstLine="426"/>
        <w:jc w:val="both"/>
        <w:rPr>
          <w:rFonts w:ascii="Times New Roman" w:eastAsia="Calibri" w:hAnsi="Times New Roman"/>
          <w:sz w:val="28"/>
          <w:szCs w:val="28"/>
        </w:rPr>
      </w:pPr>
      <w:r w:rsidRPr="00814BB0">
        <w:rPr>
          <w:rFonts w:ascii="Times New Roman" w:eastAsia="Calibri" w:hAnsi="Times New Roman"/>
          <w:sz w:val="28"/>
          <w:szCs w:val="28"/>
        </w:rPr>
        <w:t xml:space="preserve">Наиболее привлекательной сферой малого бизнеса остается торговля и общепит, в которой сосредоточено 46,5% (-1,4 п.п. к уровню 2017 года) от общего количества субъектов. В промышленности, строительстве и сельском хозяйстве </w:t>
      </w:r>
      <w:r w:rsidR="00B90605">
        <w:rPr>
          <w:rFonts w:ascii="Times New Roman" w:eastAsia="Calibri" w:hAnsi="Times New Roman"/>
          <w:sz w:val="28"/>
          <w:szCs w:val="28"/>
        </w:rPr>
        <w:t>действовало</w:t>
      </w:r>
      <w:r w:rsidRPr="00814BB0">
        <w:rPr>
          <w:rFonts w:ascii="Times New Roman" w:eastAsia="Calibri" w:hAnsi="Times New Roman"/>
          <w:sz w:val="28"/>
          <w:szCs w:val="28"/>
        </w:rPr>
        <w:t xml:space="preserve"> порядка 27,2% (-0,3 п.п.) общего количества организаций малого бизнеса республики</w:t>
      </w:r>
      <w:r w:rsidR="003E4487">
        <w:rPr>
          <w:rFonts w:ascii="Times New Roman" w:eastAsia="Calibri" w:hAnsi="Times New Roman"/>
          <w:sz w:val="28"/>
          <w:szCs w:val="28"/>
        </w:rPr>
        <w:t xml:space="preserve"> (рис. 25)</w:t>
      </w:r>
      <w:r w:rsidRPr="00814BB0">
        <w:rPr>
          <w:rFonts w:ascii="Times New Roman" w:eastAsia="Calibri" w:hAnsi="Times New Roman"/>
          <w:sz w:val="28"/>
          <w:szCs w:val="28"/>
        </w:rPr>
        <w:t>.</w:t>
      </w:r>
    </w:p>
    <w:p w:rsidR="003E4487" w:rsidRPr="00CE6859" w:rsidRDefault="003E4487" w:rsidP="003E4487">
      <w:pPr>
        <w:spacing w:after="0" w:line="240" w:lineRule="auto"/>
        <w:ind w:firstLine="426"/>
        <w:contextualSpacing/>
        <w:jc w:val="right"/>
        <w:rPr>
          <w:rFonts w:ascii="Times New Roman" w:hAnsi="Times New Roman"/>
          <w:b/>
          <w:i/>
          <w:sz w:val="28"/>
          <w:szCs w:val="28"/>
        </w:rPr>
      </w:pPr>
      <w:r w:rsidRPr="00CE6859">
        <w:rPr>
          <w:rFonts w:ascii="Times New Roman" w:hAnsi="Times New Roman"/>
          <w:b/>
          <w:i/>
          <w:sz w:val="28"/>
          <w:szCs w:val="28"/>
        </w:rPr>
        <w:t xml:space="preserve">Рисунок </w:t>
      </w:r>
      <w:r>
        <w:rPr>
          <w:rFonts w:ascii="Times New Roman" w:hAnsi="Times New Roman"/>
          <w:b/>
          <w:i/>
          <w:sz w:val="28"/>
          <w:szCs w:val="28"/>
        </w:rPr>
        <w:t>25</w:t>
      </w:r>
    </w:p>
    <w:p w:rsidR="00814BB0" w:rsidRPr="00814BB0" w:rsidRDefault="00814BB0" w:rsidP="007D3AA7">
      <w:pPr>
        <w:shd w:val="clear" w:color="auto" w:fill="FFFFFF" w:themeFill="background1"/>
        <w:spacing w:after="0" w:line="240" w:lineRule="auto"/>
        <w:ind w:firstLine="720"/>
        <w:jc w:val="center"/>
        <w:rPr>
          <w:rFonts w:ascii="Times New Roman" w:eastAsia="Calibri" w:hAnsi="Times New Roman"/>
          <w:b/>
          <w:sz w:val="24"/>
          <w:szCs w:val="24"/>
        </w:rPr>
      </w:pPr>
      <w:r w:rsidRPr="00814BB0">
        <w:rPr>
          <w:rFonts w:ascii="Times New Roman" w:eastAsia="Calibri" w:hAnsi="Times New Roman"/>
          <w:b/>
          <w:sz w:val="24"/>
          <w:szCs w:val="24"/>
        </w:rPr>
        <w:t xml:space="preserve">Структура организаций малого предпринимательства в разрезе отраслей экономики </w:t>
      </w:r>
    </w:p>
    <w:p w:rsidR="00814BB0" w:rsidRPr="00814BB0" w:rsidRDefault="003E4487" w:rsidP="007D3AA7">
      <w:pPr>
        <w:shd w:val="clear" w:color="auto" w:fill="FFFFFF" w:themeFill="background1"/>
        <w:tabs>
          <w:tab w:val="left" w:pos="2160"/>
        </w:tabs>
        <w:spacing w:after="0" w:line="240" w:lineRule="auto"/>
        <w:ind w:left="-567" w:right="-1" w:firstLine="852"/>
        <w:contextualSpacing/>
        <w:jc w:val="center"/>
        <w:rPr>
          <w:rFonts w:ascii="Times New Roman" w:eastAsia="Calibri" w:hAnsi="Times New Roman"/>
          <w:b/>
          <w:sz w:val="24"/>
          <w:szCs w:val="24"/>
        </w:rPr>
      </w:pPr>
      <w:r>
        <w:rPr>
          <w:rFonts w:ascii="Times New Roman" w:eastAsia="Calibri" w:hAnsi="Times New Roman"/>
          <w:noProof/>
          <w:sz w:val="24"/>
          <w:szCs w:val="24"/>
        </w:rPr>
        <w:drawing>
          <wp:anchor distT="48768" distB="394843" distL="193548" distR="358013" simplePos="0" relativeHeight="251670528" behindDoc="0" locked="0" layoutInCell="1" allowOverlap="1">
            <wp:simplePos x="0" y="0"/>
            <wp:positionH relativeFrom="column">
              <wp:posOffset>2644140</wp:posOffset>
            </wp:positionH>
            <wp:positionV relativeFrom="paragraph">
              <wp:posOffset>284480</wp:posOffset>
            </wp:positionV>
            <wp:extent cx="3457575" cy="2752725"/>
            <wp:effectExtent l="0" t="0" r="0" b="0"/>
            <wp:wrapSquare wrapText="right"/>
            <wp:docPr id="3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rFonts w:ascii="Times New Roman" w:eastAsia="Calibri" w:hAnsi="Times New Roman"/>
          <w:noProof/>
          <w:sz w:val="24"/>
          <w:szCs w:val="24"/>
        </w:rPr>
        <w:drawing>
          <wp:anchor distT="48768" distB="394843" distL="193548" distR="358013" simplePos="0" relativeHeight="251671552" behindDoc="0" locked="0" layoutInCell="1" allowOverlap="1">
            <wp:simplePos x="0" y="0"/>
            <wp:positionH relativeFrom="column">
              <wp:posOffset>-641985</wp:posOffset>
            </wp:positionH>
            <wp:positionV relativeFrom="paragraph">
              <wp:posOffset>285115</wp:posOffset>
            </wp:positionV>
            <wp:extent cx="3457575" cy="2857500"/>
            <wp:effectExtent l="0" t="0" r="0" b="0"/>
            <wp:wrapSquare wrapText="right"/>
            <wp:docPr id="3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814BB0" w:rsidRPr="00814BB0">
        <w:rPr>
          <w:rFonts w:ascii="Times New Roman" w:eastAsia="Calibri" w:hAnsi="Times New Roman"/>
          <w:sz w:val="24"/>
          <w:szCs w:val="24"/>
        </w:rPr>
        <w:t>(количество организаций, удельный вес %)</w:t>
      </w:r>
    </w:p>
    <w:p w:rsidR="00B90605" w:rsidRDefault="00B90605" w:rsidP="007D3AA7">
      <w:pPr>
        <w:shd w:val="clear" w:color="auto" w:fill="FFFFFF" w:themeFill="background1"/>
        <w:spacing w:after="0" w:line="240" w:lineRule="auto"/>
        <w:ind w:firstLine="426"/>
        <w:contextualSpacing/>
        <w:jc w:val="both"/>
        <w:rPr>
          <w:rFonts w:ascii="Times New Roman" w:hAnsi="Times New Roman"/>
          <w:sz w:val="28"/>
          <w:szCs w:val="28"/>
        </w:rPr>
      </w:pPr>
    </w:p>
    <w:p w:rsidR="00814BB0" w:rsidRPr="00814BB0" w:rsidRDefault="00814BB0" w:rsidP="007D3AA7">
      <w:pPr>
        <w:shd w:val="clear" w:color="auto" w:fill="FFFFFF" w:themeFill="background1"/>
        <w:spacing w:after="0" w:line="240" w:lineRule="auto"/>
        <w:ind w:firstLine="426"/>
        <w:contextualSpacing/>
        <w:jc w:val="both"/>
        <w:rPr>
          <w:rFonts w:ascii="Times New Roman" w:hAnsi="Times New Roman"/>
          <w:sz w:val="28"/>
          <w:szCs w:val="28"/>
          <w:highlight w:val="yellow"/>
        </w:rPr>
      </w:pPr>
      <w:r w:rsidRPr="00814BB0">
        <w:rPr>
          <w:rFonts w:ascii="Times New Roman" w:hAnsi="Times New Roman"/>
          <w:sz w:val="28"/>
          <w:szCs w:val="28"/>
        </w:rPr>
        <w:t xml:space="preserve">В соответствии со структурой распределения организаций малого предпринимательства по отраслям экономики наибольшее количество занятых приходится на следующие отрасли: торговля и общепит – 5 560 человек (+3,8% к уровню минувшего года); промышленность – 2 721 работников (+1,5%); сельское хозяйство – 1 731 человек </w:t>
      </w:r>
      <w:r w:rsidR="00B90605">
        <w:rPr>
          <w:rFonts w:ascii="Times New Roman" w:hAnsi="Times New Roman"/>
          <w:sz w:val="28"/>
          <w:szCs w:val="28"/>
        </w:rPr>
        <w:t>(+3,4%); строительство – 1 567 занятых</w:t>
      </w:r>
      <w:r w:rsidRPr="00814BB0">
        <w:rPr>
          <w:rFonts w:ascii="Times New Roman" w:hAnsi="Times New Roman"/>
          <w:sz w:val="28"/>
          <w:szCs w:val="28"/>
        </w:rPr>
        <w:t xml:space="preserve"> (+6,7%).</w:t>
      </w:r>
    </w:p>
    <w:p w:rsidR="00814BB0" w:rsidRPr="00814BB0" w:rsidRDefault="00814BB0" w:rsidP="007D3AA7">
      <w:pPr>
        <w:shd w:val="clear" w:color="auto" w:fill="FFFFFF" w:themeFill="background1"/>
        <w:spacing w:after="0" w:line="240" w:lineRule="auto"/>
        <w:ind w:firstLine="426"/>
        <w:jc w:val="both"/>
        <w:rPr>
          <w:rFonts w:ascii="Times New Roman" w:hAnsi="Times New Roman"/>
          <w:sz w:val="28"/>
          <w:szCs w:val="28"/>
        </w:rPr>
      </w:pPr>
      <w:r w:rsidRPr="00814BB0">
        <w:rPr>
          <w:rFonts w:ascii="Times New Roman" w:hAnsi="Times New Roman"/>
          <w:sz w:val="28"/>
          <w:szCs w:val="28"/>
        </w:rPr>
        <w:lastRenderedPageBreak/>
        <w:t>В целом средняя численность работников списочного состава (без внешних совместителей) в 2018 году выросла на 318 человек, или на 2,1%, и составила 15 483 человек, из которых 53,7% (8 313 человек</w:t>
      </w:r>
      <w:r w:rsidR="00B90605">
        <w:rPr>
          <w:rFonts w:ascii="Times New Roman" w:hAnsi="Times New Roman"/>
          <w:sz w:val="28"/>
          <w:szCs w:val="28"/>
        </w:rPr>
        <w:t>, или +0,9%</w:t>
      </w:r>
      <w:r w:rsidRPr="00814BB0">
        <w:rPr>
          <w:rFonts w:ascii="Times New Roman" w:hAnsi="Times New Roman"/>
          <w:sz w:val="28"/>
          <w:szCs w:val="28"/>
        </w:rPr>
        <w:t>) заняты на микропредприятиях и</w:t>
      </w:r>
      <w:r w:rsidR="00B90605">
        <w:rPr>
          <w:rFonts w:ascii="Times New Roman" w:hAnsi="Times New Roman"/>
          <w:sz w:val="28"/>
          <w:szCs w:val="28"/>
        </w:rPr>
        <w:t>,</w:t>
      </w:r>
      <w:r w:rsidRPr="00814BB0">
        <w:rPr>
          <w:rFonts w:ascii="Times New Roman" w:hAnsi="Times New Roman"/>
          <w:sz w:val="28"/>
          <w:szCs w:val="28"/>
        </w:rPr>
        <w:t xml:space="preserve"> соответственно</w:t>
      </w:r>
      <w:r w:rsidR="00B90605">
        <w:rPr>
          <w:rFonts w:ascii="Times New Roman" w:hAnsi="Times New Roman"/>
          <w:sz w:val="28"/>
          <w:szCs w:val="28"/>
        </w:rPr>
        <w:t>,</w:t>
      </w:r>
      <w:r w:rsidRPr="00814BB0">
        <w:rPr>
          <w:rFonts w:ascii="Times New Roman" w:hAnsi="Times New Roman"/>
          <w:sz w:val="28"/>
          <w:szCs w:val="28"/>
        </w:rPr>
        <w:t xml:space="preserve"> 46,3% (7 170 человек)</w:t>
      </w:r>
      <w:r w:rsidR="00B90605">
        <w:rPr>
          <w:rFonts w:ascii="Times New Roman" w:hAnsi="Times New Roman"/>
          <w:sz w:val="28"/>
          <w:szCs w:val="28"/>
        </w:rPr>
        <w:t xml:space="preserve"> – на</w:t>
      </w:r>
      <w:r w:rsidRPr="00814BB0">
        <w:rPr>
          <w:rFonts w:ascii="Times New Roman" w:hAnsi="Times New Roman"/>
          <w:sz w:val="28"/>
          <w:szCs w:val="28"/>
        </w:rPr>
        <w:t xml:space="preserve"> малы</w:t>
      </w:r>
      <w:r w:rsidR="00B90605">
        <w:rPr>
          <w:rFonts w:ascii="Times New Roman" w:hAnsi="Times New Roman"/>
          <w:sz w:val="28"/>
          <w:szCs w:val="28"/>
        </w:rPr>
        <w:t>х</w:t>
      </w:r>
      <w:r w:rsidRPr="00814BB0">
        <w:rPr>
          <w:rFonts w:ascii="Times New Roman" w:hAnsi="Times New Roman"/>
          <w:sz w:val="28"/>
          <w:szCs w:val="28"/>
        </w:rPr>
        <w:t xml:space="preserve"> предприятия</w:t>
      </w:r>
      <w:r w:rsidR="00B90605">
        <w:rPr>
          <w:rFonts w:ascii="Times New Roman" w:hAnsi="Times New Roman"/>
          <w:sz w:val="28"/>
          <w:szCs w:val="28"/>
        </w:rPr>
        <w:t>х</w:t>
      </w:r>
      <w:r w:rsidRPr="00814BB0">
        <w:rPr>
          <w:rFonts w:ascii="Times New Roman" w:hAnsi="Times New Roman"/>
          <w:sz w:val="28"/>
          <w:szCs w:val="28"/>
        </w:rPr>
        <w:t xml:space="preserve"> (+3,5% к уровню 2017 года). </w:t>
      </w:r>
    </w:p>
    <w:p w:rsidR="00814BB0" w:rsidRPr="00814BB0" w:rsidRDefault="00814BB0" w:rsidP="007D3AA7">
      <w:pPr>
        <w:shd w:val="clear" w:color="auto" w:fill="FFFFFF" w:themeFill="background1"/>
        <w:spacing w:after="0" w:line="240" w:lineRule="auto"/>
        <w:ind w:firstLine="426"/>
        <w:jc w:val="both"/>
        <w:rPr>
          <w:rFonts w:ascii="Times New Roman" w:hAnsi="Times New Roman"/>
          <w:sz w:val="28"/>
          <w:szCs w:val="28"/>
        </w:rPr>
      </w:pPr>
      <w:r w:rsidRPr="00814BB0">
        <w:rPr>
          <w:rFonts w:ascii="Times New Roman" w:hAnsi="Times New Roman"/>
          <w:sz w:val="28"/>
          <w:szCs w:val="28"/>
        </w:rPr>
        <w:t>Следует отметить, что в 2018 году наблюда</w:t>
      </w:r>
      <w:r w:rsidR="00B90605">
        <w:rPr>
          <w:rFonts w:ascii="Times New Roman" w:hAnsi="Times New Roman"/>
          <w:sz w:val="28"/>
          <w:szCs w:val="28"/>
        </w:rPr>
        <w:t>лось</w:t>
      </w:r>
      <w:r w:rsidRPr="00814BB0">
        <w:rPr>
          <w:rFonts w:ascii="Times New Roman" w:hAnsi="Times New Roman"/>
          <w:sz w:val="28"/>
          <w:szCs w:val="28"/>
        </w:rPr>
        <w:t xml:space="preserve"> увеличение доли занятых в организациях малого предпринимательства в общей численности занятых в экономике до 13,7% против 13,1% в 2017 году.</w:t>
      </w:r>
    </w:p>
    <w:p w:rsidR="00814BB0" w:rsidRPr="00814BB0" w:rsidRDefault="00814BB0" w:rsidP="007D3AA7">
      <w:pPr>
        <w:shd w:val="clear" w:color="auto" w:fill="FFFFFF" w:themeFill="background1"/>
        <w:spacing w:after="0" w:line="240" w:lineRule="auto"/>
        <w:ind w:firstLine="426"/>
        <w:jc w:val="both"/>
        <w:rPr>
          <w:rFonts w:ascii="Times New Roman" w:eastAsia="Calibri" w:hAnsi="Times New Roman"/>
          <w:sz w:val="28"/>
          <w:szCs w:val="28"/>
        </w:rPr>
      </w:pPr>
      <w:r w:rsidRPr="00814BB0">
        <w:rPr>
          <w:rFonts w:ascii="Times New Roman" w:eastAsia="Calibri" w:hAnsi="Times New Roman"/>
          <w:sz w:val="28"/>
          <w:szCs w:val="28"/>
        </w:rPr>
        <w:t xml:space="preserve">В </w:t>
      </w:r>
      <w:r w:rsidRPr="00814BB0">
        <w:rPr>
          <w:rFonts w:ascii="Times New Roman" w:hAnsi="Times New Roman"/>
          <w:sz w:val="28"/>
          <w:szCs w:val="28"/>
        </w:rPr>
        <w:t xml:space="preserve">2018 году </w:t>
      </w:r>
      <w:r w:rsidRPr="00814BB0">
        <w:rPr>
          <w:rFonts w:ascii="Times New Roman" w:eastAsia="Calibri" w:hAnsi="Times New Roman"/>
          <w:sz w:val="28"/>
          <w:szCs w:val="28"/>
        </w:rPr>
        <w:t xml:space="preserve">среднемесячная номинальная начисленная заработная плата одного работника в организациях малого бизнеса увеличилась на 1,1% до </w:t>
      </w:r>
      <w:r w:rsidRPr="00814BB0">
        <w:rPr>
          <w:rFonts w:ascii="Times New Roman" w:hAnsi="Times New Roman"/>
          <w:sz w:val="28"/>
          <w:szCs w:val="28"/>
        </w:rPr>
        <w:t>3 478,7 руб</w:t>
      </w:r>
      <w:r w:rsidRPr="00814BB0">
        <w:rPr>
          <w:rFonts w:ascii="Times New Roman" w:eastAsia="Calibri" w:hAnsi="Times New Roman"/>
          <w:sz w:val="28"/>
          <w:szCs w:val="28"/>
        </w:rPr>
        <w:t>. При этом необходимо отметить, что официальная оплата труда в сфере малого бизнеса остается на низком уровне и составляет 82,6% от среднереспубликанского уровня заработной платы одного работника (4 211 руб.) и 62,3% от средней величины заработной платы во внебюджетном секторе (</w:t>
      </w:r>
      <w:r w:rsidRPr="00814BB0">
        <w:rPr>
          <w:rFonts w:ascii="Times New Roman" w:hAnsi="Times New Roman"/>
          <w:sz w:val="28"/>
          <w:szCs w:val="28"/>
        </w:rPr>
        <w:t xml:space="preserve">5 587 </w:t>
      </w:r>
      <w:r w:rsidRPr="00814BB0">
        <w:rPr>
          <w:rFonts w:ascii="Times New Roman" w:eastAsia="Calibri" w:hAnsi="Times New Roman"/>
          <w:sz w:val="28"/>
          <w:szCs w:val="28"/>
        </w:rPr>
        <w:t>руб.).</w:t>
      </w:r>
    </w:p>
    <w:p w:rsidR="00814BB0" w:rsidRDefault="00814BB0" w:rsidP="007D3AA7">
      <w:pPr>
        <w:shd w:val="clear" w:color="auto" w:fill="FFFFFF" w:themeFill="background1"/>
        <w:spacing w:after="0" w:line="240" w:lineRule="auto"/>
        <w:ind w:firstLine="426"/>
        <w:jc w:val="both"/>
        <w:rPr>
          <w:rFonts w:ascii="Times New Roman" w:eastAsia="Calibri" w:hAnsi="Times New Roman"/>
          <w:sz w:val="28"/>
          <w:szCs w:val="28"/>
        </w:rPr>
      </w:pPr>
      <w:r w:rsidRPr="00814BB0">
        <w:rPr>
          <w:rFonts w:ascii="Times New Roman" w:eastAsia="Calibri" w:hAnsi="Times New Roman"/>
          <w:sz w:val="28"/>
          <w:szCs w:val="28"/>
        </w:rPr>
        <w:t>Наиболее высокий уровень заработной платы отмечен в таких отраслях как: «Связь», «Общая коммерческая деятельность», «Заготовки», «Информационно – вычислительное обслуживание», «Строительство» и «Здравоохранение»</w:t>
      </w:r>
      <w:r w:rsidR="000703D1">
        <w:rPr>
          <w:rFonts w:ascii="Times New Roman" w:eastAsia="Calibri" w:hAnsi="Times New Roman"/>
          <w:sz w:val="28"/>
          <w:szCs w:val="28"/>
        </w:rPr>
        <w:t xml:space="preserve"> (рис. 26)</w:t>
      </w:r>
      <w:r w:rsidRPr="00814BB0">
        <w:rPr>
          <w:rFonts w:ascii="Times New Roman" w:eastAsia="Calibri" w:hAnsi="Times New Roman"/>
          <w:sz w:val="28"/>
          <w:szCs w:val="28"/>
        </w:rPr>
        <w:t>.</w:t>
      </w:r>
    </w:p>
    <w:p w:rsidR="000703D1" w:rsidRPr="00CE6859" w:rsidRDefault="000703D1" w:rsidP="000703D1">
      <w:pPr>
        <w:spacing w:after="0" w:line="240" w:lineRule="auto"/>
        <w:ind w:firstLine="426"/>
        <w:contextualSpacing/>
        <w:jc w:val="right"/>
        <w:rPr>
          <w:rFonts w:ascii="Times New Roman" w:hAnsi="Times New Roman"/>
          <w:b/>
          <w:i/>
          <w:sz w:val="28"/>
          <w:szCs w:val="28"/>
        </w:rPr>
      </w:pPr>
      <w:r w:rsidRPr="00CE6859">
        <w:rPr>
          <w:rFonts w:ascii="Times New Roman" w:hAnsi="Times New Roman"/>
          <w:b/>
          <w:i/>
          <w:sz w:val="28"/>
          <w:szCs w:val="28"/>
        </w:rPr>
        <w:t xml:space="preserve">Рисунок </w:t>
      </w:r>
      <w:r>
        <w:rPr>
          <w:rFonts w:ascii="Times New Roman" w:hAnsi="Times New Roman"/>
          <w:b/>
          <w:i/>
          <w:sz w:val="28"/>
          <w:szCs w:val="28"/>
        </w:rPr>
        <w:t>26</w:t>
      </w:r>
    </w:p>
    <w:p w:rsidR="00814BB0" w:rsidRPr="00814BB0" w:rsidRDefault="00814BB0" w:rsidP="007D3AA7">
      <w:pPr>
        <w:shd w:val="clear" w:color="auto" w:fill="FFFFFF" w:themeFill="background1"/>
        <w:spacing w:after="0" w:line="240" w:lineRule="auto"/>
        <w:ind w:left="-284" w:hanging="142"/>
        <w:jc w:val="both"/>
        <w:rPr>
          <w:rFonts w:ascii="Times New Roman" w:eastAsia="Calibri" w:hAnsi="Times New Roman"/>
          <w:sz w:val="24"/>
          <w:szCs w:val="24"/>
        </w:rPr>
      </w:pPr>
      <w:r w:rsidRPr="00814BB0">
        <w:rPr>
          <w:rFonts w:ascii="Times New Roman" w:eastAsia="Calibri" w:hAnsi="Times New Roman"/>
          <w:noProof/>
          <w:sz w:val="24"/>
          <w:szCs w:val="24"/>
        </w:rPr>
        <w:drawing>
          <wp:inline distT="0" distB="0" distL="0" distR="0">
            <wp:extent cx="6429375" cy="4019550"/>
            <wp:effectExtent l="0" t="0" r="0" b="0"/>
            <wp:docPr id="3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4BB0" w:rsidRPr="00814BB0" w:rsidRDefault="00814BB0" w:rsidP="007D3AA7">
      <w:pPr>
        <w:shd w:val="clear" w:color="auto" w:fill="FFFFFF" w:themeFill="background1"/>
        <w:spacing w:after="0" w:line="240" w:lineRule="auto"/>
        <w:ind w:firstLine="426"/>
        <w:jc w:val="both"/>
        <w:rPr>
          <w:rFonts w:ascii="Times New Roman" w:eastAsia="Calibri" w:hAnsi="Times New Roman"/>
          <w:sz w:val="28"/>
          <w:szCs w:val="28"/>
        </w:rPr>
      </w:pPr>
      <w:r w:rsidRPr="00814BB0">
        <w:rPr>
          <w:rFonts w:ascii="Times New Roman" w:eastAsia="Calibri" w:hAnsi="Times New Roman"/>
          <w:sz w:val="28"/>
          <w:szCs w:val="28"/>
        </w:rPr>
        <w:t xml:space="preserve">Реализованные государством меры по поддержке малого предпринимательства положительно отразились на инвестиционной активности в секторе. По итогам 2018 года инвестиции в основной капитал (в части новых и приобретенных по импорту основных средств) увеличились по сравнению с базовым </w:t>
      </w:r>
      <w:r w:rsidR="00B90605">
        <w:rPr>
          <w:rFonts w:ascii="Times New Roman" w:eastAsia="Calibri" w:hAnsi="Times New Roman"/>
          <w:sz w:val="28"/>
          <w:szCs w:val="28"/>
        </w:rPr>
        <w:t>показателем</w:t>
      </w:r>
      <w:r w:rsidRPr="00814BB0">
        <w:rPr>
          <w:rFonts w:ascii="Times New Roman" w:eastAsia="Calibri" w:hAnsi="Times New Roman"/>
          <w:sz w:val="28"/>
          <w:szCs w:val="28"/>
        </w:rPr>
        <w:t xml:space="preserve"> в 1,7 раза до 285,6 млн. руб. и сформировали 16,4% от общего объема инвестиций в основной капитал по республике (в 2017 году – 16,3%).</w:t>
      </w:r>
    </w:p>
    <w:p w:rsidR="00814BB0" w:rsidRPr="00814BB0" w:rsidRDefault="00814BB0" w:rsidP="007D3AA7">
      <w:pPr>
        <w:shd w:val="clear" w:color="auto" w:fill="FFFFFF" w:themeFill="background1"/>
        <w:spacing w:after="0" w:line="240" w:lineRule="auto"/>
        <w:ind w:firstLine="426"/>
        <w:jc w:val="both"/>
        <w:rPr>
          <w:rFonts w:ascii="Times New Roman" w:hAnsi="Times New Roman"/>
          <w:sz w:val="28"/>
          <w:szCs w:val="28"/>
        </w:rPr>
      </w:pPr>
      <w:r w:rsidRPr="00814BB0">
        <w:rPr>
          <w:rFonts w:ascii="Times New Roman" w:hAnsi="Times New Roman"/>
          <w:sz w:val="28"/>
          <w:szCs w:val="28"/>
        </w:rPr>
        <w:lastRenderedPageBreak/>
        <w:t>Увеличение инвестиционных вложений отмеча</w:t>
      </w:r>
      <w:r w:rsidR="00B90605">
        <w:rPr>
          <w:rFonts w:ascii="Times New Roman" w:hAnsi="Times New Roman"/>
          <w:sz w:val="28"/>
          <w:szCs w:val="28"/>
        </w:rPr>
        <w:t>лось</w:t>
      </w:r>
      <w:r w:rsidRPr="00814BB0">
        <w:rPr>
          <w:rFonts w:ascii="Times New Roman" w:hAnsi="Times New Roman"/>
          <w:sz w:val="28"/>
          <w:szCs w:val="28"/>
        </w:rPr>
        <w:t xml:space="preserve"> по организациям отраслей «Сельское хозяйство» – в 2,0 раза до 155,0 млн руб., «Торговля и общепит» - в 1,9 раза до 54,4 млн руб., «Промышленность» - в 1,4 раза до 26,6 млн руб., «Общая коммерческая деятельность» - в 10,6 раза до 15,1 млн руб., «Транспорт» - в 7,8 раза до 4,9 млн руб. и «Здравоохранение и социальное обеспечение» - на 3,9% до 6,0 млн. руб.</w:t>
      </w:r>
    </w:p>
    <w:p w:rsidR="00814BB0" w:rsidRPr="00814BB0" w:rsidRDefault="00814BB0" w:rsidP="007D3AA7">
      <w:pPr>
        <w:shd w:val="clear" w:color="auto" w:fill="FFFFFF" w:themeFill="background1"/>
        <w:spacing w:after="0" w:line="240" w:lineRule="auto"/>
        <w:ind w:firstLine="426"/>
        <w:jc w:val="both"/>
        <w:rPr>
          <w:rFonts w:ascii="Times New Roman" w:hAnsi="Times New Roman"/>
          <w:sz w:val="28"/>
          <w:szCs w:val="28"/>
        </w:rPr>
      </w:pPr>
      <w:r w:rsidRPr="00814BB0">
        <w:rPr>
          <w:rFonts w:ascii="Times New Roman" w:hAnsi="Times New Roman"/>
          <w:sz w:val="28"/>
          <w:szCs w:val="28"/>
        </w:rPr>
        <w:t xml:space="preserve">Сужение инвестиционных вложений </w:t>
      </w:r>
      <w:r w:rsidR="00B90605">
        <w:rPr>
          <w:rFonts w:ascii="Times New Roman" w:hAnsi="Times New Roman"/>
          <w:sz w:val="28"/>
          <w:szCs w:val="28"/>
        </w:rPr>
        <w:t>фиксировалось</w:t>
      </w:r>
      <w:r w:rsidRPr="00814BB0">
        <w:rPr>
          <w:rFonts w:ascii="Times New Roman" w:hAnsi="Times New Roman"/>
          <w:sz w:val="28"/>
          <w:szCs w:val="28"/>
        </w:rPr>
        <w:t xml:space="preserve"> по организациям строительства – на 43,8% до 7,7 млн руб., культуры и искусства – в 8,3 раза до 0,5 млн руб., физкультуры, отдыха и туризма – на 34,7% до 1,5 млн руб., образования – на 16,1% до 0,6 млн руб.</w:t>
      </w:r>
    </w:p>
    <w:p w:rsidR="00814BB0" w:rsidRDefault="00814BB0" w:rsidP="007D3AA7">
      <w:pPr>
        <w:shd w:val="clear" w:color="auto" w:fill="FFFFFF" w:themeFill="background1"/>
        <w:spacing w:after="0" w:line="240" w:lineRule="auto"/>
        <w:ind w:firstLine="426"/>
        <w:jc w:val="both"/>
        <w:rPr>
          <w:rFonts w:ascii="Times New Roman" w:hAnsi="Times New Roman"/>
          <w:sz w:val="28"/>
          <w:szCs w:val="28"/>
        </w:rPr>
      </w:pPr>
      <w:r w:rsidRPr="00814BB0">
        <w:rPr>
          <w:rFonts w:ascii="Times New Roman" w:hAnsi="Times New Roman"/>
          <w:sz w:val="28"/>
          <w:szCs w:val="28"/>
        </w:rPr>
        <w:t>Из общего объема инвестиционных вложений порядка 54,4% было осуществлено малыми предприятиями и соответственно 45,6% микропредприятиями</w:t>
      </w:r>
      <w:r w:rsidR="000703D1">
        <w:rPr>
          <w:rFonts w:ascii="Times New Roman" w:hAnsi="Times New Roman"/>
          <w:sz w:val="28"/>
          <w:szCs w:val="28"/>
        </w:rPr>
        <w:t xml:space="preserve"> (рис. 27)</w:t>
      </w:r>
      <w:r w:rsidRPr="00814BB0">
        <w:rPr>
          <w:rFonts w:ascii="Times New Roman" w:hAnsi="Times New Roman"/>
          <w:sz w:val="28"/>
          <w:szCs w:val="28"/>
        </w:rPr>
        <w:t>.</w:t>
      </w:r>
    </w:p>
    <w:p w:rsidR="000703D1" w:rsidRPr="00CE6859" w:rsidRDefault="000703D1" w:rsidP="000703D1">
      <w:pPr>
        <w:spacing w:after="0" w:line="240" w:lineRule="auto"/>
        <w:ind w:firstLine="426"/>
        <w:contextualSpacing/>
        <w:jc w:val="right"/>
        <w:rPr>
          <w:rFonts w:ascii="Times New Roman" w:hAnsi="Times New Roman"/>
          <w:b/>
          <w:i/>
          <w:sz w:val="28"/>
          <w:szCs w:val="28"/>
        </w:rPr>
      </w:pPr>
      <w:r w:rsidRPr="00CE6859">
        <w:rPr>
          <w:rFonts w:ascii="Times New Roman" w:hAnsi="Times New Roman"/>
          <w:b/>
          <w:i/>
          <w:sz w:val="28"/>
          <w:szCs w:val="28"/>
        </w:rPr>
        <w:t xml:space="preserve">Рисунок </w:t>
      </w:r>
      <w:r>
        <w:rPr>
          <w:rFonts w:ascii="Times New Roman" w:hAnsi="Times New Roman"/>
          <w:b/>
          <w:i/>
          <w:sz w:val="28"/>
          <w:szCs w:val="28"/>
        </w:rPr>
        <w:t>27</w:t>
      </w:r>
    </w:p>
    <w:p w:rsidR="00814BB0" w:rsidRPr="00814BB0" w:rsidRDefault="00814BB0" w:rsidP="007D3AA7">
      <w:pPr>
        <w:spacing w:after="0" w:line="240" w:lineRule="auto"/>
        <w:ind w:firstLine="709"/>
        <w:jc w:val="center"/>
        <w:rPr>
          <w:rFonts w:ascii="Times New Roman" w:eastAsia="Calibri" w:hAnsi="Times New Roman"/>
          <w:sz w:val="24"/>
          <w:szCs w:val="24"/>
        </w:rPr>
      </w:pPr>
      <w:r w:rsidRPr="00814BB0">
        <w:rPr>
          <w:rFonts w:ascii="Times New Roman" w:eastAsia="Calibri" w:hAnsi="Times New Roman"/>
          <w:b/>
          <w:sz w:val="24"/>
          <w:szCs w:val="24"/>
        </w:rPr>
        <w:t>Инвестиции в основной капитал (в части новых и приобретенных по импорту основных средств), млн. руб.</w:t>
      </w:r>
    </w:p>
    <w:p w:rsidR="00814BB0" w:rsidRPr="00814BB0" w:rsidRDefault="00814BB0" w:rsidP="007D3AA7">
      <w:pPr>
        <w:shd w:val="clear" w:color="auto" w:fill="FFFFFF" w:themeFill="background1"/>
        <w:spacing w:after="0" w:line="240" w:lineRule="auto"/>
        <w:jc w:val="center"/>
        <w:rPr>
          <w:rFonts w:ascii="Times New Roman" w:eastAsia="Calibri" w:hAnsi="Times New Roman"/>
          <w:sz w:val="24"/>
          <w:szCs w:val="24"/>
        </w:rPr>
      </w:pPr>
      <w:r w:rsidRPr="00814BB0">
        <w:rPr>
          <w:rFonts w:ascii="Times New Roman" w:eastAsia="Calibri" w:hAnsi="Times New Roman"/>
          <w:noProof/>
          <w:sz w:val="24"/>
          <w:szCs w:val="24"/>
        </w:rPr>
        <w:drawing>
          <wp:inline distT="0" distB="0" distL="0" distR="0">
            <wp:extent cx="5667375" cy="3362325"/>
            <wp:effectExtent l="19050" t="0" r="0" b="0"/>
            <wp:docPr id="3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14BB0" w:rsidRPr="00814BB0" w:rsidRDefault="00814BB0" w:rsidP="007D3AA7">
      <w:pPr>
        <w:shd w:val="clear" w:color="auto" w:fill="FFFFFF" w:themeFill="background1"/>
        <w:spacing w:after="0" w:line="240" w:lineRule="auto"/>
        <w:ind w:firstLine="426"/>
        <w:contextualSpacing/>
        <w:jc w:val="both"/>
        <w:rPr>
          <w:rFonts w:ascii="Times New Roman" w:hAnsi="Times New Roman"/>
          <w:sz w:val="28"/>
          <w:szCs w:val="28"/>
        </w:rPr>
      </w:pPr>
      <w:r w:rsidRPr="00814BB0">
        <w:rPr>
          <w:rFonts w:ascii="Times New Roman" w:hAnsi="Times New Roman"/>
          <w:sz w:val="28"/>
          <w:szCs w:val="28"/>
        </w:rPr>
        <w:t xml:space="preserve">Объем произведенной продукции (работ, услуг) (в текущих ценах) организаций малого бизнеса за 2018 год увеличился по отношению к </w:t>
      </w:r>
      <w:r w:rsidR="00B90605">
        <w:rPr>
          <w:rFonts w:ascii="Times New Roman" w:hAnsi="Times New Roman"/>
          <w:sz w:val="28"/>
          <w:szCs w:val="28"/>
        </w:rPr>
        <w:t>базисному показателю</w:t>
      </w:r>
      <w:r w:rsidRPr="00814BB0">
        <w:rPr>
          <w:rFonts w:ascii="Times New Roman" w:hAnsi="Times New Roman"/>
          <w:sz w:val="28"/>
          <w:szCs w:val="28"/>
        </w:rPr>
        <w:t xml:space="preserve"> на 33,2% и составил 2 901,1 млн руб., из которых 59,4% произведено малыми предприятиями.</w:t>
      </w:r>
    </w:p>
    <w:p w:rsidR="00814BB0" w:rsidRPr="00814BB0" w:rsidRDefault="00814BB0" w:rsidP="007D3AA7">
      <w:pPr>
        <w:shd w:val="clear" w:color="auto" w:fill="FFFFFF" w:themeFill="background1"/>
        <w:tabs>
          <w:tab w:val="left" w:pos="2410"/>
        </w:tabs>
        <w:spacing w:after="0" w:line="240" w:lineRule="auto"/>
        <w:ind w:firstLine="426"/>
        <w:jc w:val="both"/>
        <w:rPr>
          <w:rFonts w:ascii="Times New Roman" w:eastAsia="Calibri" w:hAnsi="Times New Roman"/>
          <w:sz w:val="28"/>
          <w:szCs w:val="28"/>
        </w:rPr>
      </w:pPr>
      <w:r w:rsidRPr="00814BB0">
        <w:rPr>
          <w:rFonts w:ascii="Times New Roman" w:eastAsia="Calibri" w:hAnsi="Times New Roman"/>
          <w:sz w:val="28"/>
          <w:szCs w:val="28"/>
        </w:rPr>
        <w:t xml:space="preserve">Доход от продаж (выручка), полученный организациями малого предпринимательства, </w:t>
      </w:r>
      <w:r w:rsidR="00B90605">
        <w:rPr>
          <w:rFonts w:ascii="Times New Roman" w:eastAsia="Calibri" w:hAnsi="Times New Roman"/>
          <w:sz w:val="28"/>
          <w:szCs w:val="28"/>
        </w:rPr>
        <w:t>возрос на 37,1% и достиг 6 671,3 млн руб.</w:t>
      </w:r>
      <w:r w:rsidRPr="00814BB0">
        <w:rPr>
          <w:rFonts w:ascii="Times New Roman" w:eastAsia="Calibri" w:hAnsi="Times New Roman"/>
          <w:sz w:val="28"/>
          <w:szCs w:val="28"/>
        </w:rPr>
        <w:t xml:space="preserve"> </w:t>
      </w:r>
      <w:r w:rsidR="00B90605">
        <w:rPr>
          <w:rFonts w:ascii="Times New Roman" w:eastAsia="Calibri" w:hAnsi="Times New Roman"/>
          <w:sz w:val="28"/>
          <w:szCs w:val="28"/>
        </w:rPr>
        <w:t>Следует</w:t>
      </w:r>
      <w:r w:rsidRPr="00814BB0">
        <w:rPr>
          <w:rFonts w:ascii="Times New Roman" w:eastAsia="Calibri" w:hAnsi="Times New Roman"/>
          <w:sz w:val="28"/>
          <w:szCs w:val="28"/>
        </w:rPr>
        <w:t xml:space="preserve"> отметить, что на доход от продажи товаров приходится порядка 53,6% всех доходов, или 4 341,9 млн руб., что на 37,5% выше уровня 2017 года. </w:t>
      </w:r>
    </w:p>
    <w:p w:rsidR="00814BB0" w:rsidRPr="00814BB0" w:rsidRDefault="00814BB0" w:rsidP="007D3AA7">
      <w:pPr>
        <w:shd w:val="clear" w:color="auto" w:fill="FFFFFF" w:themeFill="background1"/>
        <w:spacing w:after="0" w:line="240" w:lineRule="auto"/>
        <w:ind w:firstLine="426"/>
        <w:jc w:val="both"/>
        <w:rPr>
          <w:rFonts w:ascii="Times New Roman" w:eastAsia="Calibri" w:hAnsi="Times New Roman"/>
          <w:sz w:val="28"/>
          <w:szCs w:val="28"/>
        </w:rPr>
      </w:pPr>
      <w:r w:rsidRPr="00814BB0">
        <w:rPr>
          <w:rFonts w:ascii="Times New Roman" w:eastAsia="Calibri" w:hAnsi="Times New Roman"/>
          <w:sz w:val="28"/>
          <w:szCs w:val="28"/>
        </w:rPr>
        <w:t xml:space="preserve">В то же время результатом финансово-хозяйственной деятельности субъектов малого предпринимательства (без физических лиц) по итогам 2018 года </w:t>
      </w:r>
      <w:r w:rsidR="00B90605">
        <w:rPr>
          <w:rFonts w:ascii="Times New Roman" w:eastAsia="Calibri" w:hAnsi="Times New Roman"/>
          <w:sz w:val="28"/>
          <w:szCs w:val="28"/>
        </w:rPr>
        <w:t>стала</w:t>
      </w:r>
      <w:r w:rsidRPr="00814BB0">
        <w:rPr>
          <w:rFonts w:ascii="Times New Roman" w:eastAsia="Calibri" w:hAnsi="Times New Roman"/>
          <w:sz w:val="28"/>
          <w:szCs w:val="28"/>
        </w:rPr>
        <w:t xml:space="preserve"> чистая прибыль в </w:t>
      </w:r>
      <w:r w:rsidR="00B90605">
        <w:rPr>
          <w:rFonts w:ascii="Times New Roman" w:eastAsia="Calibri" w:hAnsi="Times New Roman"/>
          <w:sz w:val="28"/>
          <w:szCs w:val="28"/>
        </w:rPr>
        <w:t>сумме</w:t>
      </w:r>
      <w:r w:rsidRPr="00814BB0">
        <w:rPr>
          <w:rFonts w:ascii="Times New Roman" w:eastAsia="Calibri" w:hAnsi="Times New Roman"/>
          <w:sz w:val="28"/>
          <w:szCs w:val="28"/>
        </w:rPr>
        <w:t xml:space="preserve"> 701,6 млн руб., тогда как за </w:t>
      </w:r>
      <w:r w:rsidR="00B90605">
        <w:rPr>
          <w:rFonts w:ascii="Times New Roman" w:eastAsia="Calibri" w:hAnsi="Times New Roman"/>
          <w:sz w:val="28"/>
          <w:szCs w:val="28"/>
        </w:rPr>
        <w:t>предыдущий</w:t>
      </w:r>
      <w:r w:rsidRPr="00814BB0">
        <w:rPr>
          <w:rFonts w:ascii="Times New Roman" w:eastAsia="Calibri" w:hAnsi="Times New Roman"/>
          <w:sz w:val="28"/>
          <w:szCs w:val="28"/>
        </w:rPr>
        <w:t xml:space="preserve"> год </w:t>
      </w:r>
      <w:r w:rsidR="00B90605">
        <w:rPr>
          <w:rFonts w:ascii="Times New Roman" w:eastAsia="Calibri" w:hAnsi="Times New Roman"/>
          <w:sz w:val="28"/>
          <w:szCs w:val="28"/>
        </w:rPr>
        <w:t>был сформирован</w:t>
      </w:r>
      <w:r w:rsidRPr="00814BB0">
        <w:rPr>
          <w:rFonts w:ascii="Times New Roman" w:eastAsia="Calibri" w:hAnsi="Times New Roman"/>
          <w:sz w:val="28"/>
          <w:szCs w:val="28"/>
        </w:rPr>
        <w:t xml:space="preserve"> убыток в размере 612,8 млн руб. </w:t>
      </w:r>
      <w:r w:rsidRPr="00814BB0">
        <w:rPr>
          <w:rFonts w:ascii="Times New Roman" w:hAnsi="Times New Roman"/>
          <w:sz w:val="28"/>
          <w:szCs w:val="28"/>
        </w:rPr>
        <w:t xml:space="preserve">В 2018 году с прибылью в сумме 1 071,3 млн руб. сработали 46,7% (от общего числа) организаций малого бизнеса. </w:t>
      </w:r>
      <w:r w:rsidRPr="00814BB0">
        <w:rPr>
          <w:rFonts w:ascii="Times New Roman" w:eastAsia="Calibri" w:hAnsi="Times New Roman"/>
          <w:sz w:val="28"/>
          <w:szCs w:val="28"/>
        </w:rPr>
        <w:t>Наибольший размер прибыли при</w:t>
      </w:r>
      <w:r w:rsidR="00B90605">
        <w:rPr>
          <w:rFonts w:ascii="Times New Roman" w:eastAsia="Calibri" w:hAnsi="Times New Roman"/>
          <w:sz w:val="28"/>
          <w:szCs w:val="28"/>
        </w:rPr>
        <w:t>шёлся</w:t>
      </w:r>
      <w:r w:rsidRPr="00814BB0">
        <w:rPr>
          <w:rFonts w:ascii="Times New Roman" w:eastAsia="Calibri" w:hAnsi="Times New Roman"/>
          <w:sz w:val="28"/>
          <w:szCs w:val="28"/>
        </w:rPr>
        <w:t xml:space="preserve"> на такие отрасли, как: </w:t>
      </w:r>
      <w:r w:rsidRPr="00814BB0">
        <w:rPr>
          <w:rFonts w:ascii="Times New Roman" w:hAnsi="Times New Roman"/>
          <w:sz w:val="28"/>
          <w:szCs w:val="28"/>
        </w:rPr>
        <w:lastRenderedPageBreak/>
        <w:t xml:space="preserve">сельское хозяйство, </w:t>
      </w:r>
      <w:r w:rsidRPr="00814BB0">
        <w:rPr>
          <w:rFonts w:ascii="Times New Roman" w:eastAsia="Calibri" w:hAnsi="Times New Roman"/>
          <w:sz w:val="28"/>
          <w:szCs w:val="28"/>
        </w:rPr>
        <w:t xml:space="preserve">торговля и общепит и промышленность (22,5%, 20,1% и 7,6% совокупного размера прибыли соответственно). В целом суммарный убыток, полученный организациями малого предпринимательства, сложился в размере 369,8 млн руб., а количество нерентабельных организаций составило 35,3% от общего числа (в базовом году – 40,6%), </w:t>
      </w:r>
      <w:r w:rsidRPr="00814BB0">
        <w:rPr>
          <w:rFonts w:ascii="Times New Roman" w:eastAsia="Calibri" w:hAnsi="Times New Roman"/>
          <w:color w:val="000000"/>
          <w:sz w:val="28"/>
          <w:szCs w:val="28"/>
        </w:rPr>
        <w:t>18,0% организаций</w:t>
      </w:r>
      <w:r w:rsidRPr="00814BB0">
        <w:rPr>
          <w:rFonts w:ascii="Times New Roman" w:eastAsia="Calibri" w:hAnsi="Times New Roman"/>
          <w:sz w:val="28"/>
          <w:szCs w:val="28"/>
        </w:rPr>
        <w:t xml:space="preserve"> не осуществляли хозяйственную деятельность, в связи с чем н</w:t>
      </w:r>
      <w:r w:rsidRPr="00814BB0">
        <w:rPr>
          <w:rFonts w:ascii="Times New Roman" w:eastAsia="Calibri" w:hAnsi="Times New Roman"/>
          <w:color w:val="000000"/>
          <w:sz w:val="28"/>
          <w:szCs w:val="28"/>
        </w:rPr>
        <w:t xml:space="preserve">е получили финансового результата. </w:t>
      </w:r>
    </w:p>
    <w:p w:rsidR="00814BB0" w:rsidRPr="00814BB0" w:rsidRDefault="00814BB0" w:rsidP="007D3AA7">
      <w:pPr>
        <w:shd w:val="clear" w:color="auto" w:fill="FFFFFF" w:themeFill="background1"/>
        <w:spacing w:after="0" w:line="240" w:lineRule="auto"/>
        <w:ind w:firstLine="426"/>
        <w:jc w:val="both"/>
        <w:rPr>
          <w:rFonts w:ascii="Times New Roman" w:hAnsi="Times New Roman"/>
          <w:sz w:val="28"/>
          <w:szCs w:val="28"/>
        </w:rPr>
      </w:pPr>
      <w:r w:rsidRPr="00814BB0">
        <w:rPr>
          <w:rFonts w:ascii="Times New Roman" w:hAnsi="Times New Roman"/>
          <w:sz w:val="28"/>
          <w:szCs w:val="28"/>
        </w:rPr>
        <w:t>В целом за 2018 год организациями малого предпринимательства в бюджеты всех уровней и внебюджетные фонды фактически внесено налогов и платежей в сумме 489,1 млн руб., что на 32,3% выше показателя 2017 года</w:t>
      </w:r>
      <w:r w:rsidR="00113A25">
        <w:rPr>
          <w:rFonts w:ascii="Times New Roman" w:hAnsi="Times New Roman"/>
          <w:sz w:val="28"/>
          <w:szCs w:val="28"/>
        </w:rPr>
        <w:t xml:space="preserve"> (табл. 5)</w:t>
      </w:r>
      <w:r w:rsidRPr="00814BB0">
        <w:rPr>
          <w:rFonts w:ascii="Times New Roman" w:hAnsi="Times New Roman"/>
          <w:sz w:val="28"/>
          <w:szCs w:val="28"/>
        </w:rPr>
        <w:t xml:space="preserve">. Доля данных платежей в общей сумме налоговых поступлений консолидированного бюджета составила 23,7%. При этом удельный вес налоговых платежей, поступающих от малых предприятий, составляет 65,0% (317,8 млн руб., +55,4%) от общего объема по предприятиям малого бизнеса. Микропредприятиями за </w:t>
      </w:r>
      <w:r w:rsidR="00113A25">
        <w:rPr>
          <w:rFonts w:ascii="Times New Roman" w:hAnsi="Times New Roman"/>
          <w:sz w:val="28"/>
          <w:szCs w:val="28"/>
        </w:rPr>
        <w:t>отчетный</w:t>
      </w:r>
      <w:r w:rsidRPr="00814BB0">
        <w:rPr>
          <w:rFonts w:ascii="Times New Roman" w:hAnsi="Times New Roman"/>
          <w:sz w:val="28"/>
          <w:szCs w:val="28"/>
        </w:rPr>
        <w:t xml:space="preserve"> период в бюджеты всех уровней и внебюджетные фонды фактически </w:t>
      </w:r>
      <w:r w:rsidR="00113A25">
        <w:rPr>
          <w:rFonts w:ascii="Times New Roman" w:hAnsi="Times New Roman"/>
          <w:sz w:val="28"/>
          <w:szCs w:val="28"/>
        </w:rPr>
        <w:t xml:space="preserve">было </w:t>
      </w:r>
      <w:r w:rsidRPr="00814BB0">
        <w:rPr>
          <w:rFonts w:ascii="Times New Roman" w:hAnsi="Times New Roman"/>
          <w:sz w:val="28"/>
          <w:szCs w:val="28"/>
        </w:rPr>
        <w:t>внесено 171,2 млн руб. (35,0% общего объема налоговых платежей субъектов малого предпринимательства), что на 3,7% больше базового уровня прошлого года. Наибольший удельный вес в структуре налоговых поступлений обеспечи</w:t>
      </w:r>
      <w:r w:rsidR="00113A25">
        <w:rPr>
          <w:rFonts w:ascii="Times New Roman" w:hAnsi="Times New Roman"/>
          <w:sz w:val="28"/>
          <w:szCs w:val="28"/>
        </w:rPr>
        <w:t>ли</w:t>
      </w:r>
      <w:r w:rsidRPr="00814BB0">
        <w:rPr>
          <w:rFonts w:ascii="Times New Roman" w:hAnsi="Times New Roman"/>
          <w:sz w:val="28"/>
          <w:szCs w:val="28"/>
        </w:rPr>
        <w:t>:</w:t>
      </w:r>
    </w:p>
    <w:p w:rsidR="00814BB0" w:rsidRPr="00814BB0" w:rsidRDefault="00814BB0" w:rsidP="007D3AA7">
      <w:pPr>
        <w:shd w:val="clear" w:color="auto" w:fill="FFFFFF" w:themeFill="background1"/>
        <w:tabs>
          <w:tab w:val="left" w:pos="900"/>
        </w:tabs>
        <w:spacing w:after="0" w:line="240" w:lineRule="auto"/>
        <w:ind w:firstLine="426"/>
        <w:jc w:val="both"/>
        <w:rPr>
          <w:rFonts w:ascii="Times New Roman" w:hAnsi="Times New Roman"/>
          <w:sz w:val="28"/>
          <w:szCs w:val="28"/>
        </w:rPr>
      </w:pPr>
      <w:r w:rsidRPr="00814BB0">
        <w:rPr>
          <w:rFonts w:ascii="Times New Roman" w:hAnsi="Times New Roman"/>
          <w:sz w:val="28"/>
          <w:szCs w:val="28"/>
        </w:rPr>
        <w:t>- налог на доходы организаций – 30,7%, или 150,1 млн руб.;</w:t>
      </w:r>
    </w:p>
    <w:p w:rsidR="00814BB0" w:rsidRPr="00814BB0" w:rsidRDefault="00814BB0" w:rsidP="007D3AA7">
      <w:pPr>
        <w:shd w:val="clear" w:color="auto" w:fill="FFFFFF" w:themeFill="background1"/>
        <w:tabs>
          <w:tab w:val="left" w:pos="900"/>
        </w:tabs>
        <w:spacing w:after="0" w:line="240" w:lineRule="auto"/>
        <w:ind w:firstLine="426"/>
        <w:jc w:val="both"/>
        <w:rPr>
          <w:rFonts w:ascii="Times New Roman" w:hAnsi="Times New Roman"/>
          <w:sz w:val="28"/>
          <w:szCs w:val="28"/>
        </w:rPr>
      </w:pPr>
      <w:r w:rsidRPr="00814BB0">
        <w:rPr>
          <w:rFonts w:ascii="Times New Roman" w:hAnsi="Times New Roman"/>
          <w:sz w:val="28"/>
          <w:szCs w:val="28"/>
        </w:rPr>
        <w:t>- единый социальный налог – 19,7%, или 96,4 млн руб.</w:t>
      </w:r>
    </w:p>
    <w:p w:rsidR="00814BB0" w:rsidRPr="00814BB0" w:rsidRDefault="00814BB0" w:rsidP="007D3AA7">
      <w:pPr>
        <w:shd w:val="clear" w:color="auto" w:fill="FFFFFF" w:themeFill="background1"/>
        <w:spacing w:after="0" w:line="240" w:lineRule="auto"/>
        <w:ind w:firstLine="426"/>
        <w:jc w:val="both"/>
        <w:rPr>
          <w:rFonts w:ascii="Times New Roman" w:eastAsia="Calibri" w:hAnsi="Times New Roman"/>
          <w:sz w:val="28"/>
          <w:szCs w:val="28"/>
        </w:rPr>
      </w:pPr>
      <w:r w:rsidRPr="00814BB0">
        <w:rPr>
          <w:rFonts w:ascii="Times New Roman" w:eastAsia="Calibri" w:hAnsi="Times New Roman"/>
          <w:sz w:val="28"/>
          <w:szCs w:val="28"/>
        </w:rPr>
        <w:t>Кроме организаций негосударственной формы собственности малый бизнес представлен и индивидуальными предпринимателями, осуществляющими свою деятельность по патенту.</w:t>
      </w:r>
    </w:p>
    <w:p w:rsidR="00814BB0" w:rsidRPr="00814BB0" w:rsidRDefault="00814BB0" w:rsidP="007D3AA7">
      <w:pPr>
        <w:shd w:val="clear" w:color="auto" w:fill="FFFFFF" w:themeFill="background1"/>
        <w:spacing w:after="0" w:line="240" w:lineRule="auto"/>
        <w:ind w:firstLine="426"/>
        <w:jc w:val="both"/>
        <w:rPr>
          <w:rFonts w:ascii="Times New Roman" w:hAnsi="Times New Roman"/>
          <w:sz w:val="28"/>
          <w:szCs w:val="28"/>
        </w:rPr>
      </w:pPr>
      <w:r w:rsidRPr="00814BB0">
        <w:rPr>
          <w:rFonts w:ascii="Times New Roman" w:hAnsi="Times New Roman"/>
          <w:sz w:val="28"/>
          <w:szCs w:val="28"/>
        </w:rPr>
        <w:t>Количество индивидуальных предпринимателей, зарегистрированных и получивших патент, без учета количества осуществляемых видов деятельности</w:t>
      </w:r>
      <w:r w:rsidR="00113A25">
        <w:rPr>
          <w:rFonts w:ascii="Times New Roman" w:hAnsi="Times New Roman"/>
          <w:sz w:val="28"/>
          <w:szCs w:val="28"/>
        </w:rPr>
        <w:t>,</w:t>
      </w:r>
      <w:r w:rsidRPr="00814BB0">
        <w:rPr>
          <w:rFonts w:ascii="Times New Roman" w:hAnsi="Times New Roman"/>
          <w:sz w:val="28"/>
          <w:szCs w:val="28"/>
        </w:rPr>
        <w:t xml:space="preserve"> за 2018 год составило 24 013 человек, что на 12,8% выше уровня 2017 года </w:t>
      </w:r>
      <w:r w:rsidR="00113A25">
        <w:rPr>
          <w:rFonts w:ascii="Times New Roman" w:hAnsi="Times New Roman"/>
          <w:sz w:val="28"/>
          <w:szCs w:val="28"/>
        </w:rPr>
        <w:br/>
      </w:r>
      <w:r w:rsidRPr="00814BB0">
        <w:rPr>
          <w:rFonts w:ascii="Times New Roman" w:hAnsi="Times New Roman"/>
          <w:sz w:val="28"/>
          <w:szCs w:val="28"/>
        </w:rPr>
        <w:t>(21 286 человек).</w:t>
      </w:r>
    </w:p>
    <w:p w:rsidR="00814BB0" w:rsidRPr="00814BB0" w:rsidRDefault="00814BB0" w:rsidP="007D3AA7">
      <w:pPr>
        <w:shd w:val="clear" w:color="auto" w:fill="FFFFFF" w:themeFill="background1"/>
        <w:spacing w:after="0" w:line="240" w:lineRule="auto"/>
        <w:ind w:firstLine="426"/>
        <w:jc w:val="both"/>
        <w:rPr>
          <w:rFonts w:ascii="Times New Roman" w:hAnsi="Times New Roman"/>
          <w:sz w:val="28"/>
          <w:szCs w:val="28"/>
        </w:rPr>
      </w:pPr>
      <w:r w:rsidRPr="00814BB0">
        <w:rPr>
          <w:rFonts w:ascii="Times New Roman" w:hAnsi="Times New Roman"/>
          <w:sz w:val="28"/>
          <w:szCs w:val="28"/>
        </w:rPr>
        <w:t xml:space="preserve">Наибольшее количество индивидуальных предпринимателей </w:t>
      </w:r>
      <w:r w:rsidR="00113A25">
        <w:rPr>
          <w:rFonts w:ascii="Times New Roman" w:hAnsi="Times New Roman"/>
          <w:sz w:val="28"/>
          <w:szCs w:val="28"/>
        </w:rPr>
        <w:t xml:space="preserve">было зафиксировано </w:t>
      </w:r>
      <w:r w:rsidRPr="00814BB0">
        <w:rPr>
          <w:rFonts w:ascii="Times New Roman" w:hAnsi="Times New Roman"/>
          <w:sz w:val="28"/>
          <w:szCs w:val="28"/>
        </w:rPr>
        <w:t>в г. Тирасполь и г. Днестровск – 31,9% от общего количества по республике. В г. Бендеры – 17,4%, в городе Рыбница и Рыбницком районе – 13,8%, в городе Слободзея и Слободзейском районе – 14,6%, в городе Дубоссары и Дубоссарском районе – 7,8%, в городе Григориополь и Григориопольском районе – 9,4%, в городе Каменка и Каменском районе – 5,0%.</w:t>
      </w:r>
    </w:p>
    <w:p w:rsidR="00814BB0" w:rsidRPr="00814BB0" w:rsidRDefault="00814BB0" w:rsidP="007D3AA7">
      <w:pPr>
        <w:shd w:val="clear" w:color="auto" w:fill="FFFFFF" w:themeFill="background1"/>
        <w:spacing w:after="0" w:line="240" w:lineRule="auto"/>
        <w:ind w:firstLine="426"/>
        <w:jc w:val="both"/>
        <w:rPr>
          <w:rFonts w:ascii="Times New Roman" w:hAnsi="Times New Roman"/>
          <w:sz w:val="28"/>
          <w:szCs w:val="28"/>
        </w:rPr>
      </w:pPr>
      <w:r w:rsidRPr="00814BB0">
        <w:rPr>
          <w:rFonts w:ascii="Times New Roman" w:eastAsia="Calibri" w:hAnsi="Times New Roman"/>
          <w:sz w:val="28"/>
          <w:szCs w:val="28"/>
        </w:rPr>
        <w:t xml:space="preserve">Основное количество индивидуальных предпринимателей по-прежнему </w:t>
      </w:r>
      <w:r w:rsidR="00113A25">
        <w:rPr>
          <w:rFonts w:ascii="Times New Roman" w:eastAsia="Calibri" w:hAnsi="Times New Roman"/>
          <w:sz w:val="28"/>
          <w:szCs w:val="28"/>
        </w:rPr>
        <w:t xml:space="preserve">было </w:t>
      </w:r>
      <w:r w:rsidRPr="00814BB0">
        <w:rPr>
          <w:rFonts w:ascii="Times New Roman" w:eastAsia="Calibri" w:hAnsi="Times New Roman"/>
          <w:sz w:val="28"/>
          <w:szCs w:val="28"/>
        </w:rPr>
        <w:t>задействовано в сфере торговли и общепита (50,2% от общей численности выданных патентов против 50,3% в 2017 году).</w:t>
      </w:r>
      <w:r w:rsidRPr="00814BB0">
        <w:rPr>
          <w:rFonts w:ascii="Times New Roman" w:hAnsi="Times New Roman"/>
          <w:sz w:val="28"/>
          <w:szCs w:val="28"/>
        </w:rPr>
        <w:t xml:space="preserve"> Другими приоритетными направлениями, в которых осуществляют свою деятельность индивидуальные предприниматели, являются: сфера услуг – 32,0% (+1,9 п.п. к базовому уровню минувшего года), сельское хозяйство – 14,1% (-0,1 п.п.) и производство –</w:t>
      </w:r>
      <w:r w:rsidR="00113A25">
        <w:rPr>
          <w:rFonts w:ascii="Times New Roman" w:hAnsi="Times New Roman"/>
          <w:sz w:val="28"/>
          <w:szCs w:val="28"/>
        </w:rPr>
        <w:t xml:space="preserve"> </w:t>
      </w:r>
      <w:r w:rsidRPr="00814BB0">
        <w:rPr>
          <w:rFonts w:ascii="Times New Roman" w:hAnsi="Times New Roman"/>
          <w:sz w:val="28"/>
          <w:szCs w:val="28"/>
        </w:rPr>
        <w:t>3,7% (-1,7 п.п.).</w:t>
      </w:r>
    </w:p>
    <w:p w:rsidR="00113A25" w:rsidRDefault="00113A25" w:rsidP="00245F0A">
      <w:pPr>
        <w:spacing w:after="0" w:line="240" w:lineRule="auto"/>
        <w:ind w:left="283" w:firstLine="709"/>
        <w:jc w:val="right"/>
        <w:rPr>
          <w:rFonts w:ascii="Times New Roman" w:eastAsia="Calibri" w:hAnsi="Times New Roman" w:cstheme="minorBidi"/>
          <w:spacing w:val="2"/>
          <w:sz w:val="28"/>
          <w:szCs w:val="28"/>
          <w:lang w:eastAsia="en-US"/>
        </w:rPr>
      </w:pPr>
    </w:p>
    <w:p w:rsidR="00113A25" w:rsidRDefault="00113A25" w:rsidP="00245F0A">
      <w:pPr>
        <w:spacing w:after="0" w:line="240" w:lineRule="auto"/>
        <w:ind w:left="283" w:firstLine="709"/>
        <w:jc w:val="right"/>
        <w:rPr>
          <w:rFonts w:ascii="Times New Roman" w:eastAsia="Calibri" w:hAnsi="Times New Roman" w:cstheme="minorBidi"/>
          <w:spacing w:val="2"/>
          <w:sz w:val="28"/>
          <w:szCs w:val="28"/>
          <w:lang w:eastAsia="en-US"/>
        </w:rPr>
      </w:pPr>
    </w:p>
    <w:p w:rsidR="00113A25" w:rsidRDefault="00113A25" w:rsidP="00245F0A">
      <w:pPr>
        <w:spacing w:after="0" w:line="240" w:lineRule="auto"/>
        <w:ind w:left="283" w:firstLine="709"/>
        <w:jc w:val="right"/>
        <w:rPr>
          <w:rFonts w:ascii="Times New Roman" w:eastAsia="Calibri" w:hAnsi="Times New Roman" w:cstheme="minorBidi"/>
          <w:spacing w:val="2"/>
          <w:sz w:val="28"/>
          <w:szCs w:val="28"/>
          <w:lang w:eastAsia="en-US"/>
        </w:rPr>
      </w:pPr>
    </w:p>
    <w:p w:rsidR="00113A25" w:rsidRDefault="00113A25" w:rsidP="00245F0A">
      <w:pPr>
        <w:spacing w:after="0" w:line="240" w:lineRule="auto"/>
        <w:ind w:left="283" w:firstLine="709"/>
        <w:jc w:val="right"/>
        <w:rPr>
          <w:rFonts w:ascii="Times New Roman" w:eastAsia="Calibri" w:hAnsi="Times New Roman" w:cstheme="minorBidi"/>
          <w:spacing w:val="2"/>
          <w:sz w:val="28"/>
          <w:szCs w:val="28"/>
          <w:lang w:eastAsia="en-US"/>
        </w:rPr>
      </w:pPr>
    </w:p>
    <w:p w:rsidR="00113A25" w:rsidRDefault="00113A25" w:rsidP="00245F0A">
      <w:pPr>
        <w:spacing w:after="0" w:line="240" w:lineRule="auto"/>
        <w:ind w:left="283" w:firstLine="709"/>
        <w:jc w:val="right"/>
        <w:rPr>
          <w:rFonts w:ascii="Times New Roman" w:eastAsia="Calibri" w:hAnsi="Times New Roman" w:cstheme="minorBidi"/>
          <w:spacing w:val="2"/>
          <w:sz w:val="28"/>
          <w:szCs w:val="28"/>
          <w:lang w:eastAsia="en-US"/>
        </w:rPr>
      </w:pPr>
    </w:p>
    <w:p w:rsidR="00245F0A" w:rsidRPr="00814BB0" w:rsidRDefault="00245F0A" w:rsidP="00245F0A">
      <w:pPr>
        <w:spacing w:after="0" w:line="240" w:lineRule="auto"/>
        <w:ind w:left="283" w:firstLine="709"/>
        <w:jc w:val="right"/>
        <w:rPr>
          <w:rFonts w:ascii="Times New Roman" w:eastAsia="Calibri" w:hAnsi="Times New Roman" w:cstheme="minorBidi"/>
          <w:spacing w:val="2"/>
          <w:sz w:val="28"/>
          <w:szCs w:val="28"/>
          <w:lang w:eastAsia="en-US"/>
        </w:rPr>
      </w:pPr>
      <w:r>
        <w:rPr>
          <w:rFonts w:ascii="Times New Roman" w:eastAsia="Calibri" w:hAnsi="Times New Roman" w:cstheme="minorBidi"/>
          <w:spacing w:val="2"/>
          <w:sz w:val="28"/>
          <w:szCs w:val="28"/>
          <w:lang w:eastAsia="en-US"/>
        </w:rPr>
        <w:lastRenderedPageBreak/>
        <w:t>Таблица №5</w:t>
      </w:r>
    </w:p>
    <w:p w:rsidR="00814BB0" w:rsidRPr="00814BB0" w:rsidRDefault="00814BB0" w:rsidP="007D3AA7">
      <w:pPr>
        <w:shd w:val="clear" w:color="auto" w:fill="FFFFFF" w:themeFill="background1"/>
        <w:spacing w:after="0" w:line="240" w:lineRule="auto"/>
        <w:jc w:val="center"/>
        <w:rPr>
          <w:rFonts w:ascii="Times New Roman" w:hAnsi="Times New Roman"/>
          <w:b/>
          <w:sz w:val="24"/>
          <w:szCs w:val="24"/>
        </w:rPr>
      </w:pPr>
      <w:r w:rsidRPr="00814BB0">
        <w:rPr>
          <w:rFonts w:ascii="Times New Roman" w:hAnsi="Times New Roman"/>
          <w:b/>
          <w:sz w:val="24"/>
          <w:szCs w:val="24"/>
        </w:rPr>
        <w:t xml:space="preserve">Основные показатели деятельности индивидуальных предпринимателей </w:t>
      </w:r>
    </w:p>
    <w:p w:rsidR="00814BB0" w:rsidRPr="00814BB0" w:rsidRDefault="00814BB0" w:rsidP="007D3AA7">
      <w:pPr>
        <w:shd w:val="clear" w:color="auto" w:fill="FFFFFF" w:themeFill="background1"/>
        <w:spacing w:after="0" w:line="240" w:lineRule="auto"/>
        <w:jc w:val="center"/>
        <w:rPr>
          <w:rFonts w:ascii="Times New Roman" w:hAnsi="Times New Roman"/>
          <w:b/>
          <w:sz w:val="24"/>
          <w:szCs w:val="24"/>
        </w:rPr>
      </w:pPr>
      <w:r w:rsidRPr="00814BB0">
        <w:rPr>
          <w:rFonts w:ascii="Times New Roman" w:hAnsi="Times New Roman"/>
          <w:b/>
          <w:sz w:val="24"/>
          <w:szCs w:val="24"/>
        </w:rPr>
        <w:t>за 2017-2018 годов</w:t>
      </w:r>
    </w:p>
    <w:tbl>
      <w:tblPr>
        <w:tblW w:w="9796" w:type="dxa"/>
        <w:tblInd w:w="93" w:type="dxa"/>
        <w:tblLayout w:type="fixed"/>
        <w:tblLook w:val="04A0" w:firstRow="1" w:lastRow="0" w:firstColumn="1" w:lastColumn="0" w:noHBand="0" w:noVBand="1"/>
      </w:tblPr>
      <w:tblGrid>
        <w:gridCol w:w="2992"/>
        <w:gridCol w:w="2127"/>
        <w:gridCol w:w="2268"/>
        <w:gridCol w:w="2409"/>
      </w:tblGrid>
      <w:tr w:rsidR="00814BB0" w:rsidRPr="00814BB0" w:rsidTr="00814BB0">
        <w:trPr>
          <w:trHeight w:val="765"/>
        </w:trPr>
        <w:tc>
          <w:tcPr>
            <w:tcW w:w="2992"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Отрасль экономики</w:t>
            </w:r>
          </w:p>
        </w:tc>
        <w:tc>
          <w:tcPr>
            <w:tcW w:w="4395" w:type="dxa"/>
            <w:gridSpan w:val="2"/>
            <w:tcBorders>
              <w:top w:val="single" w:sz="4" w:space="0" w:color="auto"/>
              <w:left w:val="nil"/>
              <w:bottom w:val="single" w:sz="8" w:space="0" w:color="auto"/>
              <w:right w:val="nil"/>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Численность индивидуальных предпринимателей, чел</w:t>
            </w:r>
          </w:p>
        </w:tc>
        <w:tc>
          <w:tcPr>
            <w:tcW w:w="2409"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Доля занятых индивидуальных предпринимателей по отраслям экономики за       2018 год, %</w:t>
            </w:r>
          </w:p>
        </w:tc>
      </w:tr>
      <w:tr w:rsidR="00814BB0" w:rsidRPr="00814BB0" w:rsidTr="00814BB0">
        <w:trPr>
          <w:trHeight w:val="480"/>
        </w:trPr>
        <w:tc>
          <w:tcPr>
            <w:tcW w:w="2992" w:type="dxa"/>
            <w:vMerge/>
            <w:tcBorders>
              <w:top w:val="single" w:sz="4" w:space="0" w:color="auto"/>
              <w:left w:val="single" w:sz="4" w:space="0" w:color="auto"/>
              <w:bottom w:val="single" w:sz="4" w:space="0" w:color="000000"/>
              <w:right w:val="single" w:sz="8" w:space="0" w:color="auto"/>
            </w:tcBorders>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p>
        </w:tc>
        <w:tc>
          <w:tcPr>
            <w:tcW w:w="2127" w:type="dxa"/>
            <w:tcBorders>
              <w:top w:val="nil"/>
              <w:left w:val="nil"/>
              <w:bottom w:val="single" w:sz="4"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За 2017 год</w:t>
            </w:r>
          </w:p>
        </w:tc>
        <w:tc>
          <w:tcPr>
            <w:tcW w:w="2268" w:type="dxa"/>
            <w:tcBorders>
              <w:top w:val="nil"/>
              <w:left w:val="nil"/>
              <w:bottom w:val="single" w:sz="4"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За 2018 год</w:t>
            </w:r>
          </w:p>
        </w:tc>
        <w:tc>
          <w:tcPr>
            <w:tcW w:w="2409" w:type="dxa"/>
            <w:vMerge/>
            <w:tcBorders>
              <w:top w:val="single" w:sz="4" w:space="0" w:color="auto"/>
              <w:left w:val="single" w:sz="8" w:space="0" w:color="auto"/>
              <w:bottom w:val="single" w:sz="4" w:space="0" w:color="000000"/>
              <w:right w:val="single" w:sz="4" w:space="0" w:color="auto"/>
            </w:tcBorders>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p>
        </w:tc>
      </w:tr>
      <w:tr w:rsidR="00814BB0" w:rsidRPr="00814BB0" w:rsidTr="00814BB0">
        <w:trPr>
          <w:trHeight w:val="27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b/>
                <w:bCs/>
                <w:i/>
                <w:iCs/>
                <w:sz w:val="24"/>
                <w:szCs w:val="24"/>
              </w:rPr>
            </w:pPr>
            <w:r w:rsidRPr="00814BB0">
              <w:rPr>
                <w:rFonts w:ascii="Times New Roman" w:hAnsi="Times New Roman"/>
                <w:b/>
                <w:bCs/>
                <w:i/>
                <w:iCs/>
                <w:sz w:val="24"/>
                <w:szCs w:val="24"/>
              </w:rPr>
              <w:t>Всего по ПМР</w:t>
            </w:r>
          </w:p>
        </w:tc>
        <w:tc>
          <w:tcPr>
            <w:tcW w:w="2127" w:type="dxa"/>
            <w:tcBorders>
              <w:top w:val="nil"/>
              <w:left w:val="nil"/>
              <w:bottom w:val="single" w:sz="8"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i/>
                <w:iCs/>
                <w:sz w:val="24"/>
                <w:szCs w:val="24"/>
              </w:rPr>
            </w:pPr>
            <w:r w:rsidRPr="00814BB0">
              <w:rPr>
                <w:rFonts w:ascii="Times New Roman" w:hAnsi="Times New Roman"/>
                <w:b/>
                <w:bCs/>
                <w:i/>
                <w:iCs/>
                <w:sz w:val="24"/>
                <w:szCs w:val="24"/>
              </w:rPr>
              <w:t>21 286</w:t>
            </w:r>
          </w:p>
        </w:tc>
        <w:tc>
          <w:tcPr>
            <w:tcW w:w="2268" w:type="dxa"/>
            <w:tcBorders>
              <w:top w:val="nil"/>
              <w:left w:val="nil"/>
              <w:bottom w:val="single" w:sz="8"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i/>
                <w:iCs/>
                <w:sz w:val="24"/>
                <w:szCs w:val="24"/>
              </w:rPr>
            </w:pPr>
            <w:r w:rsidRPr="00814BB0">
              <w:rPr>
                <w:rFonts w:ascii="Times New Roman" w:hAnsi="Times New Roman"/>
                <w:b/>
                <w:bCs/>
                <w:i/>
                <w:iCs/>
                <w:sz w:val="24"/>
                <w:szCs w:val="24"/>
              </w:rPr>
              <w:t>24 013</w:t>
            </w:r>
          </w:p>
        </w:tc>
        <w:tc>
          <w:tcPr>
            <w:tcW w:w="2409" w:type="dxa"/>
            <w:tcBorders>
              <w:top w:val="nil"/>
              <w:left w:val="nil"/>
              <w:bottom w:val="single" w:sz="8"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i/>
                <w:iCs/>
                <w:sz w:val="24"/>
                <w:szCs w:val="24"/>
              </w:rPr>
            </w:pPr>
            <w:r w:rsidRPr="00814BB0">
              <w:rPr>
                <w:rFonts w:ascii="Times New Roman" w:hAnsi="Times New Roman"/>
                <w:b/>
                <w:bCs/>
                <w:i/>
                <w:iCs/>
                <w:sz w:val="24"/>
                <w:szCs w:val="24"/>
              </w:rPr>
              <w:t>100,0</w:t>
            </w:r>
          </w:p>
        </w:tc>
      </w:tr>
      <w:tr w:rsidR="00814BB0" w:rsidRPr="00814BB0" w:rsidTr="00814BB0">
        <w:trPr>
          <w:trHeight w:val="2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sz w:val="24"/>
                <w:szCs w:val="24"/>
              </w:rPr>
            </w:pPr>
            <w:r w:rsidRPr="00814BB0">
              <w:rPr>
                <w:rFonts w:ascii="Times New Roman" w:hAnsi="Times New Roman"/>
                <w:sz w:val="24"/>
                <w:szCs w:val="24"/>
              </w:rPr>
              <w:t>Торговля и общепит</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10 699</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12 050</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50,2</w:t>
            </w:r>
          </w:p>
        </w:tc>
      </w:tr>
      <w:tr w:rsidR="00814BB0" w:rsidRPr="00814BB0" w:rsidTr="00814BB0">
        <w:trPr>
          <w:trHeight w:val="2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sz w:val="24"/>
                <w:szCs w:val="24"/>
              </w:rPr>
            </w:pPr>
            <w:r w:rsidRPr="00814BB0">
              <w:rPr>
                <w:rFonts w:ascii="Times New Roman" w:hAnsi="Times New Roman"/>
                <w:sz w:val="24"/>
                <w:szCs w:val="24"/>
              </w:rPr>
              <w:t>Сфера услуг</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6 417</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7 677</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32</w:t>
            </w:r>
          </w:p>
        </w:tc>
      </w:tr>
      <w:tr w:rsidR="00814BB0" w:rsidRPr="00814BB0" w:rsidTr="00814BB0">
        <w:trPr>
          <w:trHeight w:val="2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sz w:val="24"/>
                <w:szCs w:val="24"/>
              </w:rPr>
            </w:pPr>
            <w:r w:rsidRPr="00814BB0">
              <w:rPr>
                <w:rFonts w:ascii="Times New Roman" w:hAnsi="Times New Roman"/>
                <w:sz w:val="24"/>
                <w:szCs w:val="24"/>
              </w:rPr>
              <w:t>Сельское хозяйство</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3 027</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3 389</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14,1</w:t>
            </w:r>
          </w:p>
        </w:tc>
      </w:tr>
      <w:tr w:rsidR="00814BB0" w:rsidRPr="00814BB0" w:rsidTr="00814BB0">
        <w:trPr>
          <w:trHeight w:val="27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sz w:val="24"/>
                <w:szCs w:val="24"/>
              </w:rPr>
            </w:pPr>
            <w:r w:rsidRPr="00814BB0">
              <w:rPr>
                <w:rFonts w:ascii="Times New Roman" w:hAnsi="Times New Roman"/>
                <w:sz w:val="24"/>
                <w:szCs w:val="24"/>
              </w:rPr>
              <w:t>Производство</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1 143</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897</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3,7</w:t>
            </w:r>
          </w:p>
        </w:tc>
      </w:tr>
      <w:tr w:rsidR="00814BB0" w:rsidRPr="00814BB0" w:rsidTr="00814BB0">
        <w:trPr>
          <w:trHeight w:val="1050"/>
        </w:trPr>
        <w:tc>
          <w:tcPr>
            <w:tcW w:w="2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Районы республики</w:t>
            </w:r>
          </w:p>
        </w:tc>
        <w:tc>
          <w:tcPr>
            <w:tcW w:w="4395" w:type="dxa"/>
            <w:gridSpan w:val="2"/>
            <w:tcBorders>
              <w:top w:val="single" w:sz="8" w:space="0" w:color="auto"/>
              <w:left w:val="nil"/>
              <w:bottom w:val="single" w:sz="8" w:space="0" w:color="auto"/>
              <w:right w:val="single" w:sz="8" w:space="0" w:color="000000"/>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Сумма поступивших в доход местного бюджета и Единого государственного фонда социального страхования отчислений средств от платы за патент по городам и районам ПМР, тыс. руб.</w:t>
            </w:r>
          </w:p>
        </w:tc>
        <w:tc>
          <w:tcPr>
            <w:tcW w:w="24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Доля поступлений в доход местного бюджета и Единого государственного фонда социального страхования, в разрезе районов республики за 2018 год, %</w:t>
            </w:r>
          </w:p>
        </w:tc>
      </w:tr>
      <w:tr w:rsidR="00814BB0" w:rsidRPr="00814BB0" w:rsidTr="00814BB0">
        <w:trPr>
          <w:trHeight w:val="625"/>
        </w:trPr>
        <w:tc>
          <w:tcPr>
            <w:tcW w:w="2992" w:type="dxa"/>
            <w:vMerge/>
            <w:tcBorders>
              <w:top w:val="single" w:sz="8" w:space="0" w:color="auto"/>
              <w:left w:val="single" w:sz="8" w:space="0" w:color="auto"/>
              <w:bottom w:val="single" w:sz="8" w:space="0" w:color="000000"/>
              <w:right w:val="single" w:sz="8" w:space="0" w:color="auto"/>
            </w:tcBorders>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p>
        </w:tc>
        <w:tc>
          <w:tcPr>
            <w:tcW w:w="2127" w:type="dxa"/>
            <w:tcBorders>
              <w:top w:val="nil"/>
              <w:left w:val="nil"/>
              <w:bottom w:val="single" w:sz="8"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За 2017 год</w:t>
            </w:r>
          </w:p>
        </w:tc>
        <w:tc>
          <w:tcPr>
            <w:tcW w:w="2268" w:type="dxa"/>
            <w:tcBorders>
              <w:top w:val="nil"/>
              <w:left w:val="nil"/>
              <w:bottom w:val="single" w:sz="8"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За 2018 год</w:t>
            </w:r>
          </w:p>
        </w:tc>
        <w:tc>
          <w:tcPr>
            <w:tcW w:w="2409" w:type="dxa"/>
            <w:vMerge/>
            <w:tcBorders>
              <w:top w:val="single" w:sz="8" w:space="0" w:color="auto"/>
              <w:left w:val="single" w:sz="8" w:space="0" w:color="auto"/>
              <w:bottom w:val="single" w:sz="8" w:space="0" w:color="000000"/>
              <w:right w:val="single" w:sz="8" w:space="0" w:color="auto"/>
            </w:tcBorders>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p>
        </w:tc>
      </w:tr>
      <w:tr w:rsidR="00814BB0" w:rsidRPr="00814BB0" w:rsidTr="00814BB0">
        <w:trPr>
          <w:trHeight w:val="27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i/>
                <w:iCs/>
                <w:sz w:val="24"/>
                <w:szCs w:val="24"/>
              </w:rPr>
            </w:pPr>
            <w:r w:rsidRPr="00814BB0">
              <w:rPr>
                <w:rFonts w:ascii="Times New Roman" w:hAnsi="Times New Roman"/>
                <w:b/>
                <w:bCs/>
                <w:i/>
                <w:iCs/>
                <w:sz w:val="24"/>
                <w:szCs w:val="24"/>
              </w:rPr>
              <w:t>Всего по районам</w:t>
            </w:r>
          </w:p>
        </w:tc>
        <w:tc>
          <w:tcPr>
            <w:tcW w:w="2127" w:type="dxa"/>
            <w:tcBorders>
              <w:top w:val="nil"/>
              <w:left w:val="nil"/>
              <w:bottom w:val="single" w:sz="8"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45 675 864</w:t>
            </w:r>
          </w:p>
        </w:tc>
        <w:tc>
          <w:tcPr>
            <w:tcW w:w="2268" w:type="dxa"/>
            <w:tcBorders>
              <w:top w:val="nil"/>
              <w:left w:val="nil"/>
              <w:bottom w:val="single" w:sz="8"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sz w:val="24"/>
                <w:szCs w:val="24"/>
              </w:rPr>
            </w:pPr>
            <w:r w:rsidRPr="00814BB0">
              <w:rPr>
                <w:rFonts w:ascii="Times New Roman" w:hAnsi="Times New Roman"/>
                <w:b/>
                <w:bCs/>
                <w:sz w:val="24"/>
                <w:szCs w:val="24"/>
              </w:rPr>
              <w:t>52 001 812</w:t>
            </w:r>
          </w:p>
        </w:tc>
        <w:tc>
          <w:tcPr>
            <w:tcW w:w="2409" w:type="dxa"/>
            <w:tcBorders>
              <w:top w:val="nil"/>
              <w:left w:val="nil"/>
              <w:bottom w:val="single" w:sz="8" w:space="0" w:color="auto"/>
              <w:right w:val="single" w:sz="8"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b/>
                <w:bCs/>
                <w:i/>
                <w:iCs/>
                <w:sz w:val="24"/>
                <w:szCs w:val="24"/>
              </w:rPr>
            </w:pPr>
            <w:r w:rsidRPr="00814BB0">
              <w:rPr>
                <w:rFonts w:ascii="Times New Roman" w:hAnsi="Times New Roman"/>
                <w:b/>
                <w:bCs/>
                <w:i/>
                <w:iCs/>
                <w:sz w:val="24"/>
                <w:szCs w:val="24"/>
              </w:rPr>
              <w:t>100,0</w:t>
            </w:r>
          </w:p>
        </w:tc>
      </w:tr>
      <w:tr w:rsidR="00814BB0" w:rsidRPr="00814BB0" w:rsidTr="00814BB0">
        <w:trPr>
          <w:trHeight w:val="2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ind w:left="-93" w:right="-108"/>
              <w:rPr>
                <w:rFonts w:ascii="Times New Roman" w:hAnsi="Times New Roman"/>
                <w:sz w:val="24"/>
                <w:szCs w:val="24"/>
              </w:rPr>
            </w:pPr>
            <w:r w:rsidRPr="00814BB0">
              <w:rPr>
                <w:rFonts w:ascii="Times New Roman" w:hAnsi="Times New Roman"/>
                <w:sz w:val="24"/>
                <w:szCs w:val="24"/>
              </w:rPr>
              <w:t>г. Тирасполь и г. Днестровск</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16 830 705</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bCs/>
                <w:sz w:val="24"/>
                <w:szCs w:val="24"/>
              </w:rPr>
              <w:t>18 819 906</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36,2</w:t>
            </w:r>
          </w:p>
        </w:tc>
      </w:tr>
      <w:tr w:rsidR="00814BB0" w:rsidRPr="00814BB0" w:rsidTr="00814BB0">
        <w:trPr>
          <w:trHeight w:val="2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sz w:val="24"/>
                <w:szCs w:val="24"/>
              </w:rPr>
            </w:pPr>
            <w:r w:rsidRPr="00814BB0">
              <w:rPr>
                <w:rFonts w:ascii="Times New Roman" w:hAnsi="Times New Roman"/>
                <w:sz w:val="24"/>
                <w:szCs w:val="24"/>
              </w:rPr>
              <w:t>г. Бендеры</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10 079 163</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11 996 184</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23,1</w:t>
            </w:r>
          </w:p>
        </w:tc>
      </w:tr>
      <w:tr w:rsidR="00814BB0" w:rsidRPr="00814BB0" w:rsidTr="00814BB0">
        <w:trPr>
          <w:trHeight w:val="2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sz w:val="24"/>
                <w:szCs w:val="24"/>
              </w:rPr>
            </w:pPr>
            <w:r w:rsidRPr="00814BB0">
              <w:rPr>
                <w:rFonts w:ascii="Times New Roman" w:hAnsi="Times New Roman"/>
                <w:sz w:val="24"/>
                <w:szCs w:val="24"/>
              </w:rPr>
              <w:t>г. Рыбница и Рыбницкий район</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5 900 638</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6 158 617</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11,8</w:t>
            </w:r>
          </w:p>
        </w:tc>
      </w:tr>
      <w:tr w:rsidR="00814BB0" w:rsidRPr="00814BB0" w:rsidTr="00814BB0">
        <w:trPr>
          <w:trHeight w:val="48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sz w:val="24"/>
                <w:szCs w:val="24"/>
              </w:rPr>
            </w:pPr>
            <w:r w:rsidRPr="00814BB0">
              <w:rPr>
                <w:rFonts w:ascii="Times New Roman" w:hAnsi="Times New Roman"/>
                <w:sz w:val="24"/>
                <w:szCs w:val="24"/>
              </w:rPr>
              <w:t>г. Дубоссары и Дубоссарский район</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2 757 347</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3 030 929</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5,8</w:t>
            </w:r>
          </w:p>
        </w:tc>
      </w:tr>
      <w:tr w:rsidR="00814BB0" w:rsidRPr="00814BB0" w:rsidTr="00814BB0">
        <w:trPr>
          <w:trHeight w:val="48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sz w:val="24"/>
                <w:szCs w:val="24"/>
              </w:rPr>
            </w:pPr>
            <w:r w:rsidRPr="00814BB0">
              <w:rPr>
                <w:rFonts w:ascii="Times New Roman" w:hAnsi="Times New Roman"/>
                <w:sz w:val="24"/>
                <w:szCs w:val="24"/>
              </w:rPr>
              <w:t>г. Слободзея и Слободзейский район</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6 692 107</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8 275 762</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15,9</w:t>
            </w:r>
          </w:p>
        </w:tc>
      </w:tr>
      <w:tr w:rsidR="00814BB0" w:rsidRPr="00814BB0" w:rsidTr="00814BB0">
        <w:trPr>
          <w:trHeight w:val="48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sz w:val="24"/>
                <w:szCs w:val="24"/>
              </w:rPr>
            </w:pPr>
            <w:r w:rsidRPr="00814BB0">
              <w:rPr>
                <w:rFonts w:ascii="Times New Roman" w:hAnsi="Times New Roman"/>
                <w:sz w:val="24"/>
                <w:szCs w:val="24"/>
              </w:rPr>
              <w:t>г. Григориополь и Григориопольский район</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2 247 697</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2 475 577</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4,8</w:t>
            </w:r>
          </w:p>
        </w:tc>
      </w:tr>
      <w:tr w:rsidR="00814BB0" w:rsidRPr="00814BB0" w:rsidTr="00814BB0">
        <w:trPr>
          <w:trHeight w:val="2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rPr>
                <w:rFonts w:ascii="Times New Roman" w:hAnsi="Times New Roman"/>
                <w:sz w:val="24"/>
                <w:szCs w:val="24"/>
              </w:rPr>
            </w:pPr>
            <w:r w:rsidRPr="00814BB0">
              <w:rPr>
                <w:rFonts w:ascii="Times New Roman" w:hAnsi="Times New Roman"/>
                <w:sz w:val="24"/>
                <w:szCs w:val="24"/>
              </w:rPr>
              <w:t>г. Каменка и Каменский район</w:t>
            </w:r>
          </w:p>
        </w:tc>
        <w:tc>
          <w:tcPr>
            <w:tcW w:w="2127"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1 168 207</w:t>
            </w:r>
          </w:p>
        </w:tc>
        <w:tc>
          <w:tcPr>
            <w:tcW w:w="2268"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1 244 838</w:t>
            </w:r>
          </w:p>
        </w:tc>
        <w:tc>
          <w:tcPr>
            <w:tcW w:w="2409" w:type="dxa"/>
            <w:tcBorders>
              <w:top w:val="nil"/>
              <w:left w:val="nil"/>
              <w:bottom w:val="single" w:sz="4" w:space="0" w:color="auto"/>
              <w:right w:val="single" w:sz="4" w:space="0" w:color="auto"/>
            </w:tcBorders>
            <w:shd w:val="clear" w:color="auto" w:fill="auto"/>
            <w:vAlign w:val="center"/>
            <w:hideMark/>
          </w:tcPr>
          <w:p w:rsidR="00814BB0" w:rsidRPr="00814BB0" w:rsidRDefault="00814BB0" w:rsidP="007D3AA7">
            <w:pPr>
              <w:shd w:val="clear" w:color="auto" w:fill="FFFFFF" w:themeFill="background1"/>
              <w:spacing w:after="0" w:line="240" w:lineRule="auto"/>
              <w:jc w:val="center"/>
              <w:rPr>
                <w:rFonts w:ascii="Times New Roman" w:hAnsi="Times New Roman"/>
                <w:sz w:val="24"/>
                <w:szCs w:val="24"/>
              </w:rPr>
            </w:pPr>
            <w:r w:rsidRPr="00814BB0">
              <w:rPr>
                <w:rFonts w:ascii="Times New Roman" w:hAnsi="Times New Roman"/>
                <w:sz w:val="24"/>
                <w:szCs w:val="24"/>
              </w:rPr>
              <w:t>2,4</w:t>
            </w:r>
          </w:p>
        </w:tc>
      </w:tr>
    </w:tbl>
    <w:p w:rsidR="00814BB0" w:rsidRPr="00814BB0" w:rsidRDefault="00814BB0" w:rsidP="007D3AA7">
      <w:pPr>
        <w:shd w:val="clear" w:color="auto" w:fill="FFFFFF" w:themeFill="background1"/>
        <w:spacing w:after="0" w:line="240" w:lineRule="auto"/>
        <w:ind w:firstLine="720"/>
        <w:jc w:val="both"/>
        <w:rPr>
          <w:rFonts w:ascii="Times New Roman" w:hAnsi="Times New Roman"/>
          <w:sz w:val="24"/>
          <w:szCs w:val="24"/>
        </w:rPr>
      </w:pPr>
    </w:p>
    <w:p w:rsidR="00814BB0" w:rsidRPr="00814BB0" w:rsidRDefault="00814BB0" w:rsidP="007D3AA7">
      <w:pPr>
        <w:shd w:val="clear" w:color="auto" w:fill="FFFFFF"/>
        <w:spacing w:after="0" w:line="240" w:lineRule="auto"/>
        <w:ind w:firstLine="426"/>
        <w:jc w:val="both"/>
        <w:rPr>
          <w:rFonts w:ascii="Times New Roman" w:eastAsia="Calibri" w:hAnsi="Times New Roman"/>
          <w:sz w:val="28"/>
          <w:szCs w:val="28"/>
        </w:rPr>
      </w:pPr>
      <w:r w:rsidRPr="00814BB0">
        <w:rPr>
          <w:rFonts w:ascii="Times New Roman" w:eastAsia="Calibri" w:hAnsi="Times New Roman"/>
          <w:sz w:val="28"/>
          <w:szCs w:val="28"/>
        </w:rPr>
        <w:t>В целях упрощения ведения предпринимательской деятельности</w:t>
      </w:r>
      <w:r w:rsidR="00113A25">
        <w:rPr>
          <w:rFonts w:ascii="Times New Roman" w:eastAsia="Calibri" w:hAnsi="Times New Roman"/>
          <w:sz w:val="28"/>
          <w:szCs w:val="28"/>
        </w:rPr>
        <w:t xml:space="preserve"> в 2017-2018 годах</w:t>
      </w:r>
      <w:r w:rsidRPr="00814BB0">
        <w:rPr>
          <w:rFonts w:ascii="Times New Roman" w:eastAsia="Calibri" w:hAnsi="Times New Roman"/>
          <w:sz w:val="28"/>
          <w:szCs w:val="28"/>
        </w:rPr>
        <w:t xml:space="preserve"> были приняты следующие меры:</w:t>
      </w:r>
    </w:p>
    <w:p w:rsidR="00814BB0" w:rsidRPr="00814BB0" w:rsidRDefault="00814BB0" w:rsidP="007D3AA7">
      <w:pPr>
        <w:spacing w:after="0" w:line="240" w:lineRule="auto"/>
        <w:ind w:firstLine="426"/>
        <w:jc w:val="both"/>
        <w:rPr>
          <w:rFonts w:ascii="Times New Roman" w:hAnsi="Times New Roman"/>
          <w:sz w:val="28"/>
          <w:szCs w:val="28"/>
        </w:rPr>
      </w:pPr>
      <w:r w:rsidRPr="00814BB0">
        <w:rPr>
          <w:rFonts w:ascii="Times New Roman" w:hAnsi="Times New Roman"/>
          <w:sz w:val="28"/>
          <w:szCs w:val="28"/>
        </w:rPr>
        <w:t>- снижена налоговая нагрузка на промышленные предприятия;</w:t>
      </w:r>
    </w:p>
    <w:p w:rsidR="00814BB0" w:rsidRPr="00814BB0" w:rsidRDefault="00814BB0" w:rsidP="007D3AA7">
      <w:pPr>
        <w:spacing w:after="0" w:line="240" w:lineRule="auto"/>
        <w:ind w:firstLine="426"/>
        <w:jc w:val="both"/>
        <w:rPr>
          <w:rFonts w:ascii="Times New Roman" w:hAnsi="Times New Roman"/>
          <w:sz w:val="28"/>
          <w:szCs w:val="28"/>
        </w:rPr>
      </w:pPr>
      <w:r w:rsidRPr="00814BB0">
        <w:rPr>
          <w:rFonts w:ascii="Times New Roman" w:hAnsi="Times New Roman"/>
          <w:sz w:val="28"/>
          <w:szCs w:val="28"/>
        </w:rPr>
        <w:t>- снижены коэффициенты, применяемые к минимальному размеру оплаты труда для работников организаций, в том числе организаций малого бизнеса с численностью работников до 50 человек;</w:t>
      </w:r>
    </w:p>
    <w:p w:rsidR="00814BB0" w:rsidRPr="00814BB0" w:rsidRDefault="00814BB0" w:rsidP="007D3AA7">
      <w:pPr>
        <w:spacing w:after="0" w:line="240" w:lineRule="auto"/>
        <w:ind w:firstLine="426"/>
        <w:jc w:val="both"/>
        <w:rPr>
          <w:rFonts w:ascii="Times New Roman" w:hAnsi="Times New Roman"/>
          <w:sz w:val="28"/>
          <w:szCs w:val="28"/>
        </w:rPr>
      </w:pPr>
      <w:r w:rsidRPr="00814BB0">
        <w:rPr>
          <w:rFonts w:ascii="Times New Roman" w:hAnsi="Times New Roman"/>
          <w:sz w:val="28"/>
          <w:szCs w:val="28"/>
        </w:rPr>
        <w:t xml:space="preserve">- оптимизированы сроки предоставления отчетности; </w:t>
      </w:r>
    </w:p>
    <w:p w:rsidR="00814BB0" w:rsidRPr="00814BB0" w:rsidRDefault="00814BB0" w:rsidP="007D3AA7">
      <w:pPr>
        <w:spacing w:after="0" w:line="240" w:lineRule="auto"/>
        <w:ind w:firstLine="426"/>
        <w:jc w:val="both"/>
        <w:rPr>
          <w:rFonts w:ascii="Times New Roman" w:hAnsi="Times New Roman"/>
          <w:sz w:val="28"/>
          <w:szCs w:val="28"/>
        </w:rPr>
      </w:pPr>
      <w:r w:rsidRPr="00814BB0">
        <w:rPr>
          <w:rFonts w:ascii="Times New Roman" w:hAnsi="Times New Roman"/>
          <w:sz w:val="28"/>
          <w:szCs w:val="28"/>
        </w:rPr>
        <w:t>- снижены или обнулены импортные пошлины на ввозимые товары, которые не производятся в Приднестровье, либо производятся не в достаточных объемах;</w:t>
      </w:r>
    </w:p>
    <w:p w:rsidR="00814BB0" w:rsidRPr="00814BB0" w:rsidRDefault="00814BB0" w:rsidP="007D3AA7">
      <w:pPr>
        <w:spacing w:after="0" w:line="240" w:lineRule="auto"/>
        <w:ind w:firstLine="426"/>
        <w:jc w:val="both"/>
        <w:rPr>
          <w:rFonts w:ascii="Times New Roman" w:hAnsi="Times New Roman"/>
          <w:sz w:val="28"/>
          <w:szCs w:val="28"/>
        </w:rPr>
      </w:pPr>
      <w:r w:rsidRPr="00814BB0">
        <w:rPr>
          <w:rFonts w:ascii="Times New Roman" w:hAnsi="Times New Roman"/>
          <w:sz w:val="28"/>
          <w:szCs w:val="28"/>
        </w:rPr>
        <w:t>- разработана нормативная правовая база по реализации дуальной системы обучения высококвалифицированных рабочих кадров;</w:t>
      </w:r>
    </w:p>
    <w:p w:rsidR="00814BB0" w:rsidRPr="00814BB0" w:rsidRDefault="00814BB0" w:rsidP="007D3AA7">
      <w:pPr>
        <w:spacing w:after="0" w:line="240" w:lineRule="auto"/>
        <w:ind w:firstLine="426"/>
        <w:jc w:val="both"/>
        <w:rPr>
          <w:rFonts w:ascii="Times New Roman" w:hAnsi="Times New Roman"/>
          <w:sz w:val="28"/>
          <w:szCs w:val="28"/>
        </w:rPr>
      </w:pPr>
      <w:r w:rsidRPr="00814BB0">
        <w:rPr>
          <w:rFonts w:ascii="Times New Roman" w:hAnsi="Times New Roman"/>
          <w:sz w:val="28"/>
          <w:szCs w:val="28"/>
        </w:rPr>
        <w:t xml:space="preserve">- упрощен порядок ввода в эксплуатацию новых производственных строений; </w:t>
      </w:r>
    </w:p>
    <w:p w:rsidR="00814BB0" w:rsidRPr="00814BB0" w:rsidRDefault="00814BB0" w:rsidP="007D3AA7">
      <w:pPr>
        <w:widowControl w:val="0"/>
        <w:spacing w:after="0" w:line="240" w:lineRule="auto"/>
        <w:ind w:firstLine="426"/>
        <w:jc w:val="both"/>
        <w:rPr>
          <w:rFonts w:ascii="Times New Roman" w:hAnsi="Times New Roman"/>
          <w:sz w:val="28"/>
          <w:szCs w:val="28"/>
        </w:rPr>
      </w:pPr>
      <w:r w:rsidRPr="00814BB0">
        <w:rPr>
          <w:rFonts w:ascii="Times New Roman" w:hAnsi="Times New Roman"/>
          <w:sz w:val="28"/>
          <w:szCs w:val="28"/>
        </w:rPr>
        <w:lastRenderedPageBreak/>
        <w:t>- расширены виды предпринимательской деятельности, доступной для осуществления по патенту. Уменьшена сама стоимость индивидуального предпринимательского патента. Установлена система двухлетних льгот для лиц, впервые зар</w:t>
      </w:r>
      <w:r w:rsidR="00113A25">
        <w:rPr>
          <w:rFonts w:ascii="Times New Roman" w:hAnsi="Times New Roman"/>
          <w:sz w:val="28"/>
          <w:szCs w:val="28"/>
        </w:rPr>
        <w:t>егистрировавшихся в качестве ИП;</w:t>
      </w:r>
    </w:p>
    <w:p w:rsidR="00814BB0" w:rsidRPr="00814BB0" w:rsidRDefault="00814BB0" w:rsidP="007D3AA7">
      <w:pPr>
        <w:spacing w:after="0" w:line="240" w:lineRule="auto"/>
        <w:ind w:firstLine="426"/>
        <w:jc w:val="both"/>
        <w:rPr>
          <w:rFonts w:ascii="Times New Roman" w:hAnsi="Times New Roman"/>
          <w:sz w:val="28"/>
          <w:szCs w:val="28"/>
        </w:rPr>
      </w:pPr>
      <w:r w:rsidRPr="00814BB0">
        <w:rPr>
          <w:rFonts w:ascii="Times New Roman" w:hAnsi="Times New Roman"/>
          <w:sz w:val="28"/>
          <w:szCs w:val="28"/>
        </w:rPr>
        <w:t>- осуществляется поддержка местных промышленных и сельскохозяйственн</w:t>
      </w:r>
      <w:r w:rsidR="00113A25">
        <w:rPr>
          <w:rFonts w:ascii="Times New Roman" w:hAnsi="Times New Roman"/>
          <w:sz w:val="28"/>
          <w:szCs w:val="28"/>
        </w:rPr>
        <w:t>ых производителей;</w:t>
      </w:r>
    </w:p>
    <w:p w:rsidR="00814BB0" w:rsidRPr="00814BB0" w:rsidRDefault="00814BB0" w:rsidP="007D3AA7">
      <w:pPr>
        <w:spacing w:after="0" w:line="240" w:lineRule="auto"/>
        <w:ind w:firstLine="426"/>
        <w:jc w:val="both"/>
        <w:rPr>
          <w:rFonts w:ascii="Times New Roman" w:hAnsi="Times New Roman"/>
          <w:sz w:val="28"/>
          <w:szCs w:val="28"/>
        </w:rPr>
      </w:pPr>
      <w:r w:rsidRPr="00814BB0">
        <w:rPr>
          <w:rFonts w:ascii="Times New Roman" w:hAnsi="Times New Roman"/>
          <w:sz w:val="28"/>
          <w:szCs w:val="28"/>
        </w:rPr>
        <w:t>- в целях обеспечения оперативного доступа субъектов экономической деятельности к информации о необходимых для их функционирования документах разрешительного характера и административных процедурах, реализуемых разрешительными органами для их выдачи, разработан механизм формирования и ведения Реестра документов разрешительного характера в рамках функционирования разрешительной системы в с</w:t>
      </w:r>
      <w:r w:rsidR="00113A25">
        <w:rPr>
          <w:rFonts w:ascii="Times New Roman" w:hAnsi="Times New Roman"/>
          <w:sz w:val="28"/>
          <w:szCs w:val="28"/>
        </w:rPr>
        <w:t>фере экономической деятельности;</w:t>
      </w:r>
      <w:r w:rsidRPr="00814BB0">
        <w:rPr>
          <w:rFonts w:ascii="Times New Roman" w:hAnsi="Times New Roman"/>
          <w:sz w:val="28"/>
          <w:szCs w:val="28"/>
        </w:rPr>
        <w:t xml:space="preserve"> </w:t>
      </w:r>
    </w:p>
    <w:p w:rsidR="00814BB0" w:rsidRPr="00814BB0" w:rsidRDefault="00814BB0" w:rsidP="007D3AA7">
      <w:pPr>
        <w:spacing w:after="0" w:line="240" w:lineRule="auto"/>
        <w:ind w:firstLine="426"/>
        <w:jc w:val="both"/>
        <w:rPr>
          <w:rFonts w:ascii="Times New Roman" w:hAnsi="Times New Roman"/>
          <w:sz w:val="28"/>
          <w:szCs w:val="28"/>
        </w:rPr>
      </w:pPr>
      <w:r w:rsidRPr="00814BB0">
        <w:rPr>
          <w:rFonts w:ascii="Times New Roman" w:hAnsi="Times New Roman"/>
          <w:sz w:val="28"/>
          <w:szCs w:val="28"/>
        </w:rPr>
        <w:t>- создана совершенно новая отрасль экономики республики, основывающаяся на приобретении, ввозе и эксплуатации специализированного оборудования, направленного на развитие проектов, сопряженных с использованием технологий</w:t>
      </w:r>
      <w:r w:rsidR="00113A25">
        <w:rPr>
          <w:rFonts w:ascii="Times New Roman" w:hAnsi="Times New Roman"/>
          <w:sz w:val="28"/>
          <w:szCs w:val="28"/>
        </w:rPr>
        <w:t xml:space="preserve"> блокчейн, в том числе майнинга.</w:t>
      </w:r>
    </w:p>
    <w:p w:rsidR="00814BB0" w:rsidRPr="00814BB0" w:rsidRDefault="00814BB0" w:rsidP="007D3AA7">
      <w:pPr>
        <w:shd w:val="clear" w:color="auto" w:fill="FFFFFF"/>
        <w:spacing w:after="0" w:line="240" w:lineRule="auto"/>
        <w:ind w:firstLine="426"/>
        <w:jc w:val="both"/>
        <w:rPr>
          <w:rFonts w:ascii="Times New Roman" w:eastAsia="Calibri" w:hAnsi="Times New Roman"/>
          <w:sz w:val="28"/>
          <w:szCs w:val="28"/>
        </w:rPr>
      </w:pPr>
      <w:r w:rsidRPr="00814BB0">
        <w:rPr>
          <w:rFonts w:ascii="Times New Roman" w:eastAsia="Calibri" w:hAnsi="Times New Roman"/>
          <w:sz w:val="28"/>
          <w:szCs w:val="28"/>
        </w:rPr>
        <w:t>Развитие малого предпринимательства является необходимым условием успешного развития республики, решения социальных и экономических задач. Совершенствование механизмов государственного регулирования предпринимательской деятельности, а также содействие развитию инвестиционной и инновационной деятельности должны способствовать поступательному росту основных показателей развития малого бизнеса и, как следствие, оказывать стабилизирующее воздействие на социально – экономическое развитие экономики республики.</w:t>
      </w:r>
    </w:p>
    <w:p w:rsidR="00E72984" w:rsidRPr="00105378" w:rsidRDefault="00E72984" w:rsidP="007D3AA7">
      <w:pPr>
        <w:shd w:val="clear" w:color="auto" w:fill="FFFFFF"/>
        <w:spacing w:after="0" w:line="240" w:lineRule="auto"/>
        <w:ind w:firstLine="426"/>
        <w:jc w:val="both"/>
        <w:rPr>
          <w:rFonts w:ascii="Times New Roman" w:eastAsia="Calibri" w:hAnsi="Times New Roman"/>
          <w:sz w:val="28"/>
          <w:szCs w:val="28"/>
        </w:rPr>
      </w:pPr>
    </w:p>
    <w:p w:rsidR="00105378" w:rsidRPr="00105378" w:rsidRDefault="00105378" w:rsidP="007D3AA7">
      <w:pPr>
        <w:spacing w:after="0" w:line="240" w:lineRule="auto"/>
        <w:ind w:firstLine="426"/>
        <w:rPr>
          <w:rFonts w:ascii="Times New Roman" w:eastAsiaTheme="minorEastAsia" w:hAnsi="Times New Roman" w:cstheme="minorBidi"/>
          <w:b/>
          <w:sz w:val="28"/>
          <w:szCs w:val="28"/>
        </w:rPr>
      </w:pPr>
      <w:r w:rsidRPr="00105378">
        <w:rPr>
          <w:rFonts w:ascii="Times New Roman" w:eastAsiaTheme="minorEastAsia" w:hAnsi="Times New Roman" w:cstheme="minorBidi"/>
          <w:b/>
          <w:sz w:val="28"/>
          <w:szCs w:val="28"/>
        </w:rPr>
        <w:t>Потребительский рынок</w:t>
      </w:r>
    </w:p>
    <w:p w:rsidR="00105378" w:rsidRPr="00105378" w:rsidRDefault="00105378" w:rsidP="007D3AA7">
      <w:pPr>
        <w:spacing w:after="0" w:line="240" w:lineRule="auto"/>
        <w:ind w:firstLine="426"/>
        <w:jc w:val="both"/>
        <w:rPr>
          <w:rFonts w:ascii="Times New Roman" w:eastAsiaTheme="minorEastAsia" w:hAnsi="Times New Roman" w:cstheme="minorBidi"/>
          <w:sz w:val="28"/>
          <w:szCs w:val="28"/>
        </w:rPr>
      </w:pPr>
    </w:p>
    <w:p w:rsidR="00105378" w:rsidRPr="00105378" w:rsidRDefault="00105378" w:rsidP="007D3AA7">
      <w:pPr>
        <w:spacing w:after="0" w:line="240" w:lineRule="auto"/>
        <w:ind w:firstLine="426"/>
        <w:jc w:val="both"/>
        <w:rPr>
          <w:rFonts w:asciiTheme="minorHAnsi" w:eastAsiaTheme="minorEastAsia" w:hAnsiTheme="minorHAnsi" w:cstheme="minorBidi"/>
          <w:sz w:val="28"/>
          <w:szCs w:val="28"/>
          <w:highlight w:val="yellow"/>
        </w:rPr>
      </w:pPr>
      <w:r w:rsidRPr="00105378">
        <w:rPr>
          <w:rFonts w:ascii="Times New Roman" w:eastAsiaTheme="minorEastAsia" w:hAnsi="Times New Roman" w:cstheme="minorBidi"/>
          <w:sz w:val="28"/>
          <w:szCs w:val="28"/>
        </w:rPr>
        <w:t xml:space="preserve">На протяжении января-декабря 2018 года внутренний потребительский рынок характеризовался повышательным трендом, главным образом, благодаря расширению продаж в сфере розничной торговли (+10,4%) и общественного питания (+4,1%), сформировавших в совокупности 77,2% емкости рынка. В сегменте платных услуг населению параметры сократились относительно базисных </w:t>
      </w:r>
      <w:r w:rsidR="00332F65">
        <w:rPr>
          <w:rFonts w:ascii="Times New Roman" w:eastAsiaTheme="minorEastAsia" w:hAnsi="Times New Roman" w:cstheme="minorBidi"/>
          <w:sz w:val="28"/>
          <w:szCs w:val="28"/>
        </w:rPr>
        <w:t>значений</w:t>
      </w:r>
      <w:r w:rsidRPr="00105378">
        <w:rPr>
          <w:rFonts w:ascii="Times New Roman" w:eastAsiaTheme="minorEastAsia" w:hAnsi="Times New Roman" w:cstheme="minorBidi"/>
          <w:sz w:val="28"/>
          <w:szCs w:val="28"/>
        </w:rPr>
        <w:t xml:space="preserve"> на 0,4%. В результате совокупный объём приобретенных населением потребительских товаров и услуг по итогам 2018 года расширился на 18,2% </w:t>
      </w:r>
      <w:r w:rsidRPr="00105378">
        <w:rPr>
          <w:rFonts w:ascii="Times New Roman" w:eastAsiaTheme="minorEastAsia" w:hAnsi="Times New Roman" w:cstheme="minorBidi"/>
          <w:b/>
          <w:sz w:val="28"/>
          <w:szCs w:val="28"/>
        </w:rPr>
        <w:t>(в текущих ценах)</w:t>
      </w:r>
      <w:r w:rsidRPr="00105378">
        <w:rPr>
          <w:rFonts w:ascii="Times New Roman" w:eastAsiaTheme="minorEastAsia" w:hAnsi="Times New Roman" w:cstheme="minorBidi"/>
          <w:sz w:val="28"/>
          <w:szCs w:val="28"/>
        </w:rPr>
        <w:t xml:space="preserve"> до 9 879,6 млн руб., </w:t>
      </w:r>
      <w:r w:rsidRPr="00105378">
        <w:rPr>
          <w:rFonts w:ascii="Times New Roman" w:eastAsiaTheme="minorEastAsia" w:hAnsi="Times New Roman" w:cstheme="minorBidi"/>
          <w:b/>
          <w:sz w:val="28"/>
          <w:szCs w:val="28"/>
        </w:rPr>
        <w:t>в реальном выражении</w:t>
      </w:r>
      <w:r w:rsidRPr="00105378">
        <w:rPr>
          <w:rFonts w:ascii="Times New Roman" w:eastAsiaTheme="minorEastAsia" w:hAnsi="Times New Roman" w:cstheme="minorBidi"/>
          <w:sz w:val="28"/>
          <w:szCs w:val="28"/>
        </w:rPr>
        <w:t xml:space="preserve"> его величина на 7,4% превысила отметку 2017 года. </w:t>
      </w:r>
    </w:p>
    <w:p w:rsidR="00105378" w:rsidRDefault="00105378" w:rsidP="007D3AA7">
      <w:pPr>
        <w:spacing w:after="0" w:line="240" w:lineRule="auto"/>
        <w:ind w:firstLine="426"/>
        <w:jc w:val="both"/>
        <w:rPr>
          <w:rFonts w:ascii="Times New Roman" w:eastAsiaTheme="minorEastAsia" w:hAnsi="Times New Roman" w:cstheme="minorBidi"/>
          <w:b/>
          <w:sz w:val="28"/>
          <w:szCs w:val="28"/>
        </w:rPr>
      </w:pPr>
    </w:p>
    <w:p w:rsidR="00105378" w:rsidRPr="00105378" w:rsidRDefault="00105378" w:rsidP="007D3AA7">
      <w:pPr>
        <w:spacing w:after="0" w:line="240" w:lineRule="auto"/>
        <w:ind w:firstLine="426"/>
        <w:jc w:val="both"/>
        <w:rPr>
          <w:rFonts w:ascii="Times New Roman" w:eastAsiaTheme="minorEastAsia" w:hAnsi="Times New Roman" w:cstheme="minorBidi"/>
          <w:b/>
          <w:sz w:val="28"/>
          <w:szCs w:val="28"/>
        </w:rPr>
      </w:pPr>
      <w:r w:rsidRPr="00105378">
        <w:rPr>
          <w:rFonts w:ascii="Times New Roman" w:eastAsiaTheme="minorEastAsia" w:hAnsi="Times New Roman" w:cstheme="minorBidi"/>
          <w:b/>
          <w:sz w:val="28"/>
          <w:szCs w:val="28"/>
        </w:rPr>
        <w:t>Розничная торговля</w:t>
      </w:r>
    </w:p>
    <w:p w:rsidR="00105378" w:rsidRPr="00105378" w:rsidRDefault="00105378" w:rsidP="007D3AA7">
      <w:pPr>
        <w:spacing w:after="0" w:line="240" w:lineRule="auto"/>
        <w:ind w:firstLine="425"/>
        <w:jc w:val="both"/>
        <w:rPr>
          <w:rFonts w:ascii="Times New Roman" w:eastAsiaTheme="minorEastAsia" w:hAnsi="Times New Roman" w:cstheme="minorBidi"/>
          <w:sz w:val="28"/>
          <w:szCs w:val="28"/>
        </w:rPr>
      </w:pPr>
      <w:r w:rsidRPr="00105378">
        <w:rPr>
          <w:rFonts w:ascii="Times New Roman" w:eastAsiaTheme="minorEastAsia" w:hAnsi="Times New Roman" w:cstheme="minorBidi"/>
          <w:sz w:val="28"/>
          <w:szCs w:val="28"/>
        </w:rPr>
        <w:t xml:space="preserve">На внутреннем рынке республики в </w:t>
      </w:r>
      <w:r w:rsidR="003B2D64">
        <w:rPr>
          <w:rFonts w:ascii="Times New Roman" w:eastAsiaTheme="minorEastAsia" w:hAnsi="Times New Roman" w:cstheme="minorBidi"/>
          <w:sz w:val="28"/>
          <w:szCs w:val="28"/>
        </w:rPr>
        <w:t>отчетном</w:t>
      </w:r>
      <w:r w:rsidRPr="00105378">
        <w:rPr>
          <w:rFonts w:ascii="Times New Roman" w:eastAsiaTheme="minorEastAsia" w:hAnsi="Times New Roman" w:cstheme="minorBidi"/>
          <w:sz w:val="28"/>
          <w:szCs w:val="28"/>
        </w:rPr>
        <w:t xml:space="preserve"> году</w:t>
      </w:r>
      <w:r w:rsidRPr="00105378">
        <w:rPr>
          <w:rFonts w:ascii="Times New Roman" w:eastAsiaTheme="minorEastAsia" w:hAnsi="Times New Roman" w:cstheme="minorBidi"/>
          <w:noProof/>
          <w:sz w:val="28"/>
          <w:szCs w:val="28"/>
        </w:rPr>
        <w:t xml:space="preserve"> </w:t>
      </w:r>
      <w:r w:rsidRPr="00105378">
        <w:rPr>
          <w:rFonts w:ascii="Times New Roman" w:eastAsiaTheme="minorEastAsia" w:hAnsi="Times New Roman" w:cstheme="minorBidi"/>
          <w:sz w:val="28"/>
          <w:szCs w:val="28"/>
        </w:rPr>
        <w:t>сохранилась тенденция увеличения оборотов розничной торговли. В то</w:t>
      </w:r>
      <w:r w:rsidR="003B2D64">
        <w:rPr>
          <w:rFonts w:ascii="Times New Roman" w:eastAsiaTheme="minorEastAsia" w:hAnsi="Times New Roman" w:cstheme="minorBidi"/>
          <w:sz w:val="28"/>
          <w:szCs w:val="28"/>
        </w:rPr>
        <w:t xml:space="preserve"> </w:t>
      </w:r>
      <w:r w:rsidRPr="00105378">
        <w:rPr>
          <w:rFonts w:ascii="Times New Roman" w:eastAsiaTheme="minorEastAsia" w:hAnsi="Times New Roman" w:cstheme="minorBidi"/>
          <w:sz w:val="28"/>
          <w:szCs w:val="28"/>
        </w:rPr>
        <w:t xml:space="preserve">же время внутриквартальная динамика реализации товаров, демонстрировавшая на протяжении первых двух кварталов последовательное </w:t>
      </w:r>
      <w:r w:rsidR="000F16E9">
        <w:rPr>
          <w:rFonts w:ascii="Times New Roman" w:eastAsiaTheme="minorEastAsia" w:hAnsi="Times New Roman" w:cstheme="minorBidi"/>
          <w:sz w:val="28"/>
          <w:szCs w:val="28"/>
        </w:rPr>
        <w:t>наращивание показателей</w:t>
      </w:r>
      <w:r w:rsidRPr="00105378">
        <w:rPr>
          <w:rFonts w:ascii="Times New Roman" w:eastAsiaTheme="minorEastAsia" w:hAnsi="Times New Roman" w:cstheme="minorBidi"/>
          <w:sz w:val="28"/>
          <w:szCs w:val="28"/>
        </w:rPr>
        <w:t xml:space="preserve"> (прирост в пределах 17,5%)</w:t>
      </w:r>
      <w:r w:rsidR="000F16E9">
        <w:rPr>
          <w:rFonts w:ascii="Times New Roman" w:eastAsiaTheme="minorEastAsia" w:hAnsi="Times New Roman" w:cstheme="minorBidi"/>
          <w:sz w:val="28"/>
          <w:szCs w:val="28"/>
        </w:rPr>
        <w:t>,</w:t>
      </w:r>
      <w:r w:rsidRPr="00105378">
        <w:rPr>
          <w:rFonts w:ascii="Times New Roman" w:eastAsiaTheme="minorEastAsia" w:hAnsi="Times New Roman" w:cstheme="minorBidi"/>
          <w:sz w:val="28"/>
          <w:szCs w:val="28"/>
        </w:rPr>
        <w:t xml:space="preserve"> к концу года сменилась </w:t>
      </w:r>
      <w:r w:rsidR="000F16E9">
        <w:rPr>
          <w:rFonts w:ascii="Times New Roman" w:eastAsiaTheme="minorEastAsia" w:hAnsi="Times New Roman" w:cstheme="minorBidi"/>
          <w:sz w:val="28"/>
          <w:szCs w:val="28"/>
        </w:rPr>
        <w:t xml:space="preserve">более </w:t>
      </w:r>
      <w:r w:rsidRPr="00105378">
        <w:rPr>
          <w:rFonts w:ascii="Times New Roman" w:eastAsiaTheme="minorEastAsia" w:hAnsi="Times New Roman" w:cstheme="minorBidi"/>
          <w:sz w:val="28"/>
          <w:szCs w:val="28"/>
        </w:rPr>
        <w:t>умеренным прирост</w:t>
      </w:r>
      <w:r w:rsidR="000F16E9">
        <w:rPr>
          <w:rFonts w:ascii="Times New Roman" w:eastAsiaTheme="minorEastAsia" w:hAnsi="Times New Roman" w:cstheme="minorBidi"/>
          <w:sz w:val="28"/>
          <w:szCs w:val="28"/>
        </w:rPr>
        <w:t>ом</w:t>
      </w:r>
      <w:r w:rsidRPr="00105378">
        <w:rPr>
          <w:rFonts w:ascii="Times New Roman" w:eastAsiaTheme="minorEastAsia" w:hAnsi="Times New Roman" w:cstheme="minorBidi"/>
          <w:sz w:val="28"/>
          <w:szCs w:val="28"/>
        </w:rPr>
        <w:t xml:space="preserve"> на</w:t>
      </w:r>
      <w:r w:rsidR="000F16E9">
        <w:rPr>
          <w:rFonts w:ascii="Times New Roman" w:eastAsiaTheme="minorEastAsia" w:hAnsi="Times New Roman" w:cstheme="minorBidi"/>
          <w:sz w:val="28"/>
          <w:szCs w:val="28"/>
        </w:rPr>
        <w:t xml:space="preserve"> уровне</w:t>
      </w:r>
      <w:r w:rsidRPr="00105378">
        <w:rPr>
          <w:rFonts w:ascii="Times New Roman" w:eastAsiaTheme="minorEastAsia" w:hAnsi="Times New Roman" w:cstheme="minorBidi"/>
          <w:sz w:val="28"/>
          <w:szCs w:val="28"/>
        </w:rPr>
        <w:t xml:space="preserve"> 9,3%. В результате</w:t>
      </w:r>
      <w:r w:rsidR="000F16E9">
        <w:rPr>
          <w:rFonts w:ascii="Times New Roman" w:eastAsiaTheme="minorEastAsia" w:hAnsi="Times New Roman" w:cstheme="minorBidi"/>
          <w:sz w:val="28"/>
          <w:szCs w:val="28"/>
        </w:rPr>
        <w:t>,</w:t>
      </w:r>
      <w:r w:rsidRPr="00105378">
        <w:rPr>
          <w:rFonts w:ascii="Times New Roman" w:eastAsiaTheme="minorEastAsia" w:hAnsi="Times New Roman" w:cstheme="minorBidi"/>
          <w:sz w:val="28"/>
          <w:szCs w:val="28"/>
        </w:rPr>
        <w:t xml:space="preserve"> совокупная статистическая стоимость реализованных на потребительском рынке товаров по итогам 2018 года сложилась на уровне </w:t>
      </w:r>
      <w:r w:rsidR="000F16E9">
        <w:rPr>
          <w:rFonts w:ascii="Times New Roman" w:eastAsiaTheme="minorEastAsia" w:hAnsi="Times New Roman" w:cstheme="minorBidi"/>
          <w:sz w:val="28"/>
          <w:szCs w:val="28"/>
        </w:rPr>
        <w:br/>
      </w:r>
      <w:r w:rsidRPr="00105378">
        <w:rPr>
          <w:rFonts w:ascii="Times New Roman" w:eastAsiaTheme="minorEastAsia" w:hAnsi="Times New Roman" w:cstheme="minorBidi"/>
          <w:sz w:val="28"/>
          <w:szCs w:val="28"/>
        </w:rPr>
        <w:t>7 377,2 млн руб., что в текущих ценах выше базисной отметки на 23,7%,</w:t>
      </w:r>
      <w:r w:rsidRPr="00105378">
        <w:rPr>
          <w:rFonts w:ascii="Times New Roman" w:eastAsia="Calibri" w:hAnsi="Times New Roman" w:cstheme="minorBidi"/>
          <w:sz w:val="28"/>
          <w:szCs w:val="28"/>
          <w:lang w:eastAsia="en-US"/>
        </w:rPr>
        <w:t xml:space="preserve"> а с </w:t>
      </w:r>
      <w:r w:rsidRPr="00105378">
        <w:rPr>
          <w:rFonts w:ascii="Times New Roman" w:eastAsia="Calibri" w:hAnsi="Times New Roman" w:cstheme="minorBidi"/>
          <w:sz w:val="28"/>
          <w:szCs w:val="28"/>
          <w:lang w:eastAsia="en-US"/>
        </w:rPr>
        <w:lastRenderedPageBreak/>
        <w:t>учетом корректировки на ценовой фактор (</w:t>
      </w:r>
      <w:r w:rsidRPr="00105378">
        <w:rPr>
          <w:rFonts w:ascii="Times New Roman" w:eastAsiaTheme="minorEastAsia" w:hAnsi="Times New Roman" w:cstheme="minorBidi"/>
          <w:sz w:val="28"/>
          <w:szCs w:val="28"/>
        </w:rPr>
        <w:t xml:space="preserve">в сопоставимых ценах) – на 10,4%. </w:t>
      </w:r>
      <w:r w:rsidRPr="00105378">
        <w:rPr>
          <w:rFonts w:ascii="Times New Roman" w:eastAsia="Calibri" w:hAnsi="Times New Roman" w:cstheme="minorBidi"/>
          <w:sz w:val="28"/>
          <w:szCs w:val="28"/>
          <w:lang w:eastAsia="en-US"/>
        </w:rPr>
        <w:t>Фиксируемая динамика обусловлена с одной стороны ростом денежных доходов населения, отразившемся на потребительском поведении населения, а с другой стороны</w:t>
      </w:r>
      <w:r w:rsidR="000F16E9">
        <w:rPr>
          <w:rFonts w:ascii="Times New Roman" w:eastAsia="Calibri" w:hAnsi="Times New Roman" w:cstheme="minorBidi"/>
          <w:sz w:val="28"/>
          <w:szCs w:val="28"/>
          <w:lang w:eastAsia="en-US"/>
        </w:rPr>
        <w:t>,</w:t>
      </w:r>
      <w:r w:rsidRPr="00105378">
        <w:rPr>
          <w:rFonts w:ascii="Times New Roman" w:eastAsia="Calibri" w:hAnsi="Times New Roman" w:cstheme="minorBidi"/>
          <w:sz w:val="28"/>
          <w:szCs w:val="28"/>
          <w:lang w:eastAsia="en-US"/>
        </w:rPr>
        <w:t xml:space="preserve"> – конъюнктурными условиями внутреннего рынка и мировыми тенденциями </w:t>
      </w:r>
      <w:r w:rsidRPr="00105378">
        <w:rPr>
          <w:rFonts w:ascii="Times New Roman" w:eastAsiaTheme="minorEastAsia" w:hAnsi="Times New Roman" w:cstheme="minorBidi"/>
          <w:sz w:val="28"/>
          <w:szCs w:val="28"/>
          <w:lang w:eastAsia="en-US"/>
        </w:rPr>
        <w:t xml:space="preserve">(рис. </w:t>
      </w:r>
      <w:r w:rsidR="00245F0A">
        <w:rPr>
          <w:rFonts w:ascii="Times New Roman" w:eastAsiaTheme="minorEastAsia" w:hAnsi="Times New Roman" w:cstheme="minorBidi"/>
          <w:sz w:val="28"/>
          <w:szCs w:val="28"/>
          <w:lang w:eastAsia="en-US"/>
        </w:rPr>
        <w:t>28</w:t>
      </w:r>
      <w:r w:rsidRPr="00105378">
        <w:rPr>
          <w:rFonts w:ascii="Times New Roman" w:eastAsiaTheme="minorEastAsia" w:hAnsi="Times New Roman" w:cstheme="minorBidi"/>
          <w:sz w:val="28"/>
          <w:szCs w:val="28"/>
          <w:lang w:eastAsia="en-US"/>
        </w:rPr>
        <w:t>).</w:t>
      </w:r>
    </w:p>
    <w:p w:rsidR="00105378" w:rsidRPr="00105378" w:rsidRDefault="00105378" w:rsidP="007D3AA7">
      <w:pPr>
        <w:spacing w:after="0" w:line="240" w:lineRule="auto"/>
        <w:ind w:firstLine="426"/>
        <w:jc w:val="right"/>
        <w:rPr>
          <w:rFonts w:ascii="Times New Roman" w:eastAsiaTheme="minorEastAsia" w:hAnsi="Times New Roman" w:cstheme="minorBidi"/>
          <w:sz w:val="28"/>
          <w:szCs w:val="28"/>
        </w:rPr>
      </w:pPr>
      <w:r w:rsidRPr="00105378">
        <w:rPr>
          <w:rFonts w:ascii="Times New Roman" w:eastAsiaTheme="minorEastAsia" w:hAnsi="Times New Roman" w:cstheme="minorBidi"/>
          <w:b/>
          <w:i/>
          <w:sz w:val="28"/>
          <w:szCs w:val="28"/>
        </w:rPr>
        <w:t xml:space="preserve">Рисунок </w:t>
      </w:r>
      <w:r w:rsidR="00245F0A">
        <w:rPr>
          <w:rFonts w:ascii="Times New Roman" w:eastAsiaTheme="minorEastAsia" w:hAnsi="Times New Roman" w:cstheme="minorBidi"/>
          <w:b/>
          <w:i/>
          <w:sz w:val="28"/>
          <w:szCs w:val="28"/>
        </w:rPr>
        <w:t>28</w:t>
      </w:r>
    </w:p>
    <w:p w:rsidR="00105378" w:rsidRPr="00105378" w:rsidRDefault="00105378" w:rsidP="007D3AA7">
      <w:pPr>
        <w:spacing w:after="0" w:line="240" w:lineRule="auto"/>
        <w:ind w:firstLine="426"/>
        <w:rPr>
          <w:rFonts w:ascii="Times New Roman" w:eastAsiaTheme="minorEastAsia" w:hAnsi="Times New Roman" w:cstheme="minorBidi"/>
          <w:sz w:val="24"/>
          <w:szCs w:val="24"/>
        </w:rPr>
      </w:pPr>
      <w:r w:rsidRPr="00105378">
        <w:rPr>
          <w:rFonts w:ascii="Times New Roman" w:eastAsiaTheme="minorEastAsia" w:hAnsi="Times New Roman" w:cstheme="minorBidi"/>
          <w:noProof/>
          <w:sz w:val="24"/>
          <w:szCs w:val="24"/>
        </w:rPr>
        <w:drawing>
          <wp:inline distT="0" distB="0" distL="0" distR="0">
            <wp:extent cx="5959475" cy="1952625"/>
            <wp:effectExtent l="19050" t="0" r="3175" b="0"/>
            <wp:docPr id="4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05378" w:rsidRPr="00105378" w:rsidRDefault="00105378" w:rsidP="007D3AA7">
      <w:pPr>
        <w:spacing w:after="0" w:line="240" w:lineRule="auto"/>
        <w:ind w:firstLine="425"/>
        <w:jc w:val="both"/>
        <w:rPr>
          <w:rFonts w:ascii="Times New Roman" w:eastAsiaTheme="minorEastAsia" w:hAnsi="Times New Roman" w:cstheme="minorBidi"/>
          <w:noProof/>
          <w:sz w:val="28"/>
          <w:szCs w:val="28"/>
        </w:rPr>
      </w:pPr>
      <w:r w:rsidRPr="00105378">
        <w:rPr>
          <w:rFonts w:ascii="Times New Roman" w:eastAsiaTheme="minorEastAsia" w:hAnsi="Times New Roman" w:cstheme="minorBidi"/>
          <w:sz w:val="28"/>
          <w:szCs w:val="28"/>
        </w:rPr>
        <w:t xml:space="preserve">В товарной структуре розничного оборота </w:t>
      </w:r>
      <w:r w:rsidRPr="00105378">
        <w:rPr>
          <w:rFonts w:ascii="Times New Roman" w:eastAsiaTheme="minorEastAsia" w:hAnsi="Times New Roman" w:cstheme="minorBidi"/>
          <w:noProof/>
          <w:sz w:val="28"/>
          <w:szCs w:val="28"/>
        </w:rPr>
        <w:t>в</w:t>
      </w:r>
      <w:r w:rsidRPr="00105378">
        <w:rPr>
          <w:rFonts w:ascii="Times New Roman" w:eastAsiaTheme="minorEastAsia" w:hAnsi="Times New Roman" w:cstheme="minorBidi"/>
          <w:sz w:val="28"/>
          <w:szCs w:val="28"/>
        </w:rPr>
        <w:t xml:space="preserve"> течение 2018 года более активно росли объемы реализации </w:t>
      </w:r>
      <w:r w:rsidRPr="00105378">
        <w:rPr>
          <w:rFonts w:ascii="Times New Roman" w:eastAsiaTheme="minorEastAsia" w:hAnsi="Times New Roman" w:cstheme="minorBidi"/>
          <w:noProof/>
          <w:sz w:val="28"/>
          <w:szCs w:val="28"/>
        </w:rPr>
        <w:t xml:space="preserve">непродовольственных товаров, </w:t>
      </w:r>
      <w:r w:rsidRPr="00105378">
        <w:rPr>
          <w:rFonts w:ascii="Times New Roman" w:eastAsiaTheme="minorEastAsia" w:hAnsi="Times New Roman" w:cstheme="minorBidi"/>
          <w:sz w:val="28"/>
          <w:szCs w:val="28"/>
        </w:rPr>
        <w:t>суммарная стоимость которых в сопоставимой оценке выросла на 22,4% до 4</w:t>
      </w:r>
      <w:r w:rsidR="007047F3">
        <w:rPr>
          <w:rFonts w:ascii="Times New Roman" w:eastAsiaTheme="minorEastAsia" w:hAnsi="Times New Roman" w:cstheme="minorBidi"/>
          <w:sz w:val="28"/>
          <w:szCs w:val="28"/>
        </w:rPr>
        <w:t xml:space="preserve"> </w:t>
      </w:r>
      <w:r w:rsidRPr="00105378">
        <w:rPr>
          <w:rFonts w:ascii="Times New Roman" w:eastAsiaTheme="minorEastAsia" w:hAnsi="Times New Roman" w:cstheme="minorBidi"/>
          <w:sz w:val="28"/>
          <w:szCs w:val="28"/>
        </w:rPr>
        <w:t xml:space="preserve">218,0 </w:t>
      </w:r>
      <w:r w:rsidR="00653B80">
        <w:rPr>
          <w:rFonts w:ascii="Times New Roman" w:eastAsiaTheme="minorEastAsia" w:hAnsi="Times New Roman" w:cstheme="minorBidi"/>
          <w:sz w:val="28"/>
          <w:szCs w:val="28"/>
        </w:rPr>
        <w:t xml:space="preserve">                </w:t>
      </w:r>
      <w:r w:rsidRPr="00105378">
        <w:rPr>
          <w:rFonts w:ascii="Times New Roman" w:eastAsiaTheme="minorEastAsia" w:hAnsi="Times New Roman" w:cstheme="minorBidi"/>
          <w:sz w:val="28"/>
          <w:szCs w:val="28"/>
        </w:rPr>
        <w:t>млн руб., что соответствует структурному представлению на уровне 57,2% (+3,3 п.п.)</w:t>
      </w:r>
      <w:r>
        <w:rPr>
          <w:rFonts w:ascii="Times New Roman" w:eastAsiaTheme="minorEastAsia" w:hAnsi="Times New Roman" w:cstheme="minorBidi"/>
          <w:sz w:val="28"/>
          <w:szCs w:val="28"/>
        </w:rPr>
        <w:t>.</w:t>
      </w:r>
    </w:p>
    <w:p w:rsidR="00105378" w:rsidRPr="00105378" w:rsidRDefault="00105378" w:rsidP="007D3AA7">
      <w:pPr>
        <w:spacing w:after="0" w:line="240" w:lineRule="auto"/>
        <w:ind w:firstLine="425"/>
        <w:jc w:val="both"/>
        <w:rPr>
          <w:rFonts w:ascii="Times New Roman" w:eastAsiaTheme="minorEastAsia" w:hAnsi="Times New Roman" w:cstheme="minorBidi"/>
          <w:sz w:val="28"/>
          <w:szCs w:val="28"/>
          <w:lang w:eastAsia="en-US"/>
        </w:rPr>
      </w:pPr>
      <w:r w:rsidRPr="00105378">
        <w:rPr>
          <w:rFonts w:ascii="Times New Roman" w:eastAsiaTheme="minorEastAsia" w:hAnsi="Times New Roman" w:cstheme="minorBidi"/>
          <w:sz w:val="28"/>
          <w:szCs w:val="28"/>
        </w:rPr>
        <w:t xml:space="preserve">Продуктовый сегмент (включая алкогольные напитки и пиво) на фоне </w:t>
      </w:r>
      <w:r w:rsidRPr="00105378">
        <w:rPr>
          <w:rFonts w:ascii="Times New Roman" w:eastAsiaTheme="minorEastAsia" w:hAnsi="Times New Roman" w:cstheme="minorBidi"/>
          <w:noProof/>
          <w:sz w:val="28"/>
          <w:szCs w:val="28"/>
        </w:rPr>
        <w:t xml:space="preserve">стабилизации инфляционных процессов на внутреннем рынке в совокупности с проведением политики импортозамещения и привлечением бизнес структур к участию в ярмарочно-выставочной деятельности </w:t>
      </w:r>
      <w:r w:rsidRPr="00105378">
        <w:rPr>
          <w:rFonts w:ascii="Times New Roman" w:eastAsiaTheme="minorEastAsia" w:hAnsi="Times New Roman" w:cstheme="minorBidi"/>
          <w:sz w:val="28"/>
          <w:szCs w:val="28"/>
        </w:rPr>
        <w:t xml:space="preserve">обеспечил 42,8% общего товарооборота, или 3 159,2 млн руб., расширившись в текущих ценах на 14,9%, в сопоставимой оценке с учетом влияния инфляционного фактора – на 3,7%, обеспечив тем самым 42,8% розничной торговли </w:t>
      </w:r>
      <w:r w:rsidRPr="00105378">
        <w:rPr>
          <w:rFonts w:ascii="Times New Roman" w:eastAsia="Calibri" w:hAnsi="Times New Roman" w:cstheme="minorBidi"/>
          <w:sz w:val="28"/>
          <w:szCs w:val="28"/>
          <w:lang w:eastAsia="en-US"/>
        </w:rPr>
        <w:t>(рис.</w:t>
      </w:r>
      <w:r>
        <w:rPr>
          <w:rFonts w:ascii="Times New Roman" w:eastAsia="Calibri" w:hAnsi="Times New Roman" w:cstheme="minorBidi"/>
          <w:sz w:val="28"/>
          <w:szCs w:val="28"/>
          <w:lang w:eastAsia="en-US"/>
        </w:rPr>
        <w:t xml:space="preserve"> </w:t>
      </w:r>
      <w:r w:rsidR="00245F0A">
        <w:rPr>
          <w:rFonts w:ascii="Times New Roman" w:eastAsia="Calibri" w:hAnsi="Times New Roman" w:cstheme="minorBidi"/>
          <w:sz w:val="28"/>
          <w:szCs w:val="28"/>
          <w:lang w:eastAsia="en-US"/>
        </w:rPr>
        <w:t>29</w:t>
      </w:r>
      <w:r w:rsidRPr="00105378">
        <w:rPr>
          <w:rFonts w:ascii="Times New Roman" w:eastAsia="Calibri" w:hAnsi="Times New Roman" w:cstheme="minorBidi"/>
          <w:sz w:val="28"/>
          <w:szCs w:val="28"/>
          <w:lang w:eastAsia="en-US"/>
        </w:rPr>
        <w:t>).</w:t>
      </w:r>
    </w:p>
    <w:p w:rsidR="00105378" w:rsidRPr="00105378" w:rsidRDefault="00105378" w:rsidP="007D3AA7">
      <w:pPr>
        <w:spacing w:after="0" w:line="240" w:lineRule="auto"/>
        <w:ind w:firstLine="709"/>
        <w:jc w:val="right"/>
        <w:rPr>
          <w:rFonts w:ascii="Times New Roman" w:eastAsiaTheme="minorEastAsia" w:hAnsi="Times New Roman" w:cstheme="minorBidi"/>
          <w:i/>
          <w:sz w:val="28"/>
          <w:szCs w:val="28"/>
        </w:rPr>
      </w:pPr>
      <w:r w:rsidRPr="00105378">
        <w:rPr>
          <w:rFonts w:ascii="Times New Roman" w:eastAsiaTheme="minorEastAsia" w:hAnsi="Times New Roman" w:cstheme="minorBidi"/>
          <w:b/>
          <w:i/>
          <w:sz w:val="28"/>
          <w:szCs w:val="28"/>
        </w:rPr>
        <w:t>Рисунок</w:t>
      </w:r>
      <w:r w:rsidR="00245F0A">
        <w:rPr>
          <w:rFonts w:ascii="Times New Roman" w:eastAsiaTheme="minorEastAsia" w:hAnsi="Times New Roman" w:cstheme="minorBidi"/>
          <w:b/>
          <w:i/>
          <w:sz w:val="28"/>
          <w:szCs w:val="28"/>
        </w:rPr>
        <w:t xml:space="preserve"> 29</w:t>
      </w:r>
    </w:p>
    <w:p w:rsidR="00105378" w:rsidRPr="00105378" w:rsidRDefault="00105378" w:rsidP="007D3AA7">
      <w:pPr>
        <w:spacing w:after="0" w:line="240" w:lineRule="auto"/>
        <w:ind w:firstLine="284"/>
        <w:jc w:val="both"/>
        <w:rPr>
          <w:rFonts w:ascii="Times New Roman" w:eastAsiaTheme="minorEastAsia" w:hAnsi="Times New Roman" w:cstheme="minorBidi"/>
          <w:sz w:val="24"/>
          <w:szCs w:val="24"/>
        </w:rPr>
      </w:pPr>
      <w:r w:rsidRPr="00105378">
        <w:rPr>
          <w:rFonts w:ascii="Times New Roman" w:eastAsiaTheme="minorEastAsia" w:hAnsi="Times New Roman" w:cstheme="minorBidi"/>
          <w:noProof/>
          <w:sz w:val="24"/>
          <w:szCs w:val="24"/>
        </w:rPr>
        <w:drawing>
          <wp:inline distT="0" distB="0" distL="0" distR="0">
            <wp:extent cx="5924550" cy="1752600"/>
            <wp:effectExtent l="0" t="0" r="0" b="0"/>
            <wp:docPr id="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05378" w:rsidRPr="00105378" w:rsidRDefault="00105378" w:rsidP="007D3AA7">
      <w:pPr>
        <w:spacing w:after="0" w:line="240" w:lineRule="auto"/>
        <w:ind w:firstLine="426"/>
        <w:jc w:val="both"/>
        <w:rPr>
          <w:rFonts w:ascii="Times New Roman" w:eastAsia="Calibri" w:hAnsi="Times New Roman" w:cstheme="minorBidi"/>
          <w:sz w:val="28"/>
          <w:szCs w:val="28"/>
          <w:lang w:eastAsia="en-US"/>
        </w:rPr>
      </w:pPr>
      <w:r w:rsidRPr="00105378">
        <w:rPr>
          <w:rFonts w:ascii="Times New Roman" w:eastAsia="Calibri" w:hAnsi="Times New Roman" w:cstheme="minorBidi"/>
          <w:sz w:val="28"/>
          <w:szCs w:val="28"/>
          <w:lang w:eastAsia="en-US"/>
        </w:rPr>
        <w:t xml:space="preserve">Итоги деятельности </w:t>
      </w:r>
      <w:r w:rsidRPr="00105378">
        <w:rPr>
          <w:rFonts w:ascii="Times New Roman" w:eastAsia="Calibri" w:hAnsi="Times New Roman" w:cstheme="minorBidi"/>
          <w:b/>
          <w:sz w:val="28"/>
          <w:szCs w:val="28"/>
          <w:lang w:eastAsia="en-US"/>
        </w:rPr>
        <w:t xml:space="preserve">организаций общественного питания </w:t>
      </w:r>
      <w:r w:rsidRPr="00105378">
        <w:rPr>
          <w:rFonts w:ascii="Times New Roman" w:eastAsia="Calibri" w:hAnsi="Times New Roman" w:cstheme="minorBidi"/>
          <w:sz w:val="28"/>
          <w:szCs w:val="28"/>
          <w:lang w:eastAsia="en-US"/>
        </w:rPr>
        <w:t xml:space="preserve">отразили </w:t>
      </w:r>
      <w:r w:rsidRPr="00105378">
        <w:rPr>
          <w:rFonts w:ascii="Times New Roman" w:eastAsiaTheme="minorEastAsia" w:hAnsi="Times New Roman" w:cstheme="minorBidi"/>
          <w:sz w:val="28"/>
          <w:szCs w:val="28"/>
        </w:rPr>
        <w:t>рост потребительского спроса на услуги</w:t>
      </w:r>
      <w:r w:rsidRPr="00105378">
        <w:rPr>
          <w:rFonts w:ascii="Times New Roman" w:eastAsia="Calibri" w:hAnsi="Times New Roman" w:cstheme="minorBidi"/>
          <w:sz w:val="28"/>
          <w:szCs w:val="28"/>
          <w:lang w:eastAsia="en-US"/>
        </w:rPr>
        <w:t xml:space="preserve"> данного сегмента рынка. В результате, абсолютная величина выручки организаций общественного питания, по оценке, составила 249,9 млн руб. (+4,1% в реальном выражении). При этом доминирующая доля (82,0%, +2,5 п.п.) при увеличении оборота на 28,3% была сформирована организациями негосударственной формы собственности. Организациями государственной и муниципальной формы собственности было обеспечено 18,0% емкости оборота общественного питания с расширением объема к отметке 2017 года на 8,4%.</w:t>
      </w:r>
    </w:p>
    <w:p w:rsidR="00105378" w:rsidRPr="00105378" w:rsidRDefault="00105378" w:rsidP="007D3AA7">
      <w:pPr>
        <w:spacing w:after="0" w:line="240" w:lineRule="auto"/>
        <w:ind w:firstLine="426"/>
        <w:rPr>
          <w:rFonts w:ascii="Times New Roman" w:eastAsiaTheme="minorEastAsia" w:hAnsi="Times New Roman" w:cstheme="minorBidi"/>
          <w:b/>
          <w:sz w:val="28"/>
          <w:szCs w:val="28"/>
        </w:rPr>
      </w:pPr>
      <w:r w:rsidRPr="00105378">
        <w:rPr>
          <w:rFonts w:ascii="Times New Roman" w:eastAsiaTheme="minorEastAsia" w:hAnsi="Times New Roman" w:cstheme="minorBidi"/>
          <w:b/>
          <w:sz w:val="28"/>
          <w:szCs w:val="28"/>
        </w:rPr>
        <w:lastRenderedPageBreak/>
        <w:t>Рынок платных услуг населению</w:t>
      </w:r>
    </w:p>
    <w:p w:rsidR="00105378" w:rsidRPr="00105378" w:rsidRDefault="00105378" w:rsidP="007D3AA7">
      <w:pPr>
        <w:spacing w:after="0" w:line="240" w:lineRule="auto"/>
        <w:ind w:firstLine="426"/>
        <w:jc w:val="both"/>
        <w:rPr>
          <w:rFonts w:ascii="Times New Roman" w:eastAsia="Calibri" w:hAnsi="Times New Roman" w:cstheme="minorBidi"/>
          <w:sz w:val="28"/>
          <w:szCs w:val="28"/>
          <w:lang w:eastAsia="en-US"/>
        </w:rPr>
      </w:pPr>
      <w:r w:rsidRPr="00105378">
        <w:rPr>
          <w:rFonts w:ascii="Times New Roman" w:eastAsiaTheme="minorEastAsia" w:hAnsi="Times New Roman" w:cstheme="minorBidi"/>
          <w:sz w:val="28"/>
          <w:szCs w:val="28"/>
        </w:rPr>
        <w:t>В целом по итогам 2018 года стоимость</w:t>
      </w:r>
      <w:r w:rsidRPr="00105378">
        <w:rPr>
          <w:rFonts w:ascii="Times New Roman" w:eastAsiaTheme="minorEastAsia" w:hAnsi="Times New Roman" w:cstheme="minorBidi"/>
          <w:b/>
          <w:sz w:val="28"/>
          <w:szCs w:val="28"/>
        </w:rPr>
        <w:t xml:space="preserve"> услуг, оказанных населению через все каналы реализации</w:t>
      </w:r>
      <w:r w:rsidRPr="00105378">
        <w:rPr>
          <w:rFonts w:ascii="Times New Roman" w:eastAsiaTheme="minorEastAsia" w:hAnsi="Times New Roman" w:cstheme="minorBidi"/>
          <w:sz w:val="28"/>
          <w:szCs w:val="28"/>
        </w:rPr>
        <w:t xml:space="preserve">, сформировалась на отметке 2 252,5 млн руб., что в текущих ценах на 2,7% превысило прошлогодний показатель. В сопоставимой оценке совокупный объем средств, направленных населением на их оплату, на фоне проведения государством социально ориентированной политики тарифицирования услуг естественных монополий практически соответствовал базисному показателю, сократившись на 0,4% </w:t>
      </w:r>
      <w:r w:rsidRPr="00105378">
        <w:rPr>
          <w:rFonts w:ascii="Times New Roman" w:eastAsia="Calibri" w:hAnsi="Times New Roman" w:cstheme="minorBidi"/>
          <w:sz w:val="28"/>
          <w:szCs w:val="28"/>
          <w:lang w:eastAsia="en-US"/>
        </w:rPr>
        <w:t xml:space="preserve">(рис. </w:t>
      </w:r>
      <w:r w:rsidR="00245F0A">
        <w:rPr>
          <w:rFonts w:ascii="Times New Roman" w:eastAsia="Calibri" w:hAnsi="Times New Roman" w:cstheme="minorBidi"/>
          <w:sz w:val="28"/>
          <w:szCs w:val="28"/>
          <w:lang w:eastAsia="en-US"/>
        </w:rPr>
        <w:t>30</w:t>
      </w:r>
      <w:r w:rsidRPr="00105378">
        <w:rPr>
          <w:rFonts w:ascii="Times New Roman" w:eastAsia="Calibri" w:hAnsi="Times New Roman" w:cstheme="minorBidi"/>
          <w:sz w:val="28"/>
          <w:szCs w:val="28"/>
          <w:lang w:eastAsia="en-US"/>
        </w:rPr>
        <w:t xml:space="preserve">). </w:t>
      </w:r>
    </w:p>
    <w:p w:rsidR="00105378" w:rsidRPr="00105378" w:rsidRDefault="00105378" w:rsidP="007D3AA7">
      <w:pPr>
        <w:spacing w:after="0" w:line="240" w:lineRule="auto"/>
        <w:ind w:firstLine="426"/>
        <w:jc w:val="right"/>
        <w:rPr>
          <w:rFonts w:ascii="Times New Roman" w:eastAsiaTheme="minorEastAsia" w:hAnsi="Times New Roman" w:cstheme="minorBidi"/>
          <w:i/>
          <w:sz w:val="28"/>
          <w:szCs w:val="28"/>
        </w:rPr>
      </w:pPr>
      <w:r w:rsidRPr="00105378">
        <w:rPr>
          <w:rFonts w:ascii="Times New Roman" w:eastAsiaTheme="minorEastAsia" w:hAnsi="Times New Roman" w:cstheme="minorBidi"/>
          <w:b/>
          <w:i/>
          <w:sz w:val="28"/>
          <w:szCs w:val="28"/>
        </w:rPr>
        <w:t xml:space="preserve">Рисунок </w:t>
      </w:r>
      <w:r w:rsidR="00245F0A">
        <w:rPr>
          <w:rFonts w:ascii="Times New Roman" w:eastAsiaTheme="minorEastAsia" w:hAnsi="Times New Roman" w:cstheme="minorBidi"/>
          <w:b/>
          <w:i/>
          <w:sz w:val="28"/>
          <w:szCs w:val="28"/>
        </w:rPr>
        <w:t>30</w:t>
      </w:r>
    </w:p>
    <w:p w:rsidR="00105378" w:rsidRPr="00105378" w:rsidRDefault="00105378" w:rsidP="007D3AA7">
      <w:pPr>
        <w:spacing w:after="0"/>
        <w:jc w:val="center"/>
        <w:rPr>
          <w:rFonts w:ascii="Times New Roman" w:eastAsiaTheme="minorEastAsia" w:hAnsi="Times New Roman" w:cstheme="minorBidi"/>
          <w:b/>
          <w:sz w:val="24"/>
          <w:szCs w:val="24"/>
        </w:rPr>
      </w:pPr>
      <w:r w:rsidRPr="00105378">
        <w:rPr>
          <w:rFonts w:ascii="Times New Roman" w:eastAsiaTheme="minorEastAsia" w:hAnsi="Times New Roman" w:cstheme="minorBidi"/>
          <w:b/>
          <w:sz w:val="24"/>
          <w:szCs w:val="24"/>
        </w:rPr>
        <w:t>Динамика платных услуг населению (в процентах к предыдущему году)</w:t>
      </w:r>
    </w:p>
    <w:p w:rsidR="00105378" w:rsidRPr="00105378" w:rsidRDefault="00105378" w:rsidP="007D3AA7">
      <w:pPr>
        <w:spacing w:after="0" w:line="240" w:lineRule="auto"/>
        <w:jc w:val="both"/>
        <w:rPr>
          <w:rFonts w:ascii="Times New Roman" w:eastAsiaTheme="minorEastAsia" w:hAnsi="Times New Roman" w:cstheme="minorBidi"/>
          <w:b/>
          <w:sz w:val="24"/>
          <w:szCs w:val="24"/>
        </w:rPr>
      </w:pPr>
      <w:r w:rsidRPr="00105378">
        <w:rPr>
          <w:rFonts w:ascii="Times New Roman" w:eastAsiaTheme="minorEastAsia" w:hAnsi="Times New Roman" w:cstheme="minorBidi"/>
          <w:b/>
          <w:noProof/>
          <w:sz w:val="24"/>
          <w:szCs w:val="24"/>
        </w:rPr>
        <w:drawing>
          <wp:inline distT="0" distB="0" distL="0" distR="0">
            <wp:extent cx="5638800" cy="1428750"/>
            <wp:effectExtent l="19050" t="0" r="0" b="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05378" w:rsidRPr="00105378" w:rsidRDefault="00105378" w:rsidP="007D3AA7">
      <w:pPr>
        <w:spacing w:after="0" w:line="240" w:lineRule="auto"/>
        <w:ind w:firstLine="426"/>
        <w:jc w:val="both"/>
        <w:rPr>
          <w:rFonts w:ascii="Times New Roman" w:eastAsiaTheme="minorEastAsia" w:hAnsi="Times New Roman" w:cstheme="minorBidi"/>
          <w:sz w:val="24"/>
          <w:szCs w:val="24"/>
        </w:rPr>
      </w:pPr>
    </w:p>
    <w:p w:rsidR="00105378" w:rsidRPr="00105378" w:rsidRDefault="00105378" w:rsidP="007D3AA7">
      <w:pPr>
        <w:spacing w:after="0" w:line="240" w:lineRule="auto"/>
        <w:ind w:firstLine="426"/>
        <w:jc w:val="both"/>
        <w:rPr>
          <w:rFonts w:ascii="Times New Roman" w:eastAsia="Calibri" w:hAnsi="Times New Roman" w:cstheme="minorBidi"/>
          <w:sz w:val="28"/>
          <w:szCs w:val="28"/>
          <w:lang w:eastAsia="en-US"/>
        </w:rPr>
      </w:pPr>
      <w:r w:rsidRPr="00105378">
        <w:rPr>
          <w:rFonts w:ascii="Times New Roman" w:eastAsiaTheme="minorEastAsia" w:hAnsi="Times New Roman" w:cstheme="minorBidi"/>
          <w:sz w:val="28"/>
          <w:szCs w:val="28"/>
        </w:rPr>
        <w:t>Чуть больше половины (51,3%, или 1 155,4 млн руб. (+2,3%)) объема платных услуг было оказано государственными и муниципальными организациями. Результаты деятельности о</w:t>
      </w:r>
      <w:r w:rsidRPr="00105378">
        <w:rPr>
          <w:rFonts w:ascii="Times New Roman" w:eastAsia="Calibri" w:hAnsi="Times New Roman" w:cstheme="minorBidi"/>
          <w:sz w:val="28"/>
          <w:szCs w:val="28"/>
          <w:lang w:eastAsia="en-US"/>
        </w:rPr>
        <w:t>рганизаций негосударственной формы собственности, включая физических лиц, обеспечили 48,7% объема услуг, в стоимостном выражении темпы прироста сложились на уровне 3,1%, расширившись до 1 097,1 млн руб.</w:t>
      </w:r>
      <w:r w:rsidR="00245F0A">
        <w:rPr>
          <w:rFonts w:ascii="Times New Roman" w:eastAsia="Calibri" w:hAnsi="Times New Roman" w:cstheme="minorBidi"/>
          <w:sz w:val="28"/>
          <w:szCs w:val="28"/>
          <w:lang w:eastAsia="en-US"/>
        </w:rPr>
        <w:t xml:space="preserve"> </w:t>
      </w:r>
      <w:r w:rsidRPr="00105378">
        <w:rPr>
          <w:rFonts w:ascii="Times New Roman" w:eastAsia="Calibri" w:hAnsi="Times New Roman" w:cstheme="minorBidi"/>
          <w:sz w:val="28"/>
          <w:szCs w:val="28"/>
          <w:lang w:eastAsia="en-US"/>
        </w:rPr>
        <w:t>(рис.</w:t>
      </w:r>
      <w:r w:rsidR="00245F0A">
        <w:rPr>
          <w:rFonts w:ascii="Times New Roman" w:eastAsia="Calibri" w:hAnsi="Times New Roman" w:cstheme="minorBidi"/>
          <w:sz w:val="28"/>
          <w:szCs w:val="28"/>
          <w:lang w:eastAsia="en-US"/>
        </w:rPr>
        <w:t xml:space="preserve"> 31</w:t>
      </w:r>
      <w:r w:rsidRPr="00105378">
        <w:rPr>
          <w:rFonts w:ascii="Times New Roman" w:eastAsia="Calibri" w:hAnsi="Times New Roman" w:cstheme="minorBidi"/>
          <w:sz w:val="28"/>
          <w:szCs w:val="28"/>
          <w:lang w:eastAsia="en-US"/>
        </w:rPr>
        <w:t>).</w:t>
      </w:r>
    </w:p>
    <w:p w:rsidR="00105378" w:rsidRPr="00105378" w:rsidRDefault="00105378" w:rsidP="007D3AA7">
      <w:pPr>
        <w:spacing w:after="0" w:line="240" w:lineRule="auto"/>
        <w:ind w:firstLine="426"/>
        <w:jc w:val="both"/>
        <w:rPr>
          <w:rFonts w:ascii="Times New Roman" w:eastAsia="Calibri" w:hAnsi="Times New Roman" w:cstheme="minorBidi"/>
          <w:sz w:val="24"/>
          <w:szCs w:val="24"/>
          <w:lang w:eastAsia="en-US"/>
        </w:rPr>
      </w:pPr>
    </w:p>
    <w:p w:rsidR="00105378" w:rsidRPr="00245F0A" w:rsidRDefault="00105378" w:rsidP="007D3AA7">
      <w:pPr>
        <w:spacing w:after="0" w:line="240" w:lineRule="auto"/>
        <w:ind w:firstLine="709"/>
        <w:jc w:val="right"/>
        <w:rPr>
          <w:rFonts w:ascii="Times New Roman" w:eastAsiaTheme="minorEastAsia" w:hAnsi="Times New Roman" w:cstheme="minorBidi"/>
          <w:i/>
          <w:sz w:val="28"/>
          <w:szCs w:val="28"/>
        </w:rPr>
      </w:pPr>
      <w:r w:rsidRPr="00245F0A">
        <w:rPr>
          <w:rFonts w:ascii="Times New Roman" w:eastAsiaTheme="minorEastAsia" w:hAnsi="Times New Roman" w:cstheme="minorBidi"/>
          <w:b/>
          <w:i/>
          <w:sz w:val="28"/>
          <w:szCs w:val="28"/>
        </w:rPr>
        <w:t>Рисунок</w:t>
      </w:r>
      <w:r w:rsidR="00245F0A" w:rsidRPr="00245F0A">
        <w:rPr>
          <w:rFonts w:ascii="Times New Roman" w:eastAsiaTheme="minorEastAsia" w:hAnsi="Times New Roman" w:cstheme="minorBidi"/>
          <w:b/>
          <w:i/>
          <w:sz w:val="28"/>
          <w:szCs w:val="28"/>
        </w:rPr>
        <w:t xml:space="preserve"> 31</w:t>
      </w:r>
    </w:p>
    <w:p w:rsidR="00105378" w:rsidRPr="00105378" w:rsidRDefault="00105378" w:rsidP="007D3AA7">
      <w:pPr>
        <w:widowControl w:val="0"/>
        <w:spacing w:after="0" w:line="240" w:lineRule="auto"/>
        <w:jc w:val="center"/>
        <w:rPr>
          <w:rFonts w:ascii="Times New Roman" w:eastAsia="Calibri" w:hAnsi="Times New Roman" w:cstheme="minorBidi"/>
          <w:b/>
          <w:sz w:val="24"/>
          <w:szCs w:val="24"/>
          <w:lang w:eastAsia="en-US"/>
        </w:rPr>
      </w:pPr>
      <w:r w:rsidRPr="00105378">
        <w:rPr>
          <w:rFonts w:ascii="Times New Roman" w:eastAsia="Calibri" w:hAnsi="Times New Roman" w:cstheme="minorBidi"/>
          <w:b/>
          <w:sz w:val="24"/>
          <w:szCs w:val="24"/>
          <w:lang w:eastAsia="en-US"/>
        </w:rPr>
        <w:t>Структура потребительских услуг по формам собственности, %</w:t>
      </w:r>
    </w:p>
    <w:p w:rsidR="00105378" w:rsidRPr="00105378" w:rsidRDefault="00105378" w:rsidP="007D3AA7">
      <w:pPr>
        <w:spacing w:after="0" w:line="240" w:lineRule="auto"/>
        <w:jc w:val="both"/>
        <w:rPr>
          <w:rFonts w:ascii="Times New Roman" w:eastAsia="Calibri" w:hAnsi="Times New Roman" w:cstheme="minorBidi"/>
          <w:sz w:val="24"/>
          <w:szCs w:val="24"/>
          <w:lang w:eastAsia="en-US"/>
        </w:rPr>
      </w:pPr>
      <w:r w:rsidRPr="00105378">
        <w:rPr>
          <w:rFonts w:asciiTheme="minorHAnsi" w:eastAsiaTheme="minorEastAsia" w:hAnsiTheme="minorHAnsi" w:cstheme="minorBidi"/>
          <w:noProof/>
        </w:rPr>
        <w:drawing>
          <wp:inline distT="0" distB="0" distL="0" distR="0">
            <wp:extent cx="3457575" cy="1371600"/>
            <wp:effectExtent l="19050" t="0" r="0" b="0"/>
            <wp:docPr id="48"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105378">
        <w:rPr>
          <w:rFonts w:asciiTheme="minorHAnsi" w:eastAsiaTheme="minorEastAsia" w:hAnsiTheme="minorHAnsi" w:cstheme="minorBidi"/>
          <w:noProof/>
        </w:rPr>
        <w:drawing>
          <wp:inline distT="0" distB="0" distL="0" distR="0">
            <wp:extent cx="2352675" cy="1314450"/>
            <wp:effectExtent l="19050" t="0" r="0" b="0"/>
            <wp:docPr id="4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05378" w:rsidRPr="00105378" w:rsidRDefault="00105378" w:rsidP="007D3AA7">
      <w:pPr>
        <w:spacing w:after="0" w:line="240" w:lineRule="auto"/>
        <w:ind w:firstLine="426"/>
        <w:jc w:val="both"/>
        <w:rPr>
          <w:rFonts w:ascii="Times New Roman" w:eastAsiaTheme="minorEastAsia" w:hAnsi="Times New Roman" w:cstheme="minorBidi"/>
          <w:sz w:val="28"/>
          <w:szCs w:val="28"/>
        </w:rPr>
      </w:pPr>
      <w:r w:rsidRPr="00105378">
        <w:rPr>
          <w:rFonts w:ascii="Times New Roman" w:eastAsiaTheme="minorEastAsia" w:hAnsi="Times New Roman" w:cstheme="minorBidi"/>
          <w:sz w:val="28"/>
          <w:szCs w:val="28"/>
        </w:rPr>
        <w:t xml:space="preserve">Потребительский спрос на услуги бытового характера в январе-декабре 2018 года сопровождался увеличением выручки организаций данного сегмента рынка на 9,2% до 83,2 млн руб., при этом основной объем (82,5%) был обеспечен организациями негосударственного сектора (включая физических лиц), по которым фиксировался рост показателя на 11,5%. </w:t>
      </w:r>
    </w:p>
    <w:p w:rsidR="00105378" w:rsidRPr="00105378" w:rsidRDefault="00105378" w:rsidP="007D3AA7">
      <w:pPr>
        <w:spacing w:after="0" w:line="240" w:lineRule="auto"/>
        <w:ind w:firstLine="426"/>
        <w:jc w:val="both"/>
        <w:rPr>
          <w:rFonts w:ascii="Times New Roman" w:eastAsiaTheme="minorEastAsia" w:hAnsi="Times New Roman" w:cstheme="minorBidi"/>
          <w:sz w:val="28"/>
          <w:szCs w:val="28"/>
        </w:rPr>
      </w:pPr>
      <w:r w:rsidRPr="00105378">
        <w:rPr>
          <w:rFonts w:ascii="Times New Roman" w:eastAsiaTheme="minorEastAsia" w:hAnsi="Times New Roman" w:cstheme="minorBidi"/>
          <w:sz w:val="28"/>
          <w:szCs w:val="28"/>
          <w:lang w:eastAsia="en-US"/>
        </w:rPr>
        <w:t xml:space="preserve">Таким образом, </w:t>
      </w:r>
      <w:r w:rsidRPr="00105378">
        <w:rPr>
          <w:rFonts w:ascii="Times New Roman" w:eastAsia="Calibri" w:hAnsi="Times New Roman" w:cstheme="minorBidi"/>
          <w:sz w:val="28"/>
          <w:szCs w:val="28"/>
          <w:lang w:eastAsia="en-US"/>
        </w:rPr>
        <w:t xml:space="preserve">потребительское поведение населения в 2018 году на фоне складывающихся конъюнктурных условий и стабильной ситуации на валютном рынке, характеризовалось </w:t>
      </w:r>
      <w:r w:rsidR="007047F3">
        <w:rPr>
          <w:rFonts w:ascii="Times New Roman" w:eastAsia="Calibri" w:hAnsi="Times New Roman" w:cstheme="minorBidi"/>
          <w:sz w:val="28"/>
          <w:szCs w:val="28"/>
          <w:lang w:eastAsia="en-US"/>
        </w:rPr>
        <w:t>наращиванием</w:t>
      </w:r>
      <w:r w:rsidRPr="00105378">
        <w:rPr>
          <w:rFonts w:ascii="Times New Roman" w:eastAsia="Calibri" w:hAnsi="Times New Roman" w:cstheme="minorBidi"/>
          <w:sz w:val="28"/>
          <w:szCs w:val="28"/>
          <w:lang w:eastAsia="en-US"/>
        </w:rPr>
        <w:t xml:space="preserve"> продаж </w:t>
      </w:r>
      <w:r w:rsidRPr="00105378">
        <w:rPr>
          <w:rFonts w:ascii="Times New Roman" w:eastAsiaTheme="minorEastAsia" w:hAnsi="Times New Roman" w:cstheme="minorBidi"/>
          <w:sz w:val="28"/>
          <w:szCs w:val="28"/>
        </w:rPr>
        <w:t xml:space="preserve">в сфере розничной торговли при опережающих темпах роста объема реализации непродовольственных товаров и умеренным </w:t>
      </w:r>
      <w:r w:rsidR="007047F3">
        <w:rPr>
          <w:rFonts w:ascii="Times New Roman" w:eastAsiaTheme="minorEastAsia" w:hAnsi="Times New Roman" w:cstheme="minorBidi"/>
          <w:sz w:val="28"/>
          <w:szCs w:val="28"/>
        </w:rPr>
        <w:t>расширением</w:t>
      </w:r>
      <w:r w:rsidRPr="00105378">
        <w:rPr>
          <w:rFonts w:ascii="Times New Roman" w:eastAsiaTheme="minorEastAsia" w:hAnsi="Times New Roman" w:cstheme="minorBidi"/>
          <w:sz w:val="28"/>
          <w:szCs w:val="28"/>
        </w:rPr>
        <w:t xml:space="preserve"> параметров в сфере услуг.</w:t>
      </w:r>
    </w:p>
    <w:p w:rsidR="00254DDD" w:rsidRDefault="00254DDD" w:rsidP="007D3AA7">
      <w:pPr>
        <w:spacing w:after="0" w:line="240" w:lineRule="auto"/>
        <w:ind w:firstLine="426"/>
        <w:contextualSpacing/>
        <w:jc w:val="both"/>
        <w:rPr>
          <w:rFonts w:ascii="Times New Roman" w:hAnsi="Times New Roman"/>
          <w:b/>
          <w:sz w:val="28"/>
          <w:szCs w:val="28"/>
        </w:rPr>
      </w:pPr>
    </w:p>
    <w:p w:rsidR="007047F3" w:rsidRDefault="007047F3" w:rsidP="007D3AA7">
      <w:pPr>
        <w:spacing w:after="0" w:line="240" w:lineRule="auto"/>
        <w:ind w:firstLine="426"/>
        <w:contextualSpacing/>
        <w:jc w:val="both"/>
        <w:rPr>
          <w:rFonts w:ascii="Times New Roman" w:hAnsi="Times New Roman"/>
          <w:b/>
          <w:sz w:val="28"/>
          <w:szCs w:val="28"/>
        </w:rPr>
      </w:pPr>
    </w:p>
    <w:p w:rsidR="007047F3" w:rsidRDefault="007047F3" w:rsidP="007D3AA7">
      <w:pPr>
        <w:spacing w:after="0" w:line="240" w:lineRule="auto"/>
        <w:ind w:firstLine="426"/>
        <w:contextualSpacing/>
        <w:jc w:val="both"/>
        <w:rPr>
          <w:rFonts w:ascii="Times New Roman" w:hAnsi="Times New Roman"/>
          <w:b/>
          <w:sz w:val="28"/>
          <w:szCs w:val="28"/>
        </w:rPr>
      </w:pPr>
    </w:p>
    <w:p w:rsidR="007D3AA7" w:rsidRPr="007D3AA7" w:rsidRDefault="007D3AA7" w:rsidP="007D3AA7">
      <w:pPr>
        <w:spacing w:after="0" w:line="240" w:lineRule="auto"/>
        <w:ind w:firstLine="426"/>
        <w:contextualSpacing/>
        <w:rPr>
          <w:rFonts w:ascii="Times New Roman" w:eastAsiaTheme="minorEastAsia" w:hAnsi="Times New Roman" w:cstheme="minorBidi"/>
          <w:b/>
          <w:sz w:val="28"/>
          <w:szCs w:val="28"/>
        </w:rPr>
      </w:pPr>
      <w:r w:rsidRPr="007D3AA7">
        <w:rPr>
          <w:rFonts w:ascii="Times New Roman" w:eastAsiaTheme="minorEastAsia" w:hAnsi="Times New Roman" w:cstheme="minorBidi"/>
          <w:b/>
          <w:sz w:val="28"/>
          <w:szCs w:val="28"/>
        </w:rPr>
        <w:lastRenderedPageBreak/>
        <w:t>Ценовая и тарифная политика</w:t>
      </w:r>
    </w:p>
    <w:p w:rsidR="007D3AA7" w:rsidRPr="007D3AA7" w:rsidRDefault="007D3AA7" w:rsidP="007D3AA7">
      <w:pPr>
        <w:spacing w:after="0" w:line="240" w:lineRule="auto"/>
        <w:ind w:firstLine="426"/>
        <w:jc w:val="both"/>
        <w:rPr>
          <w:rFonts w:ascii="Times New Roman" w:eastAsiaTheme="minorEastAsia" w:hAnsi="Times New Roman" w:cstheme="minorBidi"/>
          <w:sz w:val="28"/>
          <w:szCs w:val="28"/>
        </w:rPr>
      </w:pPr>
    </w:p>
    <w:p w:rsidR="007D3AA7" w:rsidRPr="007D3AA7" w:rsidRDefault="007D3AA7" w:rsidP="007D3AA7">
      <w:pPr>
        <w:spacing w:after="0" w:line="240" w:lineRule="auto"/>
        <w:ind w:firstLine="426"/>
        <w:contextualSpacing/>
        <w:rPr>
          <w:rFonts w:ascii="Times New Roman" w:eastAsiaTheme="minorEastAsia" w:hAnsi="Times New Roman" w:cstheme="minorBidi"/>
          <w:b/>
          <w:sz w:val="28"/>
          <w:szCs w:val="28"/>
        </w:rPr>
      </w:pPr>
      <w:r w:rsidRPr="007D3AA7">
        <w:rPr>
          <w:rFonts w:ascii="Times New Roman" w:eastAsiaTheme="minorEastAsia" w:hAnsi="Times New Roman" w:cstheme="minorBidi"/>
          <w:b/>
          <w:sz w:val="28"/>
          <w:szCs w:val="28"/>
        </w:rPr>
        <w:t>Тарифная политика в сфере естественных монополий</w:t>
      </w:r>
    </w:p>
    <w:p w:rsidR="007D3AA7" w:rsidRPr="007D3AA7" w:rsidRDefault="007D3AA7" w:rsidP="007D3AA7">
      <w:pPr>
        <w:spacing w:after="0" w:line="240" w:lineRule="auto"/>
        <w:ind w:firstLine="426"/>
        <w:jc w:val="both"/>
        <w:rPr>
          <w:rFonts w:ascii="Times New Roman" w:eastAsiaTheme="minorEastAsia" w:hAnsi="Times New Roman" w:cstheme="minorBidi"/>
          <w:bCs/>
          <w:sz w:val="28"/>
          <w:szCs w:val="28"/>
        </w:rPr>
      </w:pPr>
      <w:r w:rsidRPr="007D3AA7">
        <w:rPr>
          <w:rFonts w:ascii="Times New Roman" w:eastAsiaTheme="minorEastAsia" w:hAnsi="Times New Roman" w:cstheme="minorBidi"/>
          <w:bCs/>
          <w:sz w:val="28"/>
          <w:szCs w:val="28"/>
        </w:rPr>
        <w:t>Регулируемые тарифы на услуги, оказываемые в сфере естественных монополий, сформированы на 2018 год с учетом норм действующего законодательства в области ценообразования, а также с учетом следующих факторов:</w:t>
      </w:r>
    </w:p>
    <w:p w:rsidR="007D3AA7" w:rsidRPr="007D3AA7" w:rsidRDefault="007D3AA7" w:rsidP="007D3AA7">
      <w:pPr>
        <w:spacing w:after="0" w:line="240" w:lineRule="auto"/>
        <w:ind w:firstLine="426"/>
        <w:jc w:val="both"/>
        <w:rPr>
          <w:rFonts w:ascii="Times New Roman" w:eastAsiaTheme="minorEastAsia" w:hAnsi="Times New Roman" w:cstheme="minorBidi"/>
          <w:bCs/>
          <w:sz w:val="28"/>
          <w:szCs w:val="28"/>
        </w:rPr>
      </w:pPr>
      <w:r w:rsidRPr="007D3AA7">
        <w:rPr>
          <w:rFonts w:ascii="Times New Roman" w:eastAsiaTheme="minorEastAsia" w:hAnsi="Times New Roman" w:cstheme="minorBidi"/>
          <w:bCs/>
          <w:sz w:val="28"/>
          <w:szCs w:val="28"/>
        </w:rPr>
        <w:t>а) изменения цены природного газа, принимаемого для расчета предельных уровней тарифов на услуги субъектов естественных монополий;</w:t>
      </w:r>
    </w:p>
    <w:p w:rsidR="007D3AA7" w:rsidRPr="007D3AA7" w:rsidRDefault="007D3AA7" w:rsidP="007D3AA7">
      <w:pPr>
        <w:spacing w:after="0" w:line="240" w:lineRule="auto"/>
        <w:ind w:firstLine="426"/>
        <w:jc w:val="both"/>
        <w:rPr>
          <w:rFonts w:ascii="Times New Roman" w:eastAsiaTheme="minorEastAsia" w:hAnsi="Times New Roman" w:cstheme="minorBidi"/>
          <w:bCs/>
          <w:sz w:val="28"/>
          <w:szCs w:val="28"/>
        </w:rPr>
      </w:pPr>
      <w:r w:rsidRPr="007D3AA7">
        <w:rPr>
          <w:rFonts w:ascii="Times New Roman" w:eastAsiaTheme="minorEastAsia" w:hAnsi="Times New Roman" w:cstheme="minorBidi"/>
          <w:bCs/>
          <w:sz w:val="28"/>
          <w:szCs w:val="28"/>
        </w:rPr>
        <w:t>б) изменения цен на сырье и материалы;</w:t>
      </w:r>
    </w:p>
    <w:p w:rsidR="007D3AA7" w:rsidRPr="007D3AA7" w:rsidRDefault="007D3AA7" w:rsidP="007D3AA7">
      <w:pPr>
        <w:spacing w:after="0" w:line="240" w:lineRule="auto"/>
        <w:ind w:firstLine="426"/>
        <w:jc w:val="both"/>
        <w:rPr>
          <w:rFonts w:ascii="Times New Roman" w:eastAsiaTheme="minorEastAsia" w:hAnsi="Times New Roman" w:cstheme="minorBidi"/>
          <w:bCs/>
          <w:sz w:val="28"/>
          <w:szCs w:val="28"/>
        </w:rPr>
      </w:pPr>
      <w:r w:rsidRPr="007D3AA7">
        <w:rPr>
          <w:rFonts w:ascii="Times New Roman" w:eastAsiaTheme="minorEastAsia" w:hAnsi="Times New Roman" w:cstheme="minorBidi"/>
          <w:bCs/>
          <w:sz w:val="28"/>
          <w:szCs w:val="28"/>
        </w:rPr>
        <w:t>в) влияния инфляционных процессов;</w:t>
      </w:r>
    </w:p>
    <w:p w:rsidR="007D3AA7" w:rsidRPr="007D3AA7" w:rsidRDefault="007D3AA7" w:rsidP="007D3AA7">
      <w:pPr>
        <w:spacing w:after="0" w:line="240" w:lineRule="auto"/>
        <w:ind w:firstLine="426"/>
        <w:jc w:val="both"/>
        <w:rPr>
          <w:rFonts w:ascii="Times New Roman" w:eastAsiaTheme="minorEastAsia" w:hAnsi="Times New Roman" w:cstheme="minorBidi"/>
          <w:bCs/>
          <w:sz w:val="28"/>
          <w:szCs w:val="28"/>
        </w:rPr>
      </w:pPr>
      <w:r w:rsidRPr="007D3AA7">
        <w:rPr>
          <w:rFonts w:ascii="Times New Roman" w:eastAsiaTheme="minorEastAsia" w:hAnsi="Times New Roman" w:cstheme="minorBidi"/>
          <w:bCs/>
          <w:sz w:val="28"/>
          <w:szCs w:val="28"/>
        </w:rPr>
        <w:t>г) фактических результатов деятельности субъектов естественных монополий по итогам работы за прошедший расчетный период регулирования;</w:t>
      </w:r>
    </w:p>
    <w:p w:rsidR="007D3AA7" w:rsidRPr="007D3AA7" w:rsidRDefault="007D3AA7" w:rsidP="007D3AA7">
      <w:pPr>
        <w:spacing w:after="0" w:line="240" w:lineRule="auto"/>
        <w:ind w:firstLine="426"/>
        <w:jc w:val="both"/>
        <w:rPr>
          <w:rFonts w:ascii="Times New Roman" w:eastAsiaTheme="minorEastAsia" w:hAnsi="Times New Roman" w:cstheme="minorBidi"/>
          <w:bCs/>
          <w:sz w:val="28"/>
          <w:szCs w:val="28"/>
        </w:rPr>
      </w:pPr>
      <w:r w:rsidRPr="007D3AA7">
        <w:rPr>
          <w:rFonts w:ascii="Times New Roman" w:eastAsiaTheme="minorEastAsia" w:hAnsi="Times New Roman" w:cstheme="minorBidi"/>
          <w:bCs/>
          <w:sz w:val="28"/>
          <w:szCs w:val="28"/>
        </w:rPr>
        <w:t>д) изменения объема оказываемых услуг.</w:t>
      </w:r>
    </w:p>
    <w:p w:rsidR="007D3AA7" w:rsidRPr="007D3AA7" w:rsidRDefault="007D3AA7" w:rsidP="007D3AA7">
      <w:pPr>
        <w:tabs>
          <w:tab w:val="left" w:pos="993"/>
        </w:tabs>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В соответствии с Постановлением Правительства Приднестровской Молдавской Республики от 30 мая 2017 года № 119 «О стоимости природного газа (газовой составляющей), учитываемой в предельных уровнях тарифов на услуги газоснабжения на 2018 год» в действующей редакции предусмотрена государственная поддержка для различных категорий потребителей в виде снижения стоимости природного газа, учитываемой в тарифах на услуги газоснабжения, электроснабжения и теплоснабжения в 2018 году, в целях создания равных конкурентных условий функционирования субъектов ценообразования Приднестровской Молдавской Республики.</w:t>
      </w:r>
    </w:p>
    <w:p w:rsidR="007D3AA7" w:rsidRPr="007D3AA7" w:rsidRDefault="007D3AA7" w:rsidP="007D3AA7">
      <w:pPr>
        <w:tabs>
          <w:tab w:val="left" w:pos="993"/>
        </w:tabs>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 xml:space="preserve">При определении экономически обоснованных тарифов на коммунальные услуги с 1 января 2018 года для промышленных и прочих потребителей стоимость природного газа (газовой составляющей) установлена ниже контрактной стоимости природного газа, составив 2 437,5 руб. за 1 тыс. куб. м. Для остальных категорий потребителей оказывалась государственная поддержка в виде установления стоимости природного газа ниже указанной стоимости. </w:t>
      </w:r>
    </w:p>
    <w:p w:rsidR="007D3AA7" w:rsidRPr="007D3AA7" w:rsidRDefault="007D3AA7" w:rsidP="007D3AA7">
      <w:pPr>
        <w:tabs>
          <w:tab w:val="left" w:pos="993"/>
        </w:tabs>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Так, в 2018 году тарифы на коммунальные услуги для различных категорий потребителей составили:</w:t>
      </w:r>
    </w:p>
    <w:p w:rsidR="007D3AA7" w:rsidRPr="007D3AA7" w:rsidRDefault="007D3AA7" w:rsidP="007D3AA7">
      <w:pPr>
        <w:numPr>
          <w:ilvl w:val="0"/>
          <w:numId w:val="18"/>
        </w:numPr>
        <w:tabs>
          <w:tab w:val="left" w:pos="709"/>
          <w:tab w:val="left" w:pos="851"/>
          <w:tab w:val="left" w:pos="993"/>
          <w:tab w:val="left" w:pos="3540"/>
          <w:tab w:val="left" w:pos="4248"/>
          <w:tab w:val="left" w:pos="4956"/>
          <w:tab w:val="left" w:pos="5664"/>
          <w:tab w:val="left" w:pos="6372"/>
          <w:tab w:val="left" w:pos="7080"/>
          <w:tab w:val="left" w:pos="7788"/>
          <w:tab w:val="left" w:pos="8735"/>
        </w:tabs>
        <w:spacing w:after="0" w:line="240" w:lineRule="auto"/>
        <w:ind w:left="0" w:firstLine="426"/>
        <w:contextualSpacing/>
        <w:jc w:val="both"/>
        <w:rPr>
          <w:rFonts w:ascii="Times New Roman" w:hAnsi="Times New Roman"/>
          <w:b/>
          <w:sz w:val="28"/>
          <w:szCs w:val="28"/>
        </w:rPr>
      </w:pPr>
      <w:r w:rsidRPr="007D3AA7">
        <w:rPr>
          <w:rFonts w:ascii="Times New Roman" w:hAnsi="Times New Roman"/>
          <w:b/>
          <w:sz w:val="28"/>
          <w:szCs w:val="28"/>
        </w:rPr>
        <w:t>Услуги газоснабжения</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rPr>
        <w:t xml:space="preserve">а) </w:t>
      </w:r>
      <w:r w:rsidRPr="007D3AA7">
        <w:rPr>
          <w:rFonts w:ascii="Times New Roman" w:eastAsiaTheme="minorEastAsia" w:hAnsi="Times New Roman" w:cstheme="minorBidi"/>
          <w:sz w:val="28"/>
          <w:szCs w:val="28"/>
          <w:lang w:eastAsia="en-US"/>
        </w:rPr>
        <w:t>тарифы на природный газ, транспортируемый по магистральным трубопроводам и распределительным сетям и отпускаемый:</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color w:val="000000"/>
          <w:sz w:val="28"/>
          <w:szCs w:val="28"/>
          <w:lang w:bidi="ru-RU"/>
        </w:rPr>
        <w:t xml:space="preserve">1) бытовым потребителям (абонентов) </w:t>
      </w:r>
      <w:r w:rsidRPr="007D3AA7">
        <w:rPr>
          <w:rFonts w:ascii="Times New Roman" w:eastAsiaTheme="minorEastAsia" w:hAnsi="Times New Roman" w:cstheme="minorBidi"/>
          <w:sz w:val="28"/>
          <w:szCs w:val="28"/>
          <w:lang w:eastAsia="en-US"/>
        </w:rPr>
        <w:t xml:space="preserve">в пределах </w:t>
      </w:r>
      <w:r w:rsidRPr="007D3AA7">
        <w:rPr>
          <w:rFonts w:ascii="Times New Roman" w:eastAsiaTheme="minorEastAsia" w:hAnsi="Times New Roman" w:cstheme="minorBidi"/>
          <w:color w:val="000000"/>
          <w:sz w:val="28"/>
          <w:szCs w:val="28"/>
          <w:lang w:bidi="ru-RU"/>
        </w:rPr>
        <w:t xml:space="preserve">установленного лимита </w:t>
      </w:r>
      <w:r w:rsidRPr="007D3AA7">
        <w:rPr>
          <w:rFonts w:ascii="Times New Roman" w:eastAsiaTheme="minorEastAsia" w:hAnsi="Times New Roman" w:cstheme="minorBidi"/>
          <w:sz w:val="28"/>
          <w:szCs w:val="28"/>
          <w:lang w:eastAsia="en-US"/>
        </w:rPr>
        <w:t xml:space="preserve">применяемый тариф был сохранен на уровне </w:t>
      </w:r>
      <w:r w:rsidRPr="007D3AA7">
        <w:rPr>
          <w:rFonts w:ascii="Times New Roman" w:eastAsiaTheme="minorEastAsia" w:hAnsi="Times New Roman" w:cstheme="minorBidi"/>
          <w:color w:val="000000"/>
          <w:sz w:val="28"/>
          <w:szCs w:val="28"/>
          <w:lang w:bidi="ru-RU"/>
        </w:rPr>
        <w:t>2017 года (в размере 0,81 руб.</w:t>
      </w:r>
      <w:r w:rsidRPr="007D3AA7">
        <w:rPr>
          <w:rFonts w:ascii="Times New Roman" w:eastAsiaTheme="minorEastAsia" w:hAnsi="Times New Roman" w:cstheme="minorBidi"/>
          <w:sz w:val="28"/>
          <w:szCs w:val="28"/>
          <w:lang w:eastAsia="en-US"/>
        </w:rPr>
        <w:t xml:space="preserve"> за 1 куб. м) и равен предельному тарифу, утвержденному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color w:val="000000"/>
          <w:sz w:val="28"/>
          <w:szCs w:val="28"/>
          <w:lang w:bidi="ru-RU"/>
        </w:rPr>
        <w:t>2) бытовым потребителям (абонентов) сельских населенных пунктов (сельских поселений)</w:t>
      </w:r>
      <w:r w:rsidRPr="007D3AA7">
        <w:rPr>
          <w:rFonts w:ascii="Times New Roman" w:eastAsiaTheme="minorEastAsia" w:hAnsi="Times New Roman" w:cstheme="minorBidi"/>
          <w:sz w:val="28"/>
          <w:szCs w:val="28"/>
          <w:lang w:eastAsia="en-US"/>
        </w:rPr>
        <w:t xml:space="preserve"> в пределах </w:t>
      </w:r>
      <w:r w:rsidRPr="007D3AA7">
        <w:rPr>
          <w:rFonts w:ascii="Times New Roman" w:eastAsiaTheme="minorEastAsia" w:hAnsi="Times New Roman" w:cstheme="minorBidi"/>
          <w:color w:val="000000"/>
          <w:sz w:val="28"/>
          <w:szCs w:val="28"/>
          <w:lang w:bidi="ru-RU"/>
        </w:rPr>
        <w:t>установленного лимита применяемый тариф был доведен до уровня тарифа, установленного в городской местности, и составил соответственно 0,81 руб.</w:t>
      </w:r>
      <w:r w:rsidRPr="007D3AA7">
        <w:rPr>
          <w:rFonts w:ascii="Times New Roman" w:eastAsiaTheme="minorEastAsia" w:hAnsi="Times New Roman" w:cstheme="minorBidi"/>
          <w:sz w:val="28"/>
          <w:szCs w:val="28"/>
          <w:lang w:eastAsia="en-US"/>
        </w:rPr>
        <w:t xml:space="preserve"> за 1 куб. м, что на 24,6% </w:t>
      </w:r>
      <w:r w:rsidRPr="007D3AA7">
        <w:rPr>
          <w:rFonts w:ascii="Times New Roman" w:eastAsiaTheme="minorEastAsia" w:hAnsi="Times New Roman" w:cstheme="minorBidi"/>
          <w:color w:val="000000"/>
          <w:sz w:val="28"/>
          <w:szCs w:val="28"/>
          <w:lang w:bidi="ru-RU"/>
        </w:rPr>
        <w:t xml:space="preserve">выше показателя 2017 года и соответствует предельному тарифу, </w:t>
      </w:r>
      <w:r w:rsidRPr="007D3AA7">
        <w:rPr>
          <w:rFonts w:ascii="Times New Roman" w:eastAsiaTheme="minorEastAsia" w:hAnsi="Times New Roman" w:cstheme="minorBidi"/>
          <w:sz w:val="28"/>
          <w:szCs w:val="28"/>
          <w:lang w:eastAsia="en-US"/>
        </w:rPr>
        <w:t>утвержденному на 2018 год;</w:t>
      </w:r>
    </w:p>
    <w:p w:rsidR="007D3AA7" w:rsidRPr="007D3AA7" w:rsidRDefault="007D3AA7" w:rsidP="007D3AA7">
      <w:pPr>
        <w:tabs>
          <w:tab w:val="left" w:pos="993"/>
        </w:tabs>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3) организациям и учреждениям, финансируемым из бюджетов всех уровней,</w:t>
      </w:r>
      <w:r w:rsidRPr="007D3AA7">
        <w:rPr>
          <w:rFonts w:ascii="Times New Roman" w:hAnsi="Times New Roman"/>
          <w:color w:val="000000"/>
          <w:sz w:val="28"/>
          <w:szCs w:val="28"/>
          <w:lang w:bidi="ru-RU"/>
        </w:rPr>
        <w:t xml:space="preserve"> предельный и применяемый тариф</w:t>
      </w:r>
      <w:r w:rsidRPr="007D3AA7">
        <w:rPr>
          <w:rFonts w:ascii="Times New Roman" w:hAnsi="Times New Roman"/>
          <w:sz w:val="28"/>
          <w:szCs w:val="28"/>
          <w:lang w:eastAsia="en-US"/>
        </w:rPr>
        <w:t xml:space="preserve"> установлен в размере 285,43 руб. за 1 тыс. куб. м, что</w:t>
      </w:r>
      <w:r w:rsidRPr="007D3AA7">
        <w:rPr>
          <w:rFonts w:ascii="Times New Roman" w:hAnsi="Times New Roman"/>
          <w:bCs/>
          <w:sz w:val="28"/>
          <w:szCs w:val="28"/>
        </w:rPr>
        <w:t xml:space="preserve"> на 3,1% выше применяемого тарифа, действующего для данных потребителей во втором полугодии 2017 года;</w:t>
      </w:r>
    </w:p>
    <w:p w:rsidR="007D3AA7" w:rsidRPr="007D3AA7" w:rsidRDefault="007D3AA7" w:rsidP="007D3AA7">
      <w:pPr>
        <w:tabs>
          <w:tab w:val="left" w:pos="993"/>
        </w:tabs>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lastRenderedPageBreak/>
        <w:t>4) организациям, осуществляющим социальную и культурную деятельность,</w:t>
      </w:r>
      <w:r w:rsidRPr="007D3AA7">
        <w:rPr>
          <w:rFonts w:ascii="Times New Roman" w:hAnsi="Times New Roman"/>
          <w:color w:val="000000"/>
          <w:sz w:val="28"/>
          <w:szCs w:val="28"/>
          <w:lang w:bidi="ru-RU"/>
        </w:rPr>
        <w:t xml:space="preserve"> применяемый тариф</w:t>
      </w:r>
      <w:r w:rsidRPr="007D3AA7">
        <w:rPr>
          <w:rFonts w:ascii="Times New Roman" w:hAnsi="Times New Roman"/>
          <w:sz w:val="28"/>
          <w:szCs w:val="28"/>
          <w:lang w:eastAsia="en-US"/>
        </w:rPr>
        <w:t xml:space="preserve"> установлен в размере 285,43 руб. за 1 тыс. куб. м, что</w:t>
      </w:r>
      <w:r w:rsidRPr="007D3AA7">
        <w:rPr>
          <w:rFonts w:ascii="Times New Roman" w:hAnsi="Times New Roman"/>
          <w:bCs/>
          <w:sz w:val="28"/>
          <w:szCs w:val="28"/>
        </w:rPr>
        <w:t xml:space="preserve"> на 85,5% ниже применяемого тарифа, действующего для данных потребителей во втором полугодии 2017 года и на</w:t>
      </w:r>
      <w:r w:rsidRPr="007D3AA7">
        <w:rPr>
          <w:rFonts w:ascii="Times New Roman" w:hAnsi="Times New Roman"/>
          <w:sz w:val="28"/>
          <w:szCs w:val="20"/>
        </w:rPr>
        <w:t xml:space="preserve"> </w:t>
      </w:r>
      <w:r w:rsidRPr="007D3AA7">
        <w:rPr>
          <w:rFonts w:ascii="Times New Roman" w:hAnsi="Times New Roman"/>
          <w:bCs/>
          <w:sz w:val="28"/>
          <w:szCs w:val="28"/>
        </w:rPr>
        <w:t>89,5% ниже предельного тарифа, утвержденного на 2018 год;</w:t>
      </w:r>
    </w:p>
    <w:p w:rsidR="007D3AA7" w:rsidRPr="007D3AA7" w:rsidRDefault="007D3AA7" w:rsidP="007D3AA7">
      <w:pPr>
        <w:tabs>
          <w:tab w:val="left" w:pos="993"/>
        </w:tabs>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б) применяемые тарифы на природный газ, отпускаемый организациям осуществляющим производство промышленной и (или) сельскохозяйственной продукции,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70%, в 2018 году составили:</w:t>
      </w:r>
    </w:p>
    <w:p w:rsidR="007D3AA7" w:rsidRPr="007D3AA7" w:rsidRDefault="007D3AA7" w:rsidP="007D3AA7">
      <w:pPr>
        <w:tabs>
          <w:tab w:val="left" w:pos="993"/>
        </w:tabs>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 xml:space="preserve">- присоединенным по магистральному трубопроводу – 2 078,87 руб.             (+42,9% к уровню </w:t>
      </w:r>
      <w:r w:rsidRPr="007D3AA7">
        <w:rPr>
          <w:rFonts w:ascii="Times New Roman" w:hAnsi="Times New Roman"/>
          <w:bCs/>
          <w:sz w:val="28"/>
          <w:szCs w:val="28"/>
          <w:lang w:val="en-US"/>
        </w:rPr>
        <w:t>II</w:t>
      </w:r>
      <w:r w:rsidRPr="007D3AA7">
        <w:rPr>
          <w:rFonts w:ascii="Times New Roman" w:hAnsi="Times New Roman"/>
          <w:bCs/>
          <w:sz w:val="28"/>
          <w:szCs w:val="28"/>
        </w:rPr>
        <w:t xml:space="preserve"> полугодия 2017 года) за 1 тыс. куб. м, что ниже предельного тарифа, утвержденного на 2018 год на 15,5%;</w:t>
      </w:r>
    </w:p>
    <w:p w:rsidR="007D3AA7" w:rsidRPr="007D3AA7" w:rsidRDefault="007D3AA7" w:rsidP="007D3AA7">
      <w:pPr>
        <w:tabs>
          <w:tab w:val="left" w:pos="993"/>
        </w:tabs>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 xml:space="preserve">- присоединенным к распределительным сетям – 2 340,85 руб. (+37,23% к уровню </w:t>
      </w:r>
      <w:r w:rsidRPr="007D3AA7">
        <w:rPr>
          <w:rFonts w:ascii="Times New Roman" w:hAnsi="Times New Roman"/>
          <w:bCs/>
          <w:sz w:val="28"/>
          <w:szCs w:val="28"/>
          <w:lang w:val="en-US"/>
        </w:rPr>
        <w:t>II</w:t>
      </w:r>
      <w:r w:rsidRPr="007D3AA7">
        <w:rPr>
          <w:rFonts w:ascii="Times New Roman" w:hAnsi="Times New Roman"/>
          <w:bCs/>
          <w:sz w:val="28"/>
          <w:szCs w:val="28"/>
        </w:rPr>
        <w:t xml:space="preserve"> полугодия 2017 года) за 1 тыс. куб. м, что ниже предельного тарифа, утвержденного на 2018 год на 14,0%;</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color w:val="000000"/>
          <w:sz w:val="28"/>
          <w:szCs w:val="28"/>
          <w:lang w:bidi="ru-RU"/>
        </w:rPr>
      </w:pPr>
      <w:r w:rsidRPr="007D3AA7">
        <w:rPr>
          <w:rFonts w:ascii="Times New Roman" w:eastAsiaTheme="minorEastAsia" w:hAnsi="Times New Roman"/>
          <w:bCs/>
          <w:sz w:val="28"/>
          <w:szCs w:val="28"/>
        </w:rPr>
        <w:t xml:space="preserve">в) </w:t>
      </w:r>
      <w:r w:rsidRPr="007D3AA7">
        <w:rPr>
          <w:rFonts w:ascii="Times New Roman" w:eastAsiaTheme="minorEastAsia" w:hAnsi="Times New Roman"/>
          <w:sz w:val="28"/>
          <w:szCs w:val="28"/>
          <w:lang w:eastAsia="en-US"/>
        </w:rPr>
        <w:t>применяемые</w:t>
      </w:r>
      <w:r w:rsidRPr="007D3AA7">
        <w:rPr>
          <w:rFonts w:ascii="Times New Roman" w:eastAsiaTheme="minorEastAsia" w:hAnsi="Times New Roman" w:cstheme="minorBidi"/>
          <w:sz w:val="28"/>
          <w:szCs w:val="28"/>
          <w:lang w:eastAsia="en-US"/>
        </w:rPr>
        <w:t xml:space="preserve"> тарифы на природный газ, </w:t>
      </w:r>
      <w:r w:rsidRPr="007D3AA7">
        <w:rPr>
          <w:rFonts w:ascii="Times New Roman" w:eastAsiaTheme="minorEastAsia" w:hAnsi="Times New Roman" w:cstheme="minorBidi"/>
          <w:color w:val="000000"/>
          <w:sz w:val="28"/>
          <w:szCs w:val="28"/>
          <w:lang w:bidi="ru-RU"/>
        </w:rPr>
        <w:t>для организаций, осуществляющих производство мяса (выращивание скота, птиц), молока, куриных яиц, переработку мясомолочного сырья, в общем объеме дохода от продаж (выручки) или в общем объеме произведенной (выполненных, оказанных) продукции (работ, услуг) которых доля дохода от продаж (выручки) или доля объема произведенной продукции собственного производства по итогам последнего отчетного периода составляет не менее 50%, составили:</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color w:val="000000"/>
          <w:sz w:val="28"/>
          <w:szCs w:val="28"/>
          <w:lang w:bidi="ru-RU"/>
        </w:rPr>
        <w:t xml:space="preserve">- </w:t>
      </w:r>
      <w:r w:rsidRPr="007D3AA7">
        <w:rPr>
          <w:rFonts w:ascii="Times New Roman" w:eastAsiaTheme="minorEastAsia" w:hAnsi="Times New Roman" w:cstheme="minorBidi"/>
          <w:sz w:val="28"/>
          <w:szCs w:val="28"/>
          <w:lang w:eastAsia="en-US"/>
        </w:rPr>
        <w:t>присоединенным по магистральному трубопроводу – 1 374,22 руб.                   (+42,4% к уровню II полугодия 2017 года) за 1 тыс. куб. м, что на 44,1% ниже предельного тарифа, утвержденного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lang w:eastAsia="en-US"/>
        </w:rPr>
        <w:t>- присоединенным к распределительным сетям – 1 636,2 руб. (+34,6% к уровню II полугодия 2017 года) за 1 тыс. куб. м, что на 39,9% ниже предельного тарифа, утвержденного на 2018 год;</w:t>
      </w:r>
    </w:p>
    <w:p w:rsidR="007D3AA7" w:rsidRPr="007D3AA7" w:rsidRDefault="007D3AA7" w:rsidP="007D3AA7">
      <w:pPr>
        <w:tabs>
          <w:tab w:val="left" w:pos="993"/>
        </w:tabs>
        <w:spacing w:after="0" w:line="240" w:lineRule="auto"/>
        <w:ind w:firstLine="426"/>
        <w:jc w:val="both"/>
        <w:rPr>
          <w:rFonts w:ascii="Times New Roman" w:hAnsi="Times New Roman"/>
          <w:sz w:val="28"/>
          <w:szCs w:val="28"/>
          <w:lang w:eastAsia="en-US"/>
        </w:rPr>
      </w:pPr>
      <w:r w:rsidRPr="007D3AA7">
        <w:rPr>
          <w:rFonts w:ascii="Times New Roman" w:hAnsi="Times New Roman"/>
          <w:bCs/>
          <w:sz w:val="28"/>
          <w:szCs w:val="28"/>
        </w:rPr>
        <w:t xml:space="preserve">г) </w:t>
      </w:r>
      <w:r w:rsidRPr="007D3AA7">
        <w:rPr>
          <w:rFonts w:ascii="Times New Roman" w:hAnsi="Times New Roman"/>
          <w:sz w:val="28"/>
          <w:szCs w:val="28"/>
          <w:lang w:eastAsia="en-US"/>
        </w:rPr>
        <w:t>применяемые тарифы на природный газ</w:t>
      </w:r>
      <w:r w:rsidRPr="007D3AA7">
        <w:rPr>
          <w:rFonts w:ascii="Times New Roman" w:hAnsi="Times New Roman"/>
          <w:bCs/>
          <w:sz w:val="28"/>
          <w:szCs w:val="28"/>
        </w:rPr>
        <w:t xml:space="preserve"> для </w:t>
      </w:r>
      <w:r w:rsidRPr="007D3AA7">
        <w:rPr>
          <w:rFonts w:ascii="Times New Roman" w:hAnsi="Times New Roman"/>
          <w:sz w:val="28"/>
          <w:szCs w:val="28"/>
          <w:lang w:eastAsia="en-US"/>
        </w:rPr>
        <w:t>промышленных предприятий, осуществляющих экспорт продукции, произведённой на территории Приднестровской Молдавской Республики, основной вид деятельности которых: электротехническая промышленность, химическая промышленность, цементно-шиферная промышленность, черная металлургия, текстильная промышленность с численностью работников на предприятии от 500 до 1 000 человек составили:</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color w:val="000000"/>
          <w:sz w:val="28"/>
          <w:szCs w:val="28"/>
          <w:lang w:bidi="ru-RU"/>
        </w:rPr>
        <w:t xml:space="preserve">- </w:t>
      </w:r>
      <w:r w:rsidRPr="007D3AA7">
        <w:rPr>
          <w:rFonts w:ascii="Times New Roman" w:eastAsiaTheme="minorEastAsia" w:hAnsi="Times New Roman" w:cstheme="minorBidi"/>
          <w:sz w:val="28"/>
          <w:szCs w:val="28"/>
          <w:lang w:eastAsia="en-US"/>
        </w:rPr>
        <w:t>присоединенным по магистральному трубопроводу – 591,2 руб.                   (+2,85% к уровню II полугодия 2017 года) за 1 тыс. куб. м, что на 76,0% ниже предельного тарифа, утвержденного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lang w:eastAsia="en-US"/>
        </w:rPr>
        <w:t>- присоединенным к распределительным сетям – 853,18 руб. (+</w:t>
      </w:r>
      <w:r w:rsidR="00F15B2A">
        <w:rPr>
          <w:rFonts w:ascii="Times New Roman" w:eastAsiaTheme="minorEastAsia" w:hAnsi="Times New Roman" w:cstheme="minorBidi"/>
          <w:sz w:val="28"/>
          <w:szCs w:val="28"/>
          <w:lang w:eastAsia="en-US"/>
        </w:rPr>
        <w:t>33,3</w:t>
      </w:r>
      <w:r w:rsidRPr="007D3AA7">
        <w:rPr>
          <w:rFonts w:ascii="Times New Roman" w:eastAsiaTheme="minorEastAsia" w:hAnsi="Times New Roman" w:cstheme="minorBidi"/>
          <w:sz w:val="28"/>
          <w:szCs w:val="28"/>
          <w:lang w:eastAsia="en-US"/>
        </w:rPr>
        <w:t>% к уровню II полугодия 2017 года) за 1 тыс. куб. м, что на 68,7% ниже предельного тарифа, утвержденного на 2018 год;</w:t>
      </w:r>
    </w:p>
    <w:p w:rsidR="007D3AA7" w:rsidRPr="007D3AA7" w:rsidRDefault="007D3AA7" w:rsidP="007D3AA7">
      <w:pPr>
        <w:tabs>
          <w:tab w:val="left" w:pos="993"/>
        </w:tabs>
        <w:spacing w:after="0" w:line="240" w:lineRule="auto"/>
        <w:ind w:firstLine="426"/>
        <w:jc w:val="both"/>
        <w:rPr>
          <w:rFonts w:ascii="Times New Roman" w:hAnsi="Times New Roman"/>
          <w:sz w:val="28"/>
          <w:szCs w:val="28"/>
          <w:lang w:eastAsia="en-US"/>
        </w:rPr>
      </w:pPr>
      <w:r w:rsidRPr="007D3AA7">
        <w:rPr>
          <w:rFonts w:ascii="Times New Roman" w:hAnsi="Times New Roman"/>
          <w:sz w:val="28"/>
          <w:szCs w:val="28"/>
          <w:lang w:eastAsia="en-US"/>
        </w:rPr>
        <w:t>д) применяемые тарифы на природный газ</w:t>
      </w:r>
      <w:r w:rsidRPr="007D3AA7">
        <w:rPr>
          <w:rFonts w:ascii="Times New Roman" w:hAnsi="Times New Roman"/>
          <w:bCs/>
          <w:sz w:val="28"/>
          <w:szCs w:val="28"/>
        </w:rPr>
        <w:t xml:space="preserve"> для </w:t>
      </w:r>
      <w:r w:rsidRPr="007D3AA7">
        <w:rPr>
          <w:rFonts w:ascii="Times New Roman" w:hAnsi="Times New Roman"/>
          <w:sz w:val="28"/>
          <w:szCs w:val="28"/>
          <w:lang w:eastAsia="en-US"/>
        </w:rPr>
        <w:t xml:space="preserve">промышленных предприятий, осуществляющих экспорт продукции, произведённой на территории Приднестровской Молдавской Республики, основной вид деятельности которых: электротехническая промышленность, химическая промышленность, цементно-шиферная промышленность, черная металлургия, </w:t>
      </w:r>
      <w:r w:rsidRPr="007D3AA7">
        <w:rPr>
          <w:rFonts w:ascii="Times New Roman" w:hAnsi="Times New Roman"/>
          <w:sz w:val="28"/>
          <w:szCs w:val="28"/>
          <w:lang w:eastAsia="en-US"/>
        </w:rPr>
        <w:lastRenderedPageBreak/>
        <w:t xml:space="preserve">текстильная промышленность с численностью работников на предприятии свыше 1 000 человек составили: </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color w:val="000000"/>
          <w:sz w:val="28"/>
          <w:szCs w:val="28"/>
          <w:lang w:bidi="ru-RU"/>
        </w:rPr>
        <w:t xml:space="preserve">- </w:t>
      </w:r>
      <w:r w:rsidRPr="007D3AA7">
        <w:rPr>
          <w:rFonts w:ascii="Times New Roman" w:eastAsiaTheme="minorEastAsia" w:hAnsi="Times New Roman" w:cstheme="minorBidi"/>
          <w:sz w:val="28"/>
          <w:szCs w:val="28"/>
          <w:lang w:eastAsia="en-US"/>
        </w:rPr>
        <w:t>присоединенным по магистральному трубопроводу – 347,45 руб.                   (увеличение в 2,6 раза к уровню II полугодия 2017 года) за 1 тыс. куб. м, что на 85,9% ниже предельного тарифа, утвержденного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lang w:eastAsia="en-US"/>
        </w:rPr>
        <w:t>- присоединенным к распределительным сетям – 609,4</w:t>
      </w:r>
      <w:r w:rsidR="00F15B2A">
        <w:rPr>
          <w:rFonts w:ascii="Times New Roman" w:eastAsiaTheme="minorEastAsia" w:hAnsi="Times New Roman" w:cstheme="minorBidi"/>
          <w:sz w:val="28"/>
          <w:szCs w:val="28"/>
          <w:lang w:eastAsia="en-US"/>
        </w:rPr>
        <w:t>3</w:t>
      </w:r>
      <w:r w:rsidRPr="007D3AA7">
        <w:rPr>
          <w:rFonts w:ascii="Times New Roman" w:eastAsiaTheme="minorEastAsia" w:hAnsi="Times New Roman" w:cstheme="minorBidi"/>
          <w:sz w:val="28"/>
          <w:szCs w:val="28"/>
          <w:lang w:eastAsia="en-US"/>
        </w:rPr>
        <w:t xml:space="preserve"> руб. (+58,0% к уровню II полугодия 2017 года) за 1 тыс. куб. м, что на 77,6% ниже предельного тарифа, утвержденного на 2018 год;</w:t>
      </w:r>
    </w:p>
    <w:p w:rsidR="007D3AA7" w:rsidRPr="007D3AA7" w:rsidRDefault="007D3AA7" w:rsidP="007D3AA7">
      <w:pPr>
        <w:tabs>
          <w:tab w:val="left" w:pos="993"/>
        </w:tabs>
        <w:spacing w:after="0" w:line="240" w:lineRule="auto"/>
        <w:ind w:firstLine="426"/>
        <w:jc w:val="both"/>
        <w:rPr>
          <w:rFonts w:ascii="Times New Roman" w:hAnsi="Times New Roman"/>
          <w:sz w:val="28"/>
          <w:szCs w:val="28"/>
          <w:lang w:eastAsia="en-US"/>
        </w:rPr>
      </w:pPr>
      <w:r w:rsidRPr="007D3AA7">
        <w:rPr>
          <w:rFonts w:ascii="Times New Roman" w:hAnsi="Times New Roman"/>
          <w:bCs/>
          <w:sz w:val="28"/>
          <w:szCs w:val="28"/>
        </w:rPr>
        <w:t xml:space="preserve">е) </w:t>
      </w:r>
      <w:r w:rsidRPr="007D3AA7">
        <w:rPr>
          <w:rFonts w:ascii="Times New Roman" w:hAnsi="Times New Roman"/>
          <w:sz w:val="28"/>
          <w:szCs w:val="28"/>
          <w:lang w:eastAsia="en-US"/>
        </w:rPr>
        <w:t>применяемые тарифы на природный газ</w:t>
      </w:r>
      <w:r w:rsidRPr="007D3AA7">
        <w:rPr>
          <w:rFonts w:ascii="Times New Roman" w:hAnsi="Times New Roman"/>
          <w:bCs/>
          <w:sz w:val="28"/>
          <w:szCs w:val="28"/>
        </w:rPr>
        <w:t xml:space="preserve"> для промышленных и прочих потребителей </w:t>
      </w:r>
      <w:r w:rsidRPr="007D3AA7">
        <w:rPr>
          <w:rFonts w:ascii="Times New Roman" w:hAnsi="Times New Roman"/>
          <w:sz w:val="28"/>
          <w:szCs w:val="28"/>
          <w:lang w:eastAsia="en-US"/>
        </w:rPr>
        <w:t>составили:</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color w:val="000000"/>
          <w:sz w:val="28"/>
          <w:szCs w:val="28"/>
          <w:lang w:bidi="ru-RU"/>
        </w:rPr>
        <w:t xml:space="preserve">- </w:t>
      </w:r>
      <w:r w:rsidRPr="007D3AA7">
        <w:rPr>
          <w:rFonts w:ascii="Times New Roman" w:eastAsiaTheme="minorEastAsia" w:hAnsi="Times New Roman" w:cstheme="minorBidi"/>
          <w:sz w:val="28"/>
          <w:szCs w:val="28"/>
          <w:lang w:eastAsia="en-US"/>
        </w:rPr>
        <w:t>присоединенным по магистральному трубопроводу – 2 459,95 руб.                   (+43,0% к уровню II полугодия 2017 года) за 1 тыс. куб. м. и соответствует предельному тарифу, утвержденному на 2018 год;</w:t>
      </w:r>
    </w:p>
    <w:p w:rsidR="007D3AA7" w:rsidRPr="007D3AA7" w:rsidRDefault="007D3AA7" w:rsidP="007D3AA7">
      <w:pPr>
        <w:widowControl w:val="0"/>
        <w:spacing w:after="0" w:line="240" w:lineRule="auto"/>
        <w:ind w:firstLine="426"/>
        <w:jc w:val="both"/>
        <w:rPr>
          <w:rFonts w:asciiTheme="minorHAnsi" w:eastAsiaTheme="minorEastAsia" w:hAnsiTheme="minorHAnsi" w:cstheme="minorBidi"/>
          <w:bCs/>
          <w:szCs w:val="28"/>
        </w:rPr>
      </w:pPr>
      <w:r w:rsidRPr="007D3AA7">
        <w:rPr>
          <w:rFonts w:ascii="Times New Roman" w:eastAsiaTheme="minorEastAsia" w:hAnsi="Times New Roman" w:cstheme="minorBidi"/>
          <w:sz w:val="28"/>
          <w:szCs w:val="28"/>
          <w:lang w:eastAsia="en-US"/>
        </w:rPr>
        <w:t>- присоединенным к распределительным сетям – 2 721,93 руб. (+38,1% к уровню II полугодия 2017 года) за 1 тыс. куб. м. и соответствует предельному тарифу, утвержденному на 2018 год.</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b/>
          <w:sz w:val="28"/>
          <w:szCs w:val="28"/>
        </w:rPr>
      </w:pPr>
      <w:r w:rsidRPr="007D3AA7">
        <w:rPr>
          <w:rFonts w:ascii="Times New Roman" w:eastAsiaTheme="minorEastAsia" w:hAnsi="Times New Roman" w:cstheme="minorBidi"/>
          <w:b/>
          <w:sz w:val="28"/>
          <w:szCs w:val="28"/>
        </w:rPr>
        <w:t>2. Услуги в сфере электроэнергетики</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Тарифы на услуги в сфере электроэнергетики по категориям потребителей в 2018 году сложились на следующих уровнях:</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rPr>
        <w:t xml:space="preserve">а) для населения на бытовые нужды в </w:t>
      </w:r>
      <w:r w:rsidRPr="007D3AA7">
        <w:rPr>
          <w:rFonts w:ascii="Times New Roman" w:eastAsiaTheme="minorEastAsia" w:hAnsi="Times New Roman" w:cstheme="minorBidi"/>
          <w:sz w:val="28"/>
          <w:szCs w:val="28"/>
          <w:lang w:eastAsia="en-US"/>
        </w:rPr>
        <w:t xml:space="preserve">пределах </w:t>
      </w:r>
      <w:r w:rsidRPr="007D3AA7">
        <w:rPr>
          <w:rFonts w:ascii="Times New Roman" w:eastAsiaTheme="minorEastAsia" w:hAnsi="Times New Roman" w:cstheme="minorBidi"/>
          <w:color w:val="000000"/>
          <w:sz w:val="28"/>
          <w:szCs w:val="28"/>
          <w:lang w:bidi="ru-RU"/>
        </w:rPr>
        <w:t xml:space="preserve">установленного лимита, </w:t>
      </w:r>
      <w:r w:rsidRPr="007D3AA7">
        <w:rPr>
          <w:rFonts w:ascii="Times New Roman" w:eastAsiaTheme="minorEastAsia" w:hAnsi="Times New Roman" w:cstheme="minorBidi"/>
          <w:sz w:val="28"/>
          <w:szCs w:val="28"/>
          <w:lang w:eastAsia="en-US"/>
        </w:rPr>
        <w:t>применяемый тариф практически сохранен на базовом уровне 2017 года (+</w:t>
      </w:r>
      <w:r w:rsidRPr="007D3AA7">
        <w:rPr>
          <w:rFonts w:ascii="Times New Roman" w:eastAsiaTheme="minorEastAsia" w:hAnsi="Times New Roman" w:cstheme="minorBidi"/>
          <w:color w:val="000000"/>
          <w:sz w:val="28"/>
          <w:szCs w:val="28"/>
          <w:lang w:bidi="ru-RU"/>
        </w:rPr>
        <w:t xml:space="preserve">1,9%) </w:t>
      </w:r>
      <w:r w:rsidRPr="007D3AA7">
        <w:rPr>
          <w:rFonts w:ascii="Times New Roman" w:eastAsiaTheme="minorEastAsia" w:hAnsi="Times New Roman" w:cstheme="minorBidi"/>
          <w:sz w:val="28"/>
          <w:szCs w:val="28"/>
        </w:rPr>
        <w:t xml:space="preserve">и составил </w:t>
      </w:r>
      <w:r w:rsidRPr="007D3AA7">
        <w:rPr>
          <w:rFonts w:ascii="Times New Roman" w:eastAsiaTheme="minorEastAsia" w:hAnsi="Times New Roman" w:cstheme="minorBidi"/>
          <w:sz w:val="28"/>
          <w:szCs w:val="28"/>
          <w:lang w:eastAsia="en-US"/>
        </w:rPr>
        <w:t xml:space="preserve">0,54 руб. за 1 </w:t>
      </w:r>
      <w:r w:rsidRPr="007D3AA7">
        <w:rPr>
          <w:rFonts w:ascii="Times New Roman" w:eastAsiaTheme="minorEastAsia" w:hAnsi="Times New Roman" w:cstheme="minorBidi"/>
          <w:sz w:val="28"/>
          <w:szCs w:val="28"/>
        </w:rPr>
        <w:t>кВт. Ч, что</w:t>
      </w:r>
      <w:r w:rsidRPr="007D3AA7">
        <w:rPr>
          <w:rFonts w:ascii="Times New Roman" w:eastAsiaTheme="minorEastAsia" w:hAnsi="Times New Roman" w:cstheme="minorBidi"/>
          <w:sz w:val="28"/>
          <w:szCs w:val="28"/>
          <w:lang w:eastAsia="en-US"/>
        </w:rPr>
        <w:t xml:space="preserve"> соответствует предельному тарифу, утвержденному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rPr>
        <w:t xml:space="preserve">б) для населения сельских населенных пунктов (сельских поселений) на бытовые нужды за объем, потребленный в пределах установленного лимита, </w:t>
      </w:r>
      <w:r w:rsidRPr="007D3AA7">
        <w:rPr>
          <w:rFonts w:ascii="Times New Roman" w:eastAsiaTheme="minorEastAsia" w:hAnsi="Times New Roman" w:cstheme="minorBidi"/>
          <w:sz w:val="28"/>
          <w:szCs w:val="28"/>
          <w:lang w:eastAsia="en-US"/>
        </w:rPr>
        <w:t xml:space="preserve">применяемый тариф </w:t>
      </w:r>
      <w:r w:rsidRPr="007D3AA7">
        <w:rPr>
          <w:rFonts w:ascii="Times New Roman" w:eastAsiaTheme="minorEastAsia" w:hAnsi="Times New Roman" w:cstheme="minorBidi"/>
          <w:color w:val="000000"/>
          <w:sz w:val="28"/>
          <w:szCs w:val="28"/>
          <w:lang w:bidi="ru-RU"/>
        </w:rPr>
        <w:t xml:space="preserve">был доведен до уровня тарифа, применяемого в городской местности, и составил соответственно </w:t>
      </w:r>
      <w:r w:rsidRPr="007D3AA7">
        <w:rPr>
          <w:rFonts w:ascii="Times New Roman" w:eastAsiaTheme="minorEastAsia" w:hAnsi="Times New Roman" w:cstheme="minorBidi"/>
          <w:sz w:val="28"/>
          <w:szCs w:val="28"/>
          <w:lang w:eastAsia="en-US"/>
        </w:rPr>
        <w:t xml:space="preserve">0,54 руб. за 1 </w:t>
      </w:r>
      <w:r w:rsidRPr="007D3AA7">
        <w:rPr>
          <w:rFonts w:ascii="Times New Roman" w:eastAsiaTheme="minorEastAsia" w:hAnsi="Times New Roman" w:cstheme="minorBidi"/>
          <w:sz w:val="28"/>
          <w:szCs w:val="28"/>
        </w:rPr>
        <w:t>кВт. ч</w:t>
      </w:r>
      <w:r w:rsidRPr="007D3AA7">
        <w:rPr>
          <w:rFonts w:ascii="Times New Roman" w:eastAsiaTheme="minorEastAsia" w:hAnsi="Times New Roman" w:cstheme="minorBidi"/>
          <w:sz w:val="28"/>
          <w:szCs w:val="28"/>
          <w:lang w:eastAsia="en-US"/>
        </w:rPr>
        <w:t xml:space="preserve">, что на 17,4% </w:t>
      </w:r>
      <w:r w:rsidRPr="007D3AA7">
        <w:rPr>
          <w:rFonts w:ascii="Times New Roman" w:eastAsiaTheme="minorEastAsia" w:hAnsi="Times New Roman" w:cstheme="minorBidi"/>
          <w:color w:val="000000"/>
          <w:sz w:val="28"/>
          <w:szCs w:val="28"/>
          <w:lang w:bidi="ru-RU"/>
        </w:rPr>
        <w:t xml:space="preserve">выше показателя 2017 года и соответствует предельному тарифу, </w:t>
      </w:r>
      <w:r w:rsidRPr="007D3AA7">
        <w:rPr>
          <w:rFonts w:ascii="Times New Roman" w:eastAsiaTheme="minorEastAsia" w:hAnsi="Times New Roman" w:cstheme="minorBidi"/>
          <w:sz w:val="28"/>
          <w:szCs w:val="28"/>
          <w:lang w:eastAsia="en-US"/>
        </w:rPr>
        <w:t>утвержденному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rPr>
        <w:t xml:space="preserve">в) для организаций, осуществляющих управление многоквартирным жилым домом (общежитием), товариществам собственников жилья, жилищным и жилищно-строительным кооперативам на общедомовые нужды в жилищном фонде </w:t>
      </w:r>
      <w:r w:rsidRPr="007D3AA7">
        <w:rPr>
          <w:rFonts w:ascii="Times New Roman" w:eastAsiaTheme="minorEastAsia" w:hAnsi="Times New Roman" w:cstheme="minorBidi"/>
          <w:sz w:val="28"/>
          <w:szCs w:val="28"/>
          <w:lang w:eastAsia="en-US"/>
        </w:rPr>
        <w:t xml:space="preserve">применяемый тариф сохранен на базовом уровне 2017 года </w:t>
      </w:r>
      <w:r w:rsidRPr="007D3AA7">
        <w:rPr>
          <w:rFonts w:ascii="Times New Roman" w:eastAsiaTheme="minorEastAsia" w:hAnsi="Times New Roman" w:cstheme="minorBidi"/>
          <w:sz w:val="28"/>
          <w:szCs w:val="28"/>
        </w:rPr>
        <w:t xml:space="preserve">и составил </w:t>
      </w:r>
      <w:r w:rsidRPr="007D3AA7">
        <w:rPr>
          <w:rFonts w:ascii="Times New Roman" w:eastAsiaTheme="minorEastAsia" w:hAnsi="Times New Roman" w:cstheme="minorBidi"/>
          <w:sz w:val="28"/>
          <w:szCs w:val="28"/>
          <w:lang w:eastAsia="en-US"/>
        </w:rPr>
        <w:t xml:space="preserve">0,72 руб. за 1 </w:t>
      </w:r>
      <w:r w:rsidRPr="007D3AA7">
        <w:rPr>
          <w:rFonts w:ascii="Times New Roman" w:eastAsiaTheme="minorEastAsia" w:hAnsi="Times New Roman" w:cstheme="minorBidi"/>
          <w:sz w:val="28"/>
          <w:szCs w:val="28"/>
        </w:rPr>
        <w:t>кВт. ч,</w:t>
      </w:r>
      <w:r w:rsidRPr="007D3AA7">
        <w:rPr>
          <w:rFonts w:ascii="Times New Roman" w:eastAsiaTheme="minorEastAsia" w:hAnsi="Times New Roman" w:cstheme="minorBidi"/>
          <w:sz w:val="28"/>
          <w:szCs w:val="28"/>
          <w:lang w:eastAsia="en-US"/>
        </w:rPr>
        <w:t xml:space="preserve"> соответствуя предельному тарифу, утвержденному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lang w:eastAsia="en-US"/>
        </w:rPr>
        <w:t xml:space="preserve">г) для </w:t>
      </w:r>
      <w:r w:rsidRPr="007D3AA7">
        <w:rPr>
          <w:rFonts w:ascii="Times New Roman" w:eastAsiaTheme="minorEastAsia" w:hAnsi="Times New Roman" w:cstheme="minorBidi"/>
          <w:color w:val="000000"/>
          <w:sz w:val="28"/>
          <w:szCs w:val="28"/>
        </w:rPr>
        <w:t xml:space="preserve">организаций и учреждений, финансируемым из бюджетов всех уровней, </w:t>
      </w:r>
      <w:r w:rsidRPr="007D3AA7">
        <w:rPr>
          <w:rFonts w:ascii="Times New Roman" w:eastAsiaTheme="minorEastAsia" w:hAnsi="Times New Roman" w:cstheme="minorBidi"/>
          <w:color w:val="000000"/>
          <w:sz w:val="28"/>
          <w:szCs w:val="28"/>
          <w:lang w:bidi="ru-RU"/>
        </w:rPr>
        <w:t>тарифы</w:t>
      </w:r>
      <w:r w:rsidRPr="007D3AA7">
        <w:rPr>
          <w:rFonts w:ascii="Times New Roman" w:eastAsiaTheme="minorEastAsia" w:hAnsi="Times New Roman" w:cstheme="minorBidi"/>
          <w:sz w:val="28"/>
          <w:szCs w:val="28"/>
          <w:lang w:eastAsia="en-US"/>
        </w:rPr>
        <w:t xml:space="preserve"> установлены в размерах:</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lang w:eastAsia="en-US"/>
        </w:rPr>
        <w:t>- присоединенным к передающим сетям –</w:t>
      </w:r>
      <w:r w:rsidRPr="007D3AA7">
        <w:rPr>
          <w:rFonts w:ascii="Times New Roman" w:eastAsiaTheme="minorEastAsia" w:hAnsi="Times New Roman" w:cstheme="minorBidi"/>
          <w:color w:val="000000"/>
          <w:sz w:val="28"/>
          <w:szCs w:val="28"/>
          <w:lang w:bidi="ru-RU"/>
        </w:rPr>
        <w:t xml:space="preserve"> предельный и применяемый тарифы</w:t>
      </w:r>
      <w:r w:rsidRPr="007D3AA7">
        <w:rPr>
          <w:rFonts w:ascii="Times New Roman" w:eastAsiaTheme="minorEastAsia" w:hAnsi="Times New Roman" w:cstheme="minorBidi"/>
          <w:sz w:val="28"/>
          <w:szCs w:val="28"/>
          <w:lang w:eastAsia="en-US"/>
        </w:rPr>
        <w:t xml:space="preserve"> установлены в размере 0,26 руб. за 1 </w:t>
      </w:r>
      <w:r w:rsidRPr="007D3AA7">
        <w:rPr>
          <w:rFonts w:ascii="Times New Roman" w:eastAsiaTheme="minorEastAsia" w:hAnsi="Times New Roman" w:cstheme="minorBidi"/>
          <w:sz w:val="28"/>
          <w:szCs w:val="28"/>
        </w:rPr>
        <w:t>кВт. ч, что на 10,</w:t>
      </w:r>
      <w:r w:rsidR="008817A8">
        <w:rPr>
          <w:rFonts w:ascii="Times New Roman" w:eastAsiaTheme="minorEastAsia" w:hAnsi="Times New Roman" w:cstheme="minorBidi"/>
          <w:sz w:val="28"/>
          <w:szCs w:val="28"/>
        </w:rPr>
        <w:t>3</w:t>
      </w:r>
      <w:r w:rsidRPr="007D3AA7">
        <w:rPr>
          <w:rFonts w:ascii="Times New Roman" w:eastAsiaTheme="minorEastAsia" w:hAnsi="Times New Roman" w:cstheme="minorBidi"/>
          <w:sz w:val="28"/>
          <w:szCs w:val="28"/>
        </w:rPr>
        <w:t>% ниже уровня</w:t>
      </w:r>
      <w:r w:rsidRPr="007D3AA7">
        <w:rPr>
          <w:rFonts w:ascii="Times New Roman" w:eastAsiaTheme="minorEastAsia" w:hAnsi="Times New Roman" w:cstheme="minorBidi"/>
          <w:color w:val="000000"/>
          <w:sz w:val="28"/>
          <w:szCs w:val="28"/>
          <w:lang w:bidi="ru-RU"/>
        </w:rPr>
        <w:t xml:space="preserve"> </w:t>
      </w:r>
      <w:r w:rsidRPr="007D3AA7">
        <w:rPr>
          <w:rFonts w:ascii="Times New Roman" w:eastAsiaTheme="minorEastAsia" w:hAnsi="Times New Roman" w:cstheme="minorBidi"/>
          <w:sz w:val="28"/>
          <w:szCs w:val="28"/>
          <w:lang w:val="en-US"/>
        </w:rPr>
        <w:t>II</w:t>
      </w:r>
      <w:r w:rsidRPr="007D3AA7">
        <w:rPr>
          <w:rFonts w:ascii="Times New Roman" w:eastAsiaTheme="minorEastAsia" w:hAnsi="Times New Roman" w:cstheme="minorBidi"/>
          <w:sz w:val="28"/>
          <w:szCs w:val="28"/>
        </w:rPr>
        <w:t xml:space="preserve"> полугодия 2017 года;</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lang w:eastAsia="en-US"/>
        </w:rPr>
        <w:t xml:space="preserve">- присоединенным к распределительным сетям – </w:t>
      </w:r>
      <w:r w:rsidRPr="007D3AA7">
        <w:rPr>
          <w:rFonts w:ascii="Times New Roman" w:eastAsiaTheme="minorEastAsia" w:hAnsi="Times New Roman" w:cstheme="minorBidi"/>
          <w:color w:val="000000"/>
          <w:sz w:val="28"/>
          <w:szCs w:val="28"/>
          <w:lang w:bidi="ru-RU"/>
        </w:rPr>
        <w:t>предельный и применяемый тарифы</w:t>
      </w:r>
      <w:r w:rsidRPr="007D3AA7">
        <w:rPr>
          <w:rFonts w:ascii="Times New Roman" w:eastAsiaTheme="minorEastAsia" w:hAnsi="Times New Roman" w:cstheme="minorBidi"/>
          <w:sz w:val="28"/>
          <w:szCs w:val="28"/>
          <w:lang w:eastAsia="en-US"/>
        </w:rPr>
        <w:t xml:space="preserve"> соответствуют 0,50 руб. за 1 </w:t>
      </w:r>
      <w:r w:rsidRPr="007D3AA7">
        <w:rPr>
          <w:rFonts w:ascii="Times New Roman" w:eastAsiaTheme="minorEastAsia" w:hAnsi="Times New Roman" w:cstheme="minorBidi"/>
          <w:sz w:val="28"/>
          <w:szCs w:val="28"/>
        </w:rPr>
        <w:t xml:space="preserve">кВт. ч, что на 9,1% ниже о уровня </w:t>
      </w:r>
      <w:r w:rsidRPr="007D3AA7">
        <w:rPr>
          <w:rFonts w:ascii="Times New Roman" w:eastAsiaTheme="minorEastAsia" w:hAnsi="Times New Roman" w:cstheme="minorBidi"/>
          <w:sz w:val="28"/>
          <w:szCs w:val="28"/>
          <w:lang w:val="en-US"/>
        </w:rPr>
        <w:t>II</w:t>
      </w:r>
      <w:r w:rsidRPr="007D3AA7">
        <w:rPr>
          <w:rFonts w:ascii="Times New Roman" w:eastAsiaTheme="minorEastAsia" w:hAnsi="Times New Roman" w:cstheme="minorBidi"/>
          <w:sz w:val="28"/>
          <w:szCs w:val="28"/>
        </w:rPr>
        <w:t xml:space="preserve"> полугодия 2017 года;</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lang w:eastAsia="en-US"/>
        </w:rPr>
        <w:t xml:space="preserve">д) для организаций городского электрического транспорта – </w:t>
      </w:r>
      <w:r w:rsidRPr="007D3AA7">
        <w:rPr>
          <w:rFonts w:ascii="Times New Roman" w:eastAsiaTheme="minorEastAsia" w:hAnsi="Times New Roman" w:cstheme="minorBidi"/>
          <w:color w:val="000000"/>
          <w:sz w:val="28"/>
          <w:szCs w:val="28"/>
          <w:lang w:bidi="ru-RU"/>
        </w:rPr>
        <w:t>предельные и применяемые тарифы</w:t>
      </w:r>
      <w:r w:rsidRPr="007D3AA7">
        <w:rPr>
          <w:rFonts w:ascii="Times New Roman" w:eastAsiaTheme="minorEastAsia" w:hAnsi="Times New Roman" w:cstheme="minorBidi"/>
          <w:sz w:val="28"/>
          <w:szCs w:val="28"/>
          <w:lang w:eastAsia="en-US"/>
        </w:rPr>
        <w:t xml:space="preserve"> на отпускаемую электроэнергию составили 0,50 руб. за 1 </w:t>
      </w:r>
      <w:r w:rsidRPr="007D3AA7">
        <w:rPr>
          <w:rFonts w:ascii="Times New Roman" w:eastAsiaTheme="minorEastAsia" w:hAnsi="Times New Roman" w:cstheme="minorBidi"/>
          <w:sz w:val="28"/>
          <w:szCs w:val="28"/>
        </w:rPr>
        <w:t xml:space="preserve">кВт. ч, что на 9,1% ниже тарифов применяемых </w:t>
      </w:r>
      <w:r w:rsidRPr="007D3AA7">
        <w:rPr>
          <w:rFonts w:ascii="Times New Roman" w:eastAsiaTheme="minorEastAsia" w:hAnsi="Times New Roman" w:cstheme="minorBidi"/>
          <w:color w:val="000000"/>
          <w:sz w:val="28"/>
          <w:szCs w:val="28"/>
          <w:lang w:bidi="ru-RU"/>
        </w:rPr>
        <w:t>во</w:t>
      </w:r>
      <w:r w:rsidRPr="007D3AA7">
        <w:rPr>
          <w:rFonts w:ascii="Times New Roman" w:eastAsiaTheme="minorEastAsia" w:hAnsi="Times New Roman" w:cstheme="minorBidi"/>
          <w:sz w:val="28"/>
          <w:szCs w:val="28"/>
        </w:rPr>
        <w:t xml:space="preserve"> </w:t>
      </w:r>
      <w:r w:rsidRPr="007D3AA7">
        <w:rPr>
          <w:rFonts w:ascii="Times New Roman" w:eastAsiaTheme="minorEastAsia" w:hAnsi="Times New Roman" w:cstheme="minorBidi"/>
          <w:sz w:val="28"/>
          <w:szCs w:val="28"/>
          <w:lang w:val="en-US"/>
        </w:rPr>
        <w:t>II</w:t>
      </w:r>
      <w:r w:rsidRPr="007D3AA7">
        <w:rPr>
          <w:rFonts w:ascii="Times New Roman" w:eastAsiaTheme="minorEastAsia" w:hAnsi="Times New Roman" w:cstheme="minorBidi"/>
          <w:sz w:val="28"/>
          <w:szCs w:val="28"/>
        </w:rPr>
        <w:t xml:space="preserve"> полугодии 2017 года;</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rPr>
        <w:t xml:space="preserve">е) для </w:t>
      </w:r>
      <w:r w:rsidRPr="007D3AA7">
        <w:rPr>
          <w:rFonts w:ascii="Times New Roman" w:eastAsiaTheme="minorEastAsia" w:hAnsi="Times New Roman" w:cstheme="minorBidi"/>
          <w:sz w:val="28"/>
          <w:szCs w:val="28"/>
          <w:lang w:eastAsia="en-US"/>
        </w:rPr>
        <w:t xml:space="preserve">организаций, осуществляющих производство промышленной и (или) </w:t>
      </w:r>
      <w:r w:rsidRPr="007D3AA7">
        <w:rPr>
          <w:rFonts w:ascii="Times New Roman" w:eastAsiaTheme="minorEastAsia" w:hAnsi="Times New Roman" w:cstheme="minorBidi"/>
          <w:sz w:val="28"/>
          <w:szCs w:val="28"/>
          <w:lang w:eastAsia="en-US"/>
        </w:rPr>
        <w:lastRenderedPageBreak/>
        <w:t xml:space="preserve">сельскохозяйственной продукции,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70%, </w:t>
      </w:r>
      <w:r w:rsidRPr="007D3AA7">
        <w:rPr>
          <w:rFonts w:ascii="Times New Roman" w:eastAsiaTheme="minorEastAsia" w:hAnsi="Times New Roman" w:cstheme="minorBidi"/>
          <w:color w:val="000000"/>
          <w:sz w:val="28"/>
          <w:szCs w:val="28"/>
          <w:lang w:bidi="ru-RU"/>
        </w:rPr>
        <w:t>тарифы</w:t>
      </w:r>
      <w:r w:rsidRPr="007D3AA7">
        <w:rPr>
          <w:rFonts w:ascii="Times New Roman" w:eastAsiaTheme="minorEastAsia" w:hAnsi="Times New Roman" w:cstheme="minorBidi"/>
          <w:sz w:val="28"/>
          <w:szCs w:val="28"/>
          <w:lang w:eastAsia="en-US"/>
        </w:rPr>
        <w:t xml:space="preserve"> установлены в размерах:</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lang w:eastAsia="en-US"/>
        </w:rPr>
        <w:t xml:space="preserve">- присоединенным к передающим сетям – </w:t>
      </w:r>
      <w:r w:rsidRPr="007D3AA7">
        <w:rPr>
          <w:rFonts w:ascii="Times New Roman" w:eastAsiaTheme="minorEastAsia" w:hAnsi="Times New Roman" w:cstheme="minorBidi"/>
          <w:color w:val="000000"/>
          <w:sz w:val="28"/>
          <w:szCs w:val="28"/>
          <w:lang w:bidi="ru-RU"/>
        </w:rPr>
        <w:t>применяемый тариф</w:t>
      </w:r>
      <w:r w:rsidRPr="007D3AA7">
        <w:rPr>
          <w:rFonts w:ascii="Times New Roman" w:eastAsiaTheme="minorEastAsia" w:hAnsi="Times New Roman" w:cstheme="minorBidi"/>
          <w:sz w:val="28"/>
          <w:szCs w:val="28"/>
          <w:lang w:eastAsia="en-US"/>
        </w:rPr>
        <w:t xml:space="preserve"> составил 0,87 руб. за 1 </w:t>
      </w:r>
      <w:r w:rsidRPr="007D3AA7">
        <w:rPr>
          <w:rFonts w:ascii="Times New Roman" w:eastAsiaTheme="minorEastAsia" w:hAnsi="Times New Roman" w:cstheme="minorBidi"/>
          <w:sz w:val="28"/>
          <w:szCs w:val="28"/>
        </w:rPr>
        <w:t xml:space="preserve">кВт. ч </w:t>
      </w:r>
      <w:r w:rsidRPr="007D3AA7">
        <w:rPr>
          <w:rFonts w:ascii="Times New Roman" w:eastAsiaTheme="minorEastAsia" w:hAnsi="Times New Roman" w:cstheme="minorBidi"/>
          <w:sz w:val="28"/>
          <w:szCs w:val="28"/>
          <w:lang w:eastAsia="en-US"/>
        </w:rPr>
        <w:t>(+20,8% к уровню II полугодия 2017 года), что на 12,1% ниже предельного тарифа, утвержденного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lang w:eastAsia="en-US"/>
        </w:rPr>
        <w:t xml:space="preserve">- присоединенным к распределительным сетям – </w:t>
      </w:r>
      <w:r w:rsidRPr="007D3AA7">
        <w:rPr>
          <w:rFonts w:ascii="Times New Roman" w:eastAsiaTheme="minorEastAsia" w:hAnsi="Times New Roman" w:cstheme="minorBidi"/>
          <w:color w:val="000000"/>
          <w:sz w:val="28"/>
          <w:szCs w:val="28"/>
          <w:lang w:bidi="ru-RU"/>
        </w:rPr>
        <w:t>применяемый тариф</w:t>
      </w:r>
      <w:r w:rsidRPr="007D3AA7">
        <w:rPr>
          <w:rFonts w:ascii="Times New Roman" w:eastAsiaTheme="minorEastAsia" w:hAnsi="Times New Roman" w:cstheme="minorBidi"/>
          <w:sz w:val="28"/>
          <w:szCs w:val="28"/>
          <w:lang w:eastAsia="en-US"/>
        </w:rPr>
        <w:t xml:space="preserve"> установлен на уровне 1,12 руб. за 1 </w:t>
      </w:r>
      <w:r w:rsidRPr="007D3AA7">
        <w:rPr>
          <w:rFonts w:ascii="Times New Roman" w:eastAsiaTheme="minorEastAsia" w:hAnsi="Times New Roman" w:cstheme="minorBidi"/>
          <w:sz w:val="28"/>
          <w:szCs w:val="28"/>
        </w:rPr>
        <w:t xml:space="preserve">кВт. ч </w:t>
      </w:r>
      <w:r w:rsidRPr="007D3AA7">
        <w:rPr>
          <w:rFonts w:ascii="Times New Roman" w:eastAsiaTheme="minorEastAsia" w:hAnsi="Times New Roman" w:cstheme="minorBidi"/>
          <w:sz w:val="28"/>
          <w:szCs w:val="28"/>
          <w:lang w:eastAsia="en-US"/>
        </w:rPr>
        <w:t>(+14,3% к уровню II полугодия 2017 года), что на 9,0% ниже предельного тарифа, утвержденного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color w:val="000000"/>
          <w:sz w:val="28"/>
          <w:szCs w:val="28"/>
          <w:lang w:bidi="ru-RU"/>
        </w:rPr>
      </w:pPr>
      <w:r w:rsidRPr="007D3AA7">
        <w:rPr>
          <w:rFonts w:ascii="Times New Roman" w:eastAsiaTheme="minorEastAsia" w:hAnsi="Times New Roman" w:cstheme="minorBidi"/>
          <w:sz w:val="28"/>
          <w:szCs w:val="28"/>
        </w:rPr>
        <w:t xml:space="preserve">ж) </w:t>
      </w:r>
      <w:r w:rsidRPr="007D3AA7">
        <w:rPr>
          <w:rFonts w:ascii="Times New Roman" w:eastAsiaTheme="minorEastAsia" w:hAnsi="Times New Roman" w:cstheme="minorBidi"/>
          <w:color w:val="000000"/>
          <w:sz w:val="28"/>
          <w:szCs w:val="28"/>
          <w:lang w:bidi="ru-RU"/>
        </w:rPr>
        <w:t xml:space="preserve">для организаций, осуществляющих производство мяса (выращивание скота, птиц), молока, куриных яиц, переработку мясомолочного сырья, в общем объеме дохода от продаж (выручки) или в общем объеме произведенной (выполненных, оказанных) продукции (работ, услуг) которых доля дохода от продаж (выручки) или доля объема произведенной продукции собственного производства по итогам последнего отчетного периода составляет не менее 50%, тарифы составили: </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lang w:eastAsia="en-US"/>
        </w:rPr>
        <w:t xml:space="preserve">- присоединенным к передающим сетям – </w:t>
      </w:r>
      <w:r w:rsidRPr="007D3AA7">
        <w:rPr>
          <w:rFonts w:ascii="Times New Roman" w:eastAsiaTheme="minorEastAsia" w:hAnsi="Times New Roman" w:cstheme="minorBidi"/>
          <w:color w:val="000000"/>
          <w:sz w:val="28"/>
          <w:szCs w:val="28"/>
          <w:lang w:bidi="ru-RU"/>
        </w:rPr>
        <w:t>применяемый тариф</w:t>
      </w:r>
      <w:r w:rsidRPr="007D3AA7">
        <w:rPr>
          <w:rFonts w:ascii="Times New Roman" w:eastAsiaTheme="minorEastAsia" w:hAnsi="Times New Roman" w:cstheme="minorBidi"/>
          <w:sz w:val="28"/>
          <w:szCs w:val="28"/>
          <w:lang w:eastAsia="en-US"/>
        </w:rPr>
        <w:t xml:space="preserve"> установлен на уровне 0,66 руб. за 1 </w:t>
      </w:r>
      <w:r w:rsidRPr="007D3AA7">
        <w:rPr>
          <w:rFonts w:ascii="Times New Roman" w:eastAsiaTheme="minorEastAsia" w:hAnsi="Times New Roman" w:cstheme="minorBidi"/>
          <w:sz w:val="28"/>
          <w:szCs w:val="28"/>
        </w:rPr>
        <w:t xml:space="preserve">кВт. ч </w:t>
      </w:r>
      <w:r w:rsidRPr="007D3AA7">
        <w:rPr>
          <w:rFonts w:ascii="Times New Roman" w:eastAsiaTheme="minorEastAsia" w:hAnsi="Times New Roman" w:cstheme="minorBidi"/>
          <w:sz w:val="28"/>
          <w:szCs w:val="28"/>
          <w:lang w:eastAsia="en-US"/>
        </w:rPr>
        <w:t xml:space="preserve">(+15,8% к уровню II полугодия 2017 года), что на </w:t>
      </w:r>
      <w:r w:rsidR="00882C8B">
        <w:rPr>
          <w:rFonts w:ascii="Times New Roman" w:eastAsiaTheme="minorEastAsia" w:hAnsi="Times New Roman" w:cstheme="minorBidi"/>
          <w:sz w:val="28"/>
          <w:szCs w:val="28"/>
          <w:lang w:eastAsia="en-US"/>
        </w:rPr>
        <w:t>33,3</w:t>
      </w:r>
      <w:r w:rsidRPr="007D3AA7">
        <w:rPr>
          <w:rFonts w:ascii="Times New Roman" w:eastAsiaTheme="minorEastAsia" w:hAnsi="Times New Roman" w:cstheme="minorBidi"/>
          <w:sz w:val="28"/>
          <w:szCs w:val="28"/>
          <w:lang w:eastAsia="en-US"/>
        </w:rPr>
        <w:t>% ниже предельного тарифа, утвержденного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lang w:eastAsia="en-US"/>
        </w:rPr>
        <w:t xml:space="preserve">- присоединенным к распределительным сетям – </w:t>
      </w:r>
      <w:r w:rsidRPr="007D3AA7">
        <w:rPr>
          <w:rFonts w:ascii="Times New Roman" w:eastAsiaTheme="minorEastAsia" w:hAnsi="Times New Roman" w:cstheme="minorBidi"/>
          <w:color w:val="000000"/>
          <w:sz w:val="28"/>
          <w:szCs w:val="28"/>
          <w:lang w:bidi="ru-RU"/>
        </w:rPr>
        <w:t>применяемый тариф</w:t>
      </w:r>
      <w:r w:rsidRPr="007D3AA7">
        <w:rPr>
          <w:rFonts w:ascii="Times New Roman" w:eastAsiaTheme="minorEastAsia" w:hAnsi="Times New Roman" w:cstheme="minorBidi"/>
          <w:sz w:val="28"/>
          <w:szCs w:val="28"/>
          <w:lang w:eastAsia="en-US"/>
        </w:rPr>
        <w:t xml:space="preserve"> установлен в размере 0,90 руб. за 1 </w:t>
      </w:r>
      <w:r w:rsidRPr="007D3AA7">
        <w:rPr>
          <w:rFonts w:ascii="Times New Roman" w:eastAsiaTheme="minorEastAsia" w:hAnsi="Times New Roman" w:cstheme="minorBidi"/>
          <w:sz w:val="28"/>
          <w:szCs w:val="28"/>
        </w:rPr>
        <w:t xml:space="preserve">кВт. ч </w:t>
      </w:r>
      <w:r w:rsidRPr="007D3AA7">
        <w:rPr>
          <w:rFonts w:ascii="Times New Roman" w:eastAsiaTheme="minorEastAsia" w:hAnsi="Times New Roman" w:cstheme="minorBidi"/>
          <w:sz w:val="28"/>
          <w:szCs w:val="28"/>
          <w:lang w:eastAsia="en-US"/>
        </w:rPr>
        <w:t>(+8,4% к уровню II полугодия 2017 года), что на 26,8% ниже предельного тарифа, утвержденного на 2018 год;</w:t>
      </w:r>
    </w:p>
    <w:p w:rsidR="007D3AA7" w:rsidRPr="007D3AA7" w:rsidRDefault="007D3AA7" w:rsidP="007D3AA7">
      <w:pPr>
        <w:tabs>
          <w:tab w:val="left" w:pos="993"/>
        </w:tabs>
        <w:spacing w:after="0" w:line="240" w:lineRule="auto"/>
        <w:ind w:firstLine="426"/>
        <w:jc w:val="both"/>
        <w:rPr>
          <w:rFonts w:ascii="Times New Roman" w:hAnsi="Times New Roman"/>
          <w:sz w:val="28"/>
          <w:szCs w:val="28"/>
          <w:lang w:eastAsia="en-US"/>
        </w:rPr>
      </w:pPr>
      <w:r w:rsidRPr="007D3AA7">
        <w:rPr>
          <w:rFonts w:ascii="Times New Roman" w:hAnsi="Times New Roman"/>
          <w:sz w:val="28"/>
          <w:szCs w:val="28"/>
        </w:rPr>
        <w:t xml:space="preserve">з) </w:t>
      </w:r>
      <w:r w:rsidRPr="007D3AA7">
        <w:rPr>
          <w:rFonts w:ascii="Times New Roman" w:hAnsi="Times New Roman"/>
          <w:bCs/>
          <w:sz w:val="28"/>
          <w:szCs w:val="28"/>
        </w:rPr>
        <w:t xml:space="preserve">для </w:t>
      </w:r>
      <w:r w:rsidRPr="007D3AA7">
        <w:rPr>
          <w:rFonts w:ascii="Times New Roman" w:hAnsi="Times New Roman"/>
          <w:sz w:val="28"/>
          <w:szCs w:val="28"/>
          <w:lang w:eastAsia="en-US"/>
        </w:rPr>
        <w:t>промышленных предприятий, осуществляющих экспорт продукции, произведённой на территории Приднестровской Молдавской Республики, основной вид деятельности которых: электротехническая промышленность, химическая промышленность, цементно-шиферная промышленность, черная металлургия, текстильная промышленность с численностью работников на предприятии от 500 до 1 000 человек тарифы составили:</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lang w:eastAsia="en-US"/>
        </w:rPr>
        <w:t xml:space="preserve">- присоединенным к передающим сетям – </w:t>
      </w:r>
      <w:r w:rsidRPr="007D3AA7">
        <w:rPr>
          <w:rFonts w:ascii="Times New Roman" w:eastAsiaTheme="minorEastAsia" w:hAnsi="Times New Roman" w:cstheme="minorBidi"/>
          <w:color w:val="000000"/>
          <w:sz w:val="28"/>
          <w:szCs w:val="28"/>
          <w:lang w:bidi="ru-RU"/>
        </w:rPr>
        <w:t>применяемый тариф</w:t>
      </w:r>
      <w:r w:rsidRPr="007D3AA7">
        <w:rPr>
          <w:rFonts w:ascii="Times New Roman" w:eastAsiaTheme="minorEastAsia" w:hAnsi="Times New Roman" w:cstheme="minorBidi"/>
          <w:sz w:val="28"/>
          <w:szCs w:val="28"/>
          <w:lang w:eastAsia="en-US"/>
        </w:rPr>
        <w:t xml:space="preserve"> установлен на уровне 0,43 руб. за 1 </w:t>
      </w:r>
      <w:r w:rsidRPr="007D3AA7">
        <w:rPr>
          <w:rFonts w:ascii="Times New Roman" w:eastAsiaTheme="minorEastAsia" w:hAnsi="Times New Roman" w:cstheme="minorBidi"/>
          <w:sz w:val="28"/>
          <w:szCs w:val="28"/>
        </w:rPr>
        <w:t xml:space="preserve">кВт. ч </w:t>
      </w:r>
      <w:r w:rsidRPr="007D3AA7">
        <w:rPr>
          <w:rFonts w:ascii="Times New Roman" w:eastAsiaTheme="minorEastAsia" w:hAnsi="Times New Roman" w:cstheme="minorBidi"/>
          <w:sz w:val="28"/>
          <w:szCs w:val="28"/>
          <w:lang w:eastAsia="en-US"/>
        </w:rPr>
        <w:t>(+2,4% к уровню II полугодия 2017</w:t>
      </w:r>
      <w:r w:rsidRPr="007D3AA7">
        <w:rPr>
          <w:rFonts w:asciiTheme="minorHAnsi" w:eastAsiaTheme="minorEastAsia" w:hAnsiTheme="minorHAnsi" w:cstheme="minorBidi"/>
        </w:rPr>
        <w:t xml:space="preserve"> </w:t>
      </w:r>
      <w:r w:rsidRPr="007D3AA7">
        <w:rPr>
          <w:rFonts w:ascii="Times New Roman" w:eastAsiaTheme="minorEastAsia" w:hAnsi="Times New Roman" w:cstheme="minorBidi"/>
          <w:sz w:val="28"/>
          <w:szCs w:val="28"/>
          <w:lang w:eastAsia="en-US"/>
        </w:rPr>
        <w:t>года), что на 56,6% ниже предельного тарифа, утвержденного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lang w:eastAsia="en-US"/>
        </w:rPr>
        <w:t xml:space="preserve">- присоединенным к распределительным сетям – </w:t>
      </w:r>
      <w:r w:rsidRPr="007D3AA7">
        <w:rPr>
          <w:rFonts w:ascii="Times New Roman" w:eastAsiaTheme="minorEastAsia" w:hAnsi="Times New Roman" w:cstheme="minorBidi"/>
          <w:color w:val="000000"/>
          <w:sz w:val="28"/>
          <w:szCs w:val="28"/>
          <w:lang w:bidi="ru-RU"/>
        </w:rPr>
        <w:t>применяемый тариф</w:t>
      </w:r>
      <w:r w:rsidRPr="007D3AA7">
        <w:rPr>
          <w:rFonts w:ascii="Times New Roman" w:eastAsiaTheme="minorEastAsia" w:hAnsi="Times New Roman" w:cstheme="minorBidi"/>
          <w:sz w:val="28"/>
          <w:szCs w:val="28"/>
          <w:lang w:eastAsia="en-US"/>
        </w:rPr>
        <w:t xml:space="preserve"> установлен в размере 0,67 руб. за 1 </w:t>
      </w:r>
      <w:r w:rsidRPr="007D3AA7">
        <w:rPr>
          <w:rFonts w:ascii="Times New Roman" w:eastAsiaTheme="minorEastAsia" w:hAnsi="Times New Roman" w:cstheme="minorBidi"/>
          <w:sz w:val="28"/>
          <w:szCs w:val="28"/>
        </w:rPr>
        <w:t xml:space="preserve">кВт. ч </w:t>
      </w:r>
      <w:r w:rsidRPr="007D3AA7">
        <w:rPr>
          <w:rFonts w:ascii="Times New Roman" w:eastAsiaTheme="minorEastAsia" w:hAnsi="Times New Roman" w:cstheme="minorBidi"/>
          <w:sz w:val="28"/>
          <w:szCs w:val="28"/>
          <w:lang w:eastAsia="en-US"/>
        </w:rPr>
        <w:t>(+1,5% к уровню II полугодия 2017 года), что на 45,5% ниже предельного тарифа, утвержденного на 2018 год;</w:t>
      </w:r>
    </w:p>
    <w:p w:rsidR="007D3AA7" w:rsidRPr="007D3AA7" w:rsidRDefault="007D3AA7" w:rsidP="007D3AA7">
      <w:pPr>
        <w:tabs>
          <w:tab w:val="left" w:pos="993"/>
        </w:tabs>
        <w:spacing w:after="0" w:line="240" w:lineRule="auto"/>
        <w:ind w:firstLine="426"/>
        <w:jc w:val="both"/>
        <w:rPr>
          <w:rFonts w:ascii="Times New Roman" w:hAnsi="Times New Roman"/>
          <w:sz w:val="28"/>
          <w:szCs w:val="28"/>
          <w:lang w:eastAsia="en-US"/>
        </w:rPr>
      </w:pPr>
      <w:r w:rsidRPr="007D3AA7">
        <w:rPr>
          <w:rFonts w:ascii="Times New Roman" w:hAnsi="Times New Roman"/>
          <w:sz w:val="28"/>
          <w:szCs w:val="28"/>
        </w:rPr>
        <w:t xml:space="preserve">и) для промышленных предприятий, осуществляющих экспорт продукции, произведённой на территории Приднестровской Молдавской Республики, основной вид деятельности которых: электротехническая промышленность, химическая промышленность, цементно-шиферная промышленность, черная металлургия, текстильная промышленность с численностью работников на предприятии свыше 1 000 человек </w:t>
      </w:r>
      <w:r w:rsidRPr="007D3AA7">
        <w:rPr>
          <w:rFonts w:ascii="Times New Roman" w:hAnsi="Times New Roman"/>
          <w:sz w:val="28"/>
          <w:szCs w:val="28"/>
          <w:lang w:eastAsia="en-US"/>
        </w:rPr>
        <w:t>тарифы составили:</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lang w:eastAsia="en-US"/>
        </w:rPr>
        <w:t xml:space="preserve">- присоединенным к передающим сетям – </w:t>
      </w:r>
      <w:r w:rsidRPr="007D3AA7">
        <w:rPr>
          <w:rFonts w:ascii="Times New Roman" w:eastAsiaTheme="minorEastAsia" w:hAnsi="Times New Roman" w:cstheme="minorBidi"/>
          <w:color w:val="000000"/>
          <w:sz w:val="28"/>
          <w:szCs w:val="28"/>
          <w:lang w:bidi="ru-RU"/>
        </w:rPr>
        <w:t>применяемый тариф</w:t>
      </w:r>
      <w:r w:rsidRPr="007D3AA7">
        <w:rPr>
          <w:rFonts w:ascii="Times New Roman" w:eastAsiaTheme="minorEastAsia" w:hAnsi="Times New Roman" w:cstheme="minorBidi"/>
          <w:sz w:val="28"/>
          <w:szCs w:val="28"/>
          <w:lang w:eastAsia="en-US"/>
        </w:rPr>
        <w:t xml:space="preserve"> установлен на уровне 0,35 руб. за 1 </w:t>
      </w:r>
      <w:r w:rsidRPr="007D3AA7">
        <w:rPr>
          <w:rFonts w:ascii="Times New Roman" w:eastAsiaTheme="minorEastAsia" w:hAnsi="Times New Roman" w:cstheme="minorBidi"/>
          <w:sz w:val="28"/>
          <w:szCs w:val="28"/>
        </w:rPr>
        <w:t xml:space="preserve">кВт. ч </w:t>
      </w:r>
      <w:r w:rsidRPr="007D3AA7">
        <w:rPr>
          <w:rFonts w:ascii="Times New Roman" w:eastAsiaTheme="minorEastAsia" w:hAnsi="Times New Roman" w:cstheme="minorBidi"/>
          <w:sz w:val="28"/>
          <w:szCs w:val="28"/>
          <w:lang w:eastAsia="en-US"/>
        </w:rPr>
        <w:t>(+20,7% к уровню II полугодия 2017</w:t>
      </w:r>
      <w:r w:rsidRPr="007D3AA7">
        <w:rPr>
          <w:rFonts w:asciiTheme="minorHAnsi" w:eastAsiaTheme="minorEastAsia" w:hAnsiTheme="minorHAnsi" w:cstheme="minorBidi"/>
        </w:rPr>
        <w:t xml:space="preserve"> </w:t>
      </w:r>
      <w:r w:rsidRPr="007D3AA7">
        <w:rPr>
          <w:rFonts w:ascii="Times New Roman" w:eastAsiaTheme="minorEastAsia" w:hAnsi="Times New Roman" w:cstheme="minorBidi"/>
          <w:sz w:val="28"/>
          <w:szCs w:val="28"/>
          <w:lang w:eastAsia="en-US"/>
        </w:rPr>
        <w:t>года), что на 64,7% ниже предельного тарифа, утвержденного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lang w:eastAsia="en-US"/>
        </w:rPr>
        <w:t xml:space="preserve">- присоединенным к распределительным сетям – </w:t>
      </w:r>
      <w:r w:rsidRPr="007D3AA7">
        <w:rPr>
          <w:rFonts w:ascii="Times New Roman" w:eastAsiaTheme="minorEastAsia" w:hAnsi="Times New Roman" w:cstheme="minorBidi"/>
          <w:color w:val="000000"/>
          <w:sz w:val="28"/>
          <w:szCs w:val="28"/>
          <w:lang w:bidi="ru-RU"/>
        </w:rPr>
        <w:t>применяемый тариф</w:t>
      </w:r>
      <w:r w:rsidRPr="007D3AA7">
        <w:rPr>
          <w:rFonts w:ascii="Times New Roman" w:eastAsiaTheme="minorEastAsia" w:hAnsi="Times New Roman" w:cstheme="minorBidi"/>
          <w:sz w:val="28"/>
          <w:szCs w:val="28"/>
          <w:lang w:eastAsia="en-US"/>
        </w:rPr>
        <w:t xml:space="preserve"> установлен в размере 0,60 руб. за 1 </w:t>
      </w:r>
      <w:r w:rsidRPr="007D3AA7">
        <w:rPr>
          <w:rFonts w:ascii="Times New Roman" w:eastAsiaTheme="minorEastAsia" w:hAnsi="Times New Roman" w:cstheme="minorBidi"/>
          <w:sz w:val="28"/>
          <w:szCs w:val="28"/>
        </w:rPr>
        <w:t xml:space="preserve">кВт. ч </w:t>
      </w:r>
      <w:r w:rsidRPr="007D3AA7">
        <w:rPr>
          <w:rFonts w:ascii="Times New Roman" w:eastAsiaTheme="minorEastAsia" w:hAnsi="Times New Roman" w:cstheme="minorBidi"/>
          <w:sz w:val="28"/>
          <w:szCs w:val="28"/>
          <w:lang w:eastAsia="en-US"/>
        </w:rPr>
        <w:t xml:space="preserve">(+13,2% к уровню II полугодия 2017 года), что на </w:t>
      </w:r>
      <w:r w:rsidR="00882C8B">
        <w:rPr>
          <w:rFonts w:ascii="Times New Roman" w:eastAsiaTheme="minorEastAsia" w:hAnsi="Times New Roman" w:cstheme="minorBidi"/>
          <w:sz w:val="28"/>
          <w:szCs w:val="28"/>
          <w:lang w:eastAsia="en-US"/>
        </w:rPr>
        <w:t>51,2</w:t>
      </w:r>
      <w:r w:rsidRPr="007D3AA7">
        <w:rPr>
          <w:rFonts w:ascii="Times New Roman" w:eastAsiaTheme="minorEastAsia" w:hAnsi="Times New Roman" w:cstheme="minorBidi"/>
          <w:sz w:val="28"/>
          <w:szCs w:val="28"/>
          <w:lang w:eastAsia="en-US"/>
        </w:rPr>
        <w:t>% ниже предельного тарифа, утвержденного на 2018 год;</w:t>
      </w:r>
    </w:p>
    <w:p w:rsidR="007D3AA7" w:rsidRPr="007D3AA7" w:rsidRDefault="007D3AA7" w:rsidP="007D3AA7">
      <w:pPr>
        <w:tabs>
          <w:tab w:val="left" w:pos="993"/>
        </w:tabs>
        <w:spacing w:after="0" w:line="240" w:lineRule="auto"/>
        <w:ind w:firstLine="426"/>
        <w:jc w:val="both"/>
        <w:rPr>
          <w:rFonts w:ascii="Times New Roman" w:hAnsi="Times New Roman"/>
          <w:sz w:val="28"/>
          <w:szCs w:val="28"/>
          <w:lang w:eastAsia="en-US"/>
        </w:rPr>
      </w:pPr>
      <w:r w:rsidRPr="007D3AA7">
        <w:rPr>
          <w:rFonts w:ascii="Times New Roman" w:hAnsi="Times New Roman"/>
          <w:sz w:val="28"/>
          <w:szCs w:val="28"/>
          <w:lang w:eastAsia="en-US"/>
        </w:rPr>
        <w:lastRenderedPageBreak/>
        <w:t xml:space="preserve">к) </w:t>
      </w:r>
      <w:r w:rsidRPr="007D3AA7">
        <w:rPr>
          <w:rFonts w:ascii="Times New Roman" w:hAnsi="Times New Roman"/>
          <w:bCs/>
          <w:sz w:val="28"/>
          <w:szCs w:val="28"/>
        </w:rPr>
        <w:t xml:space="preserve">для промышленных и прочих потребителей </w:t>
      </w:r>
      <w:r w:rsidRPr="007D3AA7">
        <w:rPr>
          <w:rFonts w:ascii="Times New Roman" w:hAnsi="Times New Roman"/>
          <w:sz w:val="28"/>
          <w:szCs w:val="28"/>
          <w:lang w:eastAsia="en-US"/>
        </w:rPr>
        <w:t>тарифы составили:</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lang w:eastAsia="en-US"/>
        </w:rPr>
        <w:t xml:space="preserve">- присоединенным к передающим сетям – </w:t>
      </w:r>
      <w:r w:rsidRPr="007D3AA7">
        <w:rPr>
          <w:rFonts w:ascii="Times New Roman" w:eastAsiaTheme="minorEastAsia" w:hAnsi="Times New Roman" w:cstheme="minorBidi"/>
          <w:color w:val="000000"/>
          <w:sz w:val="28"/>
          <w:szCs w:val="28"/>
          <w:lang w:bidi="ru-RU"/>
        </w:rPr>
        <w:t>применяемый тариф</w:t>
      </w:r>
      <w:r w:rsidRPr="007D3AA7">
        <w:rPr>
          <w:rFonts w:ascii="Times New Roman" w:eastAsiaTheme="minorEastAsia" w:hAnsi="Times New Roman" w:cstheme="minorBidi"/>
          <w:sz w:val="28"/>
          <w:szCs w:val="28"/>
          <w:lang w:eastAsia="en-US"/>
        </w:rPr>
        <w:t xml:space="preserve"> установлен на уровне 0,99 руб. за 1 </w:t>
      </w:r>
      <w:r w:rsidRPr="007D3AA7">
        <w:rPr>
          <w:rFonts w:ascii="Times New Roman" w:eastAsiaTheme="minorEastAsia" w:hAnsi="Times New Roman" w:cstheme="minorBidi"/>
          <w:sz w:val="28"/>
          <w:szCs w:val="28"/>
        </w:rPr>
        <w:t xml:space="preserve">кВт. ч </w:t>
      </w:r>
      <w:r w:rsidRPr="007D3AA7">
        <w:rPr>
          <w:rFonts w:ascii="Times New Roman" w:eastAsiaTheme="minorEastAsia" w:hAnsi="Times New Roman" w:cstheme="minorBidi"/>
          <w:sz w:val="28"/>
          <w:szCs w:val="28"/>
          <w:lang w:eastAsia="en-US"/>
        </w:rPr>
        <w:t>(+23,8% к уровню II полугодия 2017</w:t>
      </w:r>
      <w:r w:rsidRPr="007D3AA7">
        <w:rPr>
          <w:rFonts w:asciiTheme="minorHAnsi" w:eastAsiaTheme="minorEastAsia" w:hAnsiTheme="minorHAnsi" w:cstheme="minorBidi"/>
        </w:rPr>
        <w:t xml:space="preserve"> </w:t>
      </w:r>
      <w:r w:rsidRPr="007D3AA7">
        <w:rPr>
          <w:rFonts w:ascii="Times New Roman" w:eastAsiaTheme="minorEastAsia" w:hAnsi="Times New Roman" w:cstheme="minorBidi"/>
          <w:sz w:val="28"/>
          <w:szCs w:val="28"/>
          <w:lang w:eastAsia="en-US"/>
        </w:rPr>
        <w:t>года) и соответствует предельному тарифу, утвержденному на 2018 год;</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sz w:val="28"/>
          <w:szCs w:val="28"/>
          <w:lang w:eastAsia="en-US"/>
        </w:rPr>
        <w:t xml:space="preserve">- присоединенным к распределительным сетям – </w:t>
      </w:r>
      <w:r w:rsidRPr="007D3AA7">
        <w:rPr>
          <w:rFonts w:ascii="Times New Roman" w:eastAsiaTheme="minorEastAsia" w:hAnsi="Times New Roman" w:cstheme="minorBidi"/>
          <w:color w:val="000000"/>
          <w:sz w:val="28"/>
          <w:szCs w:val="28"/>
          <w:lang w:bidi="ru-RU"/>
        </w:rPr>
        <w:t>применяемый тариф</w:t>
      </w:r>
      <w:r w:rsidRPr="007D3AA7">
        <w:rPr>
          <w:rFonts w:ascii="Times New Roman" w:eastAsiaTheme="minorEastAsia" w:hAnsi="Times New Roman" w:cstheme="minorBidi"/>
          <w:sz w:val="28"/>
          <w:szCs w:val="28"/>
          <w:lang w:eastAsia="en-US"/>
        </w:rPr>
        <w:t xml:space="preserve"> установлен в размере 1,23 руб. за 1 </w:t>
      </w:r>
      <w:r w:rsidRPr="007D3AA7">
        <w:rPr>
          <w:rFonts w:ascii="Times New Roman" w:eastAsiaTheme="minorEastAsia" w:hAnsi="Times New Roman" w:cstheme="minorBidi"/>
          <w:sz w:val="28"/>
          <w:szCs w:val="28"/>
        </w:rPr>
        <w:t xml:space="preserve">кВт. ч </w:t>
      </w:r>
      <w:r w:rsidRPr="007D3AA7">
        <w:rPr>
          <w:rFonts w:ascii="Times New Roman" w:eastAsiaTheme="minorEastAsia" w:hAnsi="Times New Roman" w:cstheme="minorBidi"/>
          <w:sz w:val="28"/>
          <w:szCs w:val="28"/>
          <w:lang w:eastAsia="en-US"/>
        </w:rPr>
        <w:t>(+16,0% к уровню II полугодия 2017 года) и соответствует предельному тарифу, утвержденному на 2018 год.</w:t>
      </w:r>
    </w:p>
    <w:p w:rsidR="007D3AA7" w:rsidRPr="007D3AA7" w:rsidRDefault="007D3AA7" w:rsidP="007D3AA7">
      <w:pPr>
        <w:tabs>
          <w:tab w:val="left" w:pos="567"/>
          <w:tab w:val="left" w:pos="993"/>
          <w:tab w:val="left" w:pos="1276"/>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b/>
          <w:sz w:val="28"/>
          <w:szCs w:val="28"/>
        </w:rPr>
      </w:pPr>
      <w:r w:rsidRPr="007D3AA7">
        <w:rPr>
          <w:rFonts w:ascii="Times New Roman" w:eastAsiaTheme="minorEastAsia" w:hAnsi="Times New Roman" w:cstheme="minorBidi"/>
          <w:b/>
          <w:sz w:val="28"/>
          <w:szCs w:val="28"/>
        </w:rPr>
        <w:t>3. Услуги по снабжению тепловой энергией (отопление и подогрев воды)</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В отчетном периоде применяемые тарифы по снабжению тепловой энергией (отопление) для всех категорий потребителей были доведены до уровня предельных тарифов и представлены следующим образом:</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1) Отопление для бытовых нужд:</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i/>
          <w:sz w:val="28"/>
          <w:szCs w:val="28"/>
        </w:rPr>
        <w:t xml:space="preserve">а) для социальной категории населения, </w:t>
      </w:r>
      <w:r w:rsidRPr="007D3AA7">
        <w:rPr>
          <w:rFonts w:ascii="Times New Roman" w:eastAsiaTheme="minorEastAsia" w:hAnsi="Times New Roman" w:cstheme="minorBidi"/>
          <w:sz w:val="28"/>
          <w:szCs w:val="28"/>
        </w:rPr>
        <w:t xml:space="preserve">по всем городам и районам республики применяемые тарифы, сохранились на уровне </w:t>
      </w:r>
      <w:r w:rsidRPr="007D3AA7">
        <w:rPr>
          <w:rFonts w:ascii="Times New Roman" w:eastAsiaTheme="minorEastAsia" w:hAnsi="Times New Roman" w:cstheme="minorBidi"/>
          <w:sz w:val="28"/>
          <w:szCs w:val="28"/>
          <w:lang w:val="en-US"/>
        </w:rPr>
        <w:t>II</w:t>
      </w:r>
      <w:r w:rsidRPr="007D3AA7">
        <w:rPr>
          <w:rFonts w:ascii="Times New Roman" w:eastAsiaTheme="minorEastAsia" w:hAnsi="Times New Roman" w:cstheme="minorBidi"/>
          <w:sz w:val="28"/>
          <w:szCs w:val="28"/>
        </w:rPr>
        <w:t xml:space="preserve"> полугодия 2017 года, за исключением г. Бендеры и г. Днестровск (в том числе с. Незавертайловка) тарифы, в которых снижены на 3,0% и 10,1% соответственно;</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i/>
          <w:sz w:val="28"/>
          <w:szCs w:val="28"/>
        </w:rPr>
        <w:t>б) для иных физических лиц</w:t>
      </w:r>
      <w:r w:rsidRPr="007D3AA7">
        <w:rPr>
          <w:rFonts w:ascii="Times New Roman" w:eastAsiaTheme="minorEastAsia" w:hAnsi="Times New Roman" w:cstheme="minorBidi"/>
          <w:sz w:val="28"/>
          <w:szCs w:val="28"/>
        </w:rPr>
        <w:t xml:space="preserve">, применяемые тарифы по всем городам и районам республики снижены на 3,1-15,2% к уровню тарифов, действовавших во </w:t>
      </w:r>
      <w:r w:rsidRPr="007D3AA7">
        <w:rPr>
          <w:rFonts w:ascii="Times New Roman" w:eastAsiaTheme="minorEastAsia" w:hAnsi="Times New Roman" w:cstheme="minorBidi"/>
          <w:sz w:val="28"/>
          <w:szCs w:val="28"/>
          <w:lang w:val="en-US"/>
        </w:rPr>
        <w:t>II</w:t>
      </w:r>
      <w:r w:rsidRPr="007D3AA7">
        <w:rPr>
          <w:rFonts w:ascii="Times New Roman" w:eastAsiaTheme="minorEastAsia" w:hAnsi="Times New Roman" w:cstheme="minorBidi"/>
          <w:sz w:val="28"/>
          <w:szCs w:val="28"/>
        </w:rPr>
        <w:t xml:space="preserve"> полугодии 2017 года;</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2) Подогрев воды для бытовых нужд населения при наличии приборов учета расхода горячей воды:</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i/>
          <w:sz w:val="28"/>
          <w:szCs w:val="28"/>
        </w:rPr>
        <w:t>а) для социальной категории населения</w:t>
      </w:r>
      <w:r w:rsidRPr="007D3AA7">
        <w:rPr>
          <w:rFonts w:ascii="Times New Roman" w:eastAsiaTheme="minorEastAsia" w:hAnsi="Times New Roman" w:cstheme="minorBidi"/>
          <w:sz w:val="28"/>
          <w:szCs w:val="28"/>
        </w:rPr>
        <w:t xml:space="preserve">, по всем городам и районам республики применяемые тарифы сохранились на уровне </w:t>
      </w:r>
      <w:r w:rsidRPr="007D3AA7">
        <w:rPr>
          <w:rFonts w:ascii="Times New Roman" w:eastAsiaTheme="minorEastAsia" w:hAnsi="Times New Roman" w:cstheme="minorBidi"/>
          <w:sz w:val="28"/>
          <w:szCs w:val="28"/>
          <w:lang w:val="en-US"/>
        </w:rPr>
        <w:t>II</w:t>
      </w:r>
      <w:r w:rsidRPr="007D3AA7">
        <w:rPr>
          <w:rFonts w:ascii="Times New Roman" w:eastAsiaTheme="minorEastAsia" w:hAnsi="Times New Roman" w:cstheme="minorBidi"/>
          <w:sz w:val="28"/>
          <w:szCs w:val="28"/>
        </w:rPr>
        <w:t xml:space="preserve"> полугодия 2017 года, за исключением г. Бендеры (-3,0%);</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sz w:val="28"/>
          <w:szCs w:val="28"/>
          <w:lang w:eastAsia="en-US"/>
        </w:rPr>
      </w:pPr>
      <w:r w:rsidRPr="007D3AA7">
        <w:rPr>
          <w:rFonts w:ascii="Times New Roman" w:eastAsiaTheme="minorEastAsia" w:hAnsi="Times New Roman" w:cstheme="minorBidi"/>
          <w:i/>
          <w:sz w:val="28"/>
          <w:szCs w:val="28"/>
        </w:rPr>
        <w:t>б) для иных физических лиц</w:t>
      </w:r>
      <w:r w:rsidRPr="007D3AA7">
        <w:rPr>
          <w:rFonts w:ascii="Times New Roman" w:eastAsiaTheme="minorEastAsia" w:hAnsi="Times New Roman" w:cstheme="minorBidi"/>
          <w:sz w:val="28"/>
          <w:szCs w:val="28"/>
        </w:rPr>
        <w:t>, применяемые тарифы по всем городам и районам республики снижены на 3,1%, по г. Бендеры снижение составило 5,9%;</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3) Подогрев воды для бытовых нужд населения при отсутствии приборов учета расхода горячей воды в домах:</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i/>
          <w:sz w:val="28"/>
          <w:szCs w:val="28"/>
        </w:rPr>
        <w:t xml:space="preserve">а) для социальной категории населения, </w:t>
      </w:r>
      <w:r w:rsidRPr="007D3AA7">
        <w:rPr>
          <w:rFonts w:ascii="Times New Roman" w:eastAsiaTheme="minorEastAsia" w:hAnsi="Times New Roman" w:cstheme="minorBidi"/>
          <w:sz w:val="28"/>
          <w:szCs w:val="28"/>
        </w:rPr>
        <w:t>по всем городам и районам республики</w:t>
      </w:r>
      <w:r w:rsidRPr="007D3AA7">
        <w:rPr>
          <w:rFonts w:ascii="Times New Roman" w:eastAsiaTheme="minorEastAsia" w:hAnsi="Times New Roman" w:cstheme="minorBidi"/>
          <w:i/>
          <w:sz w:val="28"/>
          <w:szCs w:val="28"/>
        </w:rPr>
        <w:t xml:space="preserve"> </w:t>
      </w:r>
      <w:r w:rsidRPr="007D3AA7">
        <w:rPr>
          <w:rFonts w:ascii="Times New Roman" w:eastAsiaTheme="minorEastAsia" w:hAnsi="Times New Roman" w:cstheme="minorBidi"/>
          <w:sz w:val="28"/>
          <w:szCs w:val="28"/>
        </w:rPr>
        <w:t xml:space="preserve">применяемые тарифы сохранились на уровне </w:t>
      </w:r>
      <w:r w:rsidRPr="007D3AA7">
        <w:rPr>
          <w:rFonts w:ascii="Times New Roman" w:eastAsiaTheme="minorEastAsia" w:hAnsi="Times New Roman" w:cstheme="minorBidi"/>
          <w:sz w:val="28"/>
          <w:szCs w:val="28"/>
          <w:lang w:val="en-US"/>
        </w:rPr>
        <w:t>II</w:t>
      </w:r>
      <w:r w:rsidRPr="007D3AA7">
        <w:rPr>
          <w:rFonts w:ascii="Times New Roman" w:eastAsiaTheme="minorEastAsia" w:hAnsi="Times New Roman" w:cstheme="minorBidi"/>
          <w:sz w:val="28"/>
          <w:szCs w:val="28"/>
        </w:rPr>
        <w:t xml:space="preserve"> полугодия 2017 года, за исключением г. Бендеры (-3,0%);</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i/>
          <w:sz w:val="28"/>
          <w:szCs w:val="28"/>
        </w:rPr>
        <w:t>б) для иных физических лиц</w:t>
      </w:r>
      <w:r w:rsidRPr="007D3AA7">
        <w:rPr>
          <w:rFonts w:ascii="Times New Roman" w:eastAsiaTheme="minorEastAsia" w:hAnsi="Times New Roman" w:cstheme="minorBidi"/>
          <w:sz w:val="28"/>
          <w:szCs w:val="28"/>
        </w:rPr>
        <w:t>, применяемые тарифы по всем городам и районам республики снижены на 3,1%, по г. Бендеры снижение составило 5,9%;</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 xml:space="preserve">4) Применяемые тарифы на тепловую энергию, отпускаемую организациям и учреждения, финансируемым из бюджетов всех уровней по г. Тирасполь, г. Рыбница, г. Дубоссары, г. Каменка, г. Слободзея,                                  г. Григориополь превысили уровень </w:t>
      </w:r>
      <w:r w:rsidRPr="007D3AA7">
        <w:rPr>
          <w:rFonts w:ascii="Times New Roman" w:eastAsiaTheme="minorEastAsia" w:hAnsi="Times New Roman" w:cstheme="minorBidi"/>
          <w:sz w:val="28"/>
          <w:szCs w:val="28"/>
          <w:lang w:val="en-US"/>
        </w:rPr>
        <w:t>II</w:t>
      </w:r>
      <w:r w:rsidRPr="007D3AA7">
        <w:rPr>
          <w:rFonts w:ascii="Times New Roman" w:eastAsiaTheme="minorEastAsia" w:hAnsi="Times New Roman" w:cstheme="minorBidi"/>
          <w:sz w:val="28"/>
          <w:szCs w:val="28"/>
        </w:rPr>
        <w:t xml:space="preserve"> полугодия 2017 года на 5,6% соответственно, по г. Бендеры увеличение составило 4,7%, по г. Днестровск (в том числе с. Незавертайловка) тариф снижен на 4,9%.</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 xml:space="preserve">5) Применяемые тарифы на тепловую энергию, отпускаемую промышленным и прочим потребителям, возросли к уровню </w:t>
      </w:r>
      <w:r w:rsidRPr="007D3AA7">
        <w:rPr>
          <w:rFonts w:ascii="Times New Roman" w:eastAsiaTheme="minorEastAsia" w:hAnsi="Times New Roman" w:cstheme="minorBidi"/>
          <w:sz w:val="28"/>
          <w:szCs w:val="28"/>
          <w:lang w:val="en-US"/>
        </w:rPr>
        <w:t>II</w:t>
      </w:r>
      <w:r w:rsidRPr="007D3AA7">
        <w:rPr>
          <w:rFonts w:ascii="Times New Roman" w:eastAsiaTheme="minorEastAsia" w:hAnsi="Times New Roman" w:cstheme="minorBidi"/>
          <w:sz w:val="28"/>
          <w:szCs w:val="28"/>
        </w:rPr>
        <w:t xml:space="preserve"> полугодия 2017 года:</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 по г. Тирасполь, г. Рыбница, г. Дубоссары, г. Каменка, г. Слободзея,                                 г. Григориополь – на 28,0%;</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 по г. Бендеры – на 31,6%;</w:t>
      </w:r>
    </w:p>
    <w:p w:rsidR="007D3AA7" w:rsidRPr="007D3AA7" w:rsidRDefault="007D3AA7" w:rsidP="007D3AA7">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lastRenderedPageBreak/>
        <w:t>- по г. Днестровск и с. Незавертайловка – на 45,6%.</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b/>
          <w:sz w:val="28"/>
          <w:szCs w:val="28"/>
        </w:rPr>
      </w:pPr>
      <w:r w:rsidRPr="007D3AA7">
        <w:rPr>
          <w:rFonts w:ascii="Times New Roman" w:eastAsiaTheme="minorEastAsia" w:hAnsi="Times New Roman" w:cstheme="minorBidi"/>
          <w:b/>
          <w:sz w:val="28"/>
          <w:szCs w:val="28"/>
        </w:rPr>
        <w:t>4</w:t>
      </w:r>
      <w:r w:rsidRPr="007D3AA7">
        <w:rPr>
          <w:rFonts w:ascii="Times New Roman" w:eastAsiaTheme="minorEastAsia" w:hAnsi="Times New Roman" w:cstheme="minorBidi"/>
          <w:sz w:val="28"/>
          <w:szCs w:val="28"/>
        </w:rPr>
        <w:t xml:space="preserve">. </w:t>
      </w:r>
      <w:r w:rsidRPr="007D3AA7">
        <w:rPr>
          <w:rFonts w:ascii="Times New Roman" w:eastAsiaTheme="minorEastAsia" w:hAnsi="Times New Roman" w:cstheme="minorBidi"/>
          <w:b/>
          <w:sz w:val="28"/>
          <w:szCs w:val="28"/>
        </w:rPr>
        <w:t>Услуги водоснабжения и водоотведения (канализация)</w:t>
      </w:r>
    </w:p>
    <w:p w:rsidR="007D3AA7" w:rsidRPr="007D3AA7" w:rsidRDefault="007D3AA7" w:rsidP="007D3AA7">
      <w:pPr>
        <w:tabs>
          <w:tab w:val="left" w:pos="993"/>
        </w:tabs>
        <w:spacing w:after="0" w:line="240" w:lineRule="auto"/>
        <w:ind w:firstLine="426"/>
        <w:jc w:val="both"/>
        <w:rPr>
          <w:rFonts w:ascii="Times New Roman" w:hAnsi="Times New Roman"/>
          <w:sz w:val="28"/>
          <w:szCs w:val="28"/>
        </w:rPr>
      </w:pPr>
      <w:r w:rsidRPr="007D3AA7">
        <w:rPr>
          <w:rFonts w:ascii="Times New Roman" w:hAnsi="Times New Roman"/>
          <w:sz w:val="28"/>
          <w:szCs w:val="28"/>
        </w:rPr>
        <w:t xml:space="preserve">Применяемые тарифы на услуги водоснабжения и водоотведения (канализация) сохранились на уровне 2017 года и соответствовали уровню предельных тарифов, утвержденных на 2018 год. </w:t>
      </w:r>
    </w:p>
    <w:p w:rsidR="007D3AA7" w:rsidRPr="007D3AA7" w:rsidRDefault="007D3AA7" w:rsidP="007D3AA7">
      <w:pPr>
        <w:widowControl w:val="0"/>
        <w:spacing w:after="0" w:line="240" w:lineRule="auto"/>
        <w:ind w:firstLine="426"/>
        <w:jc w:val="both"/>
        <w:rPr>
          <w:rFonts w:ascii="Times New Roman" w:eastAsiaTheme="minorEastAsia" w:hAnsi="Times New Roman" w:cstheme="minorBidi"/>
          <w:b/>
          <w:sz w:val="28"/>
          <w:szCs w:val="28"/>
        </w:rPr>
      </w:pPr>
      <w:r w:rsidRPr="007D3AA7">
        <w:rPr>
          <w:rFonts w:ascii="Times New Roman" w:eastAsiaTheme="minorEastAsia" w:hAnsi="Times New Roman" w:cstheme="minorBidi"/>
          <w:b/>
          <w:sz w:val="28"/>
          <w:szCs w:val="28"/>
        </w:rPr>
        <w:t>5.</w:t>
      </w:r>
      <w:r w:rsidRPr="007D3AA7">
        <w:rPr>
          <w:rFonts w:ascii="Times New Roman" w:eastAsiaTheme="minorEastAsia" w:hAnsi="Times New Roman" w:cstheme="minorBidi"/>
          <w:sz w:val="28"/>
          <w:szCs w:val="28"/>
        </w:rPr>
        <w:t xml:space="preserve"> </w:t>
      </w:r>
      <w:r w:rsidRPr="007D3AA7">
        <w:rPr>
          <w:rFonts w:ascii="Times New Roman" w:eastAsiaTheme="minorEastAsia" w:hAnsi="Times New Roman" w:cstheme="minorBidi"/>
          <w:b/>
          <w:sz w:val="28"/>
          <w:szCs w:val="28"/>
        </w:rPr>
        <w:t>Услуги на перевозку пассажиров электрическим транспортом и услуги железнодорожного транспорта в местном сообщении</w:t>
      </w:r>
    </w:p>
    <w:p w:rsidR="007D3AA7" w:rsidRPr="007D3AA7" w:rsidRDefault="007D3AA7" w:rsidP="007D3AA7">
      <w:pPr>
        <w:tabs>
          <w:tab w:val="left" w:pos="709"/>
        </w:tabs>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В 2018 году установлен единый предельный уровень тарифа на перевозку пассажиров электрическим транспортом в размере 3 руб. за 1 поездку. При этом, применяемые тарифы на указанные услуги в 2018 году утверждены субъектом ценообразования на уровне 2017 года, что ниже установленных предельных уровней тарифов.</w:t>
      </w:r>
    </w:p>
    <w:p w:rsidR="007D3AA7" w:rsidRPr="007D3AA7" w:rsidRDefault="007D3AA7" w:rsidP="007D3AA7">
      <w:pPr>
        <w:tabs>
          <w:tab w:val="left" w:pos="709"/>
        </w:tabs>
        <w:spacing w:after="0" w:line="240" w:lineRule="auto"/>
        <w:ind w:firstLine="426"/>
        <w:jc w:val="both"/>
        <w:rPr>
          <w:rFonts w:ascii="Times New Roman" w:eastAsiaTheme="minorEastAsia" w:hAnsi="Times New Roman" w:cstheme="minorBidi"/>
          <w:b/>
          <w:sz w:val="28"/>
          <w:szCs w:val="28"/>
        </w:rPr>
      </w:pP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
          <w:bCs/>
          <w:sz w:val="28"/>
          <w:szCs w:val="28"/>
        </w:rPr>
      </w:pPr>
      <w:r w:rsidRPr="007D3AA7">
        <w:rPr>
          <w:rFonts w:ascii="Times New Roman" w:eastAsiaTheme="minorEastAsia" w:hAnsi="Times New Roman" w:cstheme="minorBidi"/>
          <w:b/>
          <w:sz w:val="28"/>
          <w:szCs w:val="28"/>
        </w:rPr>
        <w:t xml:space="preserve">Ценовая и тарифная политика в </w:t>
      </w:r>
      <w:r w:rsidRPr="007D3AA7">
        <w:rPr>
          <w:rFonts w:ascii="Times New Roman" w:eastAsia="MS Mincho" w:hAnsi="Times New Roman" w:cstheme="minorBidi"/>
          <w:b/>
          <w:bCs/>
          <w:sz w:val="28"/>
          <w:szCs w:val="28"/>
        </w:rPr>
        <w:t>сфере социально значимых товаров (работ, услуг)</w:t>
      </w:r>
    </w:p>
    <w:p w:rsidR="007D3AA7" w:rsidRPr="007D3AA7" w:rsidRDefault="007D3AA7" w:rsidP="007D3AA7">
      <w:pPr>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Ценовая и тарифная политика в 2018 году в сфере социально значимых товаров (работ, услуг) сформирована в соответствии с нормами действующего законодательства в области цен (тарифов) и ценообразования, а также с учетом следующих факторов:</w:t>
      </w:r>
    </w:p>
    <w:p w:rsidR="007D3AA7" w:rsidRPr="007D3AA7" w:rsidRDefault="007D3AA7" w:rsidP="007D3AA7">
      <w:pPr>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 изменение цен на сырье и материалы;</w:t>
      </w:r>
    </w:p>
    <w:p w:rsidR="007D3AA7" w:rsidRPr="007D3AA7" w:rsidRDefault="007D3AA7" w:rsidP="007D3AA7">
      <w:pPr>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 изменение тарифов на коммунальные услуги;</w:t>
      </w:r>
    </w:p>
    <w:p w:rsidR="007D3AA7" w:rsidRPr="007D3AA7" w:rsidRDefault="007D3AA7" w:rsidP="007D3AA7">
      <w:pPr>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 влияние инфляционных процессов;</w:t>
      </w:r>
    </w:p>
    <w:p w:rsidR="007D3AA7" w:rsidRPr="007D3AA7" w:rsidRDefault="007D3AA7" w:rsidP="007D3AA7">
      <w:pPr>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 результатов деятельности хозяйствующих субъектов, производящих либо (осуществляющих, оказывающих) социально значимые товары (работы, услуги), фактически сложившихся по итогам работы за прошедшие расчетные периоды регулирования;</w:t>
      </w:r>
    </w:p>
    <w:p w:rsidR="007D3AA7" w:rsidRPr="007D3AA7" w:rsidRDefault="007D3AA7" w:rsidP="007D3AA7">
      <w:pPr>
        <w:spacing w:after="0" w:line="240" w:lineRule="auto"/>
        <w:ind w:firstLine="426"/>
        <w:jc w:val="both"/>
        <w:rPr>
          <w:rFonts w:ascii="Times New Roman" w:hAnsi="Times New Roman"/>
          <w:bCs/>
          <w:sz w:val="28"/>
          <w:szCs w:val="28"/>
        </w:rPr>
      </w:pPr>
      <w:r w:rsidRPr="007D3AA7">
        <w:rPr>
          <w:rFonts w:ascii="Times New Roman" w:hAnsi="Times New Roman"/>
          <w:bCs/>
          <w:sz w:val="28"/>
          <w:szCs w:val="28"/>
        </w:rPr>
        <w:t>- изменения среднегодового минимального размера оплаты труда на соответствующий расчетный период регулирования.</w:t>
      </w:r>
    </w:p>
    <w:p w:rsidR="007D3AA7" w:rsidRPr="007D3AA7" w:rsidRDefault="007D3AA7" w:rsidP="007D3AA7">
      <w:pPr>
        <w:tabs>
          <w:tab w:val="left" w:pos="993"/>
        </w:tabs>
        <w:spacing w:after="0" w:line="240" w:lineRule="auto"/>
        <w:ind w:firstLine="426"/>
        <w:jc w:val="both"/>
        <w:rPr>
          <w:rFonts w:ascii="Times New Roman" w:eastAsia="MS Mincho" w:hAnsi="Times New Roman" w:cstheme="minorBidi"/>
          <w:b/>
          <w:bCs/>
          <w:sz w:val="28"/>
          <w:szCs w:val="28"/>
        </w:rPr>
      </w:pPr>
      <w:r w:rsidRPr="007D3AA7">
        <w:rPr>
          <w:rFonts w:ascii="Times New Roman" w:eastAsia="MS Mincho" w:hAnsi="Times New Roman" w:cstheme="minorBidi"/>
          <w:b/>
          <w:bCs/>
          <w:sz w:val="28"/>
          <w:szCs w:val="28"/>
        </w:rPr>
        <w:t xml:space="preserve">1.  Мука для хлебопечения </w:t>
      </w:r>
    </w:p>
    <w:p w:rsidR="007D3AA7" w:rsidRPr="007D3AA7" w:rsidRDefault="007D3AA7" w:rsidP="007D3AA7">
      <w:pPr>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С 1 декабря 2017 года по 30 ноября 2018 года предельные отпускные цены на муку для хлебопечения по сравнению с предельными отпускными ценами, действовавшими с 1 декабря 2016 года по 30 ноября 2017 года, увеличились:</w:t>
      </w:r>
    </w:p>
    <w:p w:rsidR="007D3AA7" w:rsidRPr="007D3AA7" w:rsidRDefault="007D3AA7" w:rsidP="007D3AA7">
      <w:pPr>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муку пшеничную высшего сорта – на 13,9%;</w:t>
      </w:r>
    </w:p>
    <w:p w:rsidR="007D3AA7" w:rsidRPr="007D3AA7" w:rsidRDefault="007D3AA7" w:rsidP="007D3AA7">
      <w:pPr>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муку пшеничную сорта «Днестровский» – на 15,7%;</w:t>
      </w:r>
    </w:p>
    <w:p w:rsidR="007D3AA7" w:rsidRPr="007D3AA7" w:rsidRDefault="007D3AA7" w:rsidP="007D3AA7">
      <w:pPr>
        <w:tabs>
          <w:tab w:val="left" w:pos="567"/>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муку пшеничную первого сорта – на 9,0%;</w:t>
      </w:r>
    </w:p>
    <w:p w:rsidR="007D3AA7" w:rsidRPr="007D3AA7" w:rsidRDefault="007D3AA7" w:rsidP="007D3AA7">
      <w:pPr>
        <w:tabs>
          <w:tab w:val="left" w:pos="567"/>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муку второго сорта – на 7,0%;</w:t>
      </w:r>
    </w:p>
    <w:p w:rsidR="007D3AA7" w:rsidRPr="007D3AA7" w:rsidRDefault="007D3AA7" w:rsidP="007D3AA7">
      <w:pPr>
        <w:tabs>
          <w:tab w:val="left" w:pos="567"/>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муку пшеничную обойную – на 17,3%;</w:t>
      </w:r>
    </w:p>
    <w:p w:rsidR="007D3AA7" w:rsidRPr="007D3AA7" w:rsidRDefault="007D3AA7" w:rsidP="007D3AA7">
      <w:pPr>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муку ржаную – на 12,7%.</w:t>
      </w:r>
    </w:p>
    <w:p w:rsidR="007D3AA7" w:rsidRPr="007D3AA7" w:rsidRDefault="007D3AA7" w:rsidP="007D3AA7">
      <w:pPr>
        <w:spacing w:after="0" w:line="240" w:lineRule="auto"/>
        <w:ind w:firstLine="426"/>
        <w:jc w:val="both"/>
        <w:rPr>
          <w:rFonts w:ascii="Times New Roman" w:eastAsiaTheme="minorEastAsia" w:hAnsi="Times New Roman" w:cstheme="minorBidi"/>
          <w:sz w:val="28"/>
          <w:szCs w:val="28"/>
        </w:rPr>
      </w:pPr>
      <w:r w:rsidRPr="007D3AA7">
        <w:rPr>
          <w:rFonts w:ascii="Times New Roman" w:eastAsiaTheme="minorEastAsia" w:hAnsi="Times New Roman" w:cstheme="minorBidi"/>
          <w:sz w:val="28"/>
          <w:szCs w:val="28"/>
        </w:rPr>
        <w:t>Увеличение предельных уровней цен на муку для хлебопечения было обусловлено ростом на внутреннем рынке республики стоимости сырья, а именно зерна продовольственной пшеницы урожая 2017 года к уровню 2016 года на 26,7%.</w:t>
      </w:r>
    </w:p>
    <w:p w:rsidR="007D3AA7" w:rsidRPr="007D3AA7" w:rsidRDefault="007D3AA7" w:rsidP="007D3AA7">
      <w:pPr>
        <w:spacing w:after="0" w:line="240" w:lineRule="auto"/>
        <w:ind w:firstLine="426"/>
        <w:jc w:val="both"/>
        <w:rPr>
          <w:rFonts w:ascii="Times New Roman" w:eastAsia="MS Mincho" w:hAnsi="Times New Roman" w:cstheme="minorBidi"/>
          <w:b/>
          <w:bCs/>
          <w:sz w:val="28"/>
          <w:szCs w:val="28"/>
        </w:rPr>
      </w:pPr>
      <w:r w:rsidRPr="007D3AA7">
        <w:rPr>
          <w:rFonts w:ascii="Times New Roman" w:eastAsia="MS Mincho" w:hAnsi="Times New Roman" w:cstheme="minorBidi"/>
          <w:b/>
          <w:bCs/>
          <w:sz w:val="28"/>
          <w:szCs w:val="28"/>
        </w:rPr>
        <w:t>2. Хлеб и хлебобулочные изделия</w:t>
      </w:r>
    </w:p>
    <w:p w:rsidR="007D3AA7" w:rsidRPr="007D3AA7" w:rsidRDefault="007D3AA7" w:rsidP="007D3AA7">
      <w:pPr>
        <w:spacing w:after="0" w:line="240" w:lineRule="auto"/>
        <w:ind w:firstLine="426"/>
        <w:jc w:val="both"/>
        <w:rPr>
          <w:rFonts w:ascii="Times New Roman" w:eastAsia="MS Mincho" w:hAnsi="Times New Roman"/>
          <w:bCs/>
          <w:sz w:val="28"/>
          <w:szCs w:val="28"/>
        </w:rPr>
      </w:pPr>
      <w:r w:rsidRPr="007D3AA7">
        <w:rPr>
          <w:rFonts w:ascii="Times New Roman" w:eastAsia="MS Mincho" w:hAnsi="Times New Roman"/>
          <w:bCs/>
          <w:sz w:val="28"/>
          <w:szCs w:val="28"/>
        </w:rPr>
        <w:t xml:space="preserve">На фоне увеличения предельных отпускных цен на муку для хлебопечения, а также экономически обоснованных затрат производителей хлеба и хлебобулочных изделий с 1 декабря 2017 года по 30 ноября 2018 года, предельные отпускные цены на хлеб и хлебобулочные изделия увеличились от </w:t>
      </w:r>
      <w:r w:rsidRPr="007D3AA7">
        <w:rPr>
          <w:rFonts w:ascii="Times New Roman" w:eastAsia="MS Mincho" w:hAnsi="Times New Roman"/>
          <w:bCs/>
          <w:sz w:val="28"/>
          <w:szCs w:val="28"/>
        </w:rPr>
        <w:lastRenderedPageBreak/>
        <w:t>2,5% до 5,7% по сравнению с расчетным периодом регулирования с 1 декабря 2016 года по 30 ноября 2017 года, за исключением батона «Бендерский» из муки пшеничной высшего сорта производства ГУП «Бендерский хлеб», по которому произошло снижение предельной отпускной цены на 1,6%.</w:t>
      </w:r>
    </w:p>
    <w:p w:rsidR="007D3AA7" w:rsidRPr="007D3AA7" w:rsidRDefault="007D3AA7" w:rsidP="007D3AA7">
      <w:pPr>
        <w:spacing w:after="0" w:line="240" w:lineRule="auto"/>
        <w:ind w:firstLine="426"/>
        <w:jc w:val="both"/>
        <w:rPr>
          <w:rFonts w:ascii="Times New Roman" w:eastAsia="MS Mincho" w:hAnsi="Times New Roman" w:cstheme="minorBidi"/>
          <w:b/>
          <w:bCs/>
          <w:sz w:val="28"/>
          <w:szCs w:val="28"/>
        </w:rPr>
      </w:pPr>
      <w:r w:rsidRPr="007D3AA7">
        <w:rPr>
          <w:rFonts w:ascii="Times New Roman" w:eastAsia="MS Mincho" w:hAnsi="Times New Roman" w:cstheme="minorBidi"/>
          <w:b/>
          <w:bCs/>
          <w:sz w:val="28"/>
          <w:szCs w:val="28"/>
        </w:rPr>
        <w:t>3. Услуги телефонной сети и телеграфной связи</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Предельные уровни тарифов на регулируемые услуги телефонной сети в 2018 году установлены на уровне 2017 года, за исключением тарифа за 1 минуту междугороднего разговора по республике, который увеличился на 5,0%, что связано с защитой интересов потребителей от необоснованного изменения тарифа в сфере, подлежащей государственному регулированию, и обеспечении доступности услуг телефонной сети для потребителей.</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
          <w:bCs/>
          <w:sz w:val="28"/>
          <w:szCs w:val="28"/>
        </w:rPr>
        <w:t xml:space="preserve">4. Услуги почтовой связи </w:t>
      </w:r>
      <w:r w:rsidRPr="007D3AA7">
        <w:rPr>
          <w:rFonts w:ascii="Times New Roman" w:eastAsia="MS Mincho" w:hAnsi="Times New Roman" w:cstheme="minorBidi"/>
          <w:bCs/>
          <w:sz w:val="28"/>
          <w:szCs w:val="28"/>
        </w:rPr>
        <w:t xml:space="preserve">(пересылка письменной корреспонденции, посылок, денежных переводов) </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Фиксированные тарифы на услуги почтовой связи для организаций и учреждений, финансируемых из бюджетов всех уровней, и для физических лиц, установлены на уровне тарифов действующих в 2017 году.</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Предельные уровни тарифов на услуги почтовой связи для прочих организаций и учреждений с 1 января 2018 года увеличились по сравнению с тарифами, действующими в 2017 году в среднем на 0,4%.</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
          <w:bCs/>
          <w:sz w:val="28"/>
          <w:szCs w:val="28"/>
        </w:rPr>
      </w:pPr>
      <w:r w:rsidRPr="007D3AA7">
        <w:rPr>
          <w:rFonts w:ascii="Times New Roman" w:eastAsia="MS Mincho" w:hAnsi="Times New Roman" w:cstheme="minorBidi"/>
          <w:b/>
          <w:bCs/>
          <w:sz w:val="28"/>
          <w:szCs w:val="28"/>
        </w:rPr>
        <w:t>5. Услуги по перевозке пассажиров и багажа автомобильным транспортом общего пользования на регулярных маршрутах и услуги по продаже проездных документов</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В 2018 году тарифы на услугу по перевозке пассажиров и багажа автомобильным транспортом общего пользования на регулярных маршрутах городского сообщения, а также на услугу по перевозке пассажиров и багажа автомобильным транспортом общего пользования на регулярных маршрутах пригородного сообщения установлены на уровне 2017 года.</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Тариф на услугу по перевозке пассажиров и багажа автомобильным транспортом общего пользования на регулярных маршрутах междугороднего сообщения в отчетном периоде увеличился на 16,7% к уровню 2017 года, составив 0,56 руб. за 1 пасс. км.</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Установленный на 2018 год тариф на услугу «Предварительная продажа проездных документов на регулярные маршруты внутриреспубликанского сообщения» соответствует тарифу, установленному на 2017 год в размере 3,70 руб.</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u w:val="single"/>
        </w:rPr>
      </w:pPr>
      <w:r w:rsidRPr="007D3AA7">
        <w:rPr>
          <w:rFonts w:ascii="Times New Roman" w:eastAsia="MS Mincho" w:hAnsi="Times New Roman" w:cstheme="minorBidi"/>
          <w:bCs/>
          <w:sz w:val="28"/>
          <w:szCs w:val="28"/>
        </w:rPr>
        <w:t>Тариф на услугу «Текущая продажа проездных документов на регулярные маршруты внутриреспубликанского сообщения» установлен на 2018 год в размере 0,60 руб., что на 20,0% или 0,10 руб. больше предельного уровня тарифа на услугу «Текущая продажа проездных документов на регулярные маршруты пригородного сообщения» и на 40,0% или 0,40 руб. меньше тарифа на услугу «Текущая продажа проездных документов на регулярные маршруты междугородного сообщения», установленных на 2017 год.</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
          <w:bCs/>
          <w:sz w:val="28"/>
          <w:szCs w:val="28"/>
        </w:rPr>
      </w:pPr>
      <w:r w:rsidRPr="007D3AA7">
        <w:rPr>
          <w:rFonts w:ascii="Times New Roman" w:eastAsia="MS Mincho" w:hAnsi="Times New Roman" w:cstheme="minorBidi"/>
          <w:b/>
          <w:bCs/>
          <w:sz w:val="28"/>
          <w:szCs w:val="28"/>
        </w:rPr>
        <w:t>6. Услуги по найму государственной и муниципальной жилой площади</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Предельный уровень тарифа на услугу по найму государственной (муниципальной) жилой площади на 2018 год установлен в размере 0,19 руб. за 1 кв. м жилого помещения в месяц, что на 0,01 руб. или 5,5% выше установленного на 2017 год предельного уровня тарифа на данную услугу.</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
          <w:bCs/>
          <w:sz w:val="28"/>
          <w:szCs w:val="28"/>
        </w:rPr>
      </w:pPr>
      <w:r w:rsidRPr="007D3AA7">
        <w:rPr>
          <w:rFonts w:ascii="Times New Roman" w:eastAsia="MS Mincho" w:hAnsi="Times New Roman" w:cstheme="minorBidi"/>
          <w:b/>
          <w:bCs/>
          <w:sz w:val="28"/>
          <w:szCs w:val="28"/>
        </w:rPr>
        <w:lastRenderedPageBreak/>
        <w:t>7. Услуги по содержанию и ремонту (включая капитальный) жилищного фонда, санитарному содержанию зданий и прилегающих территорий</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xml:space="preserve">Предельный уровень тарифов на услуги по содержанию и ремонту (включая капитальный) жилищного фонда, санитарному содержанию зданий и прилегающих территорий на 2018 год установлен в размере 2,46 руб. за 1 кв. м жилого помещения в месяц, что соответствует предельному уровню тарифа, установленному на 2017 год. </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При этом, на некоторые виды услуг предельные уровни тарифов изменились следующим образом:</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i/>
          <w:sz w:val="28"/>
          <w:szCs w:val="28"/>
        </w:rPr>
      </w:pPr>
      <w:r w:rsidRPr="007D3AA7">
        <w:rPr>
          <w:rFonts w:ascii="Times New Roman" w:eastAsia="MS Mincho" w:hAnsi="Times New Roman" w:cstheme="minorBidi"/>
          <w:bCs/>
          <w:i/>
          <w:sz w:val="28"/>
          <w:szCs w:val="28"/>
        </w:rPr>
        <w:t>1. снижение по услугам:</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услуги по капитальному ремонту внутридомовых инженерных сетей холодного водоснабжения и водоотведения – на 0,04 руб. за 1 кв. м жилого помещения в месяц или 66,7%;</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услуги по капитальному ремонту внутридомовых инженерных сетей теплоснабжения и горячего водоснабжения – на 0,04 руб. за 1 кв. м жилого помещения в месяц или 57,1%;</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услуги по техническому обслуживанию и ремонту внутридомовых сетей холодного водоснабжения и канализации – на 0,01 руб. руб. за 1 кв. м жилого помещения в месяц или 5,0%.</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i/>
          <w:sz w:val="28"/>
          <w:szCs w:val="28"/>
        </w:rPr>
      </w:pPr>
      <w:r w:rsidRPr="007D3AA7">
        <w:rPr>
          <w:rFonts w:ascii="Times New Roman" w:eastAsia="MS Mincho" w:hAnsi="Times New Roman" w:cstheme="minorBidi"/>
          <w:bCs/>
          <w:i/>
          <w:sz w:val="28"/>
          <w:szCs w:val="28"/>
        </w:rPr>
        <w:t>2. увеличение по услугам:</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техническое обслуживание и текущий ремонт строительных конструкций здания – на 0,03 руб. за 1 кв. м жилого помещения в месяц или 4,5%;</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на услуги по капитальному ремонту лифтов – на 0,02 руб. за 1 кв. м жилого помещения в месяц или 9,1%;</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u w:val="single"/>
        </w:rPr>
      </w:pPr>
      <w:r w:rsidRPr="007D3AA7">
        <w:rPr>
          <w:rFonts w:ascii="Times New Roman" w:eastAsia="MS Mincho" w:hAnsi="Times New Roman" w:cstheme="minorBidi"/>
          <w:bCs/>
          <w:sz w:val="28"/>
          <w:szCs w:val="28"/>
        </w:rPr>
        <w:t>- на услуги по диагностике, электроизмерительным работам и освидетельствованию лифтов – на 0,04 руб. за 1 кв. м жилого помещения в месяц.</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
          <w:bCs/>
          <w:sz w:val="28"/>
          <w:szCs w:val="28"/>
        </w:rPr>
      </w:pPr>
      <w:r w:rsidRPr="007D3AA7">
        <w:rPr>
          <w:rFonts w:ascii="Times New Roman" w:eastAsia="MS Mincho" w:hAnsi="Times New Roman" w:cstheme="minorBidi"/>
          <w:b/>
          <w:bCs/>
          <w:sz w:val="28"/>
          <w:szCs w:val="28"/>
        </w:rPr>
        <w:t xml:space="preserve">8. Услуги по сбору и вывозу твёрдых и жидких бытовых отходов </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В 2018 году предельные уровни тарифов на услуги по сбору и вывозу твердых бытовых отходов по сравнению с предельными уровнями тарифов, действующими в 2017 году, увеличились в пределах 0,7%-19,1%.</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Cs/>
          <w:sz w:val="28"/>
          <w:szCs w:val="28"/>
        </w:rPr>
      </w:pPr>
      <w:r w:rsidRPr="007D3AA7">
        <w:rPr>
          <w:rFonts w:ascii="Times New Roman" w:eastAsia="MS Mincho" w:hAnsi="Times New Roman" w:cstheme="minorBidi"/>
          <w:bCs/>
          <w:sz w:val="28"/>
          <w:szCs w:val="28"/>
        </w:rPr>
        <w:t xml:space="preserve">Предельные уровни тарифов на услуги по сбору и вывозу жидких бытовых отходов, оказываемые на территории г. Тирасполь, Григориопольского района и г. Григориополь, Дубоссарского района и г. Дубоссары, а также Рыбницкого района и г. Рыбница в 2018 году по сравнению с предельными уровнями тарифов, действующими в 2017 году, увеличились в пределах 1,0%-5,9%. </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
          <w:bCs/>
          <w:sz w:val="28"/>
          <w:szCs w:val="28"/>
        </w:rPr>
      </w:pPr>
      <w:r w:rsidRPr="007D3AA7">
        <w:rPr>
          <w:rFonts w:ascii="Times New Roman" w:eastAsia="MS Mincho" w:hAnsi="Times New Roman" w:cstheme="minorBidi"/>
          <w:bCs/>
          <w:sz w:val="28"/>
          <w:szCs w:val="28"/>
        </w:rPr>
        <w:t>На территории г. Бендеры, Слободзейского района и г. Слободзея предельные уровни тарифов на данные услуги в 2018 году по сравнению с предельными уровнями тарифов, действующими в 2017 году, снизились в пределах 0,9%-8,7%.</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
          <w:bCs/>
          <w:sz w:val="28"/>
          <w:szCs w:val="28"/>
        </w:rPr>
      </w:pPr>
      <w:r w:rsidRPr="007D3AA7">
        <w:rPr>
          <w:rFonts w:ascii="Times New Roman" w:eastAsia="MS Mincho" w:hAnsi="Times New Roman" w:cstheme="minorBidi"/>
          <w:b/>
          <w:bCs/>
          <w:sz w:val="28"/>
          <w:szCs w:val="28"/>
        </w:rPr>
        <w:t>Тарифная политика в сфере услуг государственных и муниципальных учреждений</w:t>
      </w:r>
    </w:p>
    <w:p w:rsidR="007D3AA7" w:rsidRPr="007D3AA7" w:rsidRDefault="007D3AA7" w:rsidP="007D3AA7">
      <w:pPr>
        <w:tabs>
          <w:tab w:val="left" w:pos="709"/>
        </w:tabs>
        <w:spacing w:after="0" w:line="240" w:lineRule="auto"/>
        <w:ind w:firstLine="426"/>
        <w:jc w:val="both"/>
        <w:rPr>
          <w:rFonts w:ascii="Times New Roman" w:eastAsiaTheme="minorEastAsia" w:hAnsi="Times New Roman" w:cstheme="minorBidi"/>
          <w:bCs/>
          <w:sz w:val="28"/>
          <w:szCs w:val="28"/>
        </w:rPr>
      </w:pPr>
      <w:r w:rsidRPr="007D3AA7">
        <w:rPr>
          <w:rFonts w:ascii="Times New Roman" w:eastAsiaTheme="minorEastAsia" w:hAnsi="Times New Roman" w:cstheme="minorBidi"/>
          <w:bCs/>
          <w:sz w:val="28"/>
          <w:szCs w:val="28"/>
        </w:rPr>
        <w:t xml:space="preserve">Тарифная политика на 2017-2018 годы в сфере услуг государственных и муниципальных учреждений (в 2018 году – свыше 8 000 услуг, в том числе </w:t>
      </w:r>
      <w:r w:rsidRPr="007D3AA7">
        <w:rPr>
          <w:rFonts w:ascii="Times New Roman" w:eastAsiaTheme="minorEastAsia" w:hAnsi="Times New Roman" w:cstheme="minorBidi"/>
          <w:bCs/>
          <w:sz w:val="28"/>
          <w:szCs w:val="28"/>
        </w:rPr>
        <w:lastRenderedPageBreak/>
        <w:t>около 4 000 медицинских услуг) сформирована с учетом норм действующего законодательства в области ценообразования и влияния следующих факторов:</w:t>
      </w:r>
    </w:p>
    <w:p w:rsidR="007D3AA7" w:rsidRPr="007D3AA7" w:rsidRDefault="007D3AA7" w:rsidP="007D3AA7">
      <w:pPr>
        <w:tabs>
          <w:tab w:val="left" w:pos="709"/>
        </w:tabs>
        <w:spacing w:after="0" w:line="240" w:lineRule="auto"/>
        <w:ind w:firstLine="426"/>
        <w:jc w:val="both"/>
        <w:rPr>
          <w:rFonts w:ascii="Times New Roman" w:eastAsiaTheme="minorEastAsia" w:hAnsi="Times New Roman" w:cs="Calibri"/>
          <w:bCs/>
          <w:sz w:val="28"/>
          <w:szCs w:val="28"/>
        </w:rPr>
      </w:pPr>
      <w:r w:rsidRPr="007D3AA7">
        <w:rPr>
          <w:rFonts w:ascii="Times New Roman" w:eastAsiaTheme="minorEastAsia" w:hAnsi="Times New Roman"/>
          <w:bCs/>
          <w:sz w:val="28"/>
          <w:szCs w:val="28"/>
        </w:rPr>
        <w:t>- изменения расчетного уровня минимальной заработной платы на соответствующий расчетный период регулирования;</w:t>
      </w:r>
    </w:p>
    <w:p w:rsidR="007D3AA7" w:rsidRPr="007D3AA7" w:rsidRDefault="007D3AA7" w:rsidP="007D3AA7">
      <w:pPr>
        <w:tabs>
          <w:tab w:val="left" w:pos="709"/>
        </w:tabs>
        <w:spacing w:after="0" w:line="240" w:lineRule="auto"/>
        <w:ind w:firstLine="426"/>
        <w:jc w:val="both"/>
        <w:rPr>
          <w:rFonts w:ascii="Times New Roman" w:eastAsiaTheme="minorEastAsia" w:hAnsi="Times New Roman" w:cs="Calibri"/>
          <w:bCs/>
          <w:sz w:val="28"/>
          <w:szCs w:val="28"/>
        </w:rPr>
      </w:pPr>
      <w:r w:rsidRPr="007D3AA7">
        <w:rPr>
          <w:rFonts w:ascii="Times New Roman" w:eastAsiaTheme="minorEastAsia" w:hAnsi="Times New Roman"/>
          <w:bCs/>
          <w:sz w:val="28"/>
          <w:szCs w:val="28"/>
        </w:rPr>
        <w:t>- влияния инфляционных процессов;</w:t>
      </w:r>
    </w:p>
    <w:p w:rsidR="007D3AA7" w:rsidRPr="007D3AA7" w:rsidRDefault="007D3AA7" w:rsidP="007D3AA7">
      <w:pPr>
        <w:tabs>
          <w:tab w:val="left" w:pos="709"/>
        </w:tabs>
        <w:spacing w:after="0" w:line="240" w:lineRule="auto"/>
        <w:ind w:firstLine="426"/>
        <w:jc w:val="both"/>
        <w:rPr>
          <w:rFonts w:ascii="Times New Roman" w:eastAsiaTheme="minorEastAsia" w:hAnsi="Times New Roman" w:cstheme="minorBidi"/>
          <w:bCs/>
          <w:sz w:val="28"/>
          <w:szCs w:val="28"/>
        </w:rPr>
      </w:pPr>
      <w:r w:rsidRPr="007D3AA7">
        <w:rPr>
          <w:rFonts w:ascii="Times New Roman" w:eastAsiaTheme="minorEastAsia" w:hAnsi="Times New Roman"/>
          <w:bCs/>
          <w:sz w:val="28"/>
          <w:szCs w:val="28"/>
        </w:rPr>
        <w:t>- фактических результатов деятельности государственных и муниципальных учреждени</w:t>
      </w:r>
      <w:r w:rsidRPr="007D3AA7">
        <w:rPr>
          <w:rFonts w:ascii="Times New Roman" w:eastAsiaTheme="minorEastAsia" w:hAnsi="Times New Roman" w:cstheme="minorBidi"/>
          <w:bCs/>
          <w:sz w:val="28"/>
          <w:szCs w:val="28"/>
        </w:rPr>
        <w:t>й по итогам работы за прошедшие расчетные периоды регулирования;</w:t>
      </w:r>
    </w:p>
    <w:p w:rsidR="007D3AA7" w:rsidRPr="007D3AA7" w:rsidRDefault="007D3AA7" w:rsidP="007D3AA7">
      <w:pPr>
        <w:tabs>
          <w:tab w:val="left" w:pos="709"/>
        </w:tabs>
        <w:spacing w:after="0" w:line="240" w:lineRule="auto"/>
        <w:ind w:firstLine="426"/>
        <w:jc w:val="both"/>
        <w:rPr>
          <w:rFonts w:ascii="Times New Roman" w:eastAsiaTheme="minorEastAsia" w:hAnsi="Times New Roman" w:cstheme="minorBidi"/>
          <w:bCs/>
          <w:sz w:val="28"/>
          <w:szCs w:val="28"/>
        </w:rPr>
      </w:pPr>
      <w:r w:rsidRPr="007D3AA7">
        <w:rPr>
          <w:rFonts w:ascii="Times New Roman" w:eastAsiaTheme="minorEastAsia" w:hAnsi="Times New Roman" w:cstheme="minorBidi"/>
          <w:bCs/>
          <w:sz w:val="28"/>
          <w:szCs w:val="28"/>
        </w:rPr>
        <w:t>В 2018 году по сравнению с 2017 годом предельные уровни тарифов на услуги государственных и муниципальных учреждений в среднем увеличились на 3,7%, за исключением услуг, оказываемых ГУ «ЦКОМФП», предельные тарифы на платные услуги, оказываемые данным учреждением, увеличились в 1,9 раза. Данный рост обусловлен переходом указанного учреждения на полное самофинансирование (без финансирования из средств Республиканского бюджета).</w:t>
      </w:r>
    </w:p>
    <w:p w:rsidR="007D3AA7" w:rsidRPr="007D3AA7" w:rsidRDefault="007D3AA7" w:rsidP="007D3AA7">
      <w:pPr>
        <w:tabs>
          <w:tab w:val="left" w:pos="709"/>
        </w:tabs>
        <w:spacing w:after="0" w:line="240" w:lineRule="auto"/>
        <w:ind w:firstLine="426"/>
        <w:jc w:val="both"/>
        <w:rPr>
          <w:rFonts w:ascii="Times New Roman" w:eastAsia="MS Mincho" w:hAnsi="Times New Roman" w:cstheme="minorBidi"/>
          <w:b/>
          <w:bCs/>
          <w:sz w:val="28"/>
          <w:szCs w:val="28"/>
        </w:rPr>
      </w:pPr>
      <w:r w:rsidRPr="007D3AA7">
        <w:rPr>
          <w:rFonts w:ascii="Times New Roman" w:eastAsia="MS Mincho" w:hAnsi="Times New Roman" w:cstheme="minorBidi"/>
          <w:b/>
          <w:bCs/>
          <w:sz w:val="28"/>
          <w:szCs w:val="28"/>
        </w:rPr>
        <w:t>Тарифная политика в сфере работ, услуг по стандартизации, метрологии и обязательной сертификации продукции и услуг</w:t>
      </w:r>
    </w:p>
    <w:p w:rsidR="00E72984" w:rsidRPr="007D3AA7" w:rsidRDefault="007D3AA7" w:rsidP="007D3AA7">
      <w:pPr>
        <w:spacing w:after="0" w:line="240" w:lineRule="auto"/>
        <w:ind w:firstLine="426"/>
        <w:jc w:val="both"/>
        <w:rPr>
          <w:rFonts w:asciiTheme="minorHAnsi" w:eastAsiaTheme="minorEastAsia" w:hAnsiTheme="minorHAnsi" w:cstheme="minorBidi"/>
          <w:sz w:val="28"/>
          <w:szCs w:val="28"/>
        </w:rPr>
      </w:pPr>
      <w:r w:rsidRPr="007D3AA7">
        <w:rPr>
          <w:rFonts w:ascii="Times New Roman" w:eastAsia="MS Mincho" w:hAnsi="Times New Roman" w:cstheme="minorBidi"/>
          <w:bCs/>
          <w:sz w:val="28"/>
          <w:szCs w:val="28"/>
        </w:rPr>
        <w:t>В 2018 году снижение предельных уровней тарифов на работы (услуги) по стандартизации, метрологии и обязательной сертификации продукции составило 2,96% к уровню 2017 год, тогда как предельный уровень тарифа на работы (услуги) по обязательной сертификации продукции увеличился 3,4%.</w:t>
      </w:r>
    </w:p>
    <w:p w:rsidR="001F561F" w:rsidRDefault="001F561F" w:rsidP="007D3AA7">
      <w:pPr>
        <w:spacing w:after="0" w:line="240" w:lineRule="auto"/>
        <w:ind w:firstLine="709"/>
        <w:jc w:val="both"/>
        <w:rPr>
          <w:rFonts w:ascii="Times New Roman" w:hAnsi="Times New Roman"/>
          <w:sz w:val="28"/>
          <w:szCs w:val="28"/>
        </w:rPr>
      </w:pPr>
    </w:p>
    <w:p w:rsidR="00105A22" w:rsidRDefault="00105A22" w:rsidP="007D3AA7">
      <w:pPr>
        <w:spacing w:after="0" w:line="240" w:lineRule="auto"/>
        <w:ind w:firstLine="426"/>
        <w:jc w:val="both"/>
        <w:rPr>
          <w:rFonts w:ascii="Times New Roman" w:hAnsi="Times New Roman"/>
          <w:b/>
          <w:sz w:val="28"/>
          <w:szCs w:val="28"/>
        </w:rPr>
      </w:pPr>
      <w:r w:rsidRPr="00105A22">
        <w:rPr>
          <w:rFonts w:ascii="Times New Roman" w:hAnsi="Times New Roman"/>
          <w:b/>
          <w:sz w:val="28"/>
          <w:szCs w:val="28"/>
        </w:rPr>
        <w:t>Состояние социальной сферы</w:t>
      </w:r>
    </w:p>
    <w:p w:rsidR="00105A22" w:rsidRPr="00653B80" w:rsidRDefault="00105A22" w:rsidP="007D3AA7">
      <w:pPr>
        <w:spacing w:after="0" w:line="240" w:lineRule="auto"/>
        <w:ind w:firstLine="426"/>
        <w:jc w:val="both"/>
        <w:rPr>
          <w:rFonts w:ascii="Times New Roman" w:hAnsi="Times New Roman"/>
          <w:b/>
          <w:sz w:val="28"/>
          <w:szCs w:val="28"/>
        </w:rPr>
      </w:pPr>
    </w:p>
    <w:p w:rsidR="007D3AA7" w:rsidRPr="00653B80" w:rsidRDefault="007D3AA7" w:rsidP="00653B80">
      <w:pPr>
        <w:widowControl w:val="0"/>
        <w:spacing w:after="0" w:line="240" w:lineRule="auto"/>
        <w:ind w:firstLineChars="176" w:firstLine="495"/>
        <w:jc w:val="both"/>
        <w:rPr>
          <w:rFonts w:ascii="Times New Roman" w:hAnsi="Times New Roman"/>
          <w:b/>
          <w:sz w:val="28"/>
          <w:szCs w:val="28"/>
        </w:rPr>
      </w:pPr>
      <w:r w:rsidRPr="00653B80">
        <w:rPr>
          <w:rFonts w:ascii="Times New Roman" w:hAnsi="Times New Roman"/>
          <w:b/>
          <w:sz w:val="28"/>
          <w:szCs w:val="28"/>
        </w:rPr>
        <w:t>Уровень жизни населения</w:t>
      </w:r>
    </w:p>
    <w:p w:rsidR="007D3AA7" w:rsidRPr="00653B80" w:rsidRDefault="007D3AA7" w:rsidP="007D3AA7">
      <w:pPr>
        <w:spacing w:after="0" w:line="240" w:lineRule="auto"/>
        <w:jc w:val="both"/>
        <w:rPr>
          <w:rFonts w:ascii="Times New Roman" w:hAnsi="Times New Roman"/>
          <w:sz w:val="28"/>
          <w:szCs w:val="28"/>
        </w:rPr>
      </w:pPr>
    </w:p>
    <w:p w:rsidR="007D3AA7" w:rsidRPr="007D3AA7" w:rsidRDefault="007D3AA7" w:rsidP="007D3AA7">
      <w:pPr>
        <w:spacing w:after="0" w:line="240" w:lineRule="auto"/>
        <w:ind w:firstLineChars="177" w:firstLine="496"/>
        <w:jc w:val="both"/>
        <w:rPr>
          <w:rFonts w:ascii="Times New Roman" w:hAnsi="Times New Roman"/>
          <w:sz w:val="28"/>
          <w:szCs w:val="28"/>
          <w:shd w:val="clear" w:color="auto" w:fill="FFFFFF"/>
        </w:rPr>
      </w:pPr>
      <w:r w:rsidRPr="007D3AA7">
        <w:rPr>
          <w:rFonts w:ascii="Times New Roman" w:hAnsi="Times New Roman"/>
          <w:sz w:val="28"/>
          <w:szCs w:val="28"/>
          <w:shd w:val="clear" w:color="auto" w:fill="FFFFFF"/>
        </w:rPr>
        <w:t xml:space="preserve">Одним из ключевых индикаторов уровня жизни является показатель доходов населения, доминирующей составляющей которого выступает заработная плата. </w:t>
      </w:r>
    </w:p>
    <w:p w:rsidR="007D3AA7" w:rsidRDefault="007D3AA7" w:rsidP="007D3AA7">
      <w:pPr>
        <w:spacing w:after="0" w:line="240" w:lineRule="auto"/>
        <w:ind w:firstLineChars="177" w:firstLine="496"/>
        <w:jc w:val="both"/>
        <w:rPr>
          <w:rFonts w:ascii="Times New Roman" w:hAnsi="Times New Roman"/>
          <w:sz w:val="28"/>
          <w:szCs w:val="28"/>
          <w:shd w:val="clear" w:color="auto" w:fill="FFFFFF"/>
        </w:rPr>
      </w:pPr>
      <w:r w:rsidRPr="007D3AA7">
        <w:rPr>
          <w:rFonts w:ascii="Times New Roman" w:hAnsi="Times New Roman"/>
          <w:sz w:val="28"/>
          <w:szCs w:val="28"/>
          <w:shd w:val="clear" w:color="auto" w:fill="FFFFFF"/>
        </w:rPr>
        <w:t>Среднемесячная номинальная начисленная заработная плата одного работника с учетом субъектов малого предпринимательства, некоммерческих, религиозных организаций</w:t>
      </w:r>
      <w:r w:rsidRPr="007D3AA7">
        <w:rPr>
          <w:rFonts w:ascii="Times New Roman" w:hAnsi="Times New Roman"/>
          <w:sz w:val="28"/>
          <w:szCs w:val="28"/>
          <w:shd w:val="clear" w:color="auto" w:fill="FFFFFF"/>
          <w:vertAlign w:val="superscript"/>
        </w:rPr>
        <w:t xml:space="preserve"> </w:t>
      </w:r>
      <w:r w:rsidRPr="007D3AA7">
        <w:rPr>
          <w:rFonts w:ascii="Times New Roman" w:hAnsi="Times New Roman"/>
          <w:sz w:val="28"/>
          <w:szCs w:val="28"/>
          <w:shd w:val="clear" w:color="auto" w:fill="FFFFFF"/>
        </w:rPr>
        <w:t>(без силовых структур и таможенных органов) в целом по республике за 2018 год выросла на 7,6% и составила 4 211 руб., при этом с учетом удорожания жизни реальная величина заработной платы работающих в отчетном году сократилась по отношению к базовому периоду на 3,1%. В долларовом эквиваленте ее размер соответствовал 262 долл. США, сократившись на 10,3%</w:t>
      </w:r>
      <w:r w:rsidR="00245F0A">
        <w:rPr>
          <w:rFonts w:ascii="Times New Roman" w:hAnsi="Times New Roman"/>
          <w:sz w:val="28"/>
          <w:szCs w:val="28"/>
          <w:shd w:val="clear" w:color="auto" w:fill="FFFFFF"/>
        </w:rPr>
        <w:t xml:space="preserve"> (рис. 32)</w:t>
      </w:r>
      <w:r w:rsidRPr="007D3AA7">
        <w:rPr>
          <w:rFonts w:ascii="Times New Roman" w:hAnsi="Times New Roman"/>
          <w:sz w:val="28"/>
          <w:szCs w:val="28"/>
          <w:shd w:val="clear" w:color="auto" w:fill="FFFFFF"/>
        </w:rPr>
        <w:t>.</w:t>
      </w:r>
    </w:p>
    <w:p w:rsidR="00245F0A" w:rsidRDefault="00245F0A" w:rsidP="007D3AA7">
      <w:pPr>
        <w:spacing w:after="0" w:line="240" w:lineRule="auto"/>
        <w:ind w:firstLineChars="177" w:firstLine="496"/>
        <w:jc w:val="both"/>
        <w:rPr>
          <w:rFonts w:ascii="Times New Roman" w:hAnsi="Times New Roman"/>
          <w:sz w:val="28"/>
          <w:szCs w:val="28"/>
          <w:shd w:val="clear" w:color="auto" w:fill="FFFFFF"/>
        </w:rPr>
      </w:pPr>
    </w:p>
    <w:p w:rsidR="00AD6E11" w:rsidRDefault="00AD6E11" w:rsidP="007D3AA7">
      <w:pPr>
        <w:spacing w:after="0" w:line="240" w:lineRule="auto"/>
        <w:ind w:firstLineChars="177" w:firstLine="496"/>
        <w:jc w:val="both"/>
        <w:rPr>
          <w:rFonts w:ascii="Times New Roman" w:hAnsi="Times New Roman"/>
          <w:sz w:val="28"/>
          <w:szCs w:val="28"/>
          <w:shd w:val="clear" w:color="auto" w:fill="FFFFFF"/>
        </w:rPr>
      </w:pPr>
    </w:p>
    <w:p w:rsidR="00AD6E11" w:rsidRDefault="00AD6E11" w:rsidP="007D3AA7">
      <w:pPr>
        <w:spacing w:after="0" w:line="240" w:lineRule="auto"/>
        <w:ind w:firstLineChars="177" w:firstLine="496"/>
        <w:jc w:val="both"/>
        <w:rPr>
          <w:rFonts w:ascii="Times New Roman" w:hAnsi="Times New Roman"/>
          <w:sz w:val="28"/>
          <w:szCs w:val="28"/>
          <w:shd w:val="clear" w:color="auto" w:fill="FFFFFF"/>
        </w:rPr>
      </w:pPr>
    </w:p>
    <w:p w:rsidR="00AD6E11" w:rsidRDefault="00AD6E11" w:rsidP="007D3AA7">
      <w:pPr>
        <w:spacing w:after="0" w:line="240" w:lineRule="auto"/>
        <w:ind w:firstLineChars="177" w:firstLine="496"/>
        <w:jc w:val="both"/>
        <w:rPr>
          <w:rFonts w:ascii="Times New Roman" w:hAnsi="Times New Roman"/>
          <w:sz w:val="28"/>
          <w:szCs w:val="28"/>
          <w:shd w:val="clear" w:color="auto" w:fill="FFFFFF"/>
        </w:rPr>
      </w:pPr>
    </w:p>
    <w:p w:rsidR="00AD6E11" w:rsidRDefault="00AD6E11" w:rsidP="007D3AA7">
      <w:pPr>
        <w:spacing w:after="0" w:line="240" w:lineRule="auto"/>
        <w:ind w:firstLineChars="177" w:firstLine="496"/>
        <w:jc w:val="both"/>
        <w:rPr>
          <w:rFonts w:ascii="Times New Roman" w:hAnsi="Times New Roman"/>
          <w:sz w:val="28"/>
          <w:szCs w:val="28"/>
          <w:shd w:val="clear" w:color="auto" w:fill="FFFFFF"/>
        </w:rPr>
      </w:pPr>
    </w:p>
    <w:p w:rsidR="00AD6E11" w:rsidRDefault="00AD6E11" w:rsidP="007D3AA7">
      <w:pPr>
        <w:spacing w:after="0" w:line="240" w:lineRule="auto"/>
        <w:ind w:firstLineChars="177" w:firstLine="496"/>
        <w:jc w:val="both"/>
        <w:rPr>
          <w:rFonts w:ascii="Times New Roman" w:hAnsi="Times New Roman"/>
          <w:sz w:val="28"/>
          <w:szCs w:val="28"/>
          <w:shd w:val="clear" w:color="auto" w:fill="FFFFFF"/>
        </w:rPr>
      </w:pPr>
    </w:p>
    <w:p w:rsidR="00AD6E11" w:rsidRDefault="00AD6E11" w:rsidP="007D3AA7">
      <w:pPr>
        <w:spacing w:after="0" w:line="240" w:lineRule="auto"/>
        <w:ind w:firstLineChars="177" w:firstLine="496"/>
        <w:jc w:val="both"/>
        <w:rPr>
          <w:rFonts w:ascii="Times New Roman" w:hAnsi="Times New Roman"/>
          <w:sz w:val="28"/>
          <w:szCs w:val="28"/>
          <w:shd w:val="clear" w:color="auto" w:fill="FFFFFF"/>
        </w:rPr>
      </w:pPr>
    </w:p>
    <w:p w:rsidR="00AD6E11" w:rsidRDefault="00AD6E11" w:rsidP="007D3AA7">
      <w:pPr>
        <w:spacing w:after="0" w:line="240" w:lineRule="auto"/>
        <w:ind w:firstLineChars="177" w:firstLine="496"/>
        <w:jc w:val="both"/>
        <w:rPr>
          <w:rFonts w:ascii="Times New Roman" w:hAnsi="Times New Roman"/>
          <w:sz w:val="28"/>
          <w:szCs w:val="28"/>
          <w:shd w:val="clear" w:color="auto" w:fill="FFFFFF"/>
        </w:rPr>
      </w:pPr>
    </w:p>
    <w:p w:rsidR="00AD6E11" w:rsidRDefault="00AD6E11" w:rsidP="007D3AA7">
      <w:pPr>
        <w:spacing w:after="0" w:line="240" w:lineRule="auto"/>
        <w:ind w:firstLineChars="177" w:firstLine="496"/>
        <w:jc w:val="both"/>
        <w:rPr>
          <w:rFonts w:ascii="Times New Roman" w:hAnsi="Times New Roman"/>
          <w:sz w:val="28"/>
          <w:szCs w:val="28"/>
          <w:shd w:val="clear" w:color="auto" w:fill="FFFFFF"/>
        </w:rPr>
      </w:pPr>
    </w:p>
    <w:p w:rsidR="00245F0A" w:rsidRDefault="00245F0A" w:rsidP="007D3AA7">
      <w:pPr>
        <w:spacing w:after="0" w:line="240" w:lineRule="auto"/>
        <w:ind w:firstLineChars="177" w:firstLine="496"/>
        <w:jc w:val="both"/>
        <w:rPr>
          <w:rFonts w:ascii="Times New Roman" w:hAnsi="Times New Roman"/>
          <w:sz w:val="28"/>
          <w:szCs w:val="28"/>
          <w:shd w:val="clear" w:color="auto" w:fill="FFFFFF"/>
        </w:rPr>
      </w:pPr>
    </w:p>
    <w:p w:rsidR="00245F0A" w:rsidRPr="00245F0A" w:rsidRDefault="00245F0A" w:rsidP="00245F0A">
      <w:pPr>
        <w:spacing w:after="0" w:line="240" w:lineRule="auto"/>
        <w:ind w:left="283" w:firstLine="709"/>
        <w:jc w:val="right"/>
        <w:rPr>
          <w:rFonts w:ascii="Times New Roman" w:eastAsia="Calibri" w:hAnsi="Times New Roman" w:cstheme="minorBidi"/>
          <w:b/>
          <w:i/>
          <w:spacing w:val="2"/>
          <w:sz w:val="28"/>
          <w:szCs w:val="28"/>
          <w:lang w:eastAsia="en-US"/>
        </w:rPr>
      </w:pPr>
      <w:r w:rsidRPr="00245F0A">
        <w:rPr>
          <w:rFonts w:ascii="Times New Roman" w:eastAsia="Calibri" w:hAnsi="Times New Roman" w:cstheme="minorBidi"/>
          <w:b/>
          <w:i/>
          <w:spacing w:val="2"/>
          <w:sz w:val="28"/>
          <w:szCs w:val="28"/>
          <w:lang w:eastAsia="en-US"/>
        </w:rPr>
        <w:lastRenderedPageBreak/>
        <w:t>Рисунок 32</w:t>
      </w:r>
    </w:p>
    <w:p w:rsidR="007D3AA7" w:rsidRPr="007D3AA7" w:rsidRDefault="007D3AA7" w:rsidP="007D3AA7">
      <w:pPr>
        <w:spacing w:after="0" w:line="240" w:lineRule="auto"/>
        <w:jc w:val="both"/>
        <w:rPr>
          <w:rFonts w:ascii="Times New Roman" w:hAnsi="Times New Roman"/>
          <w:sz w:val="24"/>
          <w:szCs w:val="24"/>
          <w:shd w:val="clear" w:color="auto" w:fill="FFFFFF"/>
        </w:rPr>
      </w:pPr>
      <w:r w:rsidRPr="007D3AA7">
        <w:rPr>
          <w:rFonts w:ascii="Times New Roman" w:hAnsi="Times New Roman"/>
          <w:b/>
          <w:noProof/>
          <w:sz w:val="24"/>
          <w:szCs w:val="24"/>
        </w:rPr>
        <w:drawing>
          <wp:inline distT="0" distB="0" distL="0" distR="0">
            <wp:extent cx="5943600" cy="3209925"/>
            <wp:effectExtent l="0" t="0" r="0" b="0"/>
            <wp:docPr id="5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D3AA7" w:rsidRDefault="007D3AA7" w:rsidP="007D3AA7">
      <w:pPr>
        <w:widowControl w:val="0"/>
        <w:spacing w:after="0" w:line="240" w:lineRule="auto"/>
        <w:ind w:firstLine="709"/>
        <w:jc w:val="both"/>
        <w:rPr>
          <w:rFonts w:ascii="Times New Roman" w:hAnsi="Times New Roman"/>
          <w:sz w:val="24"/>
          <w:szCs w:val="24"/>
        </w:rPr>
      </w:pPr>
    </w:p>
    <w:p w:rsidR="007D3AA7" w:rsidRPr="007D3AA7" w:rsidRDefault="007D3AA7" w:rsidP="007D3AA7">
      <w:pPr>
        <w:widowControl w:val="0"/>
        <w:spacing w:after="0" w:line="240" w:lineRule="auto"/>
        <w:ind w:firstLine="709"/>
        <w:jc w:val="both"/>
        <w:rPr>
          <w:rFonts w:ascii="Times New Roman" w:hAnsi="Times New Roman"/>
          <w:sz w:val="28"/>
          <w:szCs w:val="28"/>
        </w:rPr>
      </w:pPr>
      <w:r w:rsidRPr="007D3AA7">
        <w:rPr>
          <w:rFonts w:ascii="Times New Roman" w:hAnsi="Times New Roman"/>
          <w:sz w:val="28"/>
          <w:szCs w:val="28"/>
        </w:rPr>
        <w:t xml:space="preserve">В 2018 году на фоне повышения оплаты труда (+7,6%), в совокупности с приростом стоимости минимального набора товаров и услуг, </w:t>
      </w:r>
      <w:r w:rsidRPr="007D3AA7">
        <w:rPr>
          <w:rFonts w:ascii="Times New Roman" w:hAnsi="Times New Roman"/>
          <w:color w:val="000000"/>
          <w:sz w:val="28"/>
          <w:szCs w:val="28"/>
        </w:rPr>
        <w:t xml:space="preserve">необходимых человеку для поддержания жизнедеятельности </w:t>
      </w:r>
      <w:r w:rsidRPr="007D3AA7">
        <w:rPr>
          <w:rFonts w:ascii="Times New Roman" w:hAnsi="Times New Roman"/>
          <w:sz w:val="28"/>
          <w:szCs w:val="28"/>
        </w:rPr>
        <w:t>(+7,1% до 1 553,0 руб.), размер покупательной способности заработной платы остался на уровне 2017 года и составил 2,7 набора прожиточного минимума.</w:t>
      </w:r>
    </w:p>
    <w:p w:rsidR="007D3AA7" w:rsidRPr="00653B80" w:rsidRDefault="007D3AA7" w:rsidP="007D3AA7">
      <w:pPr>
        <w:spacing w:after="0"/>
        <w:jc w:val="right"/>
        <w:rPr>
          <w:rFonts w:ascii="Times New Roman" w:hAnsi="Times New Roman"/>
          <w:sz w:val="28"/>
          <w:szCs w:val="28"/>
        </w:rPr>
      </w:pPr>
      <w:r w:rsidRPr="00653B80">
        <w:rPr>
          <w:rFonts w:ascii="Times New Roman" w:hAnsi="Times New Roman"/>
          <w:sz w:val="28"/>
          <w:szCs w:val="28"/>
        </w:rPr>
        <w:t xml:space="preserve">Таблица № </w:t>
      </w:r>
      <w:r w:rsidR="00434F04">
        <w:rPr>
          <w:rFonts w:ascii="Times New Roman" w:hAnsi="Times New Roman"/>
          <w:sz w:val="28"/>
          <w:szCs w:val="28"/>
        </w:rPr>
        <w:t>6</w:t>
      </w:r>
    </w:p>
    <w:p w:rsidR="007D3AA7" w:rsidRPr="00653B80" w:rsidRDefault="007D3AA7" w:rsidP="007D3AA7">
      <w:pPr>
        <w:spacing w:after="0" w:line="240" w:lineRule="auto"/>
        <w:ind w:firstLine="709"/>
        <w:jc w:val="center"/>
        <w:rPr>
          <w:rFonts w:ascii="Times New Roman" w:hAnsi="Times New Roman"/>
          <w:b/>
          <w:sz w:val="28"/>
          <w:szCs w:val="28"/>
        </w:rPr>
      </w:pPr>
      <w:r w:rsidRPr="00653B80">
        <w:rPr>
          <w:rFonts w:ascii="Times New Roman" w:hAnsi="Times New Roman"/>
          <w:b/>
          <w:sz w:val="28"/>
          <w:szCs w:val="28"/>
        </w:rPr>
        <w:t>Покупательная способность среднемесячной заработной платы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2126"/>
        <w:gridCol w:w="1984"/>
      </w:tblGrid>
      <w:tr w:rsidR="007D3AA7" w:rsidRPr="007D3AA7" w:rsidTr="00FA5C24">
        <w:trPr>
          <w:trHeight w:val="292"/>
        </w:trPr>
        <w:tc>
          <w:tcPr>
            <w:tcW w:w="5529" w:type="dxa"/>
            <w:shd w:val="clear" w:color="auto" w:fill="E0E0E0"/>
            <w:vAlign w:val="center"/>
          </w:tcPr>
          <w:p w:rsidR="007D3AA7" w:rsidRPr="007D3AA7" w:rsidRDefault="007D3AA7" w:rsidP="007D3AA7">
            <w:pPr>
              <w:widowControl w:val="0"/>
              <w:spacing w:after="0" w:line="240" w:lineRule="auto"/>
              <w:rPr>
                <w:rFonts w:ascii="Times New Roman" w:hAnsi="Times New Roman"/>
                <w:b/>
              </w:rPr>
            </w:pPr>
            <w:r w:rsidRPr="007D3AA7">
              <w:rPr>
                <w:rFonts w:ascii="Times New Roman" w:hAnsi="Times New Roman"/>
                <w:b/>
              </w:rPr>
              <w:t>Покупательная способность среднемесячной заработной платы</w:t>
            </w:r>
          </w:p>
        </w:tc>
        <w:tc>
          <w:tcPr>
            <w:tcW w:w="2126" w:type="dxa"/>
            <w:shd w:val="clear" w:color="auto" w:fill="E0E0E0"/>
            <w:vAlign w:val="center"/>
          </w:tcPr>
          <w:p w:rsidR="007D3AA7" w:rsidRPr="007D3AA7" w:rsidRDefault="007D3AA7" w:rsidP="007D3AA7">
            <w:pPr>
              <w:widowControl w:val="0"/>
              <w:spacing w:after="0" w:line="240" w:lineRule="auto"/>
              <w:jc w:val="center"/>
              <w:rPr>
                <w:rFonts w:ascii="Times New Roman" w:hAnsi="Times New Roman"/>
                <w:b/>
              </w:rPr>
            </w:pPr>
            <w:r w:rsidRPr="007D3AA7">
              <w:rPr>
                <w:rFonts w:ascii="Times New Roman" w:hAnsi="Times New Roman"/>
                <w:b/>
              </w:rPr>
              <w:t>2017 год</w:t>
            </w:r>
          </w:p>
        </w:tc>
        <w:tc>
          <w:tcPr>
            <w:tcW w:w="1984" w:type="dxa"/>
            <w:shd w:val="clear" w:color="auto" w:fill="E0E0E0"/>
            <w:vAlign w:val="center"/>
          </w:tcPr>
          <w:p w:rsidR="007D3AA7" w:rsidRPr="007D3AA7" w:rsidRDefault="007D3AA7" w:rsidP="007D3AA7">
            <w:pPr>
              <w:widowControl w:val="0"/>
              <w:spacing w:after="0" w:line="240" w:lineRule="auto"/>
              <w:jc w:val="center"/>
              <w:rPr>
                <w:rFonts w:ascii="Times New Roman" w:hAnsi="Times New Roman"/>
                <w:b/>
              </w:rPr>
            </w:pPr>
            <w:r w:rsidRPr="007D3AA7">
              <w:rPr>
                <w:rFonts w:ascii="Times New Roman" w:hAnsi="Times New Roman"/>
                <w:b/>
              </w:rPr>
              <w:t>2018 год</w:t>
            </w:r>
          </w:p>
        </w:tc>
      </w:tr>
      <w:tr w:rsidR="007D3AA7" w:rsidRPr="007D3AA7" w:rsidTr="00FA5C24">
        <w:trPr>
          <w:trHeight w:val="360"/>
        </w:trPr>
        <w:tc>
          <w:tcPr>
            <w:tcW w:w="5529" w:type="dxa"/>
            <w:vAlign w:val="center"/>
          </w:tcPr>
          <w:p w:rsidR="007D3AA7" w:rsidRPr="007D3AA7" w:rsidRDefault="007D3AA7" w:rsidP="007D3AA7">
            <w:pPr>
              <w:widowControl w:val="0"/>
              <w:spacing w:after="0" w:line="240" w:lineRule="auto"/>
              <w:rPr>
                <w:rFonts w:ascii="Times New Roman" w:hAnsi="Times New Roman"/>
              </w:rPr>
            </w:pPr>
            <w:r w:rsidRPr="007D3AA7">
              <w:rPr>
                <w:rFonts w:ascii="Times New Roman" w:hAnsi="Times New Roman"/>
              </w:rPr>
              <w:t>- в целом по республике</w:t>
            </w:r>
          </w:p>
        </w:tc>
        <w:tc>
          <w:tcPr>
            <w:tcW w:w="2126" w:type="dxa"/>
            <w:vAlign w:val="center"/>
          </w:tcPr>
          <w:p w:rsidR="007D3AA7" w:rsidRPr="007D3AA7" w:rsidRDefault="007D3AA7" w:rsidP="007D3AA7">
            <w:pPr>
              <w:widowControl w:val="0"/>
              <w:spacing w:after="0" w:line="240" w:lineRule="auto"/>
              <w:jc w:val="center"/>
              <w:rPr>
                <w:rFonts w:ascii="Times New Roman" w:hAnsi="Times New Roman"/>
              </w:rPr>
            </w:pPr>
            <w:r w:rsidRPr="007D3AA7">
              <w:rPr>
                <w:rFonts w:ascii="Times New Roman" w:hAnsi="Times New Roman"/>
              </w:rPr>
              <w:t>2,7</w:t>
            </w:r>
          </w:p>
        </w:tc>
        <w:tc>
          <w:tcPr>
            <w:tcW w:w="1984" w:type="dxa"/>
            <w:vAlign w:val="center"/>
          </w:tcPr>
          <w:p w:rsidR="007D3AA7" w:rsidRPr="007D3AA7" w:rsidRDefault="007D3AA7" w:rsidP="007D3AA7">
            <w:pPr>
              <w:widowControl w:val="0"/>
              <w:spacing w:after="0" w:line="240" w:lineRule="auto"/>
              <w:jc w:val="center"/>
              <w:rPr>
                <w:rFonts w:ascii="Times New Roman" w:hAnsi="Times New Roman"/>
              </w:rPr>
            </w:pPr>
            <w:r w:rsidRPr="007D3AA7">
              <w:rPr>
                <w:rFonts w:ascii="Times New Roman" w:hAnsi="Times New Roman"/>
              </w:rPr>
              <w:t>2,7</w:t>
            </w:r>
          </w:p>
        </w:tc>
      </w:tr>
      <w:tr w:rsidR="007D3AA7" w:rsidRPr="007D3AA7" w:rsidTr="00FA5C24">
        <w:trPr>
          <w:trHeight w:val="360"/>
        </w:trPr>
        <w:tc>
          <w:tcPr>
            <w:tcW w:w="5529" w:type="dxa"/>
            <w:vAlign w:val="center"/>
          </w:tcPr>
          <w:p w:rsidR="007D3AA7" w:rsidRPr="007D3AA7" w:rsidRDefault="007D3AA7" w:rsidP="007D3AA7">
            <w:pPr>
              <w:widowControl w:val="0"/>
              <w:spacing w:after="0" w:line="240" w:lineRule="auto"/>
              <w:rPr>
                <w:rFonts w:ascii="Times New Roman" w:hAnsi="Times New Roman"/>
              </w:rPr>
            </w:pPr>
            <w:r w:rsidRPr="007D3AA7">
              <w:rPr>
                <w:rFonts w:ascii="Times New Roman" w:hAnsi="Times New Roman"/>
              </w:rPr>
              <w:t xml:space="preserve">- в хозрасчетном секторе </w:t>
            </w:r>
          </w:p>
        </w:tc>
        <w:tc>
          <w:tcPr>
            <w:tcW w:w="2126" w:type="dxa"/>
            <w:vAlign w:val="center"/>
          </w:tcPr>
          <w:p w:rsidR="007D3AA7" w:rsidRPr="007D3AA7" w:rsidRDefault="007D3AA7" w:rsidP="007D3AA7">
            <w:pPr>
              <w:widowControl w:val="0"/>
              <w:spacing w:after="0" w:line="240" w:lineRule="auto"/>
              <w:jc w:val="center"/>
              <w:rPr>
                <w:rFonts w:ascii="Times New Roman" w:hAnsi="Times New Roman"/>
              </w:rPr>
            </w:pPr>
            <w:r w:rsidRPr="007D3AA7">
              <w:rPr>
                <w:rFonts w:ascii="Times New Roman" w:hAnsi="Times New Roman"/>
              </w:rPr>
              <w:t>3,5</w:t>
            </w:r>
          </w:p>
        </w:tc>
        <w:tc>
          <w:tcPr>
            <w:tcW w:w="1984" w:type="dxa"/>
            <w:vAlign w:val="center"/>
          </w:tcPr>
          <w:p w:rsidR="007D3AA7" w:rsidRPr="007D3AA7" w:rsidRDefault="007D3AA7" w:rsidP="007D3AA7">
            <w:pPr>
              <w:widowControl w:val="0"/>
              <w:spacing w:after="0" w:line="240" w:lineRule="auto"/>
              <w:jc w:val="center"/>
              <w:rPr>
                <w:rFonts w:ascii="Times New Roman" w:hAnsi="Times New Roman"/>
              </w:rPr>
            </w:pPr>
            <w:r w:rsidRPr="007D3AA7">
              <w:rPr>
                <w:rFonts w:ascii="Times New Roman" w:hAnsi="Times New Roman"/>
              </w:rPr>
              <w:t>3,6</w:t>
            </w:r>
          </w:p>
        </w:tc>
      </w:tr>
      <w:tr w:rsidR="007D3AA7" w:rsidRPr="007D3AA7" w:rsidTr="00FA5C24">
        <w:trPr>
          <w:trHeight w:val="360"/>
        </w:trPr>
        <w:tc>
          <w:tcPr>
            <w:tcW w:w="5529" w:type="dxa"/>
            <w:vAlign w:val="center"/>
          </w:tcPr>
          <w:p w:rsidR="007D3AA7" w:rsidRPr="007D3AA7" w:rsidRDefault="007D3AA7" w:rsidP="007D3AA7">
            <w:pPr>
              <w:widowControl w:val="0"/>
              <w:spacing w:after="0" w:line="240" w:lineRule="auto"/>
              <w:rPr>
                <w:rFonts w:ascii="Times New Roman" w:hAnsi="Times New Roman"/>
              </w:rPr>
            </w:pPr>
            <w:r w:rsidRPr="007D3AA7">
              <w:rPr>
                <w:rFonts w:ascii="Times New Roman" w:hAnsi="Times New Roman"/>
              </w:rPr>
              <w:t>- в бюджетной сфере</w:t>
            </w:r>
          </w:p>
        </w:tc>
        <w:tc>
          <w:tcPr>
            <w:tcW w:w="2126" w:type="dxa"/>
            <w:vAlign w:val="center"/>
          </w:tcPr>
          <w:p w:rsidR="007D3AA7" w:rsidRPr="007D3AA7" w:rsidRDefault="007D3AA7" w:rsidP="007D3AA7">
            <w:pPr>
              <w:widowControl w:val="0"/>
              <w:spacing w:after="0" w:line="240" w:lineRule="auto"/>
              <w:jc w:val="center"/>
              <w:rPr>
                <w:rFonts w:ascii="Times New Roman" w:hAnsi="Times New Roman"/>
              </w:rPr>
            </w:pPr>
            <w:r w:rsidRPr="007D3AA7">
              <w:rPr>
                <w:rFonts w:ascii="Times New Roman" w:hAnsi="Times New Roman"/>
              </w:rPr>
              <w:t>1,9</w:t>
            </w:r>
          </w:p>
        </w:tc>
        <w:tc>
          <w:tcPr>
            <w:tcW w:w="1984" w:type="dxa"/>
            <w:vAlign w:val="center"/>
          </w:tcPr>
          <w:p w:rsidR="007D3AA7" w:rsidRPr="007D3AA7" w:rsidRDefault="007D3AA7" w:rsidP="007D3AA7">
            <w:pPr>
              <w:widowControl w:val="0"/>
              <w:spacing w:after="0" w:line="240" w:lineRule="auto"/>
              <w:jc w:val="center"/>
              <w:rPr>
                <w:rFonts w:ascii="Times New Roman" w:hAnsi="Times New Roman"/>
              </w:rPr>
            </w:pPr>
            <w:r w:rsidRPr="007D3AA7">
              <w:rPr>
                <w:rFonts w:ascii="Times New Roman" w:hAnsi="Times New Roman"/>
              </w:rPr>
              <w:t>1,8</w:t>
            </w:r>
          </w:p>
        </w:tc>
      </w:tr>
    </w:tbl>
    <w:p w:rsidR="007D3AA7" w:rsidRPr="007D3AA7" w:rsidRDefault="007D3AA7" w:rsidP="007D3AA7">
      <w:pPr>
        <w:tabs>
          <w:tab w:val="left" w:pos="851"/>
          <w:tab w:val="left" w:pos="993"/>
        </w:tabs>
        <w:spacing w:after="0" w:line="240" w:lineRule="auto"/>
        <w:ind w:firstLine="709"/>
        <w:jc w:val="both"/>
        <w:rPr>
          <w:rFonts w:ascii="Times New Roman" w:hAnsi="Times New Roman"/>
          <w:sz w:val="10"/>
          <w:szCs w:val="10"/>
          <w:shd w:val="clear" w:color="auto" w:fill="FFFFFF"/>
        </w:rPr>
      </w:pPr>
    </w:p>
    <w:p w:rsidR="007D3AA7" w:rsidRPr="007D3AA7" w:rsidRDefault="007D3AA7" w:rsidP="007D3AA7">
      <w:pPr>
        <w:spacing w:after="0" w:line="240" w:lineRule="auto"/>
        <w:ind w:firstLineChars="177" w:firstLine="496"/>
        <w:jc w:val="both"/>
        <w:rPr>
          <w:rFonts w:ascii="Times New Roman" w:eastAsia="Calibri" w:hAnsi="Times New Roman"/>
          <w:sz w:val="28"/>
          <w:szCs w:val="28"/>
        </w:rPr>
      </w:pPr>
      <w:r w:rsidRPr="007D3AA7">
        <w:rPr>
          <w:rFonts w:ascii="Times New Roman" w:hAnsi="Times New Roman"/>
          <w:sz w:val="28"/>
          <w:szCs w:val="28"/>
          <w:shd w:val="clear" w:color="auto" w:fill="FFFFFF"/>
        </w:rPr>
        <w:t>Величина номинальной заработной платы в целом по республике за 2018 год (кроме субъектов малого предпринимательства и без учета силовых структур) увеличилась на 8,9%, составив 4 328 руб., при этом с учетом удорожания жизни реальная ее величина сократилась по отношению к базовому периоду на 2,0%. В долларовом эквиваленте ее размер соответствовал 270 долл. США, сократившись на 9,1% к уровню 2017 года.</w:t>
      </w:r>
    </w:p>
    <w:p w:rsidR="007D3AA7" w:rsidRPr="007D3AA7" w:rsidRDefault="007D3AA7" w:rsidP="007D3AA7">
      <w:pPr>
        <w:spacing w:after="0" w:line="240" w:lineRule="auto"/>
        <w:ind w:firstLineChars="177" w:firstLine="496"/>
        <w:jc w:val="both"/>
        <w:rPr>
          <w:rFonts w:ascii="Times New Roman" w:hAnsi="Times New Roman"/>
          <w:sz w:val="28"/>
          <w:szCs w:val="28"/>
        </w:rPr>
      </w:pPr>
      <w:r w:rsidRPr="007D3AA7">
        <w:rPr>
          <w:rFonts w:ascii="Times New Roman" w:hAnsi="Times New Roman"/>
          <w:sz w:val="28"/>
          <w:szCs w:val="28"/>
        </w:rPr>
        <w:t>Значимым обстоятельством напряженности в обществе продолжает выступать степень дифференциации размера заработной платы. Так, уровень заработной платы в высокооплачиваемых отраслях выше уровня в низкооплачиваемых отраслях в 5,0 раз. Самый высокий уровень заработной платы наблюдался у работников таких отраслей экономики как, «Электро и радиосвязь» 10 967 руб. (+7,5%), «Банки и кредитование» 8 137 руб. (+11,4%), «Страхование» 8 135 руб. (+14,0%).</w:t>
      </w:r>
    </w:p>
    <w:p w:rsidR="007D3AA7" w:rsidRDefault="007D3AA7" w:rsidP="007D3AA7">
      <w:pPr>
        <w:spacing w:after="0" w:line="240" w:lineRule="auto"/>
        <w:ind w:firstLineChars="177" w:firstLine="496"/>
        <w:jc w:val="both"/>
        <w:rPr>
          <w:rFonts w:ascii="Times New Roman" w:hAnsi="Times New Roman"/>
          <w:sz w:val="28"/>
          <w:szCs w:val="28"/>
        </w:rPr>
      </w:pPr>
      <w:r w:rsidRPr="007D3AA7">
        <w:rPr>
          <w:rFonts w:ascii="Times New Roman" w:hAnsi="Times New Roman"/>
          <w:sz w:val="28"/>
          <w:szCs w:val="28"/>
        </w:rPr>
        <w:t xml:space="preserve">Развитие позитивных тенденций в экономическом развитии республики экстраполировались на уровень доходов граждан. Так, по всем отраслям экономики наблюдается рост среднемесячной заработной платы от +2,3% в </w:t>
      </w:r>
      <w:r w:rsidRPr="007D3AA7">
        <w:rPr>
          <w:rFonts w:ascii="Times New Roman" w:hAnsi="Times New Roman"/>
          <w:sz w:val="28"/>
          <w:szCs w:val="28"/>
        </w:rPr>
        <w:lastRenderedPageBreak/>
        <w:t>организациях жилищно-коммунального хозяйства до +15,0% в организациях физкультуры, отдыха и туризма</w:t>
      </w:r>
      <w:r w:rsidR="00FA5C24">
        <w:rPr>
          <w:rFonts w:ascii="Times New Roman" w:hAnsi="Times New Roman"/>
          <w:sz w:val="28"/>
          <w:szCs w:val="28"/>
        </w:rPr>
        <w:t xml:space="preserve"> (рис. 33)</w:t>
      </w:r>
      <w:r w:rsidRPr="007D3AA7">
        <w:rPr>
          <w:rFonts w:ascii="Times New Roman" w:hAnsi="Times New Roman"/>
          <w:sz w:val="28"/>
          <w:szCs w:val="28"/>
        </w:rPr>
        <w:t>.</w:t>
      </w:r>
    </w:p>
    <w:p w:rsidR="00FA5C24" w:rsidRPr="00245F0A" w:rsidRDefault="00FA5C24" w:rsidP="00FA5C24">
      <w:pPr>
        <w:spacing w:after="0" w:line="240" w:lineRule="auto"/>
        <w:ind w:left="283" w:firstLine="709"/>
        <w:jc w:val="right"/>
        <w:rPr>
          <w:rFonts w:ascii="Times New Roman" w:eastAsia="Calibri" w:hAnsi="Times New Roman" w:cstheme="minorBidi"/>
          <w:b/>
          <w:i/>
          <w:spacing w:val="2"/>
          <w:sz w:val="28"/>
          <w:szCs w:val="28"/>
          <w:lang w:eastAsia="en-US"/>
        </w:rPr>
      </w:pPr>
      <w:r w:rsidRPr="00245F0A">
        <w:rPr>
          <w:rFonts w:ascii="Times New Roman" w:eastAsia="Calibri" w:hAnsi="Times New Roman" w:cstheme="minorBidi"/>
          <w:b/>
          <w:i/>
          <w:spacing w:val="2"/>
          <w:sz w:val="28"/>
          <w:szCs w:val="28"/>
          <w:lang w:eastAsia="en-US"/>
        </w:rPr>
        <w:t>Рисунок 3</w:t>
      </w:r>
      <w:r>
        <w:rPr>
          <w:rFonts w:ascii="Times New Roman" w:eastAsia="Calibri" w:hAnsi="Times New Roman" w:cstheme="minorBidi"/>
          <w:b/>
          <w:i/>
          <w:spacing w:val="2"/>
          <w:sz w:val="28"/>
          <w:szCs w:val="28"/>
          <w:lang w:eastAsia="en-US"/>
        </w:rPr>
        <w:t>3</w:t>
      </w:r>
    </w:p>
    <w:p w:rsidR="007D3AA7" w:rsidRPr="007D3AA7" w:rsidRDefault="007D3AA7" w:rsidP="007D3AA7">
      <w:pPr>
        <w:widowControl w:val="0"/>
        <w:spacing w:after="0" w:line="240" w:lineRule="auto"/>
        <w:ind w:left="-284"/>
        <w:jc w:val="both"/>
        <w:rPr>
          <w:rFonts w:ascii="Times New Roman" w:hAnsi="Times New Roman"/>
          <w:sz w:val="24"/>
          <w:szCs w:val="24"/>
        </w:rPr>
      </w:pPr>
      <w:r w:rsidRPr="007D3AA7">
        <w:rPr>
          <w:rFonts w:ascii="Times New Roman" w:hAnsi="Times New Roman"/>
          <w:noProof/>
          <w:sz w:val="24"/>
          <w:szCs w:val="24"/>
        </w:rPr>
        <w:drawing>
          <wp:inline distT="0" distB="0" distL="0" distR="0">
            <wp:extent cx="6334125" cy="4572000"/>
            <wp:effectExtent l="0" t="0" r="0" b="0"/>
            <wp:docPr id="5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D3AA7" w:rsidRPr="007D3AA7" w:rsidRDefault="007D3AA7" w:rsidP="007D3AA7">
      <w:pPr>
        <w:widowControl w:val="0"/>
        <w:spacing w:after="0" w:line="240" w:lineRule="auto"/>
        <w:ind w:firstLine="426"/>
        <w:jc w:val="both"/>
        <w:rPr>
          <w:rFonts w:ascii="Times New Roman" w:hAnsi="Times New Roman"/>
          <w:sz w:val="28"/>
          <w:szCs w:val="28"/>
          <w:highlight w:val="yellow"/>
        </w:rPr>
      </w:pPr>
      <w:r w:rsidRPr="007D3AA7">
        <w:rPr>
          <w:rFonts w:ascii="Times New Roman" w:hAnsi="Times New Roman"/>
          <w:b/>
          <w:sz w:val="28"/>
          <w:szCs w:val="28"/>
        </w:rPr>
        <w:t>Во внебюджетном (хозрасчетном) секторе</w:t>
      </w:r>
      <w:r w:rsidRPr="007D3AA7">
        <w:rPr>
          <w:rFonts w:ascii="Times New Roman" w:hAnsi="Times New Roman"/>
          <w:sz w:val="28"/>
          <w:szCs w:val="28"/>
        </w:rPr>
        <w:t xml:space="preserve"> экономики начисленная среднемесячная заработная плата одного работника за 2018 год выросла по отношению к базовому показателю 2017 года на 10,0% и сложилась в размере 5 587 руб. (348 долл.), что с учетом корректировки на индекс инфляции соответствует ее реальному сокращению на 1,0%.</w:t>
      </w:r>
    </w:p>
    <w:p w:rsidR="007D3AA7" w:rsidRDefault="007D3AA7" w:rsidP="00FA5C24">
      <w:pPr>
        <w:widowControl w:val="0"/>
        <w:spacing w:after="0" w:line="240" w:lineRule="auto"/>
        <w:ind w:firstLine="426"/>
        <w:jc w:val="both"/>
        <w:rPr>
          <w:rFonts w:ascii="Times New Roman" w:hAnsi="Times New Roman"/>
          <w:sz w:val="28"/>
          <w:szCs w:val="28"/>
        </w:rPr>
      </w:pPr>
      <w:r w:rsidRPr="007D3AA7">
        <w:rPr>
          <w:rFonts w:ascii="Times New Roman" w:hAnsi="Times New Roman"/>
          <w:sz w:val="28"/>
          <w:szCs w:val="28"/>
        </w:rPr>
        <w:t>В разрезе отдельных отраслей повышение варьировало от +2,5% в организациях жилищно-коммунального хозяйства (4 313 руб.) до +22,8% в организациях физкультуры, отдыха и туризма (9 941 руб.). При этом также самыми высокооплачиваемыми отраслями в данном секторе экономики в отчетном году оставались «Связь» (8 100 руб.), «Страхование» (8 135 руб.) и «Банки, кредитование» (8 137 руб.), где превышение среднереспубликанского уровня заработной платы организаций хозрасчетного сектора</w:t>
      </w:r>
      <w:r w:rsidR="00FA5C24">
        <w:rPr>
          <w:rFonts w:ascii="Times New Roman" w:hAnsi="Times New Roman"/>
          <w:sz w:val="28"/>
          <w:szCs w:val="28"/>
        </w:rPr>
        <w:t xml:space="preserve"> варьировало от 45,0% до 45,6% (рис. 34).</w:t>
      </w:r>
    </w:p>
    <w:p w:rsidR="00FA5C24" w:rsidRDefault="00FA5C24" w:rsidP="00FA5C24">
      <w:pPr>
        <w:widowControl w:val="0"/>
        <w:spacing w:after="0" w:line="240" w:lineRule="auto"/>
        <w:ind w:firstLine="426"/>
        <w:jc w:val="both"/>
        <w:rPr>
          <w:rFonts w:ascii="Times New Roman" w:hAnsi="Times New Roman"/>
          <w:sz w:val="28"/>
          <w:szCs w:val="28"/>
        </w:rPr>
      </w:pPr>
    </w:p>
    <w:p w:rsidR="00FA5C24" w:rsidRDefault="00FA5C24" w:rsidP="00FA5C24">
      <w:pPr>
        <w:widowControl w:val="0"/>
        <w:spacing w:after="0" w:line="240" w:lineRule="auto"/>
        <w:ind w:firstLine="426"/>
        <w:jc w:val="both"/>
        <w:rPr>
          <w:rFonts w:ascii="Times New Roman" w:hAnsi="Times New Roman"/>
          <w:sz w:val="28"/>
          <w:szCs w:val="28"/>
        </w:rPr>
      </w:pPr>
    </w:p>
    <w:p w:rsidR="00FA5C24" w:rsidRDefault="00FA5C24" w:rsidP="00FA5C24">
      <w:pPr>
        <w:widowControl w:val="0"/>
        <w:spacing w:after="0" w:line="240" w:lineRule="auto"/>
        <w:ind w:firstLine="426"/>
        <w:jc w:val="both"/>
        <w:rPr>
          <w:rFonts w:ascii="Times New Roman" w:hAnsi="Times New Roman"/>
          <w:sz w:val="28"/>
          <w:szCs w:val="28"/>
        </w:rPr>
      </w:pPr>
    </w:p>
    <w:p w:rsidR="00FA5C24" w:rsidRDefault="00FA5C24" w:rsidP="00FA5C24">
      <w:pPr>
        <w:widowControl w:val="0"/>
        <w:spacing w:after="0" w:line="240" w:lineRule="auto"/>
        <w:ind w:firstLine="426"/>
        <w:jc w:val="both"/>
        <w:rPr>
          <w:rFonts w:ascii="Times New Roman" w:hAnsi="Times New Roman"/>
          <w:sz w:val="28"/>
          <w:szCs w:val="28"/>
        </w:rPr>
      </w:pPr>
    </w:p>
    <w:p w:rsidR="00FA5C24" w:rsidRDefault="00FA5C24" w:rsidP="00FA5C24">
      <w:pPr>
        <w:widowControl w:val="0"/>
        <w:spacing w:after="0" w:line="240" w:lineRule="auto"/>
        <w:ind w:firstLine="426"/>
        <w:jc w:val="both"/>
        <w:rPr>
          <w:rFonts w:ascii="Times New Roman" w:hAnsi="Times New Roman"/>
          <w:sz w:val="28"/>
          <w:szCs w:val="28"/>
        </w:rPr>
      </w:pPr>
    </w:p>
    <w:p w:rsidR="00FA5C24" w:rsidRDefault="00FA5C24" w:rsidP="00FA5C24">
      <w:pPr>
        <w:widowControl w:val="0"/>
        <w:spacing w:after="0" w:line="240" w:lineRule="auto"/>
        <w:ind w:firstLine="426"/>
        <w:jc w:val="both"/>
        <w:rPr>
          <w:rFonts w:ascii="Times New Roman" w:hAnsi="Times New Roman"/>
          <w:sz w:val="28"/>
          <w:szCs w:val="28"/>
        </w:rPr>
      </w:pPr>
    </w:p>
    <w:p w:rsidR="00FA5C24" w:rsidRDefault="00FA5C24" w:rsidP="00FA5C24">
      <w:pPr>
        <w:widowControl w:val="0"/>
        <w:spacing w:after="0" w:line="240" w:lineRule="auto"/>
        <w:ind w:firstLine="426"/>
        <w:jc w:val="both"/>
        <w:rPr>
          <w:rFonts w:ascii="Times New Roman" w:hAnsi="Times New Roman"/>
          <w:sz w:val="28"/>
          <w:szCs w:val="28"/>
        </w:rPr>
      </w:pPr>
    </w:p>
    <w:p w:rsidR="00FA5C24" w:rsidRDefault="00FA5C24" w:rsidP="00FA5C24">
      <w:pPr>
        <w:widowControl w:val="0"/>
        <w:spacing w:after="0" w:line="240" w:lineRule="auto"/>
        <w:ind w:firstLine="426"/>
        <w:jc w:val="both"/>
        <w:rPr>
          <w:rFonts w:ascii="Times New Roman" w:hAnsi="Times New Roman"/>
          <w:sz w:val="28"/>
          <w:szCs w:val="28"/>
        </w:rPr>
      </w:pPr>
    </w:p>
    <w:p w:rsidR="00FA5C24" w:rsidRPr="00245F0A" w:rsidRDefault="00FA5C24" w:rsidP="00FA5C24">
      <w:pPr>
        <w:spacing w:after="0" w:line="240" w:lineRule="auto"/>
        <w:ind w:left="283" w:firstLine="709"/>
        <w:jc w:val="right"/>
        <w:rPr>
          <w:rFonts w:ascii="Times New Roman" w:eastAsia="Calibri" w:hAnsi="Times New Roman" w:cstheme="minorBidi"/>
          <w:b/>
          <w:i/>
          <w:spacing w:val="2"/>
          <w:sz w:val="28"/>
          <w:szCs w:val="28"/>
          <w:lang w:eastAsia="en-US"/>
        </w:rPr>
      </w:pPr>
      <w:r w:rsidRPr="00245F0A">
        <w:rPr>
          <w:rFonts w:ascii="Times New Roman" w:eastAsia="Calibri" w:hAnsi="Times New Roman" w:cstheme="minorBidi"/>
          <w:b/>
          <w:i/>
          <w:spacing w:val="2"/>
          <w:sz w:val="28"/>
          <w:szCs w:val="28"/>
          <w:lang w:eastAsia="en-US"/>
        </w:rPr>
        <w:lastRenderedPageBreak/>
        <w:t>Рисунок 3</w:t>
      </w:r>
      <w:r>
        <w:rPr>
          <w:rFonts w:ascii="Times New Roman" w:eastAsia="Calibri" w:hAnsi="Times New Roman" w:cstheme="minorBidi"/>
          <w:b/>
          <w:i/>
          <w:spacing w:val="2"/>
          <w:sz w:val="28"/>
          <w:szCs w:val="28"/>
          <w:lang w:eastAsia="en-US"/>
        </w:rPr>
        <w:t>4</w:t>
      </w:r>
    </w:p>
    <w:p w:rsidR="007D3AA7" w:rsidRPr="007D3AA7" w:rsidRDefault="007D3AA7" w:rsidP="007D3AA7">
      <w:pPr>
        <w:spacing w:line="240" w:lineRule="auto"/>
        <w:contextualSpacing/>
        <w:jc w:val="right"/>
        <w:rPr>
          <w:rFonts w:ascii="Times New Roman" w:hAnsi="Times New Roman"/>
          <w:sz w:val="24"/>
          <w:szCs w:val="24"/>
        </w:rPr>
      </w:pPr>
      <w:r w:rsidRPr="007D3AA7">
        <w:rPr>
          <w:rFonts w:ascii="Times New Roman" w:hAnsi="Times New Roman"/>
          <w:noProof/>
          <w:sz w:val="24"/>
          <w:szCs w:val="24"/>
        </w:rPr>
        <w:drawing>
          <wp:inline distT="0" distB="0" distL="0" distR="0">
            <wp:extent cx="5943600" cy="3952875"/>
            <wp:effectExtent l="0" t="0" r="0" b="0"/>
            <wp:docPr id="5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D3AA7" w:rsidRPr="00FA5C24" w:rsidRDefault="007D3AA7" w:rsidP="007D3AA7">
      <w:pPr>
        <w:spacing w:after="0" w:line="240" w:lineRule="auto"/>
        <w:ind w:firstLine="540"/>
        <w:jc w:val="both"/>
        <w:rPr>
          <w:rFonts w:ascii="Times New Roman" w:hAnsi="Times New Roman"/>
          <w:sz w:val="10"/>
          <w:szCs w:val="10"/>
        </w:rPr>
      </w:pPr>
    </w:p>
    <w:p w:rsidR="007D3AA7" w:rsidRPr="007D3AA7" w:rsidRDefault="007D3AA7" w:rsidP="007D3AA7">
      <w:pPr>
        <w:spacing w:after="0" w:line="240" w:lineRule="auto"/>
        <w:ind w:firstLine="426"/>
        <w:jc w:val="both"/>
        <w:rPr>
          <w:rFonts w:ascii="Times New Roman" w:hAnsi="Times New Roman"/>
          <w:sz w:val="28"/>
          <w:szCs w:val="28"/>
          <w:highlight w:val="yellow"/>
        </w:rPr>
      </w:pPr>
      <w:r w:rsidRPr="007D3AA7">
        <w:rPr>
          <w:rFonts w:ascii="Times New Roman" w:hAnsi="Times New Roman"/>
          <w:sz w:val="28"/>
          <w:szCs w:val="28"/>
        </w:rPr>
        <w:t xml:space="preserve">В индустриальном секторе, в котором задействовано порядка 45,5% всех работников внебюджетного сектора, в 2018 году на фоне улучшение производственных показателей по всем отраслям промышленности, отмечено увеличение среднемесячной номинальной заработной платы работников на 12,9% до 6 013 руб. (374 долл.), что на 38,9% выше среднереспубликанского уровня, в реальном выражении увеличение составило 1,6%. </w:t>
      </w:r>
    </w:p>
    <w:p w:rsidR="007D3AA7" w:rsidRPr="007D3AA7" w:rsidRDefault="007D3AA7" w:rsidP="007D3AA7">
      <w:pPr>
        <w:widowControl w:val="0"/>
        <w:spacing w:after="0" w:line="240" w:lineRule="auto"/>
        <w:ind w:firstLine="426"/>
        <w:jc w:val="both"/>
        <w:rPr>
          <w:rFonts w:ascii="Times New Roman" w:hAnsi="Times New Roman"/>
          <w:sz w:val="28"/>
          <w:szCs w:val="28"/>
        </w:rPr>
      </w:pPr>
      <w:r w:rsidRPr="007D3AA7">
        <w:rPr>
          <w:rFonts w:ascii="Times New Roman" w:hAnsi="Times New Roman"/>
          <w:sz w:val="28"/>
          <w:szCs w:val="28"/>
        </w:rPr>
        <w:t>В разрезе подотраслей промышленности динамика среднемесячной номинальной заработной платы за 2018 год по отношению к базовому показателю 2017 года варьировала от +5,0% в организациях электроэнергетики (суммарная величина – 6 540 руб.) до +24,2% в организациях черной металлургии (суммарная величина – 8 081 руб.)</w:t>
      </w:r>
      <w:r w:rsidR="00FA5C24">
        <w:rPr>
          <w:rFonts w:ascii="Times New Roman" w:hAnsi="Times New Roman"/>
          <w:sz w:val="28"/>
          <w:szCs w:val="28"/>
        </w:rPr>
        <w:t xml:space="preserve"> (рис. 35)</w:t>
      </w:r>
      <w:r w:rsidRPr="007D3AA7">
        <w:rPr>
          <w:rFonts w:ascii="Times New Roman" w:hAnsi="Times New Roman"/>
          <w:sz w:val="28"/>
          <w:szCs w:val="28"/>
        </w:rPr>
        <w:t>.</w:t>
      </w:r>
    </w:p>
    <w:p w:rsidR="007D3AA7" w:rsidRPr="00FA5C24" w:rsidRDefault="00FA5C24" w:rsidP="00FA5C24">
      <w:pPr>
        <w:spacing w:after="0" w:line="240" w:lineRule="auto"/>
        <w:ind w:left="283" w:firstLine="709"/>
        <w:jc w:val="right"/>
        <w:rPr>
          <w:rFonts w:ascii="Times New Roman" w:eastAsia="Calibri" w:hAnsi="Times New Roman" w:cstheme="minorBidi"/>
          <w:b/>
          <w:i/>
          <w:spacing w:val="2"/>
          <w:sz w:val="28"/>
          <w:szCs w:val="28"/>
          <w:lang w:eastAsia="en-US"/>
        </w:rPr>
      </w:pPr>
      <w:r>
        <w:rPr>
          <w:rFonts w:ascii="Times New Roman" w:eastAsia="Calibri" w:hAnsi="Times New Roman" w:cstheme="minorBidi"/>
          <w:b/>
          <w:i/>
          <w:spacing w:val="2"/>
          <w:sz w:val="28"/>
          <w:szCs w:val="28"/>
          <w:lang w:eastAsia="en-US"/>
        </w:rPr>
        <w:t>Рисунок 35</w:t>
      </w:r>
    </w:p>
    <w:p w:rsidR="007D3AA7" w:rsidRPr="00653B80" w:rsidRDefault="007D3AA7" w:rsidP="007D3AA7">
      <w:pPr>
        <w:spacing w:after="0" w:line="240" w:lineRule="auto"/>
        <w:jc w:val="center"/>
        <w:rPr>
          <w:rFonts w:ascii="Times New Roman" w:hAnsi="Times New Roman"/>
          <w:b/>
          <w:bCs/>
          <w:kern w:val="24"/>
          <w:sz w:val="26"/>
          <w:szCs w:val="26"/>
        </w:rPr>
      </w:pPr>
      <w:r w:rsidRPr="00653B80">
        <w:rPr>
          <w:rFonts w:ascii="Times New Roman" w:hAnsi="Times New Roman"/>
          <w:b/>
          <w:bCs/>
          <w:kern w:val="24"/>
          <w:sz w:val="26"/>
          <w:szCs w:val="26"/>
        </w:rPr>
        <w:t>Динамика среднемесячной номинальной заработной платы в разрезе</w:t>
      </w:r>
    </w:p>
    <w:p w:rsidR="007D3AA7" w:rsidRPr="00653B80" w:rsidRDefault="007D3AA7" w:rsidP="007D3AA7">
      <w:pPr>
        <w:spacing w:after="0" w:line="240" w:lineRule="auto"/>
        <w:jc w:val="center"/>
        <w:rPr>
          <w:rFonts w:ascii="Times New Roman" w:hAnsi="Times New Roman"/>
          <w:b/>
          <w:sz w:val="26"/>
          <w:szCs w:val="26"/>
        </w:rPr>
      </w:pPr>
      <w:r w:rsidRPr="00653B80">
        <w:rPr>
          <w:rFonts w:ascii="Times New Roman" w:hAnsi="Times New Roman"/>
          <w:b/>
          <w:bCs/>
          <w:kern w:val="24"/>
          <w:sz w:val="26"/>
          <w:szCs w:val="26"/>
        </w:rPr>
        <w:t>подотраслей промышленности, %</w:t>
      </w:r>
    </w:p>
    <w:p w:rsidR="007D3AA7" w:rsidRPr="00653B80" w:rsidRDefault="007D3AA7" w:rsidP="007D3AA7">
      <w:pPr>
        <w:spacing w:after="0" w:line="240" w:lineRule="auto"/>
        <w:jc w:val="center"/>
        <w:rPr>
          <w:rFonts w:ascii="Times New Roman" w:hAnsi="Times New Roman"/>
          <w:i/>
          <w:sz w:val="26"/>
          <w:szCs w:val="26"/>
        </w:rPr>
      </w:pPr>
      <w:r w:rsidRPr="00653B80">
        <w:rPr>
          <w:rFonts w:ascii="Times New Roman" w:hAnsi="Times New Roman"/>
          <w:bCs/>
          <w:i/>
          <w:kern w:val="24"/>
          <w:sz w:val="26"/>
          <w:szCs w:val="26"/>
        </w:rPr>
        <w:t xml:space="preserve">(без учета субъектов малого предпринимательства и силовых структур) </w:t>
      </w:r>
    </w:p>
    <w:p w:rsidR="007D3AA7" w:rsidRPr="007D3AA7" w:rsidRDefault="007D3AA7" w:rsidP="007D3AA7">
      <w:pPr>
        <w:spacing w:line="240" w:lineRule="auto"/>
        <w:contextualSpacing/>
        <w:jc w:val="right"/>
        <w:rPr>
          <w:rFonts w:ascii="Times New Roman" w:hAnsi="Times New Roman"/>
          <w:sz w:val="18"/>
          <w:szCs w:val="18"/>
        </w:rPr>
      </w:pPr>
      <w:r w:rsidRPr="007D3AA7">
        <w:rPr>
          <w:rFonts w:ascii="Times New Roman" w:hAnsi="Times New Roman"/>
          <w:noProof/>
          <w:sz w:val="24"/>
          <w:szCs w:val="24"/>
        </w:rPr>
        <w:drawing>
          <wp:inline distT="0" distB="0" distL="0" distR="0">
            <wp:extent cx="6143625" cy="2352675"/>
            <wp:effectExtent l="19050" t="0" r="0" b="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D3AA7" w:rsidRPr="007D3AA7" w:rsidRDefault="007D3AA7" w:rsidP="007D3AA7">
      <w:pPr>
        <w:widowControl w:val="0"/>
        <w:spacing w:after="0" w:line="240" w:lineRule="auto"/>
        <w:ind w:firstLine="426"/>
        <w:jc w:val="both"/>
        <w:rPr>
          <w:rFonts w:ascii="Times New Roman" w:hAnsi="Times New Roman"/>
          <w:sz w:val="28"/>
          <w:szCs w:val="28"/>
        </w:rPr>
      </w:pPr>
      <w:r w:rsidRPr="007D3AA7">
        <w:rPr>
          <w:rFonts w:ascii="Times New Roman" w:hAnsi="Times New Roman"/>
          <w:sz w:val="28"/>
          <w:szCs w:val="28"/>
        </w:rPr>
        <w:lastRenderedPageBreak/>
        <w:t>Заработная плата у работников отрасли</w:t>
      </w:r>
      <w:r w:rsidRPr="007D3AA7">
        <w:rPr>
          <w:rFonts w:ascii="Times New Roman" w:hAnsi="Times New Roman"/>
          <w:b/>
          <w:sz w:val="28"/>
          <w:szCs w:val="28"/>
        </w:rPr>
        <w:t xml:space="preserve"> «Сельское хозяйство»</w:t>
      </w:r>
      <w:r w:rsidRPr="007D3AA7">
        <w:rPr>
          <w:rFonts w:ascii="Times New Roman" w:hAnsi="Times New Roman"/>
          <w:sz w:val="28"/>
          <w:szCs w:val="28"/>
        </w:rPr>
        <w:t xml:space="preserve"> в 2018 году выросла на 11,8% и составила 3 879 руб. (242 долл.), что с учетом корректировки на индекс инфляции соответствует ее реальному увеличению на 0,6%, при этом номинальный ее размер сложился на 10,4% ниже среднереспубликанского уровня.</w:t>
      </w:r>
    </w:p>
    <w:p w:rsidR="007D3AA7" w:rsidRDefault="007D3AA7" w:rsidP="007D3AA7">
      <w:pPr>
        <w:autoSpaceDE w:val="0"/>
        <w:autoSpaceDN w:val="0"/>
        <w:adjustRightInd w:val="0"/>
        <w:spacing w:after="0" w:line="240" w:lineRule="auto"/>
        <w:ind w:firstLine="426"/>
        <w:jc w:val="both"/>
        <w:rPr>
          <w:rFonts w:ascii="Times New Roman" w:hAnsi="Times New Roman"/>
          <w:sz w:val="28"/>
          <w:szCs w:val="28"/>
        </w:rPr>
      </w:pPr>
      <w:r w:rsidRPr="007D3AA7">
        <w:rPr>
          <w:rFonts w:ascii="Times New Roman" w:hAnsi="Times New Roman"/>
          <w:sz w:val="28"/>
          <w:szCs w:val="28"/>
        </w:rPr>
        <w:t xml:space="preserve">Оплата труда </w:t>
      </w:r>
      <w:r w:rsidRPr="007D3AA7">
        <w:rPr>
          <w:rFonts w:ascii="Times New Roman" w:hAnsi="Times New Roman"/>
          <w:b/>
          <w:sz w:val="28"/>
          <w:szCs w:val="28"/>
        </w:rPr>
        <w:t>в бюджетной сфере</w:t>
      </w:r>
      <w:r w:rsidRPr="007D3AA7">
        <w:rPr>
          <w:rFonts w:ascii="Times New Roman" w:hAnsi="Times New Roman"/>
          <w:sz w:val="28"/>
          <w:szCs w:val="28"/>
        </w:rPr>
        <w:t xml:space="preserve"> по итогам 2018 года относительно базового показателя 2017 года выросла на 5,2% и составила в среднем 2 858 руб. (178 долл.), составив 66,0% от среднереспубликанского уровня. С учетом корректировки на индекс инфляции материальное положение занятых в бюджетном секторе (реальная заработная плата) сократилось на 5,3%</w:t>
      </w:r>
      <w:r w:rsidR="00FA5C24">
        <w:rPr>
          <w:rFonts w:ascii="Times New Roman" w:hAnsi="Times New Roman"/>
          <w:sz w:val="28"/>
          <w:szCs w:val="28"/>
        </w:rPr>
        <w:t xml:space="preserve"> (рис. 36)</w:t>
      </w:r>
      <w:r w:rsidRPr="007D3AA7">
        <w:rPr>
          <w:rFonts w:ascii="Times New Roman" w:hAnsi="Times New Roman"/>
          <w:sz w:val="28"/>
          <w:szCs w:val="28"/>
        </w:rPr>
        <w:t>.</w:t>
      </w:r>
    </w:p>
    <w:p w:rsidR="00FA5C24" w:rsidRPr="00245F0A" w:rsidRDefault="00FA5C24" w:rsidP="00FA5C24">
      <w:pPr>
        <w:spacing w:after="0" w:line="240" w:lineRule="auto"/>
        <w:ind w:left="283" w:firstLine="709"/>
        <w:jc w:val="right"/>
        <w:rPr>
          <w:rFonts w:ascii="Times New Roman" w:eastAsia="Calibri" w:hAnsi="Times New Roman" w:cstheme="minorBidi"/>
          <w:b/>
          <w:i/>
          <w:spacing w:val="2"/>
          <w:sz w:val="28"/>
          <w:szCs w:val="28"/>
          <w:lang w:eastAsia="en-US"/>
        </w:rPr>
      </w:pPr>
      <w:r w:rsidRPr="00245F0A">
        <w:rPr>
          <w:rFonts w:ascii="Times New Roman" w:eastAsia="Calibri" w:hAnsi="Times New Roman" w:cstheme="minorBidi"/>
          <w:b/>
          <w:i/>
          <w:spacing w:val="2"/>
          <w:sz w:val="28"/>
          <w:szCs w:val="28"/>
          <w:lang w:eastAsia="en-US"/>
        </w:rPr>
        <w:t>Рисунок 3</w:t>
      </w:r>
      <w:r>
        <w:rPr>
          <w:rFonts w:ascii="Times New Roman" w:eastAsia="Calibri" w:hAnsi="Times New Roman" w:cstheme="minorBidi"/>
          <w:b/>
          <w:i/>
          <w:spacing w:val="2"/>
          <w:sz w:val="28"/>
          <w:szCs w:val="28"/>
          <w:lang w:eastAsia="en-US"/>
        </w:rPr>
        <w:t>6</w:t>
      </w:r>
    </w:p>
    <w:p w:rsidR="007D3AA7" w:rsidRPr="007D3AA7" w:rsidRDefault="007D3AA7" w:rsidP="007D3AA7">
      <w:pPr>
        <w:spacing w:after="0" w:line="240" w:lineRule="auto"/>
        <w:jc w:val="both"/>
        <w:rPr>
          <w:rFonts w:ascii="Times New Roman" w:hAnsi="Times New Roman"/>
          <w:sz w:val="24"/>
          <w:szCs w:val="24"/>
        </w:rPr>
      </w:pPr>
      <w:r w:rsidRPr="007D3AA7">
        <w:rPr>
          <w:rFonts w:ascii="Times New Roman" w:hAnsi="Times New Roman"/>
          <w:noProof/>
          <w:sz w:val="24"/>
          <w:szCs w:val="24"/>
        </w:rPr>
        <w:drawing>
          <wp:inline distT="0" distB="0" distL="0" distR="0">
            <wp:extent cx="5940425" cy="3905250"/>
            <wp:effectExtent l="0" t="0" r="0" b="0"/>
            <wp:docPr id="5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D3AA7" w:rsidRPr="007D3AA7" w:rsidRDefault="007D3AA7" w:rsidP="007D3AA7">
      <w:pPr>
        <w:spacing w:after="0" w:line="240" w:lineRule="auto"/>
        <w:ind w:firstLine="709"/>
        <w:jc w:val="both"/>
        <w:rPr>
          <w:rFonts w:ascii="Times New Roman" w:hAnsi="Times New Roman"/>
          <w:sz w:val="24"/>
          <w:szCs w:val="24"/>
        </w:rPr>
      </w:pPr>
    </w:p>
    <w:p w:rsidR="007D3AA7" w:rsidRPr="007D3AA7" w:rsidRDefault="007D3AA7" w:rsidP="007D3AA7">
      <w:pPr>
        <w:spacing w:after="0" w:line="240" w:lineRule="auto"/>
        <w:ind w:firstLine="426"/>
        <w:jc w:val="both"/>
        <w:rPr>
          <w:rFonts w:ascii="Times New Roman" w:hAnsi="Times New Roman"/>
          <w:sz w:val="28"/>
          <w:szCs w:val="28"/>
        </w:rPr>
      </w:pPr>
      <w:r w:rsidRPr="007D3AA7">
        <w:rPr>
          <w:rFonts w:ascii="Times New Roman" w:hAnsi="Times New Roman"/>
          <w:sz w:val="28"/>
          <w:szCs w:val="28"/>
        </w:rPr>
        <w:t xml:space="preserve">Максимальная заработная плата в бюджетном секторе сформировалась в организациях отрасли «Редакции и издательства» – 4 214 руб., «Высшие учебные заведения» – 3 883 руб. и в судебных органах власти – 3 449 руб. </w:t>
      </w:r>
    </w:p>
    <w:p w:rsidR="007D3AA7" w:rsidRPr="007D3AA7" w:rsidRDefault="007D3AA7" w:rsidP="007D3AA7">
      <w:pPr>
        <w:spacing w:after="0" w:line="240" w:lineRule="auto"/>
        <w:ind w:firstLine="426"/>
        <w:jc w:val="both"/>
        <w:rPr>
          <w:rFonts w:ascii="Times New Roman" w:hAnsi="Times New Roman"/>
          <w:sz w:val="28"/>
          <w:szCs w:val="28"/>
        </w:rPr>
      </w:pPr>
      <w:r w:rsidRPr="007D3AA7">
        <w:rPr>
          <w:rFonts w:ascii="Times New Roman" w:hAnsi="Times New Roman"/>
          <w:sz w:val="28"/>
          <w:szCs w:val="28"/>
        </w:rPr>
        <w:t>Вместе с этим заработная плата в таких отраслях как: «Торговля и общепит», «Геология и метеорология», «Социальное обеспечение» сформировалась в пределах 45,2% – 56,0% от среднереспубликанской величины.</w:t>
      </w:r>
    </w:p>
    <w:p w:rsidR="007D3AA7" w:rsidRPr="007D3AA7" w:rsidRDefault="007D3AA7" w:rsidP="007D3AA7">
      <w:pPr>
        <w:spacing w:after="0" w:line="240" w:lineRule="auto"/>
        <w:ind w:firstLine="426"/>
        <w:jc w:val="both"/>
        <w:rPr>
          <w:rFonts w:ascii="Times New Roman" w:hAnsi="Times New Roman"/>
          <w:sz w:val="28"/>
          <w:szCs w:val="28"/>
        </w:rPr>
      </w:pPr>
      <w:r w:rsidRPr="007D3AA7">
        <w:rPr>
          <w:rFonts w:ascii="Times New Roman" w:hAnsi="Times New Roman"/>
          <w:sz w:val="28"/>
          <w:szCs w:val="28"/>
        </w:rPr>
        <w:t>Наибольшее количество человек в бюджетном секторе задействованы в отраслях образования и здравоохранения – 30 648 чел. (71,5% всех работников бюджетной сферы).  Заработная плата у работников отрасли</w:t>
      </w:r>
      <w:r w:rsidRPr="007D3AA7">
        <w:rPr>
          <w:rFonts w:ascii="Times New Roman" w:hAnsi="Times New Roman"/>
          <w:b/>
          <w:sz w:val="28"/>
          <w:szCs w:val="28"/>
        </w:rPr>
        <w:t xml:space="preserve"> </w:t>
      </w:r>
      <w:r w:rsidRPr="007D3AA7">
        <w:rPr>
          <w:rFonts w:ascii="Times New Roman" w:hAnsi="Times New Roman"/>
          <w:sz w:val="28"/>
          <w:szCs w:val="28"/>
        </w:rPr>
        <w:t>«Образование» в 2018 году выросла на 5,8% и составила 2 832 руб., при этом номинальный ее размер сложился на 34,6% ниже среднереспубликанского уровня. Оплата труда в отрасли «Здравоохранение» выросла на 3,7% до 2 779 руб., что на 35,8% ниже среднереспубликанского уровня.</w:t>
      </w:r>
    </w:p>
    <w:p w:rsidR="007D3AA7" w:rsidRPr="007D3AA7" w:rsidRDefault="007D3AA7" w:rsidP="007D3AA7">
      <w:pPr>
        <w:spacing w:after="0" w:line="240" w:lineRule="auto"/>
        <w:ind w:firstLine="426"/>
        <w:jc w:val="both"/>
        <w:rPr>
          <w:rFonts w:ascii="Times New Roman" w:hAnsi="Times New Roman"/>
          <w:sz w:val="28"/>
          <w:szCs w:val="28"/>
          <w:highlight w:val="yellow"/>
        </w:rPr>
      </w:pPr>
      <w:r w:rsidRPr="007D3AA7">
        <w:rPr>
          <w:rFonts w:ascii="Times New Roman" w:hAnsi="Times New Roman"/>
          <w:sz w:val="28"/>
          <w:szCs w:val="28"/>
        </w:rPr>
        <w:t xml:space="preserve">Учитывая значимость данных сфер, несмотря на сохраняющуюся дефицитность бюджета, в 2018 году изыскивалась возможность для </w:t>
      </w:r>
      <w:r w:rsidRPr="007D3AA7">
        <w:rPr>
          <w:rFonts w:ascii="Times New Roman" w:hAnsi="Times New Roman"/>
          <w:sz w:val="28"/>
          <w:szCs w:val="28"/>
        </w:rPr>
        <w:lastRenderedPageBreak/>
        <w:t>финансовой поддержки и повышения уровня финансового обеспечения в наиболее социально значимых сферах. Так, с апреля 2018 года преподавателям, воспитателям и другим работникам коррекционных школ, а также работникам соцобеспечения, которые трудятся в домах ребенка, психоневрологических интернатах, реабилитационных центрах для детей-инвалидов, специальных коррекционных образовательных организациях, за особые условия труда установлена доплата к должностному окладу в зависимости от степени загруженности, категории и иных факторов в размерах до 90 РУ МЗП. Увеличены расходы на оплату труда работникам организаций высшего профессионального и дополнительного образования вследствие повышения до среднеотраслевого уровня надбавки за квалификационную категорию.</w:t>
      </w:r>
    </w:p>
    <w:p w:rsidR="007D3AA7" w:rsidRPr="007D3AA7" w:rsidRDefault="007D3AA7" w:rsidP="007D3AA7">
      <w:pPr>
        <w:spacing w:after="0" w:line="240" w:lineRule="auto"/>
        <w:ind w:firstLine="426"/>
        <w:jc w:val="both"/>
        <w:rPr>
          <w:rFonts w:ascii="Times New Roman" w:hAnsi="Times New Roman"/>
          <w:sz w:val="28"/>
          <w:szCs w:val="28"/>
        </w:rPr>
      </w:pPr>
      <w:r w:rsidRPr="007D3AA7">
        <w:rPr>
          <w:rFonts w:ascii="Times New Roman" w:hAnsi="Times New Roman"/>
          <w:b/>
          <w:sz w:val="28"/>
          <w:szCs w:val="28"/>
        </w:rPr>
        <w:t>Суммарная задолженность</w:t>
      </w:r>
      <w:r w:rsidRPr="007D3AA7">
        <w:rPr>
          <w:rFonts w:ascii="Times New Roman" w:hAnsi="Times New Roman"/>
          <w:sz w:val="28"/>
          <w:szCs w:val="28"/>
        </w:rPr>
        <w:t xml:space="preserve"> по заработной плате в целом по республике </w:t>
      </w:r>
      <w:r w:rsidRPr="007D3AA7">
        <w:rPr>
          <w:rFonts w:ascii="Times New Roman" w:hAnsi="Times New Roman"/>
          <w:sz w:val="28"/>
          <w:szCs w:val="28"/>
          <w:shd w:val="clear" w:color="auto" w:fill="FFFFFF"/>
        </w:rPr>
        <w:t>(без субъектов малого предпринимательства, религиозных и некоммерческих организаций, силовых структур и таможенных органов)</w:t>
      </w:r>
      <w:r w:rsidRPr="007D3AA7">
        <w:rPr>
          <w:rFonts w:ascii="Times New Roman" w:hAnsi="Times New Roman"/>
          <w:sz w:val="28"/>
          <w:szCs w:val="28"/>
        </w:rPr>
        <w:t xml:space="preserve"> на 1 января 2019 года по сравнению с задолженностью на 1 июля 2018 года сократилась на 18,2% до </w:t>
      </w:r>
      <w:r w:rsidRPr="007D3AA7">
        <w:rPr>
          <w:rFonts w:ascii="Times New Roman" w:hAnsi="Times New Roman"/>
          <w:bCs/>
          <w:sz w:val="28"/>
          <w:szCs w:val="28"/>
        </w:rPr>
        <w:t>23,7 млн</w:t>
      </w:r>
      <w:r w:rsidRPr="007D3AA7">
        <w:rPr>
          <w:rFonts w:ascii="Times New Roman" w:hAnsi="Times New Roman"/>
          <w:sz w:val="28"/>
          <w:szCs w:val="28"/>
        </w:rPr>
        <w:t xml:space="preserve">. руб., что составляет 6,3% от месячного фонда номинальной начисленной заработной платы. Наибольший удельный вес в общей суммарной задолженности приходится на организации промышленности, строительства и транспорта (95,3% общей суммарной задолженности по республике). Вся сумма задолженности по оплате труда приходится на </w:t>
      </w:r>
      <w:r w:rsidRPr="007D3AA7">
        <w:rPr>
          <w:rFonts w:ascii="Times New Roman" w:hAnsi="Times New Roman"/>
          <w:b/>
          <w:sz w:val="28"/>
          <w:szCs w:val="28"/>
        </w:rPr>
        <w:t>внебюджетный сектор</w:t>
      </w:r>
      <w:r w:rsidRPr="007D3AA7">
        <w:rPr>
          <w:rFonts w:ascii="Times New Roman" w:hAnsi="Times New Roman"/>
          <w:sz w:val="28"/>
          <w:szCs w:val="28"/>
        </w:rPr>
        <w:t>.</w:t>
      </w:r>
    </w:p>
    <w:p w:rsidR="007D3AA7" w:rsidRDefault="007D3AA7" w:rsidP="007D3AA7">
      <w:pPr>
        <w:spacing w:after="0" w:line="240" w:lineRule="auto"/>
        <w:ind w:firstLine="426"/>
        <w:jc w:val="both"/>
        <w:rPr>
          <w:rFonts w:ascii="Times New Roman" w:hAnsi="Times New Roman"/>
          <w:b/>
          <w:sz w:val="28"/>
          <w:szCs w:val="28"/>
        </w:rPr>
      </w:pPr>
      <w:r w:rsidRPr="007D3AA7">
        <w:rPr>
          <w:rFonts w:ascii="Times New Roman" w:hAnsi="Times New Roman"/>
          <w:sz w:val="28"/>
          <w:szCs w:val="28"/>
        </w:rPr>
        <w:t xml:space="preserve">Следующей составляющей доходов населения и индикатором, характеризующим уровень жизни населения, является </w:t>
      </w:r>
      <w:r w:rsidRPr="007D3AA7">
        <w:rPr>
          <w:rFonts w:ascii="Times New Roman" w:hAnsi="Times New Roman"/>
          <w:b/>
          <w:sz w:val="28"/>
          <w:szCs w:val="28"/>
        </w:rPr>
        <w:t>пенсия</w:t>
      </w:r>
      <w:r w:rsidR="00FA5C24">
        <w:rPr>
          <w:rFonts w:ascii="Times New Roman" w:hAnsi="Times New Roman"/>
          <w:b/>
          <w:sz w:val="28"/>
          <w:szCs w:val="28"/>
        </w:rPr>
        <w:t xml:space="preserve"> </w:t>
      </w:r>
      <w:r w:rsidR="00FA5C24" w:rsidRPr="00434F04">
        <w:rPr>
          <w:rFonts w:ascii="Times New Roman" w:hAnsi="Times New Roman"/>
          <w:sz w:val="28"/>
          <w:szCs w:val="28"/>
        </w:rPr>
        <w:t>(рис. 37)</w:t>
      </w:r>
      <w:r w:rsidRPr="00434F04">
        <w:rPr>
          <w:rFonts w:ascii="Times New Roman" w:hAnsi="Times New Roman"/>
          <w:sz w:val="28"/>
          <w:szCs w:val="28"/>
        </w:rPr>
        <w:t>.</w:t>
      </w:r>
    </w:p>
    <w:p w:rsidR="00FA5C24" w:rsidRPr="00245F0A" w:rsidRDefault="00FA5C24" w:rsidP="00FA5C24">
      <w:pPr>
        <w:spacing w:after="0" w:line="240" w:lineRule="auto"/>
        <w:ind w:left="283" w:firstLine="709"/>
        <w:jc w:val="right"/>
        <w:rPr>
          <w:rFonts w:ascii="Times New Roman" w:eastAsia="Calibri" w:hAnsi="Times New Roman" w:cstheme="minorBidi"/>
          <w:b/>
          <w:i/>
          <w:spacing w:val="2"/>
          <w:sz w:val="28"/>
          <w:szCs w:val="28"/>
          <w:lang w:eastAsia="en-US"/>
        </w:rPr>
      </w:pPr>
      <w:r w:rsidRPr="00245F0A">
        <w:rPr>
          <w:rFonts w:ascii="Times New Roman" w:eastAsia="Calibri" w:hAnsi="Times New Roman" w:cstheme="minorBidi"/>
          <w:b/>
          <w:i/>
          <w:spacing w:val="2"/>
          <w:sz w:val="28"/>
          <w:szCs w:val="28"/>
          <w:lang w:eastAsia="en-US"/>
        </w:rPr>
        <w:t>Рисунок 3</w:t>
      </w:r>
      <w:r>
        <w:rPr>
          <w:rFonts w:ascii="Times New Roman" w:eastAsia="Calibri" w:hAnsi="Times New Roman" w:cstheme="minorBidi"/>
          <w:b/>
          <w:i/>
          <w:spacing w:val="2"/>
          <w:sz w:val="28"/>
          <w:szCs w:val="28"/>
          <w:lang w:eastAsia="en-US"/>
        </w:rPr>
        <w:t>7</w:t>
      </w:r>
    </w:p>
    <w:p w:rsidR="007D3AA7" w:rsidRPr="007D3AA7" w:rsidRDefault="007D3AA7" w:rsidP="007D3AA7">
      <w:pPr>
        <w:rPr>
          <w:rFonts w:ascii="Times New Roman" w:hAnsi="Times New Roman"/>
          <w:sz w:val="24"/>
          <w:szCs w:val="24"/>
        </w:rPr>
      </w:pPr>
      <w:r w:rsidRPr="007D3AA7">
        <w:rPr>
          <w:rFonts w:ascii="Times New Roman" w:hAnsi="Times New Roman"/>
          <w:noProof/>
          <w:sz w:val="24"/>
          <w:szCs w:val="24"/>
        </w:rPr>
        <w:drawing>
          <wp:inline distT="0" distB="0" distL="0" distR="0">
            <wp:extent cx="5934075" cy="2352675"/>
            <wp:effectExtent l="0" t="0" r="0" b="0"/>
            <wp:docPr id="5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D3AA7" w:rsidRPr="007D3AA7" w:rsidRDefault="007D3AA7" w:rsidP="007D3AA7">
      <w:pPr>
        <w:spacing w:after="0" w:line="240" w:lineRule="auto"/>
        <w:ind w:firstLine="426"/>
        <w:jc w:val="both"/>
        <w:rPr>
          <w:rFonts w:ascii="Times New Roman" w:hAnsi="Times New Roman"/>
          <w:sz w:val="28"/>
          <w:szCs w:val="28"/>
        </w:rPr>
      </w:pPr>
      <w:r w:rsidRPr="007D3AA7">
        <w:rPr>
          <w:rFonts w:ascii="Times New Roman" w:eastAsiaTheme="minorHAnsi" w:hAnsi="Times New Roman" w:cstheme="minorBidi"/>
          <w:sz w:val="28"/>
          <w:szCs w:val="28"/>
          <w:lang w:eastAsia="en-US"/>
        </w:rPr>
        <w:t>На фоне выбытия пенсионеров и переоформления пенсий, число получателей пенсий за 2018 год по сравнению с прошлым годом сократилось на 8 000 чел. или на 6,5% и составило 114,5 тыс. чел.</w:t>
      </w:r>
    </w:p>
    <w:p w:rsidR="007D3AA7" w:rsidRPr="007D3AA7" w:rsidRDefault="007D3AA7" w:rsidP="007D3AA7">
      <w:pPr>
        <w:tabs>
          <w:tab w:val="left" w:pos="851"/>
        </w:tabs>
        <w:spacing w:after="0" w:line="240" w:lineRule="auto"/>
        <w:ind w:firstLine="426"/>
        <w:jc w:val="both"/>
        <w:rPr>
          <w:rFonts w:ascii="Times New Roman" w:hAnsi="Times New Roman"/>
          <w:sz w:val="28"/>
          <w:szCs w:val="28"/>
          <w:highlight w:val="yellow"/>
        </w:rPr>
      </w:pPr>
      <w:r w:rsidRPr="007D3AA7">
        <w:rPr>
          <w:rFonts w:ascii="Times New Roman" w:hAnsi="Times New Roman"/>
          <w:sz w:val="28"/>
          <w:szCs w:val="28"/>
        </w:rPr>
        <w:t xml:space="preserve">Поступления в доходную часть Единого государственного фонда социального страхования Приднестровской Молдавской Республики за 2018 год (с учетом кредитов из прочих источников, поступления средств ежемесячной гуманитарной помощи Российской Федерации) составили 2 569,2 млн руб., что на 7,1% меньше по сравнению с базовым показателем минувшего года, исполнение расходной части бюджета составило 2 533,7 млн руб., что на 6,5% меньше по сравнению с прошлым годом. При этом, расходы для осуществления основных функций бюджета по пенсионному обеспечению </w:t>
      </w:r>
      <w:r w:rsidRPr="007D3AA7">
        <w:rPr>
          <w:rFonts w:ascii="Times New Roman" w:hAnsi="Times New Roman"/>
          <w:sz w:val="28"/>
          <w:szCs w:val="28"/>
        </w:rPr>
        <w:lastRenderedPageBreak/>
        <w:t xml:space="preserve">составили 2 209,6 млн руб. или 86,0% от общих доходов (83,9% в 2017 году), данные расходы производились за счет следующих источников: </w:t>
      </w:r>
    </w:p>
    <w:p w:rsidR="007D3AA7" w:rsidRPr="007D3AA7" w:rsidRDefault="007D3AA7" w:rsidP="007D3AA7">
      <w:pPr>
        <w:spacing w:after="0" w:line="240" w:lineRule="auto"/>
        <w:ind w:firstLine="426"/>
        <w:jc w:val="both"/>
        <w:rPr>
          <w:rFonts w:ascii="Times New Roman" w:hAnsi="Times New Roman"/>
          <w:sz w:val="28"/>
          <w:szCs w:val="28"/>
        </w:rPr>
      </w:pPr>
      <w:r w:rsidRPr="007D3AA7">
        <w:rPr>
          <w:rFonts w:ascii="Times New Roman" w:hAnsi="Times New Roman"/>
          <w:sz w:val="28"/>
          <w:szCs w:val="28"/>
        </w:rPr>
        <w:t>а) средства фонда – 1 757,3 млн руб. (79,5% от расходов по пенсионному обеспечению);</w:t>
      </w:r>
    </w:p>
    <w:p w:rsidR="007D3AA7" w:rsidRPr="007D3AA7" w:rsidRDefault="007D3AA7" w:rsidP="007D3AA7">
      <w:pPr>
        <w:spacing w:after="0" w:line="240" w:lineRule="auto"/>
        <w:ind w:firstLine="426"/>
        <w:jc w:val="both"/>
        <w:rPr>
          <w:rFonts w:ascii="Times New Roman" w:hAnsi="Times New Roman"/>
          <w:sz w:val="28"/>
          <w:szCs w:val="28"/>
        </w:rPr>
      </w:pPr>
      <w:r w:rsidRPr="007D3AA7">
        <w:rPr>
          <w:rFonts w:ascii="Times New Roman" w:hAnsi="Times New Roman"/>
          <w:sz w:val="28"/>
          <w:szCs w:val="28"/>
        </w:rPr>
        <w:t xml:space="preserve">б) средства республиканского бюджета – 194,0 млн руб. (8,08% от расходов по пенсионному обеспечению); </w:t>
      </w:r>
    </w:p>
    <w:p w:rsidR="007D3AA7" w:rsidRPr="007D3AA7" w:rsidRDefault="007D3AA7" w:rsidP="007D3AA7">
      <w:pPr>
        <w:spacing w:after="0" w:line="240" w:lineRule="auto"/>
        <w:ind w:firstLine="426"/>
        <w:jc w:val="both"/>
        <w:rPr>
          <w:rFonts w:ascii="Times New Roman" w:hAnsi="Times New Roman"/>
          <w:sz w:val="28"/>
          <w:szCs w:val="28"/>
        </w:rPr>
      </w:pPr>
      <w:r w:rsidRPr="007D3AA7">
        <w:rPr>
          <w:rFonts w:ascii="Times New Roman" w:hAnsi="Times New Roman"/>
          <w:sz w:val="28"/>
          <w:szCs w:val="28"/>
        </w:rPr>
        <w:t>в) средства гуманитарной помощи Российской Федерации – 258,2 млн руб., (11,7% от расходов по пенсионному обеспечению).</w:t>
      </w:r>
    </w:p>
    <w:p w:rsidR="007D3AA7" w:rsidRPr="007D3AA7" w:rsidRDefault="007D3AA7" w:rsidP="007D3AA7">
      <w:pPr>
        <w:spacing w:after="0" w:line="240" w:lineRule="auto"/>
        <w:ind w:firstLine="709"/>
        <w:jc w:val="both"/>
        <w:rPr>
          <w:rFonts w:ascii="Times New Roman" w:hAnsi="Times New Roman"/>
          <w:sz w:val="28"/>
          <w:szCs w:val="28"/>
        </w:rPr>
      </w:pPr>
      <w:r w:rsidRPr="007D3AA7">
        <w:rPr>
          <w:rFonts w:ascii="Times New Roman" w:hAnsi="Times New Roman"/>
          <w:sz w:val="28"/>
          <w:szCs w:val="28"/>
        </w:rPr>
        <w:t xml:space="preserve">Следует отметить, что в 2018 году индексация государственных пенсий не производилась. Средний размер назначенных пенсий сократился на 14,41 руб. (-1,1%) и по состоянию на конец декабря составил 1 327,4 руб., превысив на 7,5% прожиточный минимум пенсионера. С учетом инфляции материальное положение пенсионеров сократилось на 10,9%. </w:t>
      </w:r>
    </w:p>
    <w:p w:rsidR="007D3AA7" w:rsidRPr="007D3AA7" w:rsidRDefault="007D3AA7" w:rsidP="007D3AA7">
      <w:pPr>
        <w:spacing w:after="0" w:line="240" w:lineRule="auto"/>
        <w:ind w:firstLine="426"/>
        <w:jc w:val="both"/>
        <w:rPr>
          <w:rFonts w:ascii="Times New Roman" w:hAnsi="Times New Roman"/>
          <w:sz w:val="28"/>
          <w:szCs w:val="28"/>
        </w:rPr>
      </w:pPr>
      <w:r w:rsidRPr="007D3AA7">
        <w:rPr>
          <w:rFonts w:ascii="Times New Roman" w:hAnsi="Times New Roman"/>
          <w:sz w:val="28"/>
          <w:szCs w:val="28"/>
        </w:rPr>
        <w:t xml:space="preserve">В целях поддержания материального благосостояния пенсионеров республики дополнительно к пенсии в 2018 году производилась выплата ежемесячной гуманитарной помощи Российской Федерации, средний размер которой составил 150,0 рублей. Также, неработающим пенсионерам, чья пенсия не превышает двойного минимального размера пенсии по возрасту, с мая 2018 года производятся дополнительные выплаты к пенсии, сумма которых устанавливается в зависимости от размера получаемой пенсии, но не более 100 руб. </w:t>
      </w:r>
    </w:p>
    <w:p w:rsidR="007D3AA7" w:rsidRDefault="007D3AA7" w:rsidP="007D3AA7">
      <w:pPr>
        <w:spacing w:after="0" w:line="240" w:lineRule="auto"/>
        <w:ind w:firstLine="426"/>
        <w:jc w:val="both"/>
        <w:rPr>
          <w:rFonts w:ascii="Times New Roman" w:hAnsi="Times New Roman"/>
          <w:sz w:val="28"/>
          <w:szCs w:val="28"/>
        </w:rPr>
      </w:pPr>
      <w:r w:rsidRPr="007D3AA7">
        <w:rPr>
          <w:rFonts w:ascii="Times New Roman" w:hAnsi="Times New Roman"/>
          <w:b/>
          <w:sz w:val="28"/>
          <w:szCs w:val="28"/>
        </w:rPr>
        <w:t>Величина прожиточного минимума,</w:t>
      </w:r>
      <w:r w:rsidRPr="007D3AA7">
        <w:rPr>
          <w:rFonts w:ascii="Times New Roman" w:hAnsi="Times New Roman"/>
          <w:sz w:val="28"/>
          <w:szCs w:val="28"/>
        </w:rPr>
        <w:t xml:space="preserve"> определяющая минимально допустимый уровень потребления человеком товаров и услуг, обеспечивающих удовлетворение основных физиологических, социально-культурных и иных его потребностей, дифференцированных по социально-демографическим группам за 2018 год в среднем на душу населения составила 1 450 руб. (+7,0%), из которой расходы на питание составили 703 руб. (+13,4%), затраты на непродовольственные товары – 299 руб. (+3,8%), на оплату услуг – 423 руб. (что соответствует базовому периоду прошлого года), а величина расходов по обязательным платежам и сборам – 25 руб. (+4,2%)</w:t>
      </w:r>
      <w:r w:rsidR="00FA5C24">
        <w:rPr>
          <w:rFonts w:ascii="Times New Roman" w:hAnsi="Times New Roman"/>
          <w:sz w:val="28"/>
          <w:szCs w:val="28"/>
        </w:rPr>
        <w:t xml:space="preserve"> (рис. 38)</w:t>
      </w:r>
      <w:r w:rsidRPr="007D3AA7">
        <w:rPr>
          <w:rFonts w:ascii="Times New Roman" w:hAnsi="Times New Roman"/>
          <w:sz w:val="28"/>
          <w:szCs w:val="28"/>
        </w:rPr>
        <w:t>.</w:t>
      </w:r>
    </w:p>
    <w:p w:rsidR="00FA5C24" w:rsidRPr="00245F0A" w:rsidRDefault="00FA5C24" w:rsidP="00FA5C24">
      <w:pPr>
        <w:spacing w:after="0" w:line="240" w:lineRule="auto"/>
        <w:ind w:left="283" w:firstLine="709"/>
        <w:jc w:val="right"/>
        <w:rPr>
          <w:rFonts w:ascii="Times New Roman" w:eastAsia="Calibri" w:hAnsi="Times New Roman" w:cstheme="minorBidi"/>
          <w:b/>
          <w:i/>
          <w:spacing w:val="2"/>
          <w:sz w:val="28"/>
          <w:szCs w:val="28"/>
          <w:lang w:eastAsia="en-US"/>
        </w:rPr>
      </w:pPr>
      <w:r w:rsidRPr="00245F0A">
        <w:rPr>
          <w:rFonts w:ascii="Times New Roman" w:eastAsia="Calibri" w:hAnsi="Times New Roman" w:cstheme="minorBidi"/>
          <w:b/>
          <w:i/>
          <w:spacing w:val="2"/>
          <w:sz w:val="28"/>
          <w:szCs w:val="28"/>
          <w:lang w:eastAsia="en-US"/>
        </w:rPr>
        <w:t>Рисунок 3</w:t>
      </w:r>
      <w:r>
        <w:rPr>
          <w:rFonts w:ascii="Times New Roman" w:eastAsia="Calibri" w:hAnsi="Times New Roman" w:cstheme="minorBidi"/>
          <w:b/>
          <w:i/>
          <w:spacing w:val="2"/>
          <w:sz w:val="28"/>
          <w:szCs w:val="28"/>
          <w:lang w:eastAsia="en-US"/>
        </w:rPr>
        <w:t>8</w:t>
      </w:r>
    </w:p>
    <w:p w:rsidR="007D3AA7" w:rsidRPr="007D3AA7" w:rsidRDefault="007D3AA7" w:rsidP="007D3AA7">
      <w:pPr>
        <w:spacing w:after="0" w:line="240" w:lineRule="auto"/>
        <w:jc w:val="center"/>
        <w:rPr>
          <w:rFonts w:ascii="Times New Roman" w:hAnsi="Times New Roman"/>
          <w:b/>
          <w:sz w:val="24"/>
          <w:szCs w:val="24"/>
        </w:rPr>
      </w:pPr>
      <w:r w:rsidRPr="007D3AA7">
        <w:rPr>
          <w:rFonts w:ascii="Times New Roman" w:hAnsi="Times New Roman"/>
          <w:b/>
          <w:noProof/>
          <w:sz w:val="24"/>
          <w:szCs w:val="24"/>
        </w:rPr>
        <w:drawing>
          <wp:inline distT="0" distB="0" distL="0" distR="0">
            <wp:extent cx="5486400" cy="2333625"/>
            <wp:effectExtent l="0" t="0" r="0" b="0"/>
            <wp:docPr id="6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D3AA7" w:rsidRDefault="007D3AA7" w:rsidP="007D3AA7">
      <w:pPr>
        <w:spacing w:after="0" w:line="240" w:lineRule="auto"/>
        <w:ind w:firstLine="426"/>
        <w:jc w:val="both"/>
        <w:rPr>
          <w:rFonts w:ascii="Times New Roman" w:hAnsi="Times New Roman"/>
          <w:sz w:val="28"/>
          <w:szCs w:val="28"/>
        </w:rPr>
      </w:pPr>
      <w:r w:rsidRPr="00CB462C">
        <w:rPr>
          <w:rFonts w:ascii="Times New Roman" w:hAnsi="Times New Roman"/>
          <w:sz w:val="28"/>
          <w:szCs w:val="28"/>
        </w:rPr>
        <w:t>В разрезе социально-демографических групп населения величина прожиточного минимума в 2018 году сложилась следующим образом:</w:t>
      </w:r>
    </w:p>
    <w:p w:rsidR="00FA5C24" w:rsidRDefault="00FA5C24" w:rsidP="007D3AA7">
      <w:pPr>
        <w:spacing w:after="0" w:line="240" w:lineRule="auto"/>
        <w:ind w:firstLine="426"/>
        <w:jc w:val="both"/>
        <w:rPr>
          <w:rFonts w:ascii="Times New Roman" w:hAnsi="Times New Roman"/>
          <w:sz w:val="28"/>
          <w:szCs w:val="28"/>
        </w:rPr>
      </w:pPr>
    </w:p>
    <w:p w:rsidR="00FA5C24" w:rsidRDefault="00FA5C24" w:rsidP="007D3AA7">
      <w:pPr>
        <w:spacing w:after="0" w:line="240" w:lineRule="auto"/>
        <w:ind w:firstLine="426"/>
        <w:jc w:val="both"/>
        <w:rPr>
          <w:rFonts w:ascii="Times New Roman" w:hAnsi="Times New Roman"/>
          <w:sz w:val="28"/>
          <w:szCs w:val="28"/>
        </w:rPr>
      </w:pPr>
    </w:p>
    <w:p w:rsidR="00FA5C24" w:rsidRPr="00CB462C" w:rsidRDefault="00FA5C24" w:rsidP="00FA5C24">
      <w:pPr>
        <w:spacing w:after="0" w:line="240" w:lineRule="auto"/>
        <w:ind w:firstLine="426"/>
        <w:jc w:val="right"/>
        <w:rPr>
          <w:rFonts w:ascii="Times New Roman" w:hAnsi="Times New Roman"/>
          <w:sz w:val="28"/>
          <w:szCs w:val="28"/>
        </w:rPr>
      </w:pPr>
      <w:r>
        <w:rPr>
          <w:rFonts w:ascii="Times New Roman" w:hAnsi="Times New Roman"/>
          <w:sz w:val="28"/>
          <w:szCs w:val="28"/>
        </w:rPr>
        <w:lastRenderedPageBreak/>
        <w:t>Таблица №</w:t>
      </w:r>
      <w:r w:rsidR="00434F04">
        <w:rPr>
          <w:rFonts w:ascii="Times New Roman" w:hAnsi="Times New Roman"/>
          <w:sz w:val="28"/>
          <w:szCs w:val="28"/>
        </w:rPr>
        <w:t>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9"/>
        <w:gridCol w:w="1733"/>
        <w:gridCol w:w="1701"/>
        <w:gridCol w:w="2126"/>
      </w:tblGrid>
      <w:tr w:rsidR="007D3AA7" w:rsidRPr="007D3AA7" w:rsidTr="005D3D6D">
        <w:trPr>
          <w:trHeight w:val="526"/>
        </w:trPr>
        <w:tc>
          <w:tcPr>
            <w:tcW w:w="4079" w:type="dxa"/>
            <w:vMerge w:val="restart"/>
            <w:vAlign w:val="center"/>
          </w:tcPr>
          <w:p w:rsidR="007D3AA7" w:rsidRPr="007D3AA7" w:rsidRDefault="007D3AA7" w:rsidP="007D3AA7">
            <w:pPr>
              <w:spacing w:after="0" w:line="240" w:lineRule="auto"/>
              <w:ind w:left="34"/>
              <w:rPr>
                <w:rFonts w:ascii="Times New Roman" w:hAnsi="Times New Roman"/>
                <w:b/>
              </w:rPr>
            </w:pPr>
            <w:r w:rsidRPr="007D3AA7">
              <w:rPr>
                <w:rFonts w:ascii="Times New Roman" w:hAnsi="Times New Roman"/>
                <w:b/>
              </w:rPr>
              <w:t>Социально-демографическая группа</w:t>
            </w:r>
          </w:p>
        </w:tc>
        <w:tc>
          <w:tcPr>
            <w:tcW w:w="3434" w:type="dxa"/>
            <w:gridSpan w:val="2"/>
            <w:vAlign w:val="center"/>
          </w:tcPr>
          <w:p w:rsidR="007D3AA7" w:rsidRPr="007D3AA7" w:rsidRDefault="007D3AA7" w:rsidP="007D3AA7">
            <w:pPr>
              <w:spacing w:after="0" w:line="240" w:lineRule="auto"/>
              <w:ind w:left="34"/>
              <w:jc w:val="center"/>
              <w:rPr>
                <w:rFonts w:ascii="Times New Roman" w:hAnsi="Times New Roman"/>
                <w:b/>
              </w:rPr>
            </w:pPr>
            <w:r w:rsidRPr="007D3AA7">
              <w:rPr>
                <w:rFonts w:ascii="Times New Roman" w:hAnsi="Times New Roman"/>
                <w:b/>
              </w:rPr>
              <w:t xml:space="preserve">Величина ПМ, </w:t>
            </w:r>
          </w:p>
          <w:p w:rsidR="007D3AA7" w:rsidRPr="007D3AA7" w:rsidRDefault="007D3AA7" w:rsidP="007D3AA7">
            <w:pPr>
              <w:spacing w:after="0" w:line="240" w:lineRule="auto"/>
              <w:ind w:firstLine="34"/>
              <w:jc w:val="center"/>
              <w:rPr>
                <w:rFonts w:ascii="Times New Roman" w:hAnsi="Times New Roman"/>
                <w:b/>
              </w:rPr>
            </w:pPr>
            <w:r w:rsidRPr="007D3AA7">
              <w:rPr>
                <w:rFonts w:ascii="Times New Roman" w:hAnsi="Times New Roman"/>
                <w:b/>
              </w:rPr>
              <w:t>руб.</w:t>
            </w:r>
          </w:p>
        </w:tc>
        <w:tc>
          <w:tcPr>
            <w:tcW w:w="2126" w:type="dxa"/>
            <w:vMerge w:val="restart"/>
            <w:vAlign w:val="center"/>
          </w:tcPr>
          <w:p w:rsidR="007D3AA7" w:rsidRPr="007D3AA7" w:rsidRDefault="007D3AA7" w:rsidP="007D3AA7">
            <w:pPr>
              <w:spacing w:after="0" w:line="240" w:lineRule="auto"/>
              <w:ind w:firstLine="34"/>
              <w:jc w:val="center"/>
              <w:rPr>
                <w:rFonts w:ascii="Times New Roman" w:hAnsi="Times New Roman"/>
                <w:b/>
              </w:rPr>
            </w:pPr>
            <w:r w:rsidRPr="007D3AA7">
              <w:rPr>
                <w:rFonts w:ascii="Times New Roman" w:hAnsi="Times New Roman"/>
                <w:b/>
              </w:rPr>
              <w:t xml:space="preserve">Темп роста </w:t>
            </w:r>
          </w:p>
          <w:p w:rsidR="007D3AA7" w:rsidRPr="007D3AA7" w:rsidRDefault="007D3AA7" w:rsidP="007D3AA7">
            <w:pPr>
              <w:spacing w:after="0" w:line="240" w:lineRule="auto"/>
              <w:ind w:left="34"/>
              <w:jc w:val="center"/>
              <w:rPr>
                <w:rFonts w:ascii="Times New Roman" w:hAnsi="Times New Roman"/>
                <w:b/>
              </w:rPr>
            </w:pPr>
            <w:r w:rsidRPr="007D3AA7">
              <w:rPr>
                <w:rFonts w:ascii="Times New Roman" w:hAnsi="Times New Roman"/>
                <w:b/>
              </w:rPr>
              <w:t>2018 г. к 2017 г., %</w:t>
            </w:r>
          </w:p>
        </w:tc>
      </w:tr>
      <w:tr w:rsidR="007D3AA7" w:rsidRPr="007D3AA7" w:rsidTr="00FA5C24">
        <w:trPr>
          <w:trHeight w:val="143"/>
        </w:trPr>
        <w:tc>
          <w:tcPr>
            <w:tcW w:w="4079" w:type="dxa"/>
            <w:vMerge/>
            <w:vAlign w:val="center"/>
          </w:tcPr>
          <w:p w:rsidR="007D3AA7" w:rsidRPr="007D3AA7" w:rsidRDefault="007D3AA7" w:rsidP="007D3AA7">
            <w:pPr>
              <w:spacing w:after="0" w:line="240" w:lineRule="auto"/>
              <w:ind w:left="34"/>
              <w:rPr>
                <w:rFonts w:ascii="Times New Roman" w:hAnsi="Times New Roman"/>
              </w:rPr>
            </w:pPr>
          </w:p>
        </w:tc>
        <w:tc>
          <w:tcPr>
            <w:tcW w:w="1733" w:type="dxa"/>
            <w:vAlign w:val="center"/>
          </w:tcPr>
          <w:p w:rsidR="007D3AA7" w:rsidRPr="007D3AA7" w:rsidRDefault="007D3AA7" w:rsidP="007D3AA7">
            <w:pPr>
              <w:spacing w:after="0" w:line="240" w:lineRule="auto"/>
              <w:ind w:left="-76" w:right="-96"/>
              <w:jc w:val="center"/>
              <w:rPr>
                <w:rFonts w:ascii="Times New Roman" w:hAnsi="Times New Roman"/>
                <w:b/>
              </w:rPr>
            </w:pPr>
            <w:r w:rsidRPr="007D3AA7">
              <w:rPr>
                <w:rFonts w:ascii="Times New Roman" w:hAnsi="Times New Roman"/>
                <w:b/>
              </w:rPr>
              <w:t>2017 год</w:t>
            </w:r>
          </w:p>
        </w:tc>
        <w:tc>
          <w:tcPr>
            <w:tcW w:w="1701" w:type="dxa"/>
            <w:vAlign w:val="center"/>
          </w:tcPr>
          <w:p w:rsidR="007D3AA7" w:rsidRPr="007D3AA7" w:rsidRDefault="007D3AA7" w:rsidP="007D3AA7">
            <w:pPr>
              <w:spacing w:after="0" w:line="240" w:lineRule="auto"/>
              <w:ind w:left="34"/>
              <w:jc w:val="center"/>
              <w:rPr>
                <w:rFonts w:ascii="Times New Roman" w:hAnsi="Times New Roman"/>
                <w:b/>
              </w:rPr>
            </w:pPr>
            <w:r w:rsidRPr="007D3AA7">
              <w:rPr>
                <w:rFonts w:ascii="Times New Roman" w:hAnsi="Times New Roman"/>
                <w:b/>
              </w:rPr>
              <w:t>2018 год</w:t>
            </w:r>
          </w:p>
        </w:tc>
        <w:tc>
          <w:tcPr>
            <w:tcW w:w="2126" w:type="dxa"/>
            <w:vMerge/>
            <w:vAlign w:val="center"/>
          </w:tcPr>
          <w:p w:rsidR="007D3AA7" w:rsidRPr="007D3AA7" w:rsidRDefault="007D3AA7" w:rsidP="007D3AA7">
            <w:pPr>
              <w:spacing w:after="0" w:line="240" w:lineRule="auto"/>
              <w:ind w:firstLine="34"/>
              <w:jc w:val="center"/>
              <w:rPr>
                <w:rFonts w:ascii="Times New Roman" w:hAnsi="Times New Roman"/>
              </w:rPr>
            </w:pPr>
          </w:p>
        </w:tc>
      </w:tr>
      <w:tr w:rsidR="007D3AA7" w:rsidRPr="007D3AA7" w:rsidTr="00FA5C24">
        <w:trPr>
          <w:trHeight w:val="244"/>
        </w:trPr>
        <w:tc>
          <w:tcPr>
            <w:tcW w:w="4079" w:type="dxa"/>
          </w:tcPr>
          <w:p w:rsidR="007D3AA7" w:rsidRPr="007D3AA7" w:rsidRDefault="007D3AA7" w:rsidP="007D3AA7">
            <w:pPr>
              <w:spacing w:after="0" w:line="240" w:lineRule="auto"/>
              <w:ind w:left="34"/>
              <w:rPr>
                <w:rFonts w:ascii="Times New Roman" w:hAnsi="Times New Roman"/>
              </w:rPr>
            </w:pPr>
            <w:r w:rsidRPr="007D3AA7">
              <w:rPr>
                <w:rFonts w:ascii="Times New Roman" w:hAnsi="Times New Roman"/>
              </w:rPr>
              <w:t>Мужчины трудоспособного возраста</w:t>
            </w:r>
          </w:p>
        </w:tc>
        <w:tc>
          <w:tcPr>
            <w:tcW w:w="1733" w:type="dxa"/>
            <w:vAlign w:val="center"/>
          </w:tcPr>
          <w:p w:rsidR="007D3AA7" w:rsidRPr="007D3AA7" w:rsidRDefault="007D3AA7" w:rsidP="007D3AA7">
            <w:pPr>
              <w:spacing w:after="0"/>
              <w:ind w:firstLine="34"/>
              <w:jc w:val="center"/>
              <w:rPr>
                <w:rFonts w:ascii="Times New Roman" w:hAnsi="Times New Roman"/>
              </w:rPr>
            </w:pPr>
            <w:r w:rsidRPr="007D3AA7">
              <w:rPr>
                <w:rFonts w:ascii="Times New Roman" w:hAnsi="Times New Roman"/>
              </w:rPr>
              <w:t>1 492,6</w:t>
            </w:r>
          </w:p>
        </w:tc>
        <w:tc>
          <w:tcPr>
            <w:tcW w:w="1701" w:type="dxa"/>
            <w:vAlign w:val="center"/>
          </w:tcPr>
          <w:p w:rsidR="007D3AA7" w:rsidRPr="007D3AA7" w:rsidRDefault="007D3AA7" w:rsidP="007D3AA7">
            <w:pPr>
              <w:spacing w:after="0" w:line="240" w:lineRule="auto"/>
              <w:ind w:firstLine="34"/>
              <w:jc w:val="center"/>
              <w:rPr>
                <w:rFonts w:ascii="Times New Roman" w:hAnsi="Times New Roman"/>
              </w:rPr>
            </w:pPr>
            <w:r w:rsidRPr="007D3AA7">
              <w:rPr>
                <w:rFonts w:ascii="Times New Roman" w:hAnsi="Times New Roman"/>
              </w:rPr>
              <w:t>1 608,7</w:t>
            </w:r>
          </w:p>
        </w:tc>
        <w:tc>
          <w:tcPr>
            <w:tcW w:w="2126" w:type="dxa"/>
            <w:vAlign w:val="center"/>
          </w:tcPr>
          <w:p w:rsidR="007D3AA7" w:rsidRPr="007D3AA7" w:rsidRDefault="007D3AA7" w:rsidP="007D3AA7">
            <w:pPr>
              <w:spacing w:after="0" w:line="240" w:lineRule="auto"/>
              <w:ind w:firstLine="34"/>
              <w:jc w:val="center"/>
              <w:rPr>
                <w:rFonts w:ascii="Times New Roman" w:hAnsi="Times New Roman"/>
              </w:rPr>
            </w:pPr>
            <w:r w:rsidRPr="007D3AA7">
              <w:rPr>
                <w:rFonts w:ascii="Times New Roman" w:hAnsi="Times New Roman"/>
              </w:rPr>
              <w:t>107,8</w:t>
            </w:r>
          </w:p>
        </w:tc>
      </w:tr>
      <w:tr w:rsidR="007D3AA7" w:rsidRPr="007D3AA7" w:rsidTr="00FA5C24">
        <w:trPr>
          <w:trHeight w:val="257"/>
        </w:trPr>
        <w:tc>
          <w:tcPr>
            <w:tcW w:w="4079" w:type="dxa"/>
          </w:tcPr>
          <w:p w:rsidR="007D3AA7" w:rsidRPr="007D3AA7" w:rsidRDefault="007D3AA7" w:rsidP="007D3AA7">
            <w:pPr>
              <w:spacing w:after="0" w:line="240" w:lineRule="auto"/>
              <w:ind w:left="34"/>
              <w:rPr>
                <w:rFonts w:ascii="Times New Roman" w:hAnsi="Times New Roman"/>
              </w:rPr>
            </w:pPr>
            <w:r w:rsidRPr="007D3AA7">
              <w:rPr>
                <w:rFonts w:ascii="Times New Roman" w:hAnsi="Times New Roman"/>
              </w:rPr>
              <w:t>Женщины трудоспособного возраста</w:t>
            </w:r>
          </w:p>
        </w:tc>
        <w:tc>
          <w:tcPr>
            <w:tcW w:w="1733" w:type="dxa"/>
            <w:vAlign w:val="center"/>
          </w:tcPr>
          <w:p w:rsidR="007D3AA7" w:rsidRPr="007D3AA7" w:rsidRDefault="007D3AA7" w:rsidP="007D3AA7">
            <w:pPr>
              <w:spacing w:after="0"/>
              <w:ind w:firstLine="34"/>
              <w:jc w:val="center"/>
              <w:rPr>
                <w:rFonts w:ascii="Times New Roman" w:hAnsi="Times New Roman"/>
              </w:rPr>
            </w:pPr>
            <w:r w:rsidRPr="007D3AA7">
              <w:rPr>
                <w:rFonts w:ascii="Times New Roman" w:hAnsi="Times New Roman"/>
              </w:rPr>
              <w:t>1 402,5</w:t>
            </w:r>
          </w:p>
        </w:tc>
        <w:tc>
          <w:tcPr>
            <w:tcW w:w="1701" w:type="dxa"/>
            <w:vAlign w:val="center"/>
          </w:tcPr>
          <w:p w:rsidR="007D3AA7" w:rsidRPr="007D3AA7" w:rsidRDefault="007D3AA7" w:rsidP="007D3AA7">
            <w:pPr>
              <w:spacing w:after="0" w:line="240" w:lineRule="auto"/>
              <w:ind w:firstLine="34"/>
              <w:jc w:val="center"/>
              <w:rPr>
                <w:rFonts w:ascii="Times New Roman" w:hAnsi="Times New Roman"/>
              </w:rPr>
            </w:pPr>
            <w:r w:rsidRPr="007D3AA7">
              <w:rPr>
                <w:rFonts w:ascii="Times New Roman" w:hAnsi="Times New Roman"/>
              </w:rPr>
              <w:t>1 492,6</w:t>
            </w:r>
          </w:p>
        </w:tc>
        <w:tc>
          <w:tcPr>
            <w:tcW w:w="2126" w:type="dxa"/>
            <w:vAlign w:val="center"/>
          </w:tcPr>
          <w:p w:rsidR="007D3AA7" w:rsidRPr="007D3AA7" w:rsidRDefault="007D3AA7" w:rsidP="007D3AA7">
            <w:pPr>
              <w:spacing w:after="0" w:line="240" w:lineRule="auto"/>
              <w:ind w:firstLine="34"/>
              <w:jc w:val="center"/>
              <w:rPr>
                <w:rFonts w:ascii="Times New Roman" w:hAnsi="Times New Roman"/>
              </w:rPr>
            </w:pPr>
            <w:r w:rsidRPr="007D3AA7">
              <w:rPr>
                <w:rFonts w:ascii="Times New Roman" w:hAnsi="Times New Roman"/>
              </w:rPr>
              <w:t>106,4</w:t>
            </w:r>
          </w:p>
        </w:tc>
      </w:tr>
      <w:tr w:rsidR="007D3AA7" w:rsidRPr="007D3AA7" w:rsidTr="00FA5C24">
        <w:trPr>
          <w:trHeight w:val="70"/>
        </w:trPr>
        <w:tc>
          <w:tcPr>
            <w:tcW w:w="4079" w:type="dxa"/>
          </w:tcPr>
          <w:p w:rsidR="007D3AA7" w:rsidRPr="007D3AA7" w:rsidRDefault="007D3AA7" w:rsidP="007D3AA7">
            <w:pPr>
              <w:spacing w:after="0" w:line="240" w:lineRule="auto"/>
              <w:ind w:left="34"/>
              <w:rPr>
                <w:rFonts w:ascii="Times New Roman" w:hAnsi="Times New Roman"/>
              </w:rPr>
            </w:pPr>
            <w:r w:rsidRPr="007D3AA7">
              <w:rPr>
                <w:rFonts w:ascii="Times New Roman" w:hAnsi="Times New Roman"/>
              </w:rPr>
              <w:t>Пенсионеры</w:t>
            </w:r>
          </w:p>
        </w:tc>
        <w:tc>
          <w:tcPr>
            <w:tcW w:w="1733" w:type="dxa"/>
            <w:vAlign w:val="center"/>
          </w:tcPr>
          <w:p w:rsidR="007D3AA7" w:rsidRPr="007D3AA7" w:rsidRDefault="007D3AA7" w:rsidP="007D3AA7">
            <w:pPr>
              <w:spacing w:after="0"/>
              <w:ind w:firstLine="34"/>
              <w:jc w:val="center"/>
              <w:rPr>
                <w:rFonts w:ascii="Times New Roman" w:hAnsi="Times New Roman"/>
              </w:rPr>
            </w:pPr>
            <w:r w:rsidRPr="007D3AA7">
              <w:rPr>
                <w:rFonts w:ascii="Times New Roman" w:hAnsi="Times New Roman"/>
              </w:rPr>
              <w:t>1 140,4</w:t>
            </w:r>
          </w:p>
        </w:tc>
        <w:tc>
          <w:tcPr>
            <w:tcW w:w="1701" w:type="dxa"/>
            <w:vAlign w:val="center"/>
          </w:tcPr>
          <w:p w:rsidR="007D3AA7" w:rsidRPr="007D3AA7" w:rsidRDefault="007D3AA7" w:rsidP="007D3AA7">
            <w:pPr>
              <w:spacing w:after="0" w:line="240" w:lineRule="auto"/>
              <w:ind w:firstLine="34"/>
              <w:jc w:val="center"/>
              <w:rPr>
                <w:rFonts w:ascii="Times New Roman" w:hAnsi="Times New Roman"/>
              </w:rPr>
            </w:pPr>
            <w:r w:rsidRPr="007D3AA7">
              <w:rPr>
                <w:rFonts w:ascii="Times New Roman" w:hAnsi="Times New Roman"/>
              </w:rPr>
              <w:t>1 223,3</w:t>
            </w:r>
          </w:p>
        </w:tc>
        <w:tc>
          <w:tcPr>
            <w:tcW w:w="2126" w:type="dxa"/>
            <w:vAlign w:val="center"/>
          </w:tcPr>
          <w:p w:rsidR="007D3AA7" w:rsidRPr="007D3AA7" w:rsidRDefault="007D3AA7" w:rsidP="007D3AA7">
            <w:pPr>
              <w:spacing w:after="0" w:line="240" w:lineRule="auto"/>
              <w:ind w:firstLine="34"/>
              <w:jc w:val="center"/>
              <w:rPr>
                <w:rFonts w:ascii="Times New Roman" w:hAnsi="Times New Roman"/>
              </w:rPr>
            </w:pPr>
            <w:r w:rsidRPr="007D3AA7">
              <w:rPr>
                <w:rFonts w:ascii="Times New Roman" w:hAnsi="Times New Roman"/>
              </w:rPr>
              <w:t>107,3</w:t>
            </w:r>
          </w:p>
        </w:tc>
      </w:tr>
      <w:tr w:rsidR="007D3AA7" w:rsidRPr="007D3AA7" w:rsidTr="00FA5C24">
        <w:trPr>
          <w:trHeight w:val="257"/>
        </w:trPr>
        <w:tc>
          <w:tcPr>
            <w:tcW w:w="4079" w:type="dxa"/>
          </w:tcPr>
          <w:p w:rsidR="007D3AA7" w:rsidRPr="007D3AA7" w:rsidRDefault="007D3AA7" w:rsidP="007D3AA7">
            <w:pPr>
              <w:spacing w:after="0" w:line="240" w:lineRule="auto"/>
              <w:ind w:left="34"/>
              <w:rPr>
                <w:rFonts w:ascii="Times New Roman" w:hAnsi="Times New Roman"/>
              </w:rPr>
            </w:pPr>
            <w:r w:rsidRPr="007D3AA7">
              <w:rPr>
                <w:rFonts w:ascii="Times New Roman" w:hAnsi="Times New Roman"/>
              </w:rPr>
              <w:t>Дети от 0 до 6 лет</w:t>
            </w:r>
          </w:p>
        </w:tc>
        <w:tc>
          <w:tcPr>
            <w:tcW w:w="1733" w:type="dxa"/>
            <w:vAlign w:val="center"/>
          </w:tcPr>
          <w:p w:rsidR="007D3AA7" w:rsidRPr="007D3AA7" w:rsidRDefault="007D3AA7" w:rsidP="007D3AA7">
            <w:pPr>
              <w:spacing w:after="0"/>
              <w:ind w:firstLine="34"/>
              <w:jc w:val="center"/>
              <w:rPr>
                <w:rFonts w:ascii="Times New Roman" w:hAnsi="Times New Roman"/>
              </w:rPr>
            </w:pPr>
            <w:r w:rsidRPr="007D3AA7">
              <w:rPr>
                <w:rFonts w:ascii="Times New Roman" w:hAnsi="Times New Roman"/>
              </w:rPr>
              <w:t>1 258,9</w:t>
            </w:r>
          </w:p>
        </w:tc>
        <w:tc>
          <w:tcPr>
            <w:tcW w:w="1701" w:type="dxa"/>
            <w:vAlign w:val="center"/>
          </w:tcPr>
          <w:p w:rsidR="007D3AA7" w:rsidRPr="007D3AA7" w:rsidRDefault="007D3AA7" w:rsidP="007D3AA7">
            <w:pPr>
              <w:spacing w:after="0" w:line="240" w:lineRule="auto"/>
              <w:ind w:firstLine="34"/>
              <w:jc w:val="center"/>
              <w:rPr>
                <w:rFonts w:ascii="Times New Roman" w:hAnsi="Times New Roman"/>
              </w:rPr>
            </w:pPr>
            <w:r w:rsidRPr="007D3AA7">
              <w:rPr>
                <w:rFonts w:ascii="Times New Roman" w:hAnsi="Times New Roman"/>
              </w:rPr>
              <w:t>1 357,4</w:t>
            </w:r>
          </w:p>
        </w:tc>
        <w:tc>
          <w:tcPr>
            <w:tcW w:w="2126" w:type="dxa"/>
            <w:vAlign w:val="center"/>
          </w:tcPr>
          <w:p w:rsidR="007D3AA7" w:rsidRPr="007D3AA7" w:rsidRDefault="007D3AA7" w:rsidP="007D3AA7">
            <w:pPr>
              <w:spacing w:after="0" w:line="240" w:lineRule="auto"/>
              <w:ind w:firstLine="34"/>
              <w:jc w:val="center"/>
              <w:rPr>
                <w:rFonts w:ascii="Times New Roman" w:hAnsi="Times New Roman"/>
              </w:rPr>
            </w:pPr>
            <w:r w:rsidRPr="007D3AA7">
              <w:rPr>
                <w:rFonts w:ascii="Times New Roman" w:hAnsi="Times New Roman"/>
              </w:rPr>
              <w:t>107,8</w:t>
            </w:r>
          </w:p>
        </w:tc>
      </w:tr>
      <w:tr w:rsidR="007D3AA7" w:rsidRPr="007D3AA7" w:rsidTr="00FA5C24">
        <w:trPr>
          <w:trHeight w:val="257"/>
        </w:trPr>
        <w:tc>
          <w:tcPr>
            <w:tcW w:w="4079" w:type="dxa"/>
          </w:tcPr>
          <w:p w:rsidR="007D3AA7" w:rsidRPr="007D3AA7" w:rsidRDefault="007D3AA7" w:rsidP="007D3AA7">
            <w:pPr>
              <w:spacing w:after="0" w:line="240" w:lineRule="auto"/>
              <w:ind w:left="34"/>
              <w:rPr>
                <w:rFonts w:ascii="Times New Roman" w:hAnsi="Times New Roman"/>
              </w:rPr>
            </w:pPr>
            <w:r w:rsidRPr="007D3AA7">
              <w:rPr>
                <w:rFonts w:ascii="Times New Roman" w:hAnsi="Times New Roman"/>
              </w:rPr>
              <w:t>Дети от 7 до 15 лет</w:t>
            </w:r>
          </w:p>
        </w:tc>
        <w:tc>
          <w:tcPr>
            <w:tcW w:w="1733" w:type="dxa"/>
            <w:vAlign w:val="center"/>
          </w:tcPr>
          <w:p w:rsidR="007D3AA7" w:rsidRPr="007D3AA7" w:rsidRDefault="007D3AA7" w:rsidP="007D3AA7">
            <w:pPr>
              <w:spacing w:after="0"/>
              <w:ind w:firstLine="34"/>
              <w:jc w:val="center"/>
              <w:rPr>
                <w:rFonts w:ascii="Times New Roman" w:hAnsi="Times New Roman"/>
              </w:rPr>
            </w:pPr>
            <w:r w:rsidRPr="007D3AA7">
              <w:rPr>
                <w:rFonts w:ascii="Times New Roman" w:hAnsi="Times New Roman"/>
              </w:rPr>
              <w:t>1 518,3</w:t>
            </w:r>
          </w:p>
        </w:tc>
        <w:tc>
          <w:tcPr>
            <w:tcW w:w="1701" w:type="dxa"/>
            <w:vAlign w:val="center"/>
          </w:tcPr>
          <w:p w:rsidR="007D3AA7" w:rsidRPr="007D3AA7" w:rsidRDefault="007D3AA7" w:rsidP="007D3AA7">
            <w:pPr>
              <w:spacing w:after="0" w:line="240" w:lineRule="auto"/>
              <w:ind w:firstLine="34"/>
              <w:jc w:val="center"/>
              <w:rPr>
                <w:rFonts w:ascii="Times New Roman" w:hAnsi="Times New Roman"/>
              </w:rPr>
            </w:pPr>
            <w:r w:rsidRPr="007D3AA7">
              <w:rPr>
                <w:rFonts w:ascii="Times New Roman" w:hAnsi="Times New Roman"/>
              </w:rPr>
              <w:t>1 635,6</w:t>
            </w:r>
          </w:p>
        </w:tc>
        <w:tc>
          <w:tcPr>
            <w:tcW w:w="2126" w:type="dxa"/>
            <w:vAlign w:val="center"/>
          </w:tcPr>
          <w:p w:rsidR="007D3AA7" w:rsidRPr="007D3AA7" w:rsidRDefault="007D3AA7" w:rsidP="007D3AA7">
            <w:pPr>
              <w:spacing w:after="0" w:line="240" w:lineRule="auto"/>
              <w:ind w:firstLine="34"/>
              <w:jc w:val="center"/>
              <w:rPr>
                <w:rFonts w:ascii="Times New Roman" w:hAnsi="Times New Roman"/>
              </w:rPr>
            </w:pPr>
            <w:r w:rsidRPr="007D3AA7">
              <w:rPr>
                <w:rFonts w:ascii="Times New Roman" w:hAnsi="Times New Roman"/>
              </w:rPr>
              <w:t>107,7</w:t>
            </w:r>
          </w:p>
        </w:tc>
      </w:tr>
    </w:tbl>
    <w:p w:rsidR="007D3AA7" w:rsidRPr="007D3AA7" w:rsidRDefault="007D3AA7" w:rsidP="007D3AA7">
      <w:pPr>
        <w:spacing w:after="0" w:line="240" w:lineRule="auto"/>
        <w:ind w:firstLine="709"/>
        <w:jc w:val="both"/>
        <w:rPr>
          <w:rFonts w:ascii="Times New Roman" w:hAnsi="Times New Roman"/>
          <w:sz w:val="16"/>
          <w:szCs w:val="16"/>
          <w:highlight w:val="cyan"/>
        </w:rPr>
      </w:pPr>
    </w:p>
    <w:p w:rsidR="007D3AA7" w:rsidRPr="00CB462C" w:rsidRDefault="007D3AA7" w:rsidP="007D3AA7">
      <w:pPr>
        <w:spacing w:after="0" w:line="240" w:lineRule="auto"/>
        <w:ind w:firstLine="426"/>
        <w:jc w:val="both"/>
        <w:rPr>
          <w:rFonts w:ascii="Times New Roman" w:hAnsi="Times New Roman"/>
          <w:sz w:val="28"/>
          <w:szCs w:val="28"/>
        </w:rPr>
      </w:pPr>
      <w:r w:rsidRPr="00CB462C">
        <w:rPr>
          <w:rFonts w:ascii="Times New Roman" w:hAnsi="Times New Roman"/>
          <w:sz w:val="28"/>
          <w:szCs w:val="28"/>
        </w:rPr>
        <w:t xml:space="preserve">В помесячной динамике в течение 2018 года в 8 месяцах из 12 наблюдался прирост величины прожиточного минимума по отношению к предыдущему месяцу (на 0,2 – 1,4%%). Затраты на продукты питания занимают в структуре потребительской корзины наибольший удельный вес, динамика цен на продовольственные товары оказывает наибольшее влияние на колебания </w:t>
      </w:r>
      <w:r w:rsidR="00CB462C">
        <w:rPr>
          <w:rFonts w:ascii="Times New Roman" w:hAnsi="Times New Roman"/>
          <w:sz w:val="28"/>
          <w:szCs w:val="28"/>
        </w:rPr>
        <w:t>величины прожиточного минимума.</w:t>
      </w:r>
    </w:p>
    <w:p w:rsidR="00105A22" w:rsidRDefault="00105A22" w:rsidP="00CB462C">
      <w:pPr>
        <w:spacing w:after="0" w:line="240" w:lineRule="auto"/>
        <w:ind w:firstLine="426"/>
        <w:jc w:val="both"/>
        <w:rPr>
          <w:rFonts w:ascii="Times New Roman" w:hAnsi="Times New Roman"/>
          <w:b/>
          <w:sz w:val="28"/>
          <w:szCs w:val="28"/>
        </w:rPr>
      </w:pPr>
    </w:p>
    <w:p w:rsidR="00CB462C" w:rsidRPr="00CB462C" w:rsidRDefault="00CB462C" w:rsidP="00653B80">
      <w:pPr>
        <w:spacing w:after="0" w:line="240" w:lineRule="auto"/>
        <w:ind w:firstLine="426"/>
        <w:jc w:val="both"/>
        <w:rPr>
          <w:rFonts w:ascii="Times New Roman" w:hAnsi="Times New Roman"/>
          <w:b/>
          <w:sz w:val="28"/>
          <w:szCs w:val="28"/>
        </w:rPr>
      </w:pPr>
      <w:r w:rsidRPr="00CB462C">
        <w:rPr>
          <w:rFonts w:ascii="Times New Roman" w:hAnsi="Times New Roman"/>
          <w:b/>
          <w:sz w:val="28"/>
          <w:szCs w:val="28"/>
        </w:rPr>
        <w:t>Рынок труда и сфера занятости</w:t>
      </w:r>
    </w:p>
    <w:p w:rsidR="00CB462C" w:rsidRPr="00CB462C" w:rsidRDefault="00CB462C" w:rsidP="00653B80">
      <w:pPr>
        <w:spacing w:after="0" w:line="240" w:lineRule="auto"/>
        <w:ind w:firstLine="426"/>
        <w:jc w:val="both"/>
        <w:rPr>
          <w:rFonts w:ascii="Times New Roman" w:hAnsi="Times New Roman"/>
          <w:sz w:val="28"/>
          <w:szCs w:val="28"/>
        </w:rPr>
      </w:pPr>
    </w:p>
    <w:p w:rsidR="00CB462C" w:rsidRPr="00CB462C" w:rsidRDefault="00CB462C" w:rsidP="00653B80">
      <w:pPr>
        <w:spacing w:after="0" w:line="240" w:lineRule="auto"/>
        <w:ind w:firstLine="426"/>
        <w:jc w:val="both"/>
        <w:rPr>
          <w:rFonts w:ascii="Times New Roman" w:hAnsi="Times New Roman"/>
          <w:sz w:val="28"/>
          <w:szCs w:val="28"/>
        </w:rPr>
      </w:pPr>
      <w:r w:rsidRPr="00CB462C">
        <w:rPr>
          <w:rFonts w:ascii="Times New Roman" w:hAnsi="Times New Roman"/>
          <w:sz w:val="28"/>
          <w:szCs w:val="28"/>
        </w:rPr>
        <w:t>Динамика показателей характеризующих состояние рынка труда в 2018 году складывалась с одной стороны под воздействием процессов стабилизации социально-экономического развития страны, а с другой стороны в условиях наметившихся в обществе тенденций демографической кривой.</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Численность экономически активного населения по состоянию на                    1 января 2019 года составила 137,1 тыс. чел. (без учета работников силовых структур республики), уменьшившись по сравнению с аналогичным показателем 2017 года на 1,6 тыс. чел. В составе экономически активного населения 98,1%, или 134,5 тыс. человек, были заняты в экономике республики (на 1 января 2018 года – 133,5 тыс</w:t>
      </w:r>
      <w:r w:rsidRPr="005D3D6D">
        <w:rPr>
          <w:rFonts w:ascii="Times New Roman" w:hAnsi="Times New Roman"/>
          <w:sz w:val="28"/>
          <w:szCs w:val="28"/>
        </w:rPr>
        <w:t xml:space="preserve">. человек), а 2,6 тыс. человек не имели работы, но активно ее искали и состояли на учете в Центрах социального страхования и социальной защиты в качестве лиц, ищущих подходящую работу (на 1 января 2018 года – 5,2 тыс. человек) (рис. </w:t>
      </w:r>
      <w:r w:rsidR="005D3D6D" w:rsidRPr="005D3D6D">
        <w:rPr>
          <w:rFonts w:ascii="Times New Roman" w:hAnsi="Times New Roman"/>
          <w:sz w:val="28"/>
          <w:szCs w:val="28"/>
        </w:rPr>
        <w:t>39</w:t>
      </w:r>
      <w:r w:rsidRPr="005D3D6D">
        <w:rPr>
          <w:rFonts w:ascii="Times New Roman" w:hAnsi="Times New Roman"/>
          <w:sz w:val="28"/>
          <w:szCs w:val="28"/>
        </w:rPr>
        <w:t>).</w:t>
      </w:r>
    </w:p>
    <w:p w:rsidR="00CB462C" w:rsidRPr="00CB462C" w:rsidRDefault="00CB462C" w:rsidP="00CB462C">
      <w:pPr>
        <w:spacing w:after="0" w:line="240" w:lineRule="auto"/>
        <w:ind w:firstLine="426"/>
        <w:contextualSpacing/>
        <w:jc w:val="right"/>
        <w:rPr>
          <w:rFonts w:ascii="Times New Roman" w:hAnsi="Times New Roman"/>
          <w:b/>
          <w:i/>
          <w:sz w:val="28"/>
          <w:szCs w:val="28"/>
        </w:rPr>
      </w:pPr>
      <w:r w:rsidRPr="00CB462C">
        <w:rPr>
          <w:rFonts w:ascii="Times New Roman" w:hAnsi="Times New Roman"/>
          <w:b/>
          <w:i/>
          <w:sz w:val="28"/>
          <w:szCs w:val="28"/>
        </w:rPr>
        <w:t xml:space="preserve">Рисунок </w:t>
      </w:r>
      <w:r w:rsidR="005D3D6D">
        <w:rPr>
          <w:rFonts w:ascii="Times New Roman" w:hAnsi="Times New Roman"/>
          <w:b/>
          <w:i/>
          <w:sz w:val="28"/>
          <w:szCs w:val="28"/>
        </w:rPr>
        <w:t>39</w:t>
      </w:r>
    </w:p>
    <w:p w:rsidR="00CB462C" w:rsidRPr="00CB462C" w:rsidRDefault="00CB462C" w:rsidP="00CB462C">
      <w:pPr>
        <w:spacing w:after="0" w:line="240" w:lineRule="auto"/>
        <w:ind w:firstLine="720"/>
        <w:jc w:val="center"/>
        <w:rPr>
          <w:rFonts w:ascii="Times New Roman" w:hAnsi="Times New Roman"/>
          <w:b/>
          <w:sz w:val="28"/>
          <w:szCs w:val="28"/>
        </w:rPr>
      </w:pPr>
      <w:r w:rsidRPr="00CB462C">
        <w:rPr>
          <w:rFonts w:ascii="Times New Roman" w:hAnsi="Times New Roman"/>
          <w:b/>
          <w:sz w:val="28"/>
          <w:szCs w:val="28"/>
        </w:rPr>
        <w:t>Структура экономически активного населения, %</w:t>
      </w:r>
    </w:p>
    <w:p w:rsidR="00CB462C" w:rsidRPr="00CB462C" w:rsidRDefault="00CB462C" w:rsidP="00CB462C">
      <w:pPr>
        <w:spacing w:after="0" w:line="240" w:lineRule="auto"/>
        <w:jc w:val="both"/>
        <w:rPr>
          <w:rFonts w:ascii="Times New Roman" w:hAnsi="Times New Roman"/>
          <w:sz w:val="28"/>
          <w:szCs w:val="28"/>
        </w:rPr>
      </w:pPr>
      <w:r w:rsidRPr="00CB462C">
        <w:rPr>
          <w:rFonts w:ascii="Times New Roman" w:hAnsi="Times New Roman"/>
          <w:noProof/>
          <w:sz w:val="28"/>
          <w:szCs w:val="28"/>
        </w:rPr>
        <w:drawing>
          <wp:anchor distT="0" distB="0" distL="114300" distR="114300" simplePos="0" relativeHeight="251673600" behindDoc="1" locked="0" layoutInCell="1" allowOverlap="1">
            <wp:simplePos x="0" y="0"/>
            <wp:positionH relativeFrom="column">
              <wp:posOffset>15240</wp:posOffset>
            </wp:positionH>
            <wp:positionV relativeFrom="paragraph">
              <wp:posOffset>91440</wp:posOffset>
            </wp:positionV>
            <wp:extent cx="3028950" cy="1714500"/>
            <wp:effectExtent l="19050" t="0" r="0" b="0"/>
            <wp:wrapTight wrapText="bothSides">
              <wp:wrapPolygon edited="0">
                <wp:start x="-136" y="0"/>
                <wp:lineTo x="-136" y="21360"/>
                <wp:lineTo x="21600" y="21360"/>
                <wp:lineTo x="21600" y="0"/>
                <wp:lineTo x="-136" y="0"/>
              </wp:wrapPolygon>
            </wp:wrapTight>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Pr="00CB462C">
        <w:rPr>
          <w:rFonts w:ascii="Times New Roman" w:hAnsi="Times New Roman"/>
          <w:noProof/>
          <w:sz w:val="28"/>
          <w:szCs w:val="28"/>
        </w:rPr>
        <w:drawing>
          <wp:inline distT="0" distB="0" distL="0" distR="0">
            <wp:extent cx="2962275" cy="1809750"/>
            <wp:effectExtent l="19050" t="0" r="0"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B462C" w:rsidRPr="00CB462C" w:rsidRDefault="00CB462C" w:rsidP="00CB462C">
      <w:pPr>
        <w:shd w:val="clear" w:color="auto" w:fill="FFFFFF" w:themeFill="background1"/>
        <w:tabs>
          <w:tab w:val="left" w:pos="900"/>
        </w:tabs>
        <w:spacing w:after="0" w:line="240" w:lineRule="auto"/>
        <w:ind w:firstLine="426"/>
        <w:jc w:val="both"/>
        <w:rPr>
          <w:rFonts w:ascii="Times New Roman" w:hAnsi="Times New Roman"/>
          <w:sz w:val="28"/>
          <w:szCs w:val="28"/>
        </w:rPr>
      </w:pPr>
      <w:r w:rsidRPr="00CB462C">
        <w:rPr>
          <w:rFonts w:ascii="Times New Roman" w:hAnsi="Times New Roman"/>
          <w:sz w:val="28"/>
          <w:szCs w:val="28"/>
        </w:rPr>
        <w:t>Численность занятых в экономике республики (без учета субъектов малого предпринимательства) на 1 января 2019 года составила</w:t>
      </w:r>
      <w:r w:rsidRPr="00CB462C">
        <w:rPr>
          <w:rFonts w:ascii="Times New Roman" w:hAnsi="Times New Roman"/>
          <w:sz w:val="28"/>
          <w:szCs w:val="28"/>
          <w:shd w:val="clear" w:color="auto" w:fill="FFFFFF" w:themeFill="background1"/>
        </w:rPr>
        <w:t xml:space="preserve"> 93,4 тыс. чел., что на              1 513 человек меньше численности, сложившейся на аналогичную дату                2018 года.</w:t>
      </w:r>
      <w:r w:rsidRPr="00CB462C">
        <w:rPr>
          <w:rFonts w:ascii="Times New Roman" w:hAnsi="Times New Roman"/>
          <w:sz w:val="28"/>
          <w:szCs w:val="28"/>
        </w:rPr>
        <w:t xml:space="preserve"> Всего за 2018 года было принято на работу </w:t>
      </w:r>
      <w:r w:rsidRPr="00CB462C">
        <w:rPr>
          <w:rFonts w:ascii="Times New Roman" w:hAnsi="Times New Roman"/>
          <w:snapToGrid w:val="0"/>
          <w:sz w:val="28"/>
          <w:szCs w:val="28"/>
        </w:rPr>
        <w:t xml:space="preserve">19 052 </w:t>
      </w:r>
      <w:r w:rsidRPr="00CB462C">
        <w:rPr>
          <w:rFonts w:ascii="Times New Roman" w:hAnsi="Times New Roman"/>
          <w:sz w:val="28"/>
          <w:szCs w:val="28"/>
        </w:rPr>
        <w:t xml:space="preserve">чел., из них 1 003 чел. – на дополнительно введенные рабочие места. Процент замещения </w:t>
      </w:r>
      <w:r w:rsidRPr="00CB462C">
        <w:rPr>
          <w:rFonts w:ascii="Times New Roman" w:hAnsi="Times New Roman"/>
          <w:sz w:val="28"/>
          <w:szCs w:val="28"/>
        </w:rPr>
        <w:lastRenderedPageBreak/>
        <w:t>выбывших работников новыми кадрами в рассматриваемом периоде составил 92,6%.</w:t>
      </w:r>
    </w:p>
    <w:p w:rsidR="00CB462C" w:rsidRPr="00CB462C" w:rsidRDefault="00CB462C" w:rsidP="00CB462C">
      <w:pPr>
        <w:tabs>
          <w:tab w:val="left" w:pos="900"/>
        </w:tabs>
        <w:spacing w:after="0" w:line="240" w:lineRule="auto"/>
        <w:ind w:firstLine="426"/>
        <w:jc w:val="both"/>
        <w:rPr>
          <w:rFonts w:ascii="Times New Roman" w:hAnsi="Times New Roman"/>
          <w:sz w:val="28"/>
          <w:szCs w:val="28"/>
        </w:rPr>
      </w:pPr>
      <w:r w:rsidRPr="00CB462C">
        <w:rPr>
          <w:rFonts w:ascii="Times New Roman" w:hAnsi="Times New Roman"/>
          <w:sz w:val="28"/>
          <w:szCs w:val="28"/>
        </w:rPr>
        <w:t>В течение 2018 года из организаций и учреждений уволилось 20</w:t>
      </w:r>
      <w:r w:rsidRPr="00CB462C">
        <w:rPr>
          <w:rFonts w:ascii="Times New Roman" w:hAnsi="Times New Roman"/>
          <w:snapToGrid w:val="0"/>
          <w:sz w:val="28"/>
          <w:szCs w:val="28"/>
        </w:rPr>
        <w:t> 565</w:t>
      </w:r>
      <w:r w:rsidRPr="00CB462C">
        <w:rPr>
          <w:rFonts w:ascii="Times New Roman" w:hAnsi="Times New Roman"/>
          <w:sz w:val="28"/>
          <w:szCs w:val="28"/>
        </w:rPr>
        <w:t xml:space="preserve"> чел. (в 2017 году – 19 766</w:t>
      </w:r>
      <w:r w:rsidRPr="00CB462C">
        <w:rPr>
          <w:rFonts w:ascii="Times New Roman" w:hAnsi="Times New Roman"/>
          <w:sz w:val="20"/>
          <w:szCs w:val="20"/>
        </w:rPr>
        <w:t xml:space="preserve"> </w:t>
      </w:r>
      <w:r w:rsidRPr="00CB462C">
        <w:rPr>
          <w:rFonts w:ascii="Times New Roman" w:hAnsi="Times New Roman"/>
          <w:sz w:val="28"/>
          <w:szCs w:val="28"/>
        </w:rPr>
        <w:t>чел.), что составляет 21,7% от списочной численности работников на начало года. Численность выбывших работников превышает число принятых на 1 513 человек. Основной причиной выбытия является увольнение по инициативе работника, на ее долю приходилось 86,6% случаев (17 815 чел.).</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color w:val="000000"/>
          <w:sz w:val="28"/>
          <w:szCs w:val="28"/>
        </w:rPr>
        <w:t xml:space="preserve">В рассматриваемом периоде 93 организации республики предоставили в Центры социального страхования и социальной защиты городов и районов республики информацию </w:t>
      </w:r>
      <w:r w:rsidRPr="00CB462C">
        <w:rPr>
          <w:rFonts w:ascii="Times New Roman" w:hAnsi="Times New Roman"/>
          <w:sz w:val="28"/>
          <w:szCs w:val="28"/>
        </w:rPr>
        <w:t>о предстоящем проведении мероприятий по увольнению работников в связи с ликвидацией организации, сокращением численности или штата работников организации. В связи с проведением данных мероприятий к увольнению было намечено 446 работников (в                           2017 году – 988 чел.), однако фактически было уволено 203 сотрудника, или 1,0% от общей численности выбывших.</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Среди намеченных к увольнению работников молодежь 16-29 лет составила 6,1%, граждане предпенсионного возраста – 7,8%.</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В разрезе отраслей экономики наибольшее количество</w:t>
      </w:r>
      <w:r w:rsidRPr="00CB462C">
        <w:rPr>
          <w:rFonts w:ascii="Times New Roman" w:hAnsi="Times New Roman"/>
          <w:b/>
          <w:sz w:val="28"/>
          <w:szCs w:val="28"/>
        </w:rPr>
        <w:t xml:space="preserve"> </w:t>
      </w:r>
      <w:r w:rsidRPr="00CB462C">
        <w:rPr>
          <w:rFonts w:ascii="Times New Roman" w:hAnsi="Times New Roman"/>
          <w:sz w:val="28"/>
          <w:szCs w:val="28"/>
        </w:rPr>
        <w:t>намеченных к высвобождению работников пришлось на промышленность – 28,3%, сельское хозяйство – 18,6%, жилищно-коммунальное хозяйство – 18,4%, управление – 17,0%, торговля и общественное питание – 3,8%.</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В 2018 году в Центры социального страхования и социальной зашиты городов и районов за содействием в поиске подходящей работы и получением консультаций обратилось около 20,9 тыс. человек, что составило 71,0% к уровню прошлого года.</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Численность граждан, получивших консультации по вопросам выбора места работы, законодательству о труде и занятости, возможности прохождения профессионального обучения и другим вопросам, составила 11,9 тыс. человек (за 2017 год – 13,3 тыс. чел.). Услугами по профориентации воспользовались около 9,2 тыс. граждан, психологическую поддержку получили около 2,4 тыс. человек.</w:t>
      </w:r>
    </w:p>
    <w:p w:rsidR="00CB462C" w:rsidRPr="00CB462C" w:rsidRDefault="00CB462C" w:rsidP="00CB462C">
      <w:pPr>
        <w:spacing w:after="0" w:line="240" w:lineRule="auto"/>
        <w:ind w:firstLine="426"/>
        <w:contextualSpacing/>
        <w:jc w:val="both"/>
        <w:rPr>
          <w:rFonts w:ascii="Times New Roman" w:hAnsi="Times New Roman"/>
          <w:color w:val="000000"/>
          <w:sz w:val="28"/>
          <w:szCs w:val="28"/>
        </w:rPr>
      </w:pPr>
      <w:r w:rsidRPr="00CB462C">
        <w:rPr>
          <w:rFonts w:ascii="Times New Roman" w:hAnsi="Times New Roman"/>
          <w:sz w:val="28"/>
          <w:szCs w:val="28"/>
        </w:rPr>
        <w:t xml:space="preserve">В рассматриваемом периоде в качестве лиц ищущих </w:t>
      </w:r>
      <w:r w:rsidRPr="005D3D6D">
        <w:rPr>
          <w:rFonts w:ascii="Times New Roman" w:hAnsi="Times New Roman"/>
          <w:sz w:val="28"/>
          <w:szCs w:val="28"/>
        </w:rPr>
        <w:t xml:space="preserve">подходящую работу, было зарегистрировано 5 790 человек </w:t>
      </w:r>
      <w:r w:rsidRPr="005D3D6D">
        <w:rPr>
          <w:rFonts w:ascii="Times New Roman" w:hAnsi="Times New Roman"/>
          <w:color w:val="000000"/>
          <w:sz w:val="28"/>
          <w:szCs w:val="28"/>
        </w:rPr>
        <w:t xml:space="preserve">(в </w:t>
      </w:r>
      <w:r w:rsidRPr="005D3D6D">
        <w:rPr>
          <w:rFonts w:ascii="Times New Roman" w:hAnsi="Times New Roman"/>
          <w:sz w:val="28"/>
          <w:szCs w:val="28"/>
        </w:rPr>
        <w:t>2017 году – 11 775</w:t>
      </w:r>
      <w:r w:rsidRPr="005D3D6D">
        <w:rPr>
          <w:rFonts w:ascii="Times New Roman" w:hAnsi="Times New Roman"/>
          <w:color w:val="000000"/>
          <w:sz w:val="28"/>
          <w:szCs w:val="28"/>
        </w:rPr>
        <w:t xml:space="preserve"> чел</w:t>
      </w:r>
      <w:r w:rsidRPr="005D3D6D">
        <w:rPr>
          <w:rFonts w:ascii="Times New Roman" w:hAnsi="Times New Roman"/>
          <w:sz w:val="28"/>
          <w:szCs w:val="28"/>
        </w:rPr>
        <w:t xml:space="preserve">.) (рис. </w:t>
      </w:r>
      <w:r w:rsidR="005D3D6D" w:rsidRPr="005D3D6D">
        <w:rPr>
          <w:rFonts w:ascii="Times New Roman" w:hAnsi="Times New Roman"/>
          <w:sz w:val="28"/>
          <w:szCs w:val="28"/>
        </w:rPr>
        <w:t>40</w:t>
      </w:r>
      <w:r w:rsidRPr="005D3D6D">
        <w:rPr>
          <w:rFonts w:ascii="Times New Roman" w:hAnsi="Times New Roman"/>
          <w:sz w:val="28"/>
          <w:szCs w:val="28"/>
        </w:rPr>
        <w:t>), официально признаны безработными 3 889 человек (в 2017 году – 9 414 чел.).</w:t>
      </w:r>
    </w:p>
    <w:p w:rsidR="00CB462C" w:rsidRPr="00CB462C" w:rsidRDefault="00CB462C" w:rsidP="00CB462C">
      <w:pPr>
        <w:spacing w:after="0" w:line="240" w:lineRule="auto"/>
        <w:ind w:firstLine="426"/>
        <w:contextualSpacing/>
        <w:jc w:val="right"/>
        <w:rPr>
          <w:rFonts w:ascii="Times New Roman" w:hAnsi="Times New Roman"/>
          <w:b/>
          <w:i/>
          <w:sz w:val="28"/>
          <w:szCs w:val="28"/>
        </w:rPr>
      </w:pPr>
      <w:r w:rsidRPr="00CB462C">
        <w:rPr>
          <w:rFonts w:ascii="Times New Roman" w:hAnsi="Times New Roman"/>
          <w:b/>
          <w:i/>
          <w:sz w:val="28"/>
          <w:szCs w:val="28"/>
        </w:rPr>
        <w:t xml:space="preserve">Рисунок </w:t>
      </w:r>
      <w:r w:rsidR="005D3D6D">
        <w:rPr>
          <w:rFonts w:ascii="Times New Roman" w:hAnsi="Times New Roman"/>
          <w:b/>
          <w:i/>
          <w:sz w:val="28"/>
          <w:szCs w:val="28"/>
        </w:rPr>
        <w:t>40</w:t>
      </w:r>
    </w:p>
    <w:p w:rsidR="00CB462C" w:rsidRPr="00CB462C" w:rsidRDefault="00CB462C" w:rsidP="00CB462C">
      <w:pPr>
        <w:spacing w:after="0" w:line="240" w:lineRule="auto"/>
        <w:ind w:right="-284"/>
        <w:contextualSpacing/>
        <w:jc w:val="both"/>
        <w:rPr>
          <w:rFonts w:ascii="Times New Roman" w:hAnsi="Times New Roman"/>
          <w:sz w:val="28"/>
          <w:szCs w:val="28"/>
        </w:rPr>
      </w:pPr>
      <w:r w:rsidRPr="00CB462C">
        <w:rPr>
          <w:rFonts w:ascii="Times New Roman" w:hAnsi="Times New Roman"/>
          <w:noProof/>
          <w:sz w:val="28"/>
          <w:szCs w:val="28"/>
        </w:rPr>
        <w:drawing>
          <wp:inline distT="0" distB="0" distL="0" distR="0">
            <wp:extent cx="6124575" cy="1800225"/>
            <wp:effectExtent l="0" t="0" r="0" b="0"/>
            <wp:docPr id="2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 xml:space="preserve">В целом по республике 65,5% зарегистрированных граждан в качестве лиц, ищущих подходящую работу, являлись жителями городов. В то же время, по </w:t>
      </w:r>
      <w:r w:rsidRPr="00CB462C">
        <w:rPr>
          <w:rFonts w:ascii="Times New Roman" w:hAnsi="Times New Roman"/>
          <w:sz w:val="28"/>
          <w:szCs w:val="28"/>
        </w:rPr>
        <w:lastRenderedPageBreak/>
        <w:t>двум районам республики в числе зарегистрированных граждан преобладали жители сельской местности, удельный вес которых составил:</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 в Григориопольском районе – 79,3% от общей численности граждан района, зарегистрированных в качестве лиц ищущих работу,</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 в Каменском районе – 55,2% от общей численности граждан района, зарегистрированных в качестве лиц ищущих работу.</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Наибольшее количество граждан, зарегистрированных в качестве лиц, ищущих работу, (68,1%) пришлось на следующие Центры социального страхования и социальной защиты: г. Рыбница и Рыбницкий район –1 566 человек, г. Слободзея и Слободзейский район – 1 212 человек, г. Тирасполь –          1 163 человек.</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Среди граждан, зарегистрированных в Центрах социального страхования и социальной защиты в качестве лиц, ищущих работу, в 2018 года наиболее многочисленными являлись следующие категории:</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 граждане, имеющие длительный (более года) перерыв в работе – 2 847 человек (в 2017 году - 6 589 человек), их удельный вес в общей численности составил 49,2%;</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 граждане, ранее не работавшие, ищущие работу впервые – 1 392 человека (в 2017 году - 2 104 человек), их удельный вес достиг 24,0%;</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 граждане, уволенные с последнего места работы в связи с ликвидацией организации, сокращением численности или штата работников организации, и обратившиеся в службу занятости в течение года - 234 человека (в 2017 году - 751 человек), на их долю пришлось 4,0%.</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 xml:space="preserve">По состоянию на 1 января 2019 года численность граждан, зарегистрированных в качестве лиц, ищущих работу, составила 2 632 чел. </w:t>
      </w:r>
      <w:r w:rsidRPr="00CB462C">
        <w:rPr>
          <w:rFonts w:ascii="Times New Roman" w:hAnsi="Times New Roman"/>
          <w:sz w:val="28"/>
          <w:szCs w:val="28"/>
        </w:rPr>
        <w:br/>
        <w:t xml:space="preserve">(на 1 января 2018 года – 5 189 чел.), из них 1 870 гражданина имели статус безработного, т. е. получали пособие по безработице (на 1 января 2018 года – </w:t>
      </w:r>
      <w:r w:rsidRPr="00CB462C">
        <w:rPr>
          <w:rFonts w:ascii="Times New Roman" w:hAnsi="Times New Roman"/>
          <w:sz w:val="28"/>
          <w:szCs w:val="28"/>
        </w:rPr>
        <w:br/>
        <w:t>4 225 чел.).</w:t>
      </w:r>
    </w:p>
    <w:p w:rsidR="00CB462C" w:rsidRPr="00CB462C" w:rsidRDefault="00CB462C" w:rsidP="00CB462C">
      <w:pPr>
        <w:spacing w:after="0" w:line="240" w:lineRule="auto"/>
        <w:ind w:firstLine="426"/>
        <w:contextualSpacing/>
        <w:jc w:val="both"/>
        <w:rPr>
          <w:rFonts w:ascii="Times New Roman" w:hAnsi="Times New Roman"/>
          <w:sz w:val="28"/>
          <w:szCs w:val="28"/>
        </w:rPr>
      </w:pPr>
      <w:r w:rsidRPr="005D3D6D">
        <w:rPr>
          <w:rFonts w:ascii="Times New Roman" w:hAnsi="Times New Roman"/>
          <w:sz w:val="28"/>
          <w:szCs w:val="28"/>
        </w:rPr>
        <w:t xml:space="preserve">Уровень регистрируемой безработицы в среднем по республике по состоянию на 1 января 2019 года составил 1,92% к численности экономически активного населения (без учета численности работающих в силовых структурах), уменьшившись к соответствующей дате 2018 года на 1,82 п.п. (рис. </w:t>
      </w:r>
      <w:r w:rsidR="005D3D6D" w:rsidRPr="005D3D6D">
        <w:rPr>
          <w:rFonts w:ascii="Times New Roman" w:hAnsi="Times New Roman"/>
          <w:sz w:val="28"/>
          <w:szCs w:val="28"/>
        </w:rPr>
        <w:t>41</w:t>
      </w:r>
      <w:r w:rsidRPr="005D3D6D">
        <w:rPr>
          <w:rFonts w:ascii="Times New Roman" w:hAnsi="Times New Roman"/>
          <w:sz w:val="28"/>
          <w:szCs w:val="28"/>
        </w:rPr>
        <w:t>)</w:t>
      </w:r>
      <w:r w:rsidR="005D3D6D" w:rsidRPr="005D3D6D">
        <w:rPr>
          <w:rFonts w:ascii="Times New Roman" w:hAnsi="Times New Roman"/>
          <w:sz w:val="28"/>
          <w:szCs w:val="28"/>
        </w:rPr>
        <w:t>.</w:t>
      </w:r>
    </w:p>
    <w:p w:rsidR="00CB462C" w:rsidRPr="00CB462C" w:rsidRDefault="00CB462C" w:rsidP="00CB462C">
      <w:pPr>
        <w:spacing w:after="0" w:line="240" w:lineRule="auto"/>
        <w:ind w:firstLine="426"/>
        <w:contextualSpacing/>
        <w:jc w:val="right"/>
        <w:rPr>
          <w:rFonts w:ascii="Times New Roman" w:hAnsi="Times New Roman"/>
          <w:b/>
          <w:i/>
          <w:sz w:val="28"/>
          <w:szCs w:val="28"/>
        </w:rPr>
      </w:pPr>
      <w:r w:rsidRPr="00CB462C">
        <w:rPr>
          <w:rFonts w:ascii="Times New Roman" w:hAnsi="Times New Roman"/>
          <w:b/>
          <w:i/>
          <w:sz w:val="28"/>
          <w:szCs w:val="28"/>
        </w:rPr>
        <w:t xml:space="preserve">Рисунок </w:t>
      </w:r>
      <w:r w:rsidR="005D3D6D">
        <w:rPr>
          <w:rFonts w:ascii="Times New Roman" w:hAnsi="Times New Roman"/>
          <w:b/>
          <w:i/>
          <w:sz w:val="28"/>
          <w:szCs w:val="28"/>
        </w:rPr>
        <w:t>41</w:t>
      </w:r>
    </w:p>
    <w:p w:rsidR="00CB462C" w:rsidRPr="00CB462C" w:rsidRDefault="00CB462C" w:rsidP="00CB462C">
      <w:pPr>
        <w:spacing w:after="0" w:line="240" w:lineRule="auto"/>
        <w:jc w:val="both"/>
        <w:rPr>
          <w:noProof/>
          <w:sz w:val="28"/>
          <w:szCs w:val="28"/>
        </w:rPr>
      </w:pPr>
      <w:r w:rsidRPr="00CB462C">
        <w:rPr>
          <w:noProof/>
          <w:sz w:val="28"/>
          <w:szCs w:val="28"/>
        </w:rPr>
        <w:drawing>
          <wp:inline distT="0" distB="0" distL="0" distR="0">
            <wp:extent cx="6105525" cy="2590800"/>
            <wp:effectExtent l="19050" t="0" r="0" b="0"/>
            <wp:docPr id="2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B462C" w:rsidRPr="005D3D6D"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lastRenderedPageBreak/>
        <w:t xml:space="preserve">На сложившийся уровень безработицы повлияло сокращение численности граждан, зарегистрированных в Центрах социального страхования и социальной защиты, а также рост числа занятого населения, формируемый в условиях проведения на государственном уровне политики по созданию новых рабочих мест и стимулирования активизации отечественного бизнеса. Так, за 2018 год в Центры социального страхования и социальной защиты республики работодателями заявлено 6 209 вакантных рабочих места (должности) (за             2017 год – 4 033 ед.), однако следует отметить, что по состоянию на 1 января 2019 года в банке вакансий числилось 2 790 вакансий </w:t>
      </w:r>
      <w:r w:rsidRPr="005D3D6D">
        <w:rPr>
          <w:rFonts w:ascii="Times New Roman" w:hAnsi="Times New Roman"/>
          <w:sz w:val="28"/>
          <w:szCs w:val="28"/>
        </w:rPr>
        <w:t xml:space="preserve">(рис. </w:t>
      </w:r>
      <w:r w:rsidR="005D3D6D" w:rsidRPr="005D3D6D">
        <w:rPr>
          <w:rFonts w:ascii="Times New Roman" w:hAnsi="Times New Roman"/>
          <w:sz w:val="28"/>
          <w:szCs w:val="28"/>
        </w:rPr>
        <w:t>42</w:t>
      </w:r>
      <w:r w:rsidRPr="005D3D6D">
        <w:rPr>
          <w:rFonts w:ascii="Times New Roman" w:hAnsi="Times New Roman"/>
          <w:sz w:val="28"/>
          <w:szCs w:val="28"/>
        </w:rPr>
        <w:t>). Среди заявленных по итогам 2018 года работодателями вакансий 72,0% составляли вакантные места по рабочим профессиям и 28,0% - вакансии для специалистов и служащих.</w:t>
      </w:r>
    </w:p>
    <w:p w:rsidR="00CB462C" w:rsidRPr="005D3D6D" w:rsidRDefault="005D3D6D" w:rsidP="00CB462C">
      <w:pPr>
        <w:spacing w:after="0" w:line="240" w:lineRule="auto"/>
        <w:ind w:firstLine="426"/>
        <w:contextualSpacing/>
        <w:jc w:val="right"/>
        <w:rPr>
          <w:rFonts w:ascii="Times New Roman" w:hAnsi="Times New Roman"/>
          <w:b/>
          <w:i/>
          <w:sz w:val="28"/>
          <w:szCs w:val="28"/>
        </w:rPr>
      </w:pPr>
      <w:r w:rsidRPr="005D3D6D">
        <w:rPr>
          <w:rFonts w:ascii="Times New Roman" w:hAnsi="Times New Roman"/>
          <w:b/>
          <w:i/>
          <w:sz w:val="28"/>
          <w:szCs w:val="28"/>
        </w:rPr>
        <w:t>Рисунок</w:t>
      </w:r>
      <w:r w:rsidR="00434F04">
        <w:rPr>
          <w:rFonts w:ascii="Times New Roman" w:hAnsi="Times New Roman"/>
          <w:b/>
          <w:i/>
          <w:sz w:val="28"/>
          <w:szCs w:val="28"/>
        </w:rPr>
        <w:t xml:space="preserve"> </w:t>
      </w:r>
      <w:r w:rsidRPr="005D3D6D">
        <w:rPr>
          <w:rFonts w:ascii="Times New Roman" w:hAnsi="Times New Roman"/>
          <w:b/>
          <w:i/>
          <w:sz w:val="28"/>
          <w:szCs w:val="28"/>
        </w:rPr>
        <w:t>42</w:t>
      </w:r>
    </w:p>
    <w:p w:rsidR="00CB462C" w:rsidRPr="005D3D6D" w:rsidRDefault="00CB462C" w:rsidP="00CB462C">
      <w:pPr>
        <w:spacing w:after="0" w:line="240" w:lineRule="auto"/>
        <w:jc w:val="both"/>
        <w:rPr>
          <w:rFonts w:ascii="Times New Roman" w:hAnsi="Times New Roman"/>
          <w:sz w:val="28"/>
          <w:szCs w:val="28"/>
        </w:rPr>
      </w:pPr>
      <w:r w:rsidRPr="005D3D6D">
        <w:rPr>
          <w:rFonts w:ascii="Times New Roman" w:hAnsi="Times New Roman"/>
          <w:noProof/>
          <w:sz w:val="28"/>
          <w:szCs w:val="28"/>
        </w:rPr>
        <w:drawing>
          <wp:inline distT="0" distB="0" distL="0" distR="0">
            <wp:extent cx="6120130" cy="2575480"/>
            <wp:effectExtent l="0" t="0" r="0" b="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B462C" w:rsidRPr="00CB462C" w:rsidRDefault="00CB462C" w:rsidP="00CB462C">
      <w:pPr>
        <w:spacing w:after="0" w:line="240" w:lineRule="auto"/>
        <w:jc w:val="both"/>
        <w:rPr>
          <w:rFonts w:ascii="Times New Roman" w:hAnsi="Times New Roman"/>
          <w:sz w:val="12"/>
          <w:szCs w:val="12"/>
        </w:rPr>
      </w:pP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В разрезе отраслей экономики наибольшее количество заявленных вакансий приходилось на: промышленность – 26,5% от общего количества представленных вакантных рабочих мест (должностей); строительство – 10,6%, образование – 9,7%, сельское хозяйство – 8,2%, жилищно-коммунальное хозяйство – 7,1% от общей потребности организаций в рабочей силе.</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 xml:space="preserve">Коэффициент напряженности на рынке труда (отношение </w:t>
      </w:r>
      <w:r w:rsidRPr="00CB462C">
        <w:rPr>
          <w:rFonts w:ascii="Times New Roman" w:hAnsi="Times New Roman"/>
          <w:color w:val="000000"/>
          <w:sz w:val="28"/>
          <w:szCs w:val="28"/>
        </w:rPr>
        <w:t>численности населения, не занятого трудовой деятельностью,</w:t>
      </w:r>
      <w:r w:rsidRPr="00CB462C">
        <w:rPr>
          <w:rFonts w:ascii="Times New Roman" w:hAnsi="Times New Roman"/>
          <w:sz w:val="28"/>
          <w:szCs w:val="28"/>
        </w:rPr>
        <w:t xml:space="preserve"> к </w:t>
      </w:r>
      <w:r w:rsidRPr="00CB462C">
        <w:rPr>
          <w:rFonts w:ascii="Times New Roman" w:hAnsi="Times New Roman"/>
          <w:color w:val="000000"/>
          <w:sz w:val="28"/>
          <w:szCs w:val="28"/>
        </w:rPr>
        <w:t>числу вакантных должностей)</w:t>
      </w:r>
      <w:r w:rsidRPr="00CB462C">
        <w:rPr>
          <w:rFonts w:ascii="Times New Roman" w:hAnsi="Times New Roman"/>
          <w:sz w:val="28"/>
          <w:szCs w:val="28"/>
        </w:rPr>
        <w:t xml:space="preserve"> по состоянию на 1 января 2019 года составил 0,9 человек на </w:t>
      </w:r>
      <w:r w:rsidRPr="00CB462C">
        <w:rPr>
          <w:rFonts w:ascii="Times New Roman" w:hAnsi="Times New Roman"/>
          <w:sz w:val="28"/>
          <w:szCs w:val="28"/>
        </w:rPr>
        <w:br/>
        <w:t>1 вакантное место (на 1 января 2018 года – 3,4 человека на 1 вакантное место), что свидетельствует о снижении напряженности на рынке труда.</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Деятельность государства в области занятости населения в отчетном периоде была направлена на обеспечение гарантированной материальной поддержки безработных граждан, реализацию программ активной политики занятости, направленных на повышение конкурентоспособности безработных граждан на рынке труда и их скорейшее трудоустройство, путем таких разнообразных мер, как помощь в трудоустройстве, организация общественных работ, профессиональное обучение и консультирование и др.</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 xml:space="preserve">За 2018 год при содействии Центров социального страхования и социальной защиты было трудоустроено 1 621 безработных граждан (за 2017 год – 2 162 человека), из которых число трудоустроенных граждан, относящихся к </w:t>
      </w:r>
      <w:r w:rsidRPr="00CB462C">
        <w:rPr>
          <w:rFonts w:ascii="Times New Roman" w:hAnsi="Times New Roman"/>
          <w:sz w:val="28"/>
          <w:szCs w:val="28"/>
        </w:rPr>
        <w:lastRenderedPageBreak/>
        <w:t>категории пенсионеров, – 37 человек, из них численность граждан, относящихся к категории инвалидов – 34 человек.</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В рассматриваемом периоде в рамках активной политики занятости реализованы следующие мероприятия:</w:t>
      </w:r>
    </w:p>
    <w:p w:rsidR="00CB462C" w:rsidRPr="00CB462C" w:rsidRDefault="00CB462C" w:rsidP="00CB462C">
      <w:pPr>
        <w:spacing w:after="0" w:line="240" w:lineRule="auto"/>
        <w:ind w:firstLine="425"/>
        <w:jc w:val="both"/>
        <w:rPr>
          <w:rFonts w:ascii="Times New Roman" w:hAnsi="Times New Roman"/>
          <w:sz w:val="28"/>
          <w:szCs w:val="28"/>
        </w:rPr>
      </w:pPr>
      <w:r w:rsidRPr="00CB462C">
        <w:rPr>
          <w:rFonts w:ascii="Times New Roman" w:hAnsi="Times New Roman"/>
          <w:sz w:val="28"/>
          <w:szCs w:val="28"/>
        </w:rPr>
        <w:t>а) в целях обеспечения молодежи рабочими местами, а также повышения эффективности профессионального образования реализуется проект практико-ориентированной (дуальной) системы подготовки кадров. Имплементация подходов дуальной системы подготовки кадров происходит при взаимодействии ГОУ СПО «Дубоссарский индустриальный техникум» и ООО ТПФ «Интерцентрлюкс», ГОУ СПО «Рыбницкий политехнический техникум» и ОАО «Молдавский металлургический завод», ГОУ СПО «Тираспольский колледж бизнеса и сервиса» и ЗАО «Одема» им. В.С. Соловьевой, ГОУ СПО «Бендерский торгово-технологический техникум» и ООО ТПФ «Интерцентрлюкс», ООО «Софтшуз», ЗАО «Швейная фирма «Вестра». ГОУ СПО «</w:t>
      </w:r>
      <w:r w:rsidRPr="00434F04">
        <w:rPr>
          <w:rFonts w:ascii="Times New Roman" w:hAnsi="Times New Roman"/>
          <w:color w:val="000000" w:themeColor="text1"/>
          <w:sz w:val="28"/>
          <w:szCs w:val="28"/>
          <w:shd w:val="clear" w:color="auto" w:fill="FFFFFF"/>
        </w:rPr>
        <w:t>Днестровский техникум энергетики и компьютерных технологий» начал подготовку специалистов для ЗАО «Молдавская ГРЭС»</w:t>
      </w:r>
      <w:r w:rsidRPr="00CB462C">
        <w:rPr>
          <w:rFonts w:ascii="Times New Roman" w:hAnsi="Times New Roman"/>
          <w:sz w:val="28"/>
          <w:szCs w:val="28"/>
        </w:rPr>
        <w:t>;</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б) в соответствии с договорами, заключенными с организациями республики, в общественных работах приняли участие 324 безработных гражданина, что на 549 человек меньше 2017 года. Участниками отработано на общественных работах 5 217 человеко-дней, средняя продолжительность участия составила 16,1 дня. Общественные работы проводились в Военных комиссариатах (оформление личных дел, выписка повесток и их рассылка, уточнение списков призывников), МУП «Каменское ПУЖКХ» (уборка мусора), администрации сел, районов (благоустройство территорий);</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в) на курсовую профессиональную подготовку, переподготовку, повышение квалификации направлено 70 человек. Обучение проводилось по востребованным на рынке труда профессиям, таким как: газоэлектросварщик, слесарь-сантехник, тракторист, машинист-эксковатора, продавец-кассир, портной, повар-кондитер, электромонтер, маляр-штукатур, 1С бухгалтерия, водители категории D, E, курсы иностранных языков (немецкий), парикмахерское дело, оператор паровых и водонагревательных котлов;</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г) по итогам 2018 года проведено 5 «Ярмарок учебных мест», 1 «Ярмарка вакансий» и 4 мини-ярмарки вакансий, которые посетили около 3,8 тыс. человек. «Ярмарка вакансий» была проведена в г. Бендеры при участии 17 предприятий и 4 учебных заведени</w:t>
      </w:r>
      <w:r w:rsidR="00987A94">
        <w:rPr>
          <w:rFonts w:ascii="Times New Roman" w:hAnsi="Times New Roman"/>
          <w:sz w:val="28"/>
          <w:szCs w:val="28"/>
        </w:rPr>
        <w:t>я</w:t>
      </w:r>
      <w:r w:rsidRPr="00CB462C">
        <w:rPr>
          <w:rFonts w:ascii="Times New Roman" w:hAnsi="Times New Roman"/>
          <w:sz w:val="28"/>
          <w:szCs w:val="28"/>
        </w:rPr>
        <w:t xml:space="preserve">. Одна мини-ярмарка вакансий проведена в Центре социального страхования и социальной защиты г. Бендеры под патронажем ООО ТПФ «Интерцентрлюкс» и три мини-ярмарки функционировали в Центре социального страхования и социальной защиты Слободзейского района и г. Слободзея, куда были приглашены представители ООО «Ареткс», ЗАО «Одема» им. В.С. Соловьевой, ООО ТПФ «Интерцентрлюкс». В рамках встреч была представлена информация об основных направлениях деятельности предприятий, партнерах, требованиях предъявляемых к работникам и т.д. Также выпускникам общеобразовательных учреждений была представлена возможность ознакомиться с условиями приема и обучения в учебных организация профессионального образования республики. Центрами социального страхования и социальной защиты городов и районов республики было оказано содействие в профессиональном </w:t>
      </w:r>
      <w:r w:rsidRPr="00CB462C">
        <w:rPr>
          <w:rFonts w:ascii="Times New Roman" w:hAnsi="Times New Roman"/>
          <w:sz w:val="28"/>
          <w:szCs w:val="28"/>
        </w:rPr>
        <w:lastRenderedPageBreak/>
        <w:t>самоопределении около 2,2 тысяч человек (проведены мероприятия по профессиональной ориентации);</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д) Центрами социальной защиты реализована программа временной занятости «Молодежная практика». Также в целях получения практических навыков новой профессии реализовывалась программа «Стажер». В рамках данной программы молодым людям, не имеющим профессионального образования, а также молодым специалистам после окончания организаций профессионального образования предоставляется возможность в течение трех-шести месяцев обрести профессиональные навыки под руководством опытного мастера-наставника. По программе «Стажер» в 2018 году направлено 2 человека, а по программе «Молодежная практика» - 3 человека, данные лица в последствие трудоустроены на те же предприятия, где проводилось обучение.</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В рамках программы «Шанс» осуществляется временное трудоустройство длительно безработных граждан без возрастных ограничений в организации республики с целью восстановления ими профессиональных знаний, умений, навыков по имеющейся у них профессии, приобретения производственного стажа работы и скорейшего трудоустройства на постоянное место работы. По данной программе направленно 2 человека, которые в последствии трудоустроены в те же организации, где проводилось обучение;</w:t>
      </w:r>
    </w:p>
    <w:p w:rsidR="00CB462C" w:rsidRPr="00CB462C" w:rsidRDefault="00CB462C" w:rsidP="00CB462C">
      <w:pPr>
        <w:tabs>
          <w:tab w:val="left" w:pos="1134"/>
        </w:tabs>
        <w:spacing w:after="0" w:line="240" w:lineRule="auto"/>
        <w:ind w:firstLine="426"/>
        <w:jc w:val="both"/>
        <w:rPr>
          <w:rFonts w:ascii="Times New Roman" w:hAnsi="Times New Roman"/>
          <w:sz w:val="28"/>
          <w:szCs w:val="28"/>
        </w:rPr>
      </w:pPr>
      <w:r w:rsidRPr="00CB462C">
        <w:rPr>
          <w:rFonts w:ascii="Times New Roman" w:hAnsi="Times New Roman"/>
          <w:sz w:val="28"/>
          <w:szCs w:val="28"/>
        </w:rPr>
        <w:t>е) оформлено на досрочную пенсию 59 граждан предпенсионного возраста, уволенных с последнего места работы в связи с ликвидацией организации, сокращением численности или штата работников организации.</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На реализацию программ активной политики занятости в 2018 году израсходовано 687,3 тыс. рублей, на материальную поддержку безработных граждан – около 13,3 млн. рублей.</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Средний размер пособия по безработице в отчетном периоде составил                     426,7 рублей против 416,1 рублей в 2017 году. Среднесписочная численность безработных, ежемесячно получавших пособие по безработице, сложилась на уровне 2 550 человек, что на 2 181 человека меньше прошлогоднего уровня.</w:t>
      </w:r>
    </w:p>
    <w:p w:rsidR="00E32407" w:rsidRDefault="00E32407" w:rsidP="007D3AA7">
      <w:pPr>
        <w:spacing w:after="0" w:line="240" w:lineRule="auto"/>
        <w:ind w:firstLine="426"/>
        <w:jc w:val="both"/>
        <w:rPr>
          <w:rFonts w:ascii="Times New Roman" w:hAnsi="Times New Roman"/>
          <w:b/>
          <w:sz w:val="28"/>
          <w:szCs w:val="28"/>
        </w:rPr>
      </w:pPr>
    </w:p>
    <w:p w:rsidR="00E32407" w:rsidRDefault="00E32407" w:rsidP="007D3AA7">
      <w:pPr>
        <w:spacing w:after="0" w:line="240" w:lineRule="auto"/>
        <w:ind w:firstLine="426"/>
        <w:jc w:val="both"/>
        <w:rPr>
          <w:rFonts w:ascii="Times New Roman" w:hAnsi="Times New Roman"/>
          <w:b/>
          <w:sz w:val="28"/>
          <w:szCs w:val="28"/>
        </w:rPr>
      </w:pPr>
      <w:r>
        <w:rPr>
          <w:rFonts w:ascii="Times New Roman" w:hAnsi="Times New Roman"/>
          <w:b/>
          <w:sz w:val="28"/>
          <w:szCs w:val="28"/>
        </w:rPr>
        <w:t>Финансы</w:t>
      </w:r>
    </w:p>
    <w:p w:rsidR="007E324B" w:rsidRDefault="007E324B" w:rsidP="007D3AA7">
      <w:pPr>
        <w:spacing w:after="0" w:line="240" w:lineRule="auto"/>
        <w:ind w:firstLine="426"/>
        <w:jc w:val="both"/>
        <w:rPr>
          <w:rFonts w:ascii="Times New Roman" w:hAnsi="Times New Roman"/>
          <w:b/>
          <w:sz w:val="28"/>
          <w:szCs w:val="28"/>
        </w:rPr>
      </w:pPr>
    </w:p>
    <w:p w:rsidR="00CB462C" w:rsidRPr="00CB462C" w:rsidRDefault="00CB462C" w:rsidP="00CB462C">
      <w:pPr>
        <w:widowControl w:val="0"/>
        <w:spacing w:after="0" w:line="240" w:lineRule="auto"/>
        <w:ind w:firstLine="426"/>
        <w:contextualSpacing/>
        <w:jc w:val="both"/>
        <w:rPr>
          <w:rFonts w:ascii="Times New Roman" w:hAnsi="Times New Roman"/>
          <w:b/>
          <w:sz w:val="28"/>
          <w:szCs w:val="28"/>
        </w:rPr>
      </w:pPr>
      <w:r w:rsidRPr="00CB462C">
        <w:rPr>
          <w:rFonts w:ascii="Times New Roman" w:hAnsi="Times New Roman"/>
          <w:b/>
          <w:sz w:val="28"/>
          <w:szCs w:val="28"/>
        </w:rPr>
        <w:t>Исполнение Консолидированного бюджета</w:t>
      </w:r>
    </w:p>
    <w:p w:rsidR="00CB462C" w:rsidRPr="00CB462C" w:rsidRDefault="00CB462C" w:rsidP="00CB462C">
      <w:pPr>
        <w:shd w:val="clear" w:color="auto" w:fill="FFFFFF"/>
        <w:spacing w:after="0" w:line="240" w:lineRule="auto"/>
        <w:ind w:firstLine="426"/>
        <w:jc w:val="both"/>
        <w:rPr>
          <w:rFonts w:ascii="Times New Roman" w:hAnsi="Times New Roman"/>
          <w:sz w:val="28"/>
          <w:szCs w:val="28"/>
        </w:rPr>
      </w:pP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Бюджетная политика в 2018 году осуществлялась в условиях динамичного роста производства в основных отраслях промышленности, увеличения объемов внешнеторговых операций и внутреннего розничного товарооборота на фоне повышения в рыночном секторе уровня оплаты труда в республике.</w:t>
      </w:r>
    </w:p>
    <w:p w:rsid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t>Так, по итогам 2018 года в доходную часть консолидированного бюджета поступило средств на сумму 2 981 570 950 руб. (с учетом перечисления чистого дохода центрального банка и гуманитарной помощи Российской Федерации), что на 10,9% (294 973 928 руб.) превышает уровень 2017 года (без учета поступлений средств по государственным казначейским обязательствам в размере 450 000 000 руб.).</w:t>
      </w:r>
    </w:p>
    <w:p w:rsidR="005D3D6D" w:rsidRDefault="005D3D6D" w:rsidP="00CB462C">
      <w:pPr>
        <w:spacing w:after="0" w:line="240" w:lineRule="auto"/>
        <w:ind w:firstLine="426"/>
        <w:jc w:val="both"/>
        <w:rPr>
          <w:rFonts w:ascii="Times New Roman" w:eastAsia="Calibri" w:hAnsi="Times New Roman"/>
          <w:sz w:val="28"/>
          <w:szCs w:val="28"/>
        </w:rPr>
      </w:pPr>
    </w:p>
    <w:p w:rsidR="005D3D6D" w:rsidRDefault="005D3D6D" w:rsidP="00CB462C">
      <w:pPr>
        <w:spacing w:after="0" w:line="240" w:lineRule="auto"/>
        <w:ind w:firstLine="426"/>
        <w:jc w:val="both"/>
        <w:rPr>
          <w:rFonts w:ascii="Times New Roman" w:eastAsia="Calibri" w:hAnsi="Times New Roman"/>
          <w:sz w:val="28"/>
          <w:szCs w:val="28"/>
        </w:rPr>
      </w:pPr>
    </w:p>
    <w:p w:rsidR="005D3D6D" w:rsidRDefault="005D3D6D" w:rsidP="00CB462C">
      <w:pPr>
        <w:spacing w:after="0" w:line="240" w:lineRule="auto"/>
        <w:ind w:firstLine="426"/>
        <w:jc w:val="both"/>
        <w:rPr>
          <w:rFonts w:ascii="Times New Roman" w:eastAsia="Calibri" w:hAnsi="Times New Roman"/>
          <w:sz w:val="28"/>
          <w:szCs w:val="28"/>
        </w:rPr>
      </w:pPr>
    </w:p>
    <w:p w:rsidR="00CB462C" w:rsidRPr="00CB462C" w:rsidRDefault="00CB462C" w:rsidP="00CB462C">
      <w:pPr>
        <w:keepNext/>
        <w:spacing w:after="0" w:line="240" w:lineRule="auto"/>
        <w:ind w:firstLine="426"/>
        <w:contextualSpacing/>
        <w:jc w:val="right"/>
        <w:rPr>
          <w:rFonts w:ascii="Times New Roman" w:eastAsia="Calibri" w:hAnsi="Times New Roman"/>
          <w:b/>
          <w:bCs/>
          <w:sz w:val="28"/>
          <w:szCs w:val="28"/>
        </w:rPr>
      </w:pPr>
      <w:r w:rsidRPr="00CB462C">
        <w:rPr>
          <w:rFonts w:ascii="Times New Roman" w:eastAsia="Calibri" w:hAnsi="Times New Roman"/>
          <w:sz w:val="28"/>
          <w:szCs w:val="28"/>
        </w:rPr>
        <w:lastRenderedPageBreak/>
        <w:t>Таблица №</w:t>
      </w:r>
      <w:r w:rsidR="00434F04">
        <w:rPr>
          <w:rFonts w:ascii="Times New Roman" w:eastAsia="Calibri" w:hAnsi="Times New Roman"/>
          <w:sz w:val="28"/>
          <w:szCs w:val="28"/>
        </w:rPr>
        <w:t>8</w:t>
      </w:r>
    </w:p>
    <w:p w:rsidR="00CB462C" w:rsidRPr="00CB462C" w:rsidRDefault="00CB462C" w:rsidP="00CB462C">
      <w:pPr>
        <w:keepNext/>
        <w:spacing w:after="0" w:line="240" w:lineRule="auto"/>
        <w:ind w:firstLine="426"/>
        <w:contextualSpacing/>
        <w:jc w:val="center"/>
        <w:rPr>
          <w:rFonts w:ascii="Times New Roman" w:eastAsia="Calibri" w:hAnsi="Times New Roman"/>
          <w:b/>
          <w:bCs/>
          <w:sz w:val="28"/>
          <w:szCs w:val="28"/>
        </w:rPr>
      </w:pPr>
      <w:r w:rsidRPr="00CB462C">
        <w:rPr>
          <w:rFonts w:ascii="Times New Roman" w:eastAsia="Calibri" w:hAnsi="Times New Roman"/>
          <w:b/>
          <w:bCs/>
          <w:sz w:val="28"/>
          <w:szCs w:val="28"/>
        </w:rPr>
        <w:t xml:space="preserve">Исполнение доходной части </w:t>
      </w:r>
    </w:p>
    <w:p w:rsidR="00CB462C" w:rsidRPr="00CB462C" w:rsidRDefault="00CB462C" w:rsidP="00CB462C">
      <w:pPr>
        <w:keepNext/>
        <w:spacing w:after="0" w:line="240" w:lineRule="auto"/>
        <w:ind w:firstLine="426"/>
        <w:contextualSpacing/>
        <w:jc w:val="center"/>
        <w:rPr>
          <w:rFonts w:ascii="Times New Roman" w:eastAsia="Calibri" w:hAnsi="Times New Roman"/>
          <w:b/>
          <w:bCs/>
          <w:sz w:val="28"/>
          <w:szCs w:val="28"/>
        </w:rPr>
      </w:pPr>
      <w:r w:rsidRPr="00CB462C">
        <w:rPr>
          <w:rFonts w:ascii="Times New Roman" w:eastAsia="Calibri" w:hAnsi="Times New Roman"/>
          <w:b/>
          <w:bCs/>
          <w:sz w:val="28"/>
          <w:szCs w:val="28"/>
        </w:rPr>
        <w:t>Консолидированного бюджета за 2018 год</w:t>
      </w:r>
    </w:p>
    <w:tbl>
      <w:tblPr>
        <w:tblpPr w:leftFromText="180" w:rightFromText="180" w:vertAnchor="text" w:horzAnchor="page" w:tblpX="1887" w:tblpY="63"/>
        <w:tblW w:w="9606" w:type="dxa"/>
        <w:tblLook w:val="0000" w:firstRow="0" w:lastRow="0" w:firstColumn="0" w:lastColumn="0" w:noHBand="0" w:noVBand="0"/>
      </w:tblPr>
      <w:tblGrid>
        <w:gridCol w:w="2895"/>
        <w:gridCol w:w="1749"/>
        <w:gridCol w:w="1701"/>
        <w:gridCol w:w="1560"/>
        <w:gridCol w:w="1701"/>
      </w:tblGrid>
      <w:tr w:rsidR="00AD6E11" w:rsidRPr="00CB462C" w:rsidTr="00AD6E11">
        <w:trPr>
          <w:cantSplit/>
          <w:trHeight w:val="859"/>
        </w:trPr>
        <w:tc>
          <w:tcPr>
            <w:tcW w:w="2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D6E11" w:rsidRPr="00CB462C" w:rsidRDefault="00AD6E11" w:rsidP="00CB462C">
            <w:pPr>
              <w:spacing w:after="0" w:line="240" w:lineRule="auto"/>
              <w:ind w:left="-1134" w:firstLine="426"/>
              <w:rPr>
                <w:rFonts w:ascii="Times New Roman" w:eastAsia="Calibri" w:hAnsi="Times New Roman"/>
                <w:b/>
                <w:bCs/>
                <w:sz w:val="24"/>
                <w:szCs w:val="24"/>
                <w:highlight w:val="yellow"/>
              </w:rPr>
            </w:pPr>
          </w:p>
        </w:tc>
        <w:tc>
          <w:tcPr>
            <w:tcW w:w="174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noWrap/>
            <w:vAlign w:val="center"/>
          </w:tcPr>
          <w:p w:rsidR="00AD6E11" w:rsidRPr="00CB462C" w:rsidRDefault="00AD6E11" w:rsidP="00CB462C">
            <w:pPr>
              <w:spacing w:after="0" w:line="240" w:lineRule="auto"/>
              <w:ind w:firstLine="426"/>
              <w:rPr>
                <w:rFonts w:ascii="Times New Roman" w:hAnsi="Times New Roman"/>
                <w:b/>
                <w:bCs/>
                <w:sz w:val="24"/>
                <w:szCs w:val="24"/>
              </w:rPr>
            </w:pPr>
            <w:r w:rsidRPr="00CB462C">
              <w:rPr>
                <w:rFonts w:ascii="Times New Roman" w:hAnsi="Times New Roman"/>
                <w:b/>
                <w:bCs/>
                <w:sz w:val="24"/>
                <w:szCs w:val="24"/>
              </w:rPr>
              <w:t>План</w:t>
            </w:r>
          </w:p>
        </w:tc>
        <w:tc>
          <w:tcPr>
            <w:tcW w:w="1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tcPr>
          <w:p w:rsidR="00AD6E11" w:rsidRPr="00CB462C" w:rsidRDefault="00AD6E11" w:rsidP="00CB462C">
            <w:pPr>
              <w:spacing w:after="0" w:line="240" w:lineRule="auto"/>
              <w:ind w:firstLine="426"/>
              <w:rPr>
                <w:rFonts w:ascii="Times New Roman" w:hAnsi="Times New Roman"/>
                <w:b/>
                <w:bCs/>
                <w:sz w:val="24"/>
                <w:szCs w:val="24"/>
              </w:rPr>
            </w:pPr>
            <w:r w:rsidRPr="00CB462C">
              <w:rPr>
                <w:rFonts w:ascii="Times New Roman" w:hAnsi="Times New Roman"/>
                <w:b/>
                <w:bCs/>
                <w:sz w:val="24"/>
                <w:szCs w:val="24"/>
              </w:rPr>
              <w:t>Факт</w:t>
            </w:r>
          </w:p>
        </w:tc>
        <w:tc>
          <w:tcPr>
            <w:tcW w:w="1560" w:type="dxa"/>
            <w:tcBorders>
              <w:top w:val="single" w:sz="8" w:space="0" w:color="auto"/>
              <w:left w:val="nil"/>
              <w:right w:val="single" w:sz="8" w:space="0" w:color="auto"/>
            </w:tcBorders>
            <w:shd w:val="clear" w:color="auto" w:fill="D9D9D9" w:themeFill="background1" w:themeFillShade="D9"/>
            <w:vAlign w:val="center"/>
          </w:tcPr>
          <w:p w:rsidR="00AD6E11" w:rsidRPr="00CB462C" w:rsidRDefault="00AD6E11" w:rsidP="00CB462C">
            <w:pPr>
              <w:spacing w:after="0" w:line="240" w:lineRule="auto"/>
              <w:jc w:val="center"/>
              <w:rPr>
                <w:rFonts w:ascii="Times New Roman" w:hAnsi="Times New Roman"/>
                <w:b/>
                <w:bCs/>
                <w:sz w:val="24"/>
                <w:szCs w:val="24"/>
              </w:rPr>
            </w:pPr>
            <w:r w:rsidRPr="00CB462C">
              <w:rPr>
                <w:rFonts w:ascii="Times New Roman" w:hAnsi="Times New Roman"/>
                <w:b/>
                <w:bCs/>
                <w:sz w:val="24"/>
                <w:szCs w:val="24"/>
              </w:rPr>
              <w:t>%</w:t>
            </w:r>
          </w:p>
          <w:p w:rsidR="00AD6E11" w:rsidRPr="00CB462C" w:rsidRDefault="00AD6E11" w:rsidP="00CB462C">
            <w:pPr>
              <w:spacing w:after="0" w:line="240" w:lineRule="auto"/>
              <w:ind w:left="-59" w:firstLine="38"/>
              <w:jc w:val="center"/>
              <w:rPr>
                <w:rFonts w:ascii="Times New Roman" w:eastAsia="Calibri" w:hAnsi="Times New Roman"/>
                <w:b/>
                <w:bCs/>
                <w:sz w:val="24"/>
                <w:szCs w:val="24"/>
              </w:rPr>
            </w:pPr>
            <w:r w:rsidRPr="00CB462C">
              <w:rPr>
                <w:rFonts w:ascii="Times New Roman" w:hAnsi="Times New Roman"/>
                <w:b/>
                <w:bCs/>
                <w:sz w:val="24"/>
                <w:szCs w:val="24"/>
              </w:rPr>
              <w:t>исполнения</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D6E11" w:rsidRPr="00CB462C" w:rsidRDefault="00AD6E11" w:rsidP="00CB462C">
            <w:pPr>
              <w:spacing w:after="0" w:line="240" w:lineRule="auto"/>
              <w:ind w:left="-59" w:right="-91" w:hanging="14"/>
              <w:jc w:val="center"/>
              <w:rPr>
                <w:rFonts w:ascii="Times New Roman" w:eastAsia="Calibri" w:hAnsi="Times New Roman"/>
                <w:b/>
                <w:bCs/>
                <w:sz w:val="24"/>
                <w:szCs w:val="24"/>
              </w:rPr>
            </w:pPr>
            <w:r w:rsidRPr="00CB462C">
              <w:rPr>
                <w:rFonts w:ascii="Times New Roman" w:eastAsia="Calibri" w:hAnsi="Times New Roman"/>
                <w:b/>
                <w:bCs/>
                <w:sz w:val="24"/>
                <w:szCs w:val="24"/>
              </w:rPr>
              <w:t>Темп роста 2018 года к 2017 году, %</w:t>
            </w:r>
          </w:p>
        </w:tc>
      </w:tr>
      <w:tr w:rsidR="00CB462C" w:rsidRPr="00CB462C" w:rsidTr="00AD6E11">
        <w:trPr>
          <w:trHeight w:val="577"/>
        </w:trPr>
        <w:tc>
          <w:tcPr>
            <w:tcW w:w="2895" w:type="dxa"/>
            <w:tcBorders>
              <w:top w:val="single" w:sz="4" w:space="0" w:color="auto"/>
              <w:left w:val="single" w:sz="4" w:space="0" w:color="auto"/>
              <w:bottom w:val="single" w:sz="4" w:space="0" w:color="auto"/>
              <w:right w:val="single" w:sz="4" w:space="0" w:color="auto"/>
            </w:tcBorders>
            <w:noWrap/>
            <w:vAlign w:val="center"/>
          </w:tcPr>
          <w:p w:rsidR="00CB462C" w:rsidRPr="00CB462C" w:rsidRDefault="00CB462C" w:rsidP="00CB462C">
            <w:pPr>
              <w:spacing w:after="0" w:line="240" w:lineRule="auto"/>
              <w:ind w:left="-56" w:firstLine="56"/>
              <w:rPr>
                <w:rFonts w:ascii="Times New Roman" w:eastAsia="Calibri" w:hAnsi="Times New Roman"/>
                <w:b/>
                <w:bCs/>
                <w:sz w:val="24"/>
                <w:szCs w:val="24"/>
              </w:rPr>
            </w:pPr>
            <w:r w:rsidRPr="00CB462C">
              <w:rPr>
                <w:rFonts w:ascii="Times New Roman" w:eastAsia="Calibri" w:hAnsi="Times New Roman"/>
                <w:b/>
                <w:bCs/>
                <w:sz w:val="24"/>
                <w:szCs w:val="24"/>
              </w:rPr>
              <w:t>Консолидированный бюджет, в т.ч.:</w:t>
            </w:r>
          </w:p>
        </w:tc>
        <w:tc>
          <w:tcPr>
            <w:tcW w:w="1749" w:type="dxa"/>
            <w:tcBorders>
              <w:top w:val="nil"/>
              <w:left w:val="single" w:sz="4" w:space="0" w:color="auto"/>
              <w:bottom w:val="single" w:sz="4" w:space="0" w:color="000000"/>
              <w:right w:val="single" w:sz="8" w:space="0" w:color="auto"/>
            </w:tcBorders>
            <w:noWrap/>
            <w:vAlign w:val="center"/>
          </w:tcPr>
          <w:p w:rsidR="00CB462C" w:rsidRPr="00CB462C" w:rsidRDefault="00CB462C" w:rsidP="00CB462C">
            <w:pPr>
              <w:spacing w:after="0" w:line="240" w:lineRule="auto"/>
              <w:ind w:left="-123" w:right="-61" w:firstLine="123"/>
              <w:jc w:val="center"/>
              <w:rPr>
                <w:rFonts w:ascii="Times New Roman" w:eastAsia="Calibri" w:hAnsi="Times New Roman"/>
                <w:b/>
                <w:bCs/>
                <w:sz w:val="24"/>
                <w:szCs w:val="24"/>
              </w:rPr>
            </w:pPr>
            <w:r w:rsidRPr="00CB462C">
              <w:rPr>
                <w:rFonts w:ascii="Times New Roman" w:eastAsia="Calibri" w:hAnsi="Times New Roman"/>
                <w:b/>
                <w:bCs/>
                <w:sz w:val="24"/>
                <w:szCs w:val="24"/>
              </w:rPr>
              <w:t xml:space="preserve">2 568 345 103 </w:t>
            </w:r>
          </w:p>
        </w:tc>
        <w:tc>
          <w:tcPr>
            <w:tcW w:w="1701" w:type="dxa"/>
            <w:tcBorders>
              <w:top w:val="nil"/>
              <w:left w:val="single" w:sz="8" w:space="0" w:color="auto"/>
              <w:bottom w:val="nil"/>
              <w:right w:val="single" w:sz="8" w:space="0" w:color="auto"/>
            </w:tcBorders>
            <w:noWrap/>
            <w:vAlign w:val="center"/>
          </w:tcPr>
          <w:p w:rsidR="00CB462C" w:rsidRPr="00CB462C" w:rsidRDefault="00CB462C" w:rsidP="00CB462C">
            <w:pPr>
              <w:spacing w:after="0" w:line="240" w:lineRule="auto"/>
              <w:ind w:left="-155" w:right="-190" w:firstLine="123"/>
              <w:jc w:val="center"/>
              <w:rPr>
                <w:rFonts w:ascii="Times New Roman" w:eastAsia="Calibri" w:hAnsi="Times New Roman"/>
                <w:b/>
                <w:bCs/>
                <w:sz w:val="24"/>
                <w:szCs w:val="24"/>
              </w:rPr>
            </w:pPr>
            <w:r w:rsidRPr="00CB462C">
              <w:rPr>
                <w:rFonts w:ascii="Times New Roman" w:eastAsia="Calibri" w:hAnsi="Times New Roman"/>
                <w:b/>
                <w:bCs/>
                <w:sz w:val="24"/>
                <w:szCs w:val="24"/>
              </w:rPr>
              <w:t>2 981 570 950</w:t>
            </w:r>
          </w:p>
        </w:tc>
        <w:tc>
          <w:tcPr>
            <w:tcW w:w="1560" w:type="dxa"/>
            <w:tcBorders>
              <w:top w:val="single" w:sz="8" w:space="0" w:color="auto"/>
              <w:left w:val="single" w:sz="8" w:space="0" w:color="auto"/>
              <w:bottom w:val="single" w:sz="8" w:space="0" w:color="auto"/>
              <w:right w:val="single" w:sz="8" w:space="0" w:color="auto"/>
            </w:tcBorders>
            <w:vAlign w:val="center"/>
          </w:tcPr>
          <w:p w:rsidR="00CB462C" w:rsidRPr="00CB462C" w:rsidRDefault="00CB462C" w:rsidP="00CB462C">
            <w:pPr>
              <w:spacing w:after="0" w:line="240" w:lineRule="auto"/>
              <w:ind w:firstLine="426"/>
              <w:rPr>
                <w:rFonts w:ascii="Times New Roman" w:eastAsia="Calibri" w:hAnsi="Times New Roman"/>
                <w:b/>
                <w:bCs/>
                <w:sz w:val="24"/>
                <w:szCs w:val="24"/>
              </w:rPr>
            </w:pPr>
            <w:r w:rsidRPr="00CB462C">
              <w:rPr>
                <w:rFonts w:ascii="Times New Roman" w:eastAsia="Calibri" w:hAnsi="Times New Roman"/>
                <w:b/>
                <w:bCs/>
                <w:sz w:val="24"/>
                <w:szCs w:val="24"/>
              </w:rPr>
              <w:t>116,1</w:t>
            </w:r>
          </w:p>
        </w:tc>
        <w:tc>
          <w:tcPr>
            <w:tcW w:w="1701" w:type="dxa"/>
            <w:tcBorders>
              <w:top w:val="single" w:sz="8" w:space="0" w:color="auto"/>
              <w:left w:val="single" w:sz="8" w:space="0" w:color="auto"/>
              <w:bottom w:val="single" w:sz="8" w:space="0" w:color="auto"/>
              <w:right w:val="single" w:sz="8" w:space="0" w:color="auto"/>
            </w:tcBorders>
            <w:vAlign w:val="center"/>
          </w:tcPr>
          <w:p w:rsidR="00CB462C" w:rsidRPr="00CB462C" w:rsidRDefault="00CB462C" w:rsidP="00CB462C">
            <w:pPr>
              <w:spacing w:after="0" w:line="240" w:lineRule="auto"/>
              <w:ind w:firstLine="426"/>
              <w:rPr>
                <w:rFonts w:ascii="Times New Roman" w:eastAsia="Calibri" w:hAnsi="Times New Roman"/>
                <w:b/>
                <w:bCs/>
                <w:sz w:val="24"/>
                <w:szCs w:val="24"/>
              </w:rPr>
            </w:pPr>
            <w:r w:rsidRPr="00CB462C">
              <w:rPr>
                <w:rFonts w:ascii="Times New Roman" w:eastAsia="Calibri" w:hAnsi="Times New Roman"/>
                <w:b/>
                <w:bCs/>
                <w:sz w:val="24"/>
                <w:szCs w:val="24"/>
              </w:rPr>
              <w:t>110,9*</w:t>
            </w:r>
          </w:p>
        </w:tc>
      </w:tr>
      <w:tr w:rsidR="00CB462C" w:rsidRPr="00CB462C" w:rsidTr="00AD6E11">
        <w:trPr>
          <w:trHeight w:val="435"/>
        </w:trPr>
        <w:tc>
          <w:tcPr>
            <w:tcW w:w="2895" w:type="dxa"/>
            <w:tcBorders>
              <w:top w:val="single" w:sz="4" w:space="0" w:color="auto"/>
              <w:left w:val="single" w:sz="8" w:space="0" w:color="auto"/>
              <w:bottom w:val="single" w:sz="4" w:space="0" w:color="auto"/>
              <w:right w:val="nil"/>
            </w:tcBorders>
            <w:noWrap/>
            <w:vAlign w:val="center"/>
          </w:tcPr>
          <w:p w:rsidR="00CB462C" w:rsidRPr="00CB462C" w:rsidRDefault="00CB462C" w:rsidP="00CB462C">
            <w:pPr>
              <w:spacing w:after="0" w:line="240" w:lineRule="auto"/>
              <w:ind w:left="-56" w:firstLine="56"/>
              <w:rPr>
                <w:rFonts w:ascii="Times New Roman" w:eastAsia="Calibri" w:hAnsi="Times New Roman"/>
                <w:bCs/>
                <w:sz w:val="24"/>
                <w:szCs w:val="24"/>
              </w:rPr>
            </w:pPr>
            <w:r w:rsidRPr="00CB462C">
              <w:rPr>
                <w:rFonts w:ascii="Times New Roman" w:eastAsia="Calibri" w:hAnsi="Times New Roman"/>
                <w:bCs/>
                <w:sz w:val="24"/>
                <w:szCs w:val="24"/>
              </w:rPr>
              <w:t>Республиканский бюджет</w:t>
            </w:r>
          </w:p>
        </w:tc>
        <w:tc>
          <w:tcPr>
            <w:tcW w:w="1749" w:type="dxa"/>
            <w:tcBorders>
              <w:top w:val="nil"/>
              <w:left w:val="single" w:sz="8" w:space="0" w:color="auto"/>
              <w:bottom w:val="single" w:sz="4" w:space="0" w:color="auto"/>
              <w:right w:val="single" w:sz="8" w:space="0" w:color="auto"/>
            </w:tcBorders>
            <w:noWrap/>
            <w:vAlign w:val="center"/>
          </w:tcPr>
          <w:p w:rsidR="00CB462C" w:rsidRPr="00CB462C" w:rsidRDefault="00CB462C" w:rsidP="00CB462C">
            <w:pPr>
              <w:spacing w:after="0" w:line="240" w:lineRule="auto"/>
              <w:jc w:val="center"/>
              <w:rPr>
                <w:rFonts w:ascii="Times New Roman" w:eastAsia="Calibri" w:hAnsi="Times New Roman"/>
                <w:bCs/>
                <w:sz w:val="24"/>
                <w:szCs w:val="24"/>
              </w:rPr>
            </w:pPr>
            <w:r w:rsidRPr="00CB462C">
              <w:rPr>
                <w:rFonts w:ascii="Times New Roman" w:eastAsia="Calibri" w:hAnsi="Times New Roman"/>
                <w:bCs/>
                <w:sz w:val="24"/>
                <w:szCs w:val="24"/>
              </w:rPr>
              <w:t xml:space="preserve">1 711 207 433 </w:t>
            </w:r>
          </w:p>
        </w:tc>
        <w:tc>
          <w:tcPr>
            <w:tcW w:w="1701" w:type="dxa"/>
            <w:tcBorders>
              <w:top w:val="single" w:sz="4" w:space="0" w:color="auto"/>
              <w:left w:val="nil"/>
              <w:bottom w:val="single" w:sz="4" w:space="0" w:color="auto"/>
              <w:right w:val="single" w:sz="8" w:space="0" w:color="auto"/>
            </w:tcBorders>
            <w:noWrap/>
            <w:vAlign w:val="center"/>
          </w:tcPr>
          <w:p w:rsidR="00CB462C" w:rsidRPr="00CB462C" w:rsidRDefault="00CB462C" w:rsidP="00CB462C">
            <w:pPr>
              <w:spacing w:after="0" w:line="240" w:lineRule="auto"/>
              <w:jc w:val="center"/>
              <w:rPr>
                <w:rFonts w:ascii="Times New Roman" w:eastAsia="Calibri" w:hAnsi="Times New Roman"/>
                <w:bCs/>
                <w:sz w:val="24"/>
                <w:szCs w:val="24"/>
              </w:rPr>
            </w:pPr>
            <w:r w:rsidRPr="00CB462C">
              <w:rPr>
                <w:rFonts w:ascii="Times New Roman" w:eastAsia="Calibri" w:hAnsi="Times New Roman"/>
                <w:bCs/>
                <w:sz w:val="24"/>
                <w:szCs w:val="24"/>
              </w:rPr>
              <w:t xml:space="preserve">1 997 193 985 </w:t>
            </w:r>
          </w:p>
        </w:tc>
        <w:tc>
          <w:tcPr>
            <w:tcW w:w="1560" w:type="dxa"/>
            <w:tcBorders>
              <w:top w:val="single" w:sz="8" w:space="0" w:color="auto"/>
              <w:left w:val="nil"/>
              <w:bottom w:val="single" w:sz="8" w:space="0" w:color="auto"/>
              <w:right w:val="single" w:sz="8" w:space="0" w:color="auto"/>
            </w:tcBorders>
            <w:vAlign w:val="center"/>
          </w:tcPr>
          <w:p w:rsidR="00CB462C" w:rsidRPr="00CB462C" w:rsidRDefault="00CB462C" w:rsidP="00CB462C">
            <w:pPr>
              <w:spacing w:after="0" w:line="240" w:lineRule="auto"/>
              <w:ind w:firstLine="426"/>
              <w:rPr>
                <w:rFonts w:ascii="Times New Roman" w:eastAsia="Calibri" w:hAnsi="Times New Roman"/>
                <w:bCs/>
                <w:sz w:val="24"/>
                <w:szCs w:val="24"/>
              </w:rPr>
            </w:pPr>
            <w:r w:rsidRPr="00CB462C">
              <w:rPr>
                <w:rFonts w:ascii="Times New Roman" w:eastAsia="Calibri" w:hAnsi="Times New Roman"/>
                <w:bCs/>
                <w:sz w:val="24"/>
                <w:szCs w:val="24"/>
              </w:rPr>
              <w:t>116,7</w:t>
            </w:r>
          </w:p>
        </w:tc>
        <w:tc>
          <w:tcPr>
            <w:tcW w:w="1701" w:type="dxa"/>
            <w:tcBorders>
              <w:top w:val="single" w:sz="8" w:space="0" w:color="auto"/>
              <w:left w:val="single" w:sz="8" w:space="0" w:color="auto"/>
              <w:bottom w:val="single" w:sz="8" w:space="0" w:color="auto"/>
              <w:right w:val="single" w:sz="8" w:space="0" w:color="auto"/>
            </w:tcBorders>
            <w:vAlign w:val="center"/>
          </w:tcPr>
          <w:p w:rsidR="00CB462C" w:rsidRPr="00CB462C" w:rsidRDefault="00CB462C" w:rsidP="00CB462C">
            <w:pPr>
              <w:spacing w:after="0" w:line="240" w:lineRule="auto"/>
              <w:ind w:firstLine="426"/>
              <w:rPr>
                <w:rFonts w:ascii="Times New Roman" w:eastAsia="Calibri" w:hAnsi="Times New Roman"/>
                <w:bCs/>
                <w:sz w:val="24"/>
                <w:szCs w:val="24"/>
              </w:rPr>
            </w:pPr>
            <w:r w:rsidRPr="00CB462C">
              <w:rPr>
                <w:rFonts w:ascii="Times New Roman" w:eastAsia="Calibri" w:hAnsi="Times New Roman"/>
                <w:bCs/>
                <w:sz w:val="24"/>
                <w:szCs w:val="24"/>
              </w:rPr>
              <w:t>108,9*</w:t>
            </w:r>
          </w:p>
        </w:tc>
      </w:tr>
      <w:tr w:rsidR="00CB462C" w:rsidRPr="00CB462C" w:rsidTr="00281307">
        <w:trPr>
          <w:trHeight w:val="428"/>
        </w:trPr>
        <w:tc>
          <w:tcPr>
            <w:tcW w:w="2895" w:type="dxa"/>
            <w:tcBorders>
              <w:top w:val="nil"/>
              <w:left w:val="single" w:sz="8" w:space="0" w:color="auto"/>
              <w:bottom w:val="single" w:sz="4" w:space="0" w:color="auto"/>
              <w:right w:val="nil"/>
            </w:tcBorders>
            <w:shd w:val="clear" w:color="auto" w:fill="auto"/>
            <w:noWrap/>
            <w:vAlign w:val="center"/>
          </w:tcPr>
          <w:p w:rsidR="00CB462C" w:rsidRPr="00CB462C" w:rsidRDefault="00CB462C" w:rsidP="00CB462C">
            <w:pPr>
              <w:spacing w:after="0" w:line="240" w:lineRule="auto"/>
              <w:ind w:left="-56" w:firstLine="56"/>
              <w:rPr>
                <w:rFonts w:ascii="Times New Roman" w:eastAsia="Calibri" w:hAnsi="Times New Roman"/>
                <w:bCs/>
                <w:sz w:val="24"/>
                <w:szCs w:val="24"/>
              </w:rPr>
            </w:pPr>
            <w:r w:rsidRPr="00CB462C">
              <w:rPr>
                <w:rFonts w:ascii="Times New Roman" w:eastAsia="Calibri" w:hAnsi="Times New Roman"/>
                <w:bCs/>
                <w:sz w:val="24"/>
                <w:szCs w:val="24"/>
              </w:rPr>
              <w:t>Местные бюджеты</w:t>
            </w:r>
          </w:p>
        </w:tc>
        <w:tc>
          <w:tcPr>
            <w:tcW w:w="1749" w:type="dxa"/>
            <w:tcBorders>
              <w:top w:val="nil"/>
              <w:left w:val="single" w:sz="8" w:space="0" w:color="auto"/>
              <w:bottom w:val="single" w:sz="4" w:space="0" w:color="auto"/>
              <w:right w:val="single" w:sz="8" w:space="0" w:color="auto"/>
            </w:tcBorders>
            <w:shd w:val="clear" w:color="auto" w:fill="auto"/>
            <w:noWrap/>
            <w:vAlign w:val="center"/>
          </w:tcPr>
          <w:p w:rsidR="00CB462C" w:rsidRPr="00CB462C" w:rsidRDefault="00CB462C" w:rsidP="00CB462C">
            <w:pPr>
              <w:spacing w:after="0" w:line="240" w:lineRule="auto"/>
              <w:ind w:firstLine="123"/>
              <w:jc w:val="center"/>
              <w:rPr>
                <w:rFonts w:ascii="Times New Roman" w:eastAsia="Calibri" w:hAnsi="Times New Roman"/>
                <w:bCs/>
                <w:sz w:val="24"/>
                <w:szCs w:val="24"/>
              </w:rPr>
            </w:pPr>
            <w:r w:rsidRPr="00CB462C">
              <w:rPr>
                <w:rFonts w:ascii="Times New Roman" w:eastAsia="Calibri" w:hAnsi="Times New Roman"/>
                <w:bCs/>
                <w:sz w:val="24"/>
                <w:szCs w:val="24"/>
              </w:rPr>
              <w:t xml:space="preserve">857 137 670 </w:t>
            </w:r>
          </w:p>
        </w:tc>
        <w:tc>
          <w:tcPr>
            <w:tcW w:w="1701" w:type="dxa"/>
            <w:tcBorders>
              <w:top w:val="nil"/>
              <w:left w:val="nil"/>
              <w:bottom w:val="single" w:sz="4" w:space="0" w:color="auto"/>
              <w:right w:val="single" w:sz="8" w:space="0" w:color="auto"/>
            </w:tcBorders>
            <w:shd w:val="clear" w:color="auto" w:fill="auto"/>
            <w:noWrap/>
            <w:vAlign w:val="center"/>
          </w:tcPr>
          <w:p w:rsidR="00CB462C" w:rsidRPr="00CB462C" w:rsidRDefault="00CB462C" w:rsidP="00CB462C">
            <w:pPr>
              <w:spacing w:after="0" w:line="240" w:lineRule="auto"/>
              <w:ind w:firstLine="123"/>
              <w:jc w:val="center"/>
              <w:rPr>
                <w:rFonts w:ascii="Times New Roman" w:eastAsia="Calibri" w:hAnsi="Times New Roman"/>
                <w:bCs/>
                <w:sz w:val="24"/>
                <w:szCs w:val="24"/>
              </w:rPr>
            </w:pPr>
            <w:r w:rsidRPr="00CB462C">
              <w:rPr>
                <w:rFonts w:ascii="Times New Roman" w:eastAsia="Calibri" w:hAnsi="Times New Roman"/>
                <w:bCs/>
                <w:sz w:val="24"/>
                <w:szCs w:val="24"/>
              </w:rPr>
              <w:t xml:space="preserve">984 376 965 </w:t>
            </w:r>
          </w:p>
        </w:tc>
        <w:tc>
          <w:tcPr>
            <w:tcW w:w="1560" w:type="dxa"/>
            <w:tcBorders>
              <w:top w:val="single" w:sz="8" w:space="0" w:color="auto"/>
              <w:left w:val="nil"/>
              <w:bottom w:val="single" w:sz="8" w:space="0" w:color="auto"/>
              <w:right w:val="single" w:sz="8" w:space="0" w:color="auto"/>
            </w:tcBorders>
            <w:vAlign w:val="center"/>
          </w:tcPr>
          <w:p w:rsidR="00CB462C" w:rsidRPr="00CB462C" w:rsidRDefault="00CB462C" w:rsidP="00CB462C">
            <w:pPr>
              <w:spacing w:after="0" w:line="240" w:lineRule="auto"/>
              <w:ind w:firstLine="426"/>
              <w:rPr>
                <w:rFonts w:ascii="Times New Roman" w:eastAsia="Calibri" w:hAnsi="Times New Roman"/>
                <w:bCs/>
                <w:sz w:val="24"/>
                <w:szCs w:val="24"/>
              </w:rPr>
            </w:pPr>
            <w:r w:rsidRPr="00CB462C">
              <w:rPr>
                <w:rFonts w:ascii="Times New Roman" w:eastAsia="Calibri" w:hAnsi="Times New Roman"/>
                <w:bCs/>
                <w:sz w:val="24"/>
                <w:szCs w:val="24"/>
              </w:rPr>
              <w:t>114,8</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CB462C" w:rsidRPr="00CB462C" w:rsidRDefault="00CB462C" w:rsidP="00CB462C">
            <w:pPr>
              <w:spacing w:after="0" w:line="240" w:lineRule="auto"/>
              <w:ind w:firstLine="426"/>
              <w:rPr>
                <w:rFonts w:ascii="Times New Roman" w:eastAsia="Calibri" w:hAnsi="Times New Roman"/>
                <w:bCs/>
                <w:sz w:val="24"/>
                <w:szCs w:val="24"/>
              </w:rPr>
            </w:pPr>
            <w:r w:rsidRPr="00CB462C">
              <w:rPr>
                <w:rFonts w:ascii="Times New Roman" w:eastAsia="Calibri" w:hAnsi="Times New Roman"/>
                <w:bCs/>
                <w:sz w:val="24"/>
                <w:szCs w:val="24"/>
              </w:rPr>
              <w:t>115,6</w:t>
            </w:r>
          </w:p>
        </w:tc>
      </w:tr>
    </w:tbl>
    <w:p w:rsidR="00CB462C" w:rsidRPr="00CB462C" w:rsidRDefault="00CB462C" w:rsidP="00CB462C">
      <w:pPr>
        <w:spacing w:after="0" w:line="240" w:lineRule="auto"/>
        <w:ind w:left="142" w:firstLine="426"/>
        <w:rPr>
          <w:rFonts w:ascii="Times New Roman" w:hAnsi="Times New Roman"/>
        </w:rPr>
      </w:pPr>
      <w:r w:rsidRPr="00CB462C">
        <w:rPr>
          <w:rFonts w:ascii="Times New Roman" w:hAnsi="Times New Roman"/>
        </w:rPr>
        <w:t>* - 2017 год (без учета поступлений средств по государственным казначейским обязательствам в размере 450 000 000 руб.).</w:t>
      </w:r>
    </w:p>
    <w:p w:rsidR="00CB462C" w:rsidRPr="00CB462C" w:rsidRDefault="00281307" w:rsidP="00CB462C">
      <w:pPr>
        <w:spacing w:after="0" w:line="240" w:lineRule="auto"/>
        <w:ind w:firstLine="426"/>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5648" behindDoc="0" locked="0" layoutInCell="1" allowOverlap="1">
            <wp:simplePos x="0" y="0"/>
            <wp:positionH relativeFrom="margin">
              <wp:posOffset>177165</wp:posOffset>
            </wp:positionH>
            <wp:positionV relativeFrom="margin">
              <wp:posOffset>2621280</wp:posOffset>
            </wp:positionV>
            <wp:extent cx="2371725" cy="2667000"/>
            <wp:effectExtent l="19050" t="0" r="0" b="0"/>
            <wp:wrapSquare wrapText="bothSides"/>
            <wp:docPr id="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CB462C" w:rsidRPr="00CB462C">
        <w:rPr>
          <w:rFonts w:ascii="Times New Roman" w:hAnsi="Times New Roman"/>
          <w:sz w:val="28"/>
          <w:szCs w:val="28"/>
        </w:rPr>
        <w:t xml:space="preserve">В 2018 году </w:t>
      </w:r>
      <w:r w:rsidR="00CB462C" w:rsidRPr="00CB462C">
        <w:rPr>
          <w:rFonts w:ascii="Times New Roman" w:eastAsia="Calibri" w:hAnsi="Times New Roman"/>
          <w:sz w:val="28"/>
          <w:szCs w:val="28"/>
        </w:rPr>
        <w:t xml:space="preserve">в формировании </w:t>
      </w:r>
      <w:r w:rsidR="00CB462C" w:rsidRPr="00CB462C">
        <w:rPr>
          <w:rFonts w:ascii="Times New Roman" w:hAnsi="Times New Roman"/>
          <w:sz w:val="28"/>
          <w:szCs w:val="28"/>
        </w:rPr>
        <w:t>консолидированного бюджета отмечены следующие структурные изменения.</w:t>
      </w:r>
      <w:r w:rsidR="00CB462C" w:rsidRPr="00CB462C">
        <w:rPr>
          <w:rFonts w:ascii="Times New Roman" w:eastAsia="Calibri" w:hAnsi="Times New Roman"/>
          <w:sz w:val="28"/>
          <w:szCs w:val="28"/>
        </w:rPr>
        <w:t xml:space="preserve"> Так, доходы республиканского бюджета составили </w:t>
      </w:r>
      <w:r w:rsidR="00CB462C" w:rsidRPr="00CB462C">
        <w:rPr>
          <w:rFonts w:ascii="Times New Roman" w:eastAsia="Calibri" w:hAnsi="Times New Roman"/>
          <w:bCs/>
          <w:sz w:val="28"/>
          <w:szCs w:val="28"/>
        </w:rPr>
        <w:t xml:space="preserve">1 997 193 985 </w:t>
      </w:r>
      <w:r w:rsidR="00CB462C" w:rsidRPr="00CB462C">
        <w:rPr>
          <w:rFonts w:ascii="Times New Roman" w:eastAsia="Calibri" w:hAnsi="Times New Roman"/>
          <w:sz w:val="28"/>
          <w:szCs w:val="28"/>
        </w:rPr>
        <w:t xml:space="preserve">руб., или 67,0% совокупного показателя, что на 5,8 п.п. ниже сопоставимого уровня 2017 года, </w:t>
      </w:r>
      <w:r w:rsidR="00CB462C" w:rsidRPr="00CB462C">
        <w:rPr>
          <w:rFonts w:ascii="Times New Roman" w:hAnsi="Times New Roman"/>
          <w:sz w:val="28"/>
          <w:szCs w:val="28"/>
        </w:rPr>
        <w:t xml:space="preserve">при соответствующем </w:t>
      </w:r>
      <w:r w:rsidR="00CB462C" w:rsidRPr="00CB462C">
        <w:rPr>
          <w:rFonts w:ascii="Times New Roman" w:eastAsia="Calibri" w:hAnsi="Times New Roman"/>
          <w:sz w:val="28"/>
          <w:szCs w:val="28"/>
        </w:rPr>
        <w:t xml:space="preserve">увеличении долевого участия </w:t>
      </w:r>
      <w:r w:rsidR="00CB462C" w:rsidRPr="00CB462C">
        <w:rPr>
          <w:rFonts w:ascii="Times New Roman" w:hAnsi="Times New Roman"/>
          <w:sz w:val="28"/>
          <w:szCs w:val="28"/>
        </w:rPr>
        <w:t xml:space="preserve">поступлений местных бюджетов до </w:t>
      </w:r>
      <w:r w:rsidR="00CB462C" w:rsidRPr="00CB462C">
        <w:rPr>
          <w:rFonts w:ascii="Times New Roman" w:eastAsia="Calibri" w:hAnsi="Times New Roman"/>
          <w:sz w:val="28"/>
          <w:szCs w:val="28"/>
        </w:rPr>
        <w:t>33,0</w:t>
      </w:r>
      <w:r w:rsidR="00CB462C" w:rsidRPr="00CB462C">
        <w:rPr>
          <w:rFonts w:ascii="Times New Roman" w:hAnsi="Times New Roman"/>
          <w:sz w:val="28"/>
          <w:szCs w:val="28"/>
        </w:rPr>
        <w:t xml:space="preserve">%, или </w:t>
      </w:r>
      <w:r w:rsidR="00CB462C" w:rsidRPr="00CB462C">
        <w:rPr>
          <w:rFonts w:ascii="Times New Roman" w:eastAsia="Calibri" w:hAnsi="Times New Roman"/>
          <w:bCs/>
          <w:sz w:val="28"/>
          <w:szCs w:val="28"/>
        </w:rPr>
        <w:t>984 376 965 руб</w:t>
      </w:r>
      <w:r w:rsidR="00CB462C" w:rsidRPr="00CB462C">
        <w:rPr>
          <w:rFonts w:ascii="Times New Roman" w:hAnsi="Times New Roman"/>
          <w:sz w:val="28"/>
          <w:szCs w:val="28"/>
        </w:rPr>
        <w:t>.</w:t>
      </w:r>
    </w:p>
    <w:p w:rsidR="00CB462C" w:rsidRP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t>Соотношение суммарного объема доходной части консолидированного бюджета к ВВП сократилось на 3,9 п.п. и составило 21,6%.</w:t>
      </w:r>
    </w:p>
    <w:p w:rsidR="00CB462C" w:rsidRPr="00CB462C" w:rsidRDefault="0049772A" w:rsidP="00CB462C">
      <w:pPr>
        <w:spacing w:after="0" w:line="240" w:lineRule="auto"/>
        <w:ind w:firstLine="426"/>
        <w:jc w:val="right"/>
        <w:rPr>
          <w:rFonts w:ascii="Times New Roman" w:eastAsia="Calibri" w:hAnsi="Times New Roman"/>
          <w:b/>
          <w:i/>
          <w:sz w:val="28"/>
          <w:szCs w:val="28"/>
        </w:rPr>
      </w:pPr>
      <w:r>
        <w:rPr>
          <w:rFonts w:ascii="Times New Roman" w:eastAsia="Calibri" w:hAnsi="Times New Roman"/>
          <w:b/>
          <w:i/>
          <w:noProof/>
          <w:sz w:val="28"/>
          <w:szCs w:val="28"/>
        </w:rPr>
        <w:drawing>
          <wp:anchor distT="0" distB="0" distL="114300" distR="114300" simplePos="0" relativeHeight="251676672" behindDoc="0" locked="0" layoutInCell="1" allowOverlap="1">
            <wp:simplePos x="0" y="0"/>
            <wp:positionH relativeFrom="margin">
              <wp:posOffset>-32385</wp:posOffset>
            </wp:positionH>
            <wp:positionV relativeFrom="margin">
              <wp:posOffset>5640705</wp:posOffset>
            </wp:positionV>
            <wp:extent cx="6334125" cy="3048000"/>
            <wp:effectExtent l="0" t="0" r="0" b="0"/>
            <wp:wrapSquare wrapText="bothSides"/>
            <wp:docPr id="3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CB462C" w:rsidRPr="00CB462C">
        <w:rPr>
          <w:rFonts w:ascii="Times New Roman" w:eastAsia="Calibri" w:hAnsi="Times New Roman"/>
          <w:b/>
          <w:i/>
          <w:sz w:val="28"/>
          <w:szCs w:val="28"/>
        </w:rPr>
        <w:t xml:space="preserve">Рисунок </w:t>
      </w:r>
      <w:r w:rsidR="00281307">
        <w:rPr>
          <w:rFonts w:ascii="Times New Roman" w:eastAsia="Calibri" w:hAnsi="Times New Roman"/>
          <w:b/>
          <w:i/>
          <w:sz w:val="28"/>
          <w:szCs w:val="28"/>
        </w:rPr>
        <w:t>43</w:t>
      </w:r>
    </w:p>
    <w:p w:rsidR="00CB462C" w:rsidRP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t>В структуре поступлений в доходную часть консолидированного б</w:t>
      </w:r>
      <w:r w:rsidR="00281307">
        <w:rPr>
          <w:rFonts w:ascii="Times New Roman" w:eastAsia="Calibri" w:hAnsi="Times New Roman"/>
          <w:sz w:val="28"/>
          <w:szCs w:val="28"/>
        </w:rPr>
        <w:t>юджета (рис. 43</w:t>
      </w:r>
      <w:r w:rsidRPr="00CB462C">
        <w:rPr>
          <w:rFonts w:ascii="Times New Roman" w:eastAsia="Calibri" w:hAnsi="Times New Roman"/>
          <w:sz w:val="28"/>
          <w:szCs w:val="28"/>
        </w:rPr>
        <w:t xml:space="preserve">) наибольшая доля (69,1%) по-прежнему принадлежит </w:t>
      </w:r>
      <w:r w:rsidRPr="00CB462C">
        <w:rPr>
          <w:rFonts w:ascii="Times New Roman" w:eastAsia="Calibri" w:hAnsi="Times New Roman"/>
          <w:b/>
          <w:sz w:val="28"/>
          <w:szCs w:val="28"/>
        </w:rPr>
        <w:t>налоговым платежам</w:t>
      </w:r>
      <w:r w:rsidRPr="00CB462C">
        <w:rPr>
          <w:rFonts w:ascii="Times New Roman" w:eastAsia="Calibri" w:hAnsi="Times New Roman"/>
          <w:sz w:val="28"/>
          <w:szCs w:val="28"/>
        </w:rPr>
        <w:t xml:space="preserve"> (2 059 945 206 руб.). При этом с учетом отчислений от ввозной таможенной пошлины, поступивших в 2018 году в Фонд капитальных </w:t>
      </w:r>
      <w:r w:rsidRPr="00CB462C">
        <w:rPr>
          <w:rFonts w:ascii="Times New Roman" w:eastAsia="Calibri" w:hAnsi="Times New Roman"/>
          <w:sz w:val="28"/>
          <w:szCs w:val="28"/>
        </w:rPr>
        <w:lastRenderedPageBreak/>
        <w:t>вложений Приднестровской Молдавской Республики в сумме 149 998 416 руб., налоговые доходы составили 2 133 359 601 руб. (в данной сумме не отражены средства в размере 76 584 021 руб., перечисленные в 2018 году в доход республиканского бюджета в соответствии  со статьями 2, 17, 19 Закона Приднестровской Молдавской Республики «О республиканском бюджете на 2018 год», что на 15,4% больше фактических поступлений за 2017 год.</w:t>
      </w:r>
    </w:p>
    <w:p w:rsidR="00CB462C" w:rsidRP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eastAsia="Calibri" w:hAnsi="Times New Roman"/>
          <w:b/>
          <w:sz w:val="28"/>
          <w:szCs w:val="28"/>
        </w:rPr>
        <w:t>Неналоговые поступления</w:t>
      </w:r>
      <w:r w:rsidRPr="00CB462C">
        <w:rPr>
          <w:rFonts w:ascii="Times New Roman" w:eastAsia="Calibri" w:hAnsi="Times New Roman"/>
          <w:sz w:val="28"/>
          <w:szCs w:val="28"/>
        </w:rPr>
        <w:t xml:space="preserve"> сформировали порядка 3,7% доходной части консолидированного бюджета и составили 109 742 386 руб. При этом без учета части прибыли перечисленной Приднестровским республиканским банком в 2018 году в сумме 25 000 000 руб., неналоговые доходы составили 84 742 386 руб., что на 4,8% больше фактических поступлений за 2017 год (без учета поступлений в 2017 году части прибыли, перечисленной Приднестровским республиканским банком в размере 175 000 000 руб., а также возврата беспроцентного займа ЕГФСС ПМР в сумме 37 736 130 руб.).</w:t>
      </w:r>
    </w:p>
    <w:p w:rsidR="00CB462C" w:rsidRP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hAnsi="Times New Roman"/>
          <w:sz w:val="28"/>
          <w:szCs w:val="28"/>
        </w:rPr>
        <w:t>Доля доходов целевых бюджетных фондов увеличилась на 9,5 процентных пункта до 17,7% в большей степени за счет фонда капитальных вложений, размер поступлений которого составил 197 290 433 руб.</w:t>
      </w:r>
      <w:r w:rsidRPr="00CB462C">
        <w:rPr>
          <w:rFonts w:ascii="Times New Roman" w:eastAsia="Calibri" w:hAnsi="Times New Roman"/>
          <w:sz w:val="28"/>
          <w:szCs w:val="28"/>
        </w:rPr>
        <w:t xml:space="preserve"> Удельный вес доходов от предпринимательской и иной приносящей доход деятельности увеличился на 0,7 п.п., сформировав 7,3% совокупного показателя. Доля безвозмездных перечислений выросла на 1,3 п.п. до 2,2% общих доходов консолидированного бюджета, что в абсолютном выражении соответствует 66 188 422 руб. </w:t>
      </w:r>
    </w:p>
    <w:p w:rsid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eastAsia="Calibri" w:hAnsi="Times New Roman"/>
          <w:b/>
          <w:sz w:val="28"/>
          <w:szCs w:val="28"/>
        </w:rPr>
        <w:t>Налоговая нагрузка</w:t>
      </w:r>
      <w:r w:rsidRPr="00CB462C">
        <w:rPr>
          <w:rFonts w:ascii="Times New Roman" w:eastAsia="Calibri" w:hAnsi="Times New Roman"/>
          <w:sz w:val="28"/>
          <w:szCs w:val="28"/>
        </w:rPr>
        <w:t xml:space="preserve"> консолидированного бюджета в целом на экономику республики составила </w:t>
      </w:r>
      <w:r w:rsidRPr="00CB462C">
        <w:rPr>
          <w:rFonts w:ascii="Times New Roman" w:eastAsia="Calibri" w:hAnsi="Times New Roman"/>
          <w:b/>
          <w:sz w:val="28"/>
          <w:szCs w:val="28"/>
        </w:rPr>
        <w:t xml:space="preserve">13,9%, </w:t>
      </w:r>
      <w:r w:rsidRPr="00CB462C">
        <w:rPr>
          <w:rFonts w:ascii="Times New Roman" w:eastAsia="Calibri" w:hAnsi="Times New Roman"/>
          <w:sz w:val="28"/>
          <w:szCs w:val="28"/>
        </w:rPr>
        <w:t>сократившись на 0,3 п.п. по сравнению с уровнем 2017 года (без учета средств по государственным казначейским обязательствам) (14,2%).</w:t>
      </w:r>
    </w:p>
    <w:p w:rsidR="0049772A" w:rsidRPr="0049772A" w:rsidRDefault="0049772A" w:rsidP="0049772A">
      <w:pPr>
        <w:spacing w:after="0" w:line="240" w:lineRule="auto"/>
        <w:ind w:firstLine="426"/>
        <w:jc w:val="right"/>
        <w:rPr>
          <w:rFonts w:ascii="Times New Roman" w:eastAsia="Calibri" w:hAnsi="Times New Roman"/>
          <w:b/>
          <w:i/>
          <w:sz w:val="28"/>
          <w:szCs w:val="28"/>
        </w:rPr>
      </w:pPr>
      <w:r w:rsidRPr="0049772A">
        <w:rPr>
          <w:rFonts w:ascii="Times New Roman" w:eastAsia="Calibri" w:hAnsi="Times New Roman"/>
          <w:b/>
          <w:i/>
          <w:sz w:val="28"/>
          <w:szCs w:val="28"/>
        </w:rPr>
        <w:t>Рисунок 44</w:t>
      </w:r>
    </w:p>
    <w:p w:rsidR="00CB462C" w:rsidRPr="00CB462C" w:rsidRDefault="00CB462C" w:rsidP="00CB462C">
      <w:pPr>
        <w:spacing w:after="0" w:line="240" w:lineRule="auto"/>
        <w:ind w:firstLine="426"/>
        <w:jc w:val="center"/>
        <w:rPr>
          <w:rFonts w:ascii="Times New Roman" w:eastAsia="Calibri" w:hAnsi="Times New Roman"/>
          <w:b/>
          <w:sz w:val="28"/>
          <w:szCs w:val="28"/>
        </w:rPr>
      </w:pPr>
      <w:r w:rsidRPr="00CB462C">
        <w:rPr>
          <w:rFonts w:ascii="Times New Roman" w:eastAsia="Calibri" w:hAnsi="Times New Roman"/>
          <w:b/>
          <w:sz w:val="28"/>
          <w:szCs w:val="28"/>
        </w:rPr>
        <w:t xml:space="preserve">Динамика налоговых поступлений в доходную часть </w:t>
      </w:r>
    </w:p>
    <w:p w:rsidR="00CB462C" w:rsidRPr="00CB462C" w:rsidRDefault="00CB462C" w:rsidP="00CB462C">
      <w:pPr>
        <w:spacing w:after="0" w:line="240" w:lineRule="auto"/>
        <w:ind w:left="142" w:firstLine="426"/>
        <w:jc w:val="center"/>
        <w:rPr>
          <w:rFonts w:ascii="Times New Roman" w:eastAsia="Calibri" w:hAnsi="Times New Roman"/>
          <w:b/>
          <w:sz w:val="28"/>
          <w:szCs w:val="28"/>
        </w:rPr>
      </w:pPr>
      <w:r w:rsidRPr="00CB462C">
        <w:rPr>
          <w:rFonts w:ascii="Times New Roman" w:eastAsia="Calibri" w:hAnsi="Times New Roman"/>
          <w:b/>
          <w:noProof/>
          <w:sz w:val="28"/>
          <w:szCs w:val="28"/>
        </w:rPr>
        <w:drawing>
          <wp:anchor distT="0" distB="0" distL="114300" distR="114300" simplePos="0" relativeHeight="251677696" behindDoc="1" locked="0" layoutInCell="1" allowOverlap="1">
            <wp:simplePos x="0" y="0"/>
            <wp:positionH relativeFrom="column">
              <wp:posOffset>-270510</wp:posOffset>
            </wp:positionH>
            <wp:positionV relativeFrom="paragraph">
              <wp:posOffset>244475</wp:posOffset>
            </wp:positionV>
            <wp:extent cx="6265545" cy="3381375"/>
            <wp:effectExtent l="0" t="0" r="1905" b="0"/>
            <wp:wrapTight wrapText="bothSides">
              <wp:wrapPolygon edited="0">
                <wp:start x="14711" y="122"/>
                <wp:lineTo x="66" y="365"/>
                <wp:lineTo x="131" y="15941"/>
                <wp:lineTo x="460" y="17645"/>
                <wp:lineTo x="525" y="18254"/>
                <wp:lineTo x="3940" y="19470"/>
                <wp:lineTo x="5451" y="19470"/>
                <wp:lineTo x="12347" y="19470"/>
                <wp:lineTo x="14185" y="19470"/>
                <wp:lineTo x="20621" y="18010"/>
                <wp:lineTo x="20687" y="17645"/>
                <wp:lineTo x="21541" y="15941"/>
                <wp:lineTo x="21541" y="15698"/>
                <wp:lineTo x="21607" y="14481"/>
                <wp:lineTo x="14580" y="13751"/>
                <wp:lineTo x="17995" y="13751"/>
                <wp:lineTo x="20162" y="13021"/>
                <wp:lineTo x="20227" y="11682"/>
                <wp:lineTo x="10442" y="9857"/>
                <wp:lineTo x="21278" y="9492"/>
                <wp:lineTo x="21541" y="9005"/>
                <wp:lineTo x="20030" y="7910"/>
                <wp:lineTo x="20096" y="7423"/>
                <wp:lineTo x="19899" y="6815"/>
                <wp:lineTo x="19177" y="5963"/>
                <wp:lineTo x="19242" y="4746"/>
                <wp:lineTo x="15696" y="4016"/>
                <wp:lineTo x="9720" y="4016"/>
                <wp:lineTo x="21607" y="3894"/>
                <wp:lineTo x="21607" y="122"/>
                <wp:lineTo x="15236" y="122"/>
                <wp:lineTo x="14711" y="122"/>
              </wp:wrapPolygon>
            </wp:wrapTight>
            <wp:docPr id="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Pr="00CB462C">
        <w:rPr>
          <w:rFonts w:ascii="Times New Roman" w:eastAsia="Calibri" w:hAnsi="Times New Roman"/>
          <w:b/>
          <w:sz w:val="28"/>
          <w:szCs w:val="28"/>
        </w:rPr>
        <w:t>Консолидированного бюджета (млн руб.)</w:t>
      </w:r>
    </w:p>
    <w:p w:rsidR="00CB462C" w:rsidRPr="00CB462C" w:rsidRDefault="00CB462C" w:rsidP="00CB462C">
      <w:pPr>
        <w:spacing w:after="0" w:line="240" w:lineRule="auto"/>
        <w:ind w:firstLine="426"/>
        <w:jc w:val="both"/>
        <w:rPr>
          <w:rFonts w:ascii="Times New Roman" w:eastAsia="Calibri" w:hAnsi="Times New Roman"/>
          <w:b/>
          <w:sz w:val="28"/>
          <w:szCs w:val="28"/>
        </w:rPr>
      </w:pPr>
    </w:p>
    <w:p w:rsidR="00CB462C" w:rsidRPr="00CB462C" w:rsidRDefault="00CB462C" w:rsidP="00CB462C">
      <w:pPr>
        <w:spacing w:after="0" w:line="240" w:lineRule="auto"/>
        <w:ind w:firstLine="426"/>
        <w:rPr>
          <w:rFonts w:ascii="Times New Roman" w:eastAsia="Calibri" w:hAnsi="Times New Roman"/>
          <w:sz w:val="28"/>
          <w:szCs w:val="28"/>
        </w:rPr>
      </w:pPr>
    </w:p>
    <w:p w:rsidR="00CB462C" w:rsidRPr="00CB462C" w:rsidRDefault="00CB462C" w:rsidP="00CB462C">
      <w:pPr>
        <w:spacing w:after="0" w:line="240" w:lineRule="auto"/>
        <w:ind w:firstLine="426"/>
        <w:rPr>
          <w:rFonts w:ascii="Times New Roman" w:eastAsia="Calibri" w:hAnsi="Times New Roman"/>
          <w:sz w:val="28"/>
          <w:szCs w:val="28"/>
        </w:rPr>
      </w:pPr>
    </w:p>
    <w:p w:rsidR="00CB462C" w:rsidRPr="00CB462C" w:rsidRDefault="00CB462C" w:rsidP="00CB462C">
      <w:pPr>
        <w:spacing w:after="0" w:line="240" w:lineRule="auto"/>
        <w:ind w:firstLine="426"/>
        <w:rPr>
          <w:rFonts w:ascii="Times New Roman" w:eastAsia="Calibri" w:hAnsi="Times New Roman"/>
          <w:sz w:val="28"/>
          <w:szCs w:val="28"/>
        </w:rPr>
      </w:pPr>
    </w:p>
    <w:p w:rsidR="00CB462C" w:rsidRPr="00CB462C" w:rsidRDefault="00CB462C" w:rsidP="00CB462C">
      <w:pPr>
        <w:spacing w:after="0" w:line="240" w:lineRule="auto"/>
        <w:ind w:firstLine="426"/>
        <w:rPr>
          <w:rFonts w:ascii="Times New Roman" w:eastAsia="Calibri" w:hAnsi="Times New Roman"/>
          <w:sz w:val="28"/>
          <w:szCs w:val="28"/>
        </w:rPr>
      </w:pPr>
    </w:p>
    <w:p w:rsidR="00CB462C" w:rsidRPr="00CB462C" w:rsidRDefault="00CB462C" w:rsidP="00CB462C">
      <w:pPr>
        <w:spacing w:after="0" w:line="240" w:lineRule="auto"/>
        <w:ind w:firstLine="426"/>
        <w:rPr>
          <w:rFonts w:ascii="Times New Roman" w:eastAsia="Calibri" w:hAnsi="Times New Roman"/>
          <w:sz w:val="28"/>
          <w:szCs w:val="28"/>
        </w:rPr>
      </w:pPr>
    </w:p>
    <w:p w:rsidR="00CB462C" w:rsidRPr="00CB462C" w:rsidRDefault="00CB462C" w:rsidP="00CB462C">
      <w:pPr>
        <w:spacing w:after="0" w:line="240" w:lineRule="auto"/>
        <w:ind w:firstLine="426"/>
        <w:rPr>
          <w:rFonts w:ascii="Times New Roman" w:eastAsia="Calibri" w:hAnsi="Times New Roman"/>
          <w:sz w:val="28"/>
          <w:szCs w:val="28"/>
        </w:rPr>
      </w:pPr>
    </w:p>
    <w:p w:rsidR="00CB462C" w:rsidRPr="00CB462C" w:rsidRDefault="00CB462C" w:rsidP="00CB462C">
      <w:pPr>
        <w:spacing w:after="0" w:line="240" w:lineRule="auto"/>
        <w:ind w:firstLine="426"/>
        <w:rPr>
          <w:rFonts w:ascii="Times New Roman" w:eastAsia="Calibri" w:hAnsi="Times New Roman"/>
          <w:sz w:val="10"/>
          <w:szCs w:val="10"/>
        </w:rPr>
      </w:pPr>
    </w:p>
    <w:p w:rsidR="00CB462C" w:rsidRPr="00CB462C" w:rsidRDefault="00CB462C" w:rsidP="00CB462C">
      <w:pPr>
        <w:spacing w:after="0" w:line="240" w:lineRule="auto"/>
        <w:ind w:firstLine="426"/>
        <w:rPr>
          <w:rFonts w:ascii="Times New Roman" w:eastAsia="Calibri" w:hAnsi="Times New Roman"/>
          <w:i/>
        </w:rPr>
      </w:pPr>
      <w:r w:rsidRPr="00CB462C">
        <w:rPr>
          <w:rFonts w:ascii="Times New Roman" w:eastAsia="Calibri" w:hAnsi="Times New Roman"/>
          <w:i/>
        </w:rPr>
        <w:t>* - темп роста/спада к предыдущему году, %</w:t>
      </w:r>
    </w:p>
    <w:p w:rsidR="00CB462C" w:rsidRPr="00CB462C" w:rsidRDefault="00CB462C" w:rsidP="00CB462C">
      <w:pPr>
        <w:spacing w:after="0" w:line="240" w:lineRule="auto"/>
        <w:ind w:firstLine="426"/>
        <w:jc w:val="both"/>
        <w:rPr>
          <w:rFonts w:ascii="Times New Roman" w:eastAsia="Calibri" w:hAnsi="Times New Roman"/>
          <w:sz w:val="28"/>
          <w:szCs w:val="28"/>
        </w:rPr>
      </w:pPr>
    </w:p>
    <w:p w:rsidR="00CB462C" w:rsidRP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lastRenderedPageBreak/>
        <w:t>Наибольшую долю (38,9%) в налоговых доходах по прежнему занимают</w:t>
      </w:r>
      <w:r w:rsidRPr="00CB462C">
        <w:rPr>
          <w:rFonts w:ascii="Times New Roman" w:eastAsia="Calibri" w:hAnsi="Times New Roman"/>
          <w:b/>
          <w:sz w:val="28"/>
          <w:szCs w:val="28"/>
        </w:rPr>
        <w:t xml:space="preserve"> платежи по налогу на доходы организаций</w:t>
      </w:r>
      <w:r w:rsidRPr="00CB462C">
        <w:rPr>
          <w:rFonts w:ascii="Times New Roman" w:eastAsia="Calibri" w:hAnsi="Times New Roman"/>
          <w:sz w:val="28"/>
          <w:szCs w:val="28"/>
        </w:rPr>
        <w:t>, которые возросли на 9,4%, вследствие увеличения производства продукции на 43 промышленных предприятиях республики, что составляет 52,3% от их общего числа</w:t>
      </w:r>
      <w:r w:rsidR="0049772A">
        <w:rPr>
          <w:rFonts w:ascii="Times New Roman" w:eastAsia="Calibri" w:hAnsi="Times New Roman"/>
          <w:sz w:val="28"/>
          <w:szCs w:val="28"/>
        </w:rPr>
        <w:t xml:space="preserve"> (рис. 44)</w:t>
      </w:r>
      <w:r w:rsidRPr="00CB462C">
        <w:rPr>
          <w:rFonts w:ascii="Times New Roman" w:eastAsia="Calibri" w:hAnsi="Times New Roman"/>
          <w:sz w:val="28"/>
          <w:szCs w:val="28"/>
        </w:rPr>
        <w:t>.</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eastAsia="Calibri" w:hAnsi="Times New Roman"/>
          <w:sz w:val="28"/>
          <w:szCs w:val="28"/>
        </w:rPr>
        <w:t xml:space="preserve">Благодаря увеличению объемов производства и реализации продукции, что в свою очередь повлияло на увеличение фонда оплаты труда и материального стимулирования работников, поступления </w:t>
      </w:r>
      <w:r w:rsidRPr="00CB462C">
        <w:rPr>
          <w:rFonts w:ascii="Times New Roman" w:eastAsia="Calibri" w:hAnsi="Times New Roman"/>
          <w:b/>
          <w:sz w:val="28"/>
          <w:szCs w:val="28"/>
        </w:rPr>
        <w:t>по подоходному налогу с физических лиц</w:t>
      </w:r>
      <w:r w:rsidRPr="00CB462C">
        <w:rPr>
          <w:rFonts w:ascii="Times New Roman" w:eastAsia="Calibri" w:hAnsi="Times New Roman"/>
          <w:sz w:val="28"/>
          <w:szCs w:val="28"/>
        </w:rPr>
        <w:t xml:space="preserve"> увеличились на 19,4%, </w:t>
      </w:r>
      <w:r w:rsidRPr="00CB462C">
        <w:rPr>
          <w:rFonts w:ascii="Times New Roman" w:hAnsi="Times New Roman"/>
          <w:sz w:val="28"/>
          <w:szCs w:val="28"/>
        </w:rPr>
        <w:t>при этом их удельный вес в налоговых платежах вырос на 5,4 п.п. до 20,1%.</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 xml:space="preserve">Платежи </w:t>
      </w:r>
      <w:r w:rsidRPr="00CB462C">
        <w:rPr>
          <w:rFonts w:ascii="Times New Roman" w:eastAsia="Calibri" w:hAnsi="Times New Roman"/>
          <w:b/>
          <w:sz w:val="28"/>
          <w:szCs w:val="28"/>
        </w:rPr>
        <w:t>по налогам на внешнюю торговлю и внешнеэкономические операции</w:t>
      </w:r>
      <w:r w:rsidRPr="00CB462C">
        <w:rPr>
          <w:rFonts w:ascii="Times New Roman" w:eastAsia="Calibri" w:hAnsi="Times New Roman"/>
          <w:sz w:val="28"/>
          <w:szCs w:val="28"/>
        </w:rPr>
        <w:t xml:space="preserve"> </w:t>
      </w:r>
      <w:r w:rsidRPr="00CB462C">
        <w:rPr>
          <w:rFonts w:ascii="Times New Roman" w:hAnsi="Times New Roman"/>
          <w:sz w:val="28"/>
          <w:szCs w:val="28"/>
        </w:rPr>
        <w:t xml:space="preserve">на фоне перераспределения части данных платежей в Фонд капитальных вложений </w:t>
      </w:r>
      <w:r w:rsidRPr="00CB462C">
        <w:rPr>
          <w:rFonts w:ascii="Times New Roman" w:eastAsia="Calibri" w:hAnsi="Times New Roman"/>
          <w:sz w:val="28"/>
          <w:szCs w:val="28"/>
        </w:rPr>
        <w:t xml:space="preserve">уменьшились на 39,3%, сократив также их удельный вес на 4,5 п.п. до 10,0%. </w:t>
      </w:r>
    </w:p>
    <w:p w:rsidR="00CB462C" w:rsidRPr="00CB462C" w:rsidRDefault="00CB462C" w:rsidP="00CB462C">
      <w:pPr>
        <w:spacing w:after="0" w:line="240" w:lineRule="auto"/>
        <w:ind w:firstLine="426"/>
        <w:jc w:val="both"/>
        <w:rPr>
          <w:rFonts w:ascii="Times New Roman" w:eastAsia="Calibri" w:hAnsi="Times New Roman"/>
          <w:b/>
          <w:bCs/>
          <w:sz w:val="28"/>
          <w:szCs w:val="28"/>
        </w:rPr>
      </w:pPr>
      <w:r w:rsidRPr="00CB462C">
        <w:rPr>
          <w:rFonts w:ascii="Times New Roman" w:eastAsia="Calibri" w:hAnsi="Times New Roman"/>
          <w:sz w:val="28"/>
          <w:szCs w:val="28"/>
        </w:rPr>
        <w:t>Поступления по</w:t>
      </w:r>
      <w:r w:rsidRPr="00CB462C">
        <w:rPr>
          <w:rFonts w:ascii="Times New Roman" w:eastAsia="Calibri" w:hAnsi="Times New Roman"/>
          <w:b/>
          <w:sz w:val="28"/>
          <w:szCs w:val="28"/>
        </w:rPr>
        <w:t xml:space="preserve"> налогам на товары и услуги, лицензионные и регистрационные сборы</w:t>
      </w:r>
      <w:r w:rsidRPr="00CB462C">
        <w:rPr>
          <w:rFonts w:ascii="Times New Roman" w:eastAsia="Calibri" w:hAnsi="Times New Roman"/>
          <w:sz w:val="28"/>
          <w:szCs w:val="28"/>
        </w:rPr>
        <w:t xml:space="preserve"> за 2018 год на фоне высокой базы сравнения (в данной статье в 2017 году отражена сумма поступлений средств по государственным казначейским обязательствам в размере 450 000 000 руб., перечисленная в доход республиканского бюджета) сократились на 52,7% до 303,9 млн руб., что соответствует 14,8% налоговых поступлений. При этом, без учета указанных поступлений в 2017 году фактическое поступление платежей в 2018 году на 57,3% больше поступлений за базовый год. В основном это связано с увеличением объемов производства и реализации отдельных видов подакцизной продукции.</w:t>
      </w:r>
    </w:p>
    <w:p w:rsidR="00CB462C" w:rsidRPr="00CB462C" w:rsidRDefault="00CB462C" w:rsidP="00CB462C">
      <w:pPr>
        <w:autoSpaceDE w:val="0"/>
        <w:autoSpaceDN w:val="0"/>
        <w:adjustRightInd w:val="0"/>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t xml:space="preserve">Суммы </w:t>
      </w:r>
      <w:r w:rsidRPr="00CB462C">
        <w:rPr>
          <w:rFonts w:ascii="Times New Roman" w:eastAsia="Calibri" w:hAnsi="Times New Roman"/>
          <w:b/>
          <w:sz w:val="28"/>
          <w:szCs w:val="28"/>
        </w:rPr>
        <w:t>платежей за пользование природными ресурсами</w:t>
      </w:r>
      <w:r w:rsidRPr="00CB462C">
        <w:rPr>
          <w:rFonts w:ascii="Times New Roman" w:eastAsia="Calibri" w:hAnsi="Times New Roman"/>
          <w:sz w:val="28"/>
          <w:szCs w:val="28"/>
        </w:rPr>
        <w:t xml:space="preserve"> в 2018 году сократились на 13,5% за счет уменьшения объема добычи природных ресурсов, и как следствие сокращения поступлений отдельных организаций, а также неисполнением обязательств по своевременной уплате налога некоторыми предприятиями. При этом удельный вес данной статьи в налоговых платежах также сократился незначительно на 0,1 п.п. до 5,8%. </w:t>
      </w:r>
    </w:p>
    <w:p w:rsidR="00CB462C" w:rsidRP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t xml:space="preserve">В структуре </w:t>
      </w:r>
      <w:r w:rsidRPr="00CB462C">
        <w:rPr>
          <w:rFonts w:ascii="Times New Roman" w:eastAsia="Calibri" w:hAnsi="Times New Roman"/>
          <w:b/>
          <w:sz w:val="28"/>
          <w:szCs w:val="28"/>
        </w:rPr>
        <w:t>неналоговых поступлений</w:t>
      </w:r>
      <w:r w:rsidRPr="00CB462C">
        <w:rPr>
          <w:rFonts w:ascii="Times New Roman" w:eastAsia="Calibri" w:hAnsi="Times New Roman"/>
          <w:sz w:val="28"/>
          <w:szCs w:val="28"/>
        </w:rPr>
        <w:t xml:space="preserve"> (рис. </w:t>
      </w:r>
      <w:r w:rsidR="0049772A">
        <w:rPr>
          <w:rFonts w:ascii="Times New Roman" w:eastAsia="Calibri" w:hAnsi="Times New Roman"/>
          <w:sz w:val="28"/>
          <w:szCs w:val="28"/>
        </w:rPr>
        <w:t>45</w:t>
      </w:r>
      <w:r w:rsidRPr="00CB462C">
        <w:rPr>
          <w:rFonts w:ascii="Times New Roman" w:eastAsia="Calibri" w:hAnsi="Times New Roman"/>
          <w:sz w:val="28"/>
          <w:szCs w:val="28"/>
        </w:rPr>
        <w:t>) основная часть по-прежнему приходится на средства, отраженные по статье</w:t>
      </w:r>
      <w:r w:rsidRPr="00CB462C">
        <w:rPr>
          <w:rFonts w:ascii="Times New Roman" w:eastAsia="Calibri" w:hAnsi="Times New Roman"/>
          <w:b/>
          <w:sz w:val="28"/>
          <w:szCs w:val="28"/>
        </w:rPr>
        <w:t xml:space="preserve"> «Доходы от имущества, находящегося в государственной и муниципальной собственности»</w:t>
      </w:r>
      <w:r w:rsidRPr="00CB462C">
        <w:rPr>
          <w:rFonts w:ascii="Times New Roman" w:eastAsia="Calibri" w:hAnsi="Times New Roman"/>
          <w:sz w:val="28"/>
          <w:szCs w:val="28"/>
        </w:rPr>
        <w:t xml:space="preserve"> (54,3%, -26,4 п.п.), которые сократились к базовому уровню минувшего года в 4,0 р. до 59 563 315 руб. Поступления </w:t>
      </w:r>
      <w:r w:rsidRPr="00CB462C">
        <w:rPr>
          <w:rFonts w:ascii="Times New Roman" w:eastAsia="Calibri" w:hAnsi="Times New Roman"/>
          <w:b/>
          <w:sz w:val="28"/>
          <w:szCs w:val="28"/>
        </w:rPr>
        <w:t>от штрафных санкций и возмещения ущерба</w:t>
      </w:r>
      <w:r w:rsidRPr="00CB462C">
        <w:rPr>
          <w:rFonts w:ascii="Times New Roman" w:eastAsia="Calibri" w:hAnsi="Times New Roman"/>
          <w:sz w:val="28"/>
          <w:szCs w:val="28"/>
        </w:rPr>
        <w:t xml:space="preserve"> сократились на 36,7%, расширив при этом долевое представление статьи в неналоговых платежах до 23,2% (или на 9,5 п.п.). Фактические суммы поступлений доходов </w:t>
      </w:r>
      <w:r w:rsidRPr="00CB462C">
        <w:rPr>
          <w:rFonts w:ascii="Times New Roman" w:eastAsia="Calibri" w:hAnsi="Times New Roman"/>
          <w:b/>
          <w:sz w:val="28"/>
          <w:szCs w:val="28"/>
        </w:rPr>
        <w:t xml:space="preserve">от продажи имущества, находящегося в государственной и муниципальной собственности </w:t>
      </w:r>
      <w:r w:rsidRPr="00CB462C">
        <w:rPr>
          <w:rFonts w:ascii="Times New Roman" w:eastAsia="Calibri" w:hAnsi="Times New Roman"/>
          <w:sz w:val="28"/>
          <w:szCs w:val="28"/>
        </w:rPr>
        <w:t xml:space="preserve">также сократились на 35,9% и составили 5 890 932 руб., однако при этом их удельный вес расширился на 2,3 п.п. до 5,4%. Спад поступлений </w:t>
      </w:r>
      <w:r w:rsidRPr="00CB462C">
        <w:rPr>
          <w:rFonts w:ascii="Times New Roman" w:eastAsia="Calibri" w:hAnsi="Times New Roman"/>
          <w:b/>
          <w:sz w:val="28"/>
          <w:szCs w:val="28"/>
        </w:rPr>
        <w:t>от административных платежей и сборов</w:t>
      </w:r>
      <w:r w:rsidRPr="00CB462C">
        <w:rPr>
          <w:rFonts w:ascii="Times New Roman" w:eastAsia="Calibri" w:hAnsi="Times New Roman"/>
          <w:sz w:val="28"/>
          <w:szCs w:val="28"/>
        </w:rPr>
        <w:t xml:space="preserve"> составил 7,7%, при этом их удельный вес в неналоговых платежах увеличился на 3,5 п.п. до 6,0%. При этом, в 2018 году на средства от доходов от внешнеэкономической деятельности приходится 3,9% неналоговых платежей, а на прочие неналоговые доходы – 7,2%.</w:t>
      </w:r>
    </w:p>
    <w:p w:rsidR="0049772A" w:rsidRDefault="0049772A" w:rsidP="00CB462C">
      <w:pPr>
        <w:spacing w:after="0" w:line="240" w:lineRule="auto"/>
        <w:ind w:firstLine="426"/>
        <w:jc w:val="right"/>
        <w:rPr>
          <w:rFonts w:ascii="Times New Roman" w:eastAsia="Calibri" w:hAnsi="Times New Roman"/>
          <w:b/>
          <w:i/>
          <w:sz w:val="28"/>
          <w:szCs w:val="28"/>
        </w:rPr>
      </w:pPr>
    </w:p>
    <w:p w:rsidR="0049772A" w:rsidRDefault="0049772A" w:rsidP="00CB462C">
      <w:pPr>
        <w:spacing w:after="0" w:line="240" w:lineRule="auto"/>
        <w:ind w:firstLine="426"/>
        <w:jc w:val="right"/>
        <w:rPr>
          <w:rFonts w:ascii="Times New Roman" w:eastAsia="Calibri" w:hAnsi="Times New Roman"/>
          <w:b/>
          <w:i/>
          <w:sz w:val="28"/>
          <w:szCs w:val="28"/>
        </w:rPr>
      </w:pPr>
    </w:p>
    <w:p w:rsidR="0049772A" w:rsidRDefault="0049772A" w:rsidP="00CB462C">
      <w:pPr>
        <w:spacing w:after="0" w:line="240" w:lineRule="auto"/>
        <w:ind w:firstLine="426"/>
        <w:jc w:val="right"/>
        <w:rPr>
          <w:rFonts w:ascii="Times New Roman" w:eastAsia="Calibri" w:hAnsi="Times New Roman"/>
          <w:b/>
          <w:i/>
          <w:sz w:val="28"/>
          <w:szCs w:val="28"/>
        </w:rPr>
      </w:pPr>
    </w:p>
    <w:p w:rsidR="00CB462C" w:rsidRPr="00CB462C" w:rsidRDefault="00CB462C" w:rsidP="00CB462C">
      <w:pPr>
        <w:spacing w:after="0" w:line="240" w:lineRule="auto"/>
        <w:ind w:firstLine="426"/>
        <w:jc w:val="right"/>
        <w:rPr>
          <w:rFonts w:ascii="Times New Roman" w:eastAsia="Calibri" w:hAnsi="Times New Roman"/>
          <w:b/>
          <w:i/>
          <w:sz w:val="28"/>
          <w:szCs w:val="28"/>
        </w:rPr>
      </w:pPr>
      <w:r w:rsidRPr="00CB462C">
        <w:rPr>
          <w:rFonts w:ascii="Times New Roman" w:eastAsia="Calibri" w:hAnsi="Times New Roman"/>
          <w:b/>
          <w:i/>
          <w:sz w:val="28"/>
          <w:szCs w:val="28"/>
        </w:rPr>
        <w:lastRenderedPageBreak/>
        <w:t xml:space="preserve">Рисунок </w:t>
      </w:r>
      <w:bookmarkStart w:id="0" w:name="_GoBack"/>
      <w:bookmarkEnd w:id="0"/>
      <w:r w:rsidR="0049772A" w:rsidRPr="00AF7A8D">
        <w:rPr>
          <w:rFonts w:ascii="Times New Roman" w:eastAsia="Calibri" w:hAnsi="Times New Roman"/>
          <w:b/>
          <w:i/>
          <w:sz w:val="28"/>
          <w:szCs w:val="28"/>
          <w:highlight w:val="yellow"/>
        </w:rPr>
        <w:t>45</w:t>
      </w:r>
    </w:p>
    <w:p w:rsidR="00CB462C" w:rsidRPr="00CB462C" w:rsidRDefault="00CB462C" w:rsidP="00CB462C">
      <w:pPr>
        <w:spacing w:after="0" w:line="240" w:lineRule="auto"/>
        <w:ind w:firstLine="426"/>
        <w:jc w:val="right"/>
        <w:rPr>
          <w:rFonts w:ascii="Times New Roman" w:eastAsia="Calibri" w:hAnsi="Times New Roman"/>
          <w:b/>
          <w:i/>
          <w:sz w:val="10"/>
          <w:szCs w:val="10"/>
        </w:rPr>
      </w:pPr>
    </w:p>
    <w:p w:rsidR="00CB462C" w:rsidRPr="00AF7A8D" w:rsidRDefault="00CB462C" w:rsidP="00CB462C">
      <w:pPr>
        <w:spacing w:after="0" w:line="240" w:lineRule="auto"/>
        <w:ind w:firstLine="426"/>
        <w:jc w:val="center"/>
        <w:rPr>
          <w:rFonts w:ascii="Times New Roman" w:eastAsia="Calibri" w:hAnsi="Times New Roman"/>
          <w:b/>
          <w:sz w:val="24"/>
          <w:szCs w:val="24"/>
        </w:rPr>
      </w:pPr>
      <w:r w:rsidRPr="00AF7A8D">
        <w:rPr>
          <w:rFonts w:ascii="Times New Roman" w:eastAsia="Calibri" w:hAnsi="Times New Roman"/>
          <w:b/>
          <w:sz w:val="24"/>
          <w:szCs w:val="24"/>
        </w:rPr>
        <w:t xml:space="preserve">Структура неналоговых поступлений в доходную часть </w:t>
      </w:r>
    </w:p>
    <w:p w:rsidR="00CB462C" w:rsidRPr="00AF7A8D" w:rsidRDefault="00CB462C" w:rsidP="00CB462C">
      <w:pPr>
        <w:spacing w:after="0" w:line="240" w:lineRule="auto"/>
        <w:ind w:left="142" w:firstLine="426"/>
        <w:jc w:val="center"/>
        <w:rPr>
          <w:rFonts w:ascii="Times New Roman" w:eastAsia="Calibri" w:hAnsi="Times New Roman"/>
          <w:b/>
          <w:sz w:val="24"/>
          <w:szCs w:val="24"/>
        </w:rPr>
      </w:pPr>
      <w:r w:rsidRPr="00AF7A8D">
        <w:rPr>
          <w:rFonts w:ascii="Times New Roman" w:eastAsia="Calibri" w:hAnsi="Times New Roman"/>
          <w:b/>
          <w:sz w:val="24"/>
          <w:szCs w:val="24"/>
        </w:rPr>
        <w:t>Консолидированного бюджета</w:t>
      </w:r>
      <w:r w:rsidR="00AF7A8D" w:rsidRPr="00AF7A8D">
        <w:rPr>
          <w:rFonts w:ascii="Times New Roman" w:eastAsia="Calibri" w:hAnsi="Times New Roman"/>
          <w:b/>
          <w:sz w:val="24"/>
          <w:szCs w:val="24"/>
        </w:rPr>
        <w:t>,</w:t>
      </w:r>
      <w:r w:rsidRPr="00AF7A8D">
        <w:rPr>
          <w:rFonts w:ascii="Times New Roman" w:eastAsia="Calibri" w:hAnsi="Times New Roman"/>
          <w:b/>
          <w:sz w:val="24"/>
          <w:szCs w:val="24"/>
        </w:rPr>
        <w:t xml:space="preserve"> %</w:t>
      </w:r>
    </w:p>
    <w:p w:rsidR="00CB462C" w:rsidRPr="00CB462C" w:rsidRDefault="00CB462C" w:rsidP="00CB462C">
      <w:pPr>
        <w:spacing w:after="0" w:line="240" w:lineRule="auto"/>
        <w:ind w:left="-426"/>
        <w:jc w:val="both"/>
        <w:rPr>
          <w:rFonts w:ascii="Times New Roman" w:eastAsia="Calibri" w:hAnsi="Times New Roman"/>
          <w:sz w:val="28"/>
          <w:szCs w:val="28"/>
        </w:rPr>
      </w:pPr>
      <w:r w:rsidRPr="00CB462C">
        <w:rPr>
          <w:rFonts w:ascii="Times New Roman" w:eastAsia="Calibri" w:hAnsi="Times New Roman"/>
          <w:noProof/>
          <w:sz w:val="28"/>
          <w:szCs w:val="28"/>
        </w:rPr>
        <w:drawing>
          <wp:inline distT="0" distB="0" distL="0" distR="0">
            <wp:extent cx="2381250" cy="2619375"/>
            <wp:effectExtent l="19050" t="0" r="0" b="0"/>
            <wp:docPr id="3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CB462C">
        <w:rPr>
          <w:rFonts w:ascii="Times New Roman" w:eastAsia="Calibri" w:hAnsi="Times New Roman"/>
          <w:noProof/>
          <w:sz w:val="28"/>
          <w:szCs w:val="28"/>
        </w:rPr>
        <w:drawing>
          <wp:inline distT="0" distB="0" distL="0" distR="0">
            <wp:extent cx="3571875" cy="2466975"/>
            <wp:effectExtent l="19050" t="0" r="0" b="0"/>
            <wp:docPr id="4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B462C" w:rsidRP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t xml:space="preserve">По итогам 2018 года доходы </w:t>
      </w:r>
      <w:r w:rsidRPr="00CB462C">
        <w:rPr>
          <w:rFonts w:ascii="Times New Roman" w:eastAsia="Calibri" w:hAnsi="Times New Roman"/>
          <w:b/>
          <w:sz w:val="28"/>
          <w:szCs w:val="28"/>
        </w:rPr>
        <w:t>целевых бюджетных фондов</w:t>
      </w:r>
      <w:r w:rsidRPr="00CB462C">
        <w:rPr>
          <w:rFonts w:ascii="Times New Roman" w:eastAsia="Calibri" w:hAnsi="Times New Roman"/>
          <w:sz w:val="28"/>
          <w:szCs w:val="28"/>
        </w:rPr>
        <w:t xml:space="preserve"> увеличились в 2,0 раза в основном за счет значительных (197 290 433 руб.) поступлений фонда капитальных вложений,</w:t>
      </w:r>
      <w:r w:rsidRPr="00CB462C">
        <w:rPr>
          <w:sz w:val="28"/>
          <w:szCs w:val="28"/>
        </w:rPr>
        <w:t xml:space="preserve"> </w:t>
      </w:r>
      <w:r w:rsidRPr="00CB462C">
        <w:rPr>
          <w:rFonts w:ascii="Times New Roman" w:eastAsia="Calibri" w:hAnsi="Times New Roman"/>
          <w:sz w:val="28"/>
          <w:szCs w:val="28"/>
        </w:rPr>
        <w:t xml:space="preserve">призванном обеспечить ресурсами масштабную задачу улучшения материально-технической базы бюджетных учреждений, которые составили 37,5% всех поступлений целевых бюджетных фондов. При этом рост отмечен по платежам в </w:t>
      </w:r>
      <w:r w:rsidRPr="00CB462C">
        <w:rPr>
          <w:rFonts w:ascii="Times New Roman" w:eastAsia="Calibri" w:hAnsi="Times New Roman"/>
          <w:b/>
          <w:sz w:val="28"/>
          <w:szCs w:val="28"/>
        </w:rPr>
        <w:t>дорожные фонды</w:t>
      </w:r>
      <w:r w:rsidRPr="00CB462C">
        <w:rPr>
          <w:rFonts w:ascii="Times New Roman" w:eastAsia="Calibri" w:hAnsi="Times New Roman"/>
          <w:sz w:val="28"/>
          <w:szCs w:val="28"/>
        </w:rPr>
        <w:t xml:space="preserve"> на 32,3%. В целевые бюджетные </w:t>
      </w:r>
      <w:r w:rsidRPr="00CB462C">
        <w:rPr>
          <w:rFonts w:ascii="Times New Roman" w:eastAsia="Calibri" w:hAnsi="Times New Roman"/>
          <w:b/>
          <w:sz w:val="28"/>
          <w:szCs w:val="28"/>
        </w:rPr>
        <w:t>экологические фонды</w:t>
      </w:r>
      <w:r w:rsidRPr="00CB462C">
        <w:rPr>
          <w:rFonts w:ascii="Times New Roman" w:eastAsia="Calibri" w:hAnsi="Times New Roman"/>
          <w:sz w:val="28"/>
          <w:szCs w:val="28"/>
        </w:rPr>
        <w:t xml:space="preserve"> поступило средств на 22,1% больше, чем в 2017 году. Поступления средств в целевой </w:t>
      </w:r>
      <w:r w:rsidRPr="00CB462C">
        <w:rPr>
          <w:rFonts w:ascii="Times New Roman" w:eastAsia="Calibri" w:hAnsi="Times New Roman"/>
          <w:b/>
          <w:sz w:val="28"/>
          <w:szCs w:val="28"/>
        </w:rPr>
        <w:t>фонд Государственного таможенного комитета</w:t>
      </w:r>
      <w:r w:rsidRPr="00CB462C">
        <w:rPr>
          <w:rFonts w:ascii="Times New Roman" w:eastAsia="Calibri" w:hAnsi="Times New Roman"/>
          <w:sz w:val="28"/>
          <w:szCs w:val="28"/>
        </w:rPr>
        <w:t xml:space="preserve"> за отчетный год выросли на 31,5% до 69 910 437 руб. </w:t>
      </w:r>
    </w:p>
    <w:p w:rsidR="00CB462C" w:rsidRPr="00CB462C" w:rsidRDefault="00CB462C" w:rsidP="00CB462C">
      <w:pPr>
        <w:spacing w:after="0" w:line="240" w:lineRule="auto"/>
        <w:ind w:firstLine="426"/>
        <w:jc w:val="both"/>
        <w:rPr>
          <w:rFonts w:ascii="Times New Roman" w:eastAsia="Calibri" w:hAnsi="Times New Roman"/>
          <w:spacing w:val="-4"/>
          <w:sz w:val="28"/>
          <w:szCs w:val="28"/>
        </w:rPr>
      </w:pPr>
      <w:r w:rsidRPr="00CB462C">
        <w:rPr>
          <w:rFonts w:ascii="Times New Roman" w:eastAsia="Calibri" w:hAnsi="Times New Roman"/>
          <w:b/>
          <w:spacing w:val="-4"/>
          <w:sz w:val="28"/>
          <w:szCs w:val="28"/>
        </w:rPr>
        <w:t>Доходы от предпринимательской и иной приносящей доход деятельности</w:t>
      </w:r>
      <w:r w:rsidRPr="00CB462C">
        <w:rPr>
          <w:rFonts w:ascii="Times New Roman" w:eastAsia="Calibri" w:hAnsi="Times New Roman"/>
          <w:spacing w:val="-4"/>
          <w:sz w:val="28"/>
          <w:szCs w:val="28"/>
        </w:rPr>
        <w:t xml:space="preserve"> за 2018 год также выросли на 5,8% и составили 219 107 204 руб. </w:t>
      </w:r>
    </w:p>
    <w:p w:rsidR="00CB462C" w:rsidRPr="00CB462C" w:rsidRDefault="00CB462C" w:rsidP="00CB462C">
      <w:pPr>
        <w:spacing w:after="0" w:line="240" w:lineRule="auto"/>
        <w:ind w:firstLine="426"/>
        <w:jc w:val="both"/>
        <w:rPr>
          <w:rFonts w:ascii="Times New Roman" w:eastAsia="Calibri" w:hAnsi="Times New Roman"/>
          <w:spacing w:val="-4"/>
          <w:sz w:val="28"/>
          <w:szCs w:val="28"/>
        </w:rPr>
      </w:pPr>
    </w:p>
    <w:p w:rsidR="00CB462C" w:rsidRPr="00CB462C" w:rsidRDefault="00CB462C" w:rsidP="00CB462C">
      <w:pPr>
        <w:spacing w:after="0" w:line="240" w:lineRule="auto"/>
        <w:ind w:firstLine="426"/>
        <w:jc w:val="both"/>
        <w:rPr>
          <w:rFonts w:ascii="Times New Roman" w:eastAsia="Calibri" w:hAnsi="Times New Roman"/>
          <w:spacing w:val="-4"/>
          <w:sz w:val="28"/>
          <w:szCs w:val="28"/>
        </w:rPr>
      </w:pPr>
      <w:r w:rsidRPr="00CB462C">
        <w:rPr>
          <w:rFonts w:ascii="Times New Roman" w:eastAsia="Calibri" w:hAnsi="Times New Roman"/>
          <w:spacing w:val="-4"/>
          <w:sz w:val="28"/>
          <w:szCs w:val="28"/>
        </w:rPr>
        <w:t>Расходы консолидированного бюджета за 2018 год сократились на 3,4% до 4 185 458 046 руб., в том числе по республиканскому бюджету – на 6,7%, при этом по местным бюджетам отмечен рост на 5,4%</w:t>
      </w:r>
      <w:r w:rsidR="006A580E">
        <w:rPr>
          <w:rFonts w:ascii="Times New Roman" w:eastAsia="Calibri" w:hAnsi="Times New Roman"/>
          <w:spacing w:val="-4"/>
          <w:sz w:val="28"/>
          <w:szCs w:val="28"/>
        </w:rPr>
        <w:t xml:space="preserve"> (рис. 46)</w:t>
      </w:r>
      <w:r w:rsidRPr="00CB462C">
        <w:rPr>
          <w:rFonts w:ascii="Times New Roman" w:eastAsia="Calibri" w:hAnsi="Times New Roman"/>
          <w:spacing w:val="-4"/>
          <w:sz w:val="28"/>
          <w:szCs w:val="28"/>
        </w:rPr>
        <w:t>.</w:t>
      </w:r>
    </w:p>
    <w:p w:rsidR="00CB462C" w:rsidRPr="00CB462C" w:rsidRDefault="00CB462C" w:rsidP="00CB462C">
      <w:pPr>
        <w:spacing w:after="0" w:line="240" w:lineRule="auto"/>
        <w:ind w:firstLine="426"/>
        <w:jc w:val="right"/>
        <w:rPr>
          <w:rFonts w:ascii="Times New Roman" w:eastAsia="Calibri" w:hAnsi="Times New Roman"/>
          <w:sz w:val="28"/>
          <w:szCs w:val="28"/>
        </w:rPr>
      </w:pPr>
      <w:r w:rsidRPr="00CB462C">
        <w:rPr>
          <w:rFonts w:ascii="Times New Roman" w:eastAsia="Calibri" w:hAnsi="Times New Roman"/>
          <w:sz w:val="28"/>
          <w:szCs w:val="28"/>
        </w:rPr>
        <w:t>Таблица №</w:t>
      </w:r>
      <w:r w:rsidR="00434F04">
        <w:rPr>
          <w:rFonts w:ascii="Times New Roman" w:eastAsia="Calibri" w:hAnsi="Times New Roman"/>
          <w:sz w:val="28"/>
          <w:szCs w:val="28"/>
        </w:rPr>
        <w:t>9</w:t>
      </w:r>
    </w:p>
    <w:p w:rsidR="00CB462C" w:rsidRPr="00CB462C" w:rsidRDefault="00CB462C" w:rsidP="00CB462C">
      <w:pPr>
        <w:spacing w:after="0" w:line="240" w:lineRule="auto"/>
        <w:ind w:firstLine="426"/>
        <w:contextualSpacing/>
        <w:jc w:val="center"/>
        <w:rPr>
          <w:rFonts w:ascii="Times New Roman" w:eastAsia="Calibri" w:hAnsi="Times New Roman"/>
          <w:b/>
          <w:sz w:val="28"/>
          <w:szCs w:val="28"/>
        </w:rPr>
      </w:pPr>
      <w:r w:rsidRPr="00CB462C">
        <w:rPr>
          <w:rFonts w:ascii="Times New Roman" w:eastAsia="Calibri" w:hAnsi="Times New Roman"/>
          <w:b/>
          <w:sz w:val="28"/>
          <w:szCs w:val="28"/>
        </w:rPr>
        <w:t>Структура исполнения расходной части</w:t>
      </w:r>
    </w:p>
    <w:p w:rsidR="00CB462C" w:rsidRPr="00CB462C" w:rsidRDefault="00CB462C" w:rsidP="00CB462C">
      <w:pPr>
        <w:spacing w:after="0" w:line="240" w:lineRule="auto"/>
        <w:ind w:firstLine="426"/>
        <w:contextualSpacing/>
        <w:jc w:val="center"/>
        <w:rPr>
          <w:rFonts w:ascii="Times New Roman" w:eastAsia="Calibri" w:hAnsi="Times New Roman"/>
          <w:b/>
          <w:sz w:val="28"/>
          <w:szCs w:val="28"/>
        </w:rPr>
      </w:pPr>
      <w:r w:rsidRPr="00CB462C">
        <w:rPr>
          <w:rFonts w:ascii="Times New Roman" w:eastAsia="Calibri" w:hAnsi="Times New Roman"/>
          <w:b/>
          <w:sz w:val="28"/>
          <w:szCs w:val="28"/>
        </w:rPr>
        <w:t>консолидированного бюджета за 2018 год (руб.)</w:t>
      </w:r>
    </w:p>
    <w:tbl>
      <w:tblPr>
        <w:tblW w:w="9673" w:type="dxa"/>
        <w:tblInd w:w="108" w:type="dxa"/>
        <w:tblLayout w:type="fixed"/>
        <w:tblLook w:val="0000" w:firstRow="0" w:lastRow="0" w:firstColumn="0" w:lastColumn="0" w:noHBand="0" w:noVBand="0"/>
      </w:tblPr>
      <w:tblGrid>
        <w:gridCol w:w="3396"/>
        <w:gridCol w:w="1866"/>
        <w:gridCol w:w="1866"/>
        <w:gridCol w:w="1019"/>
        <w:gridCol w:w="1526"/>
      </w:tblGrid>
      <w:tr w:rsidR="00CB462C" w:rsidRPr="00CB462C" w:rsidTr="00653B80">
        <w:trPr>
          <w:trHeight w:val="425"/>
        </w:trPr>
        <w:tc>
          <w:tcPr>
            <w:tcW w:w="3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B462C" w:rsidRPr="00CB462C" w:rsidRDefault="00CB462C" w:rsidP="00CB462C">
            <w:pPr>
              <w:spacing w:after="0" w:line="240" w:lineRule="auto"/>
              <w:ind w:left="709" w:firstLine="426"/>
              <w:contextualSpacing/>
              <w:rPr>
                <w:rFonts w:ascii="Times New Roman" w:eastAsia="Calibri" w:hAnsi="Times New Roman"/>
                <w:b/>
                <w:sz w:val="26"/>
                <w:szCs w:val="26"/>
              </w:rPr>
            </w:pPr>
          </w:p>
        </w:tc>
        <w:tc>
          <w:tcPr>
            <w:tcW w:w="18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B462C" w:rsidRPr="00CB462C" w:rsidRDefault="00CB462C" w:rsidP="00CB462C">
            <w:pPr>
              <w:spacing w:after="0" w:line="240" w:lineRule="auto"/>
              <w:ind w:firstLine="40"/>
              <w:contextualSpacing/>
              <w:jc w:val="center"/>
              <w:rPr>
                <w:rFonts w:ascii="Times New Roman" w:eastAsia="Calibri" w:hAnsi="Times New Roman"/>
                <w:b/>
                <w:sz w:val="26"/>
                <w:szCs w:val="26"/>
              </w:rPr>
            </w:pPr>
            <w:r w:rsidRPr="00CB462C">
              <w:rPr>
                <w:rFonts w:ascii="Times New Roman" w:eastAsia="Calibri" w:hAnsi="Times New Roman"/>
                <w:b/>
                <w:sz w:val="26"/>
                <w:szCs w:val="26"/>
              </w:rPr>
              <w:t>План</w:t>
            </w:r>
          </w:p>
        </w:tc>
        <w:tc>
          <w:tcPr>
            <w:tcW w:w="18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B462C" w:rsidRPr="00CB462C" w:rsidRDefault="00CB462C" w:rsidP="00CB462C">
            <w:pPr>
              <w:spacing w:after="0" w:line="240" w:lineRule="auto"/>
              <w:ind w:firstLine="40"/>
              <w:contextualSpacing/>
              <w:jc w:val="center"/>
              <w:rPr>
                <w:rFonts w:ascii="Times New Roman" w:eastAsia="Calibri" w:hAnsi="Times New Roman"/>
                <w:b/>
                <w:sz w:val="26"/>
                <w:szCs w:val="26"/>
              </w:rPr>
            </w:pPr>
            <w:r w:rsidRPr="00CB462C">
              <w:rPr>
                <w:rFonts w:ascii="Times New Roman" w:eastAsia="Calibri" w:hAnsi="Times New Roman"/>
                <w:b/>
                <w:sz w:val="26"/>
                <w:szCs w:val="26"/>
              </w:rPr>
              <w:t>Факт</w:t>
            </w:r>
          </w:p>
        </w:tc>
        <w:tc>
          <w:tcPr>
            <w:tcW w:w="10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B462C" w:rsidRPr="00CB462C" w:rsidRDefault="00CB462C" w:rsidP="00CB462C">
            <w:pPr>
              <w:spacing w:after="0" w:line="240" w:lineRule="auto"/>
              <w:ind w:left="-290" w:right="-183" w:firstLine="426"/>
              <w:contextualSpacing/>
              <w:rPr>
                <w:rFonts w:ascii="Times New Roman" w:eastAsia="Calibri" w:hAnsi="Times New Roman"/>
                <w:b/>
                <w:sz w:val="26"/>
                <w:szCs w:val="26"/>
              </w:rPr>
            </w:pPr>
            <w:r w:rsidRPr="00CB462C">
              <w:rPr>
                <w:rFonts w:ascii="Times New Roman" w:eastAsia="Calibri" w:hAnsi="Times New Roman"/>
                <w:b/>
                <w:sz w:val="26"/>
                <w:szCs w:val="26"/>
              </w:rPr>
              <w:t>%</w:t>
            </w:r>
          </w:p>
          <w:p w:rsidR="00CB462C" w:rsidRPr="00CB462C" w:rsidRDefault="00CB462C" w:rsidP="00CB462C">
            <w:pPr>
              <w:spacing w:after="0" w:line="240" w:lineRule="auto"/>
              <w:ind w:left="-6" w:right="-183"/>
              <w:contextualSpacing/>
              <w:rPr>
                <w:rFonts w:ascii="Times New Roman" w:eastAsia="Calibri" w:hAnsi="Times New Roman"/>
                <w:b/>
                <w:sz w:val="26"/>
                <w:szCs w:val="26"/>
              </w:rPr>
            </w:pPr>
            <w:r w:rsidRPr="00CB462C">
              <w:rPr>
                <w:rFonts w:ascii="Times New Roman" w:eastAsia="Calibri" w:hAnsi="Times New Roman"/>
                <w:b/>
                <w:sz w:val="26"/>
                <w:szCs w:val="26"/>
              </w:rPr>
              <w:t>испол</w:t>
            </w:r>
          </w:p>
          <w:p w:rsidR="00CB462C" w:rsidRPr="00CB462C" w:rsidRDefault="00CB462C" w:rsidP="00CB462C">
            <w:pPr>
              <w:spacing w:after="0" w:line="240" w:lineRule="auto"/>
              <w:ind w:left="-6" w:right="-183"/>
              <w:contextualSpacing/>
              <w:rPr>
                <w:rFonts w:ascii="Times New Roman" w:eastAsia="Calibri" w:hAnsi="Times New Roman"/>
                <w:b/>
                <w:sz w:val="26"/>
                <w:szCs w:val="26"/>
              </w:rPr>
            </w:pPr>
            <w:r w:rsidRPr="00CB462C">
              <w:rPr>
                <w:rFonts w:ascii="Times New Roman" w:eastAsia="Calibri" w:hAnsi="Times New Roman"/>
                <w:b/>
                <w:sz w:val="26"/>
                <w:szCs w:val="26"/>
              </w:rPr>
              <w:t>нения</w:t>
            </w:r>
          </w:p>
        </w:tc>
        <w:tc>
          <w:tcPr>
            <w:tcW w:w="1526" w:type="dxa"/>
            <w:tcBorders>
              <w:top w:val="single" w:sz="4" w:space="0" w:color="auto"/>
              <w:left w:val="nil"/>
              <w:bottom w:val="single" w:sz="4" w:space="0" w:color="auto"/>
              <w:right w:val="single" w:sz="4" w:space="0" w:color="auto"/>
            </w:tcBorders>
            <w:shd w:val="clear" w:color="auto" w:fill="D9D9D9" w:themeFill="background1" w:themeFillShade="D9"/>
          </w:tcPr>
          <w:p w:rsidR="00CB462C" w:rsidRPr="00CB462C" w:rsidRDefault="00CB462C" w:rsidP="00CB462C">
            <w:pPr>
              <w:spacing w:after="0" w:line="240" w:lineRule="auto"/>
              <w:ind w:right="-73"/>
              <w:contextualSpacing/>
              <w:jc w:val="center"/>
              <w:rPr>
                <w:rFonts w:ascii="Times New Roman" w:eastAsia="Calibri" w:hAnsi="Times New Roman"/>
                <w:b/>
                <w:sz w:val="26"/>
                <w:szCs w:val="26"/>
              </w:rPr>
            </w:pPr>
            <w:r w:rsidRPr="00CB462C">
              <w:rPr>
                <w:rFonts w:ascii="Times New Roman" w:eastAsia="Calibri" w:hAnsi="Times New Roman"/>
                <w:b/>
                <w:sz w:val="26"/>
                <w:szCs w:val="26"/>
              </w:rPr>
              <w:t>Темп роста 2018г. к 2017г., %</w:t>
            </w:r>
          </w:p>
        </w:tc>
      </w:tr>
      <w:tr w:rsidR="00CB462C" w:rsidRPr="00CB462C" w:rsidTr="00653B80">
        <w:trPr>
          <w:trHeight w:val="96"/>
        </w:trPr>
        <w:tc>
          <w:tcPr>
            <w:tcW w:w="3396" w:type="dxa"/>
            <w:tcBorders>
              <w:top w:val="nil"/>
              <w:left w:val="single" w:sz="4" w:space="0" w:color="auto"/>
              <w:bottom w:val="single" w:sz="4" w:space="0" w:color="auto"/>
              <w:right w:val="single" w:sz="4" w:space="0" w:color="auto"/>
            </w:tcBorders>
            <w:noWrap/>
          </w:tcPr>
          <w:p w:rsidR="00CB462C" w:rsidRPr="00CB462C" w:rsidRDefault="00CB462C" w:rsidP="00CB462C">
            <w:pPr>
              <w:spacing w:after="0" w:line="240" w:lineRule="auto"/>
              <w:contextualSpacing/>
              <w:rPr>
                <w:rFonts w:ascii="Times New Roman" w:eastAsia="Calibri" w:hAnsi="Times New Roman"/>
                <w:b/>
                <w:bCs/>
                <w:sz w:val="26"/>
                <w:szCs w:val="26"/>
              </w:rPr>
            </w:pPr>
            <w:r w:rsidRPr="00CB462C">
              <w:rPr>
                <w:rFonts w:ascii="Times New Roman" w:eastAsia="Calibri" w:hAnsi="Times New Roman"/>
                <w:b/>
                <w:bCs/>
                <w:sz w:val="26"/>
                <w:szCs w:val="26"/>
              </w:rPr>
              <w:t>Консолидированный бюджет</w:t>
            </w:r>
          </w:p>
        </w:tc>
        <w:tc>
          <w:tcPr>
            <w:tcW w:w="1866" w:type="dxa"/>
            <w:tcBorders>
              <w:top w:val="nil"/>
              <w:left w:val="nil"/>
              <w:bottom w:val="single" w:sz="4" w:space="0" w:color="auto"/>
              <w:right w:val="single" w:sz="4" w:space="0" w:color="auto"/>
            </w:tcBorders>
            <w:noWrap/>
            <w:vAlign w:val="center"/>
          </w:tcPr>
          <w:p w:rsidR="00CB462C" w:rsidRPr="00CB462C" w:rsidRDefault="00CB462C" w:rsidP="00CB462C">
            <w:pPr>
              <w:spacing w:after="0" w:line="240" w:lineRule="auto"/>
              <w:ind w:firstLine="40"/>
              <w:contextualSpacing/>
              <w:jc w:val="center"/>
              <w:rPr>
                <w:rFonts w:ascii="Times New Roman" w:eastAsia="Calibri" w:hAnsi="Times New Roman"/>
                <w:b/>
                <w:bCs/>
                <w:sz w:val="26"/>
                <w:szCs w:val="26"/>
              </w:rPr>
            </w:pPr>
            <w:r w:rsidRPr="00CB462C">
              <w:rPr>
                <w:rFonts w:ascii="Times New Roman" w:eastAsia="Calibri" w:hAnsi="Times New Roman"/>
                <w:b/>
                <w:bCs/>
                <w:sz w:val="26"/>
                <w:szCs w:val="26"/>
              </w:rPr>
              <w:t>4 655 656 724</w:t>
            </w:r>
          </w:p>
        </w:tc>
        <w:tc>
          <w:tcPr>
            <w:tcW w:w="1866" w:type="dxa"/>
            <w:tcBorders>
              <w:top w:val="nil"/>
              <w:left w:val="nil"/>
              <w:bottom w:val="single" w:sz="4" w:space="0" w:color="auto"/>
              <w:right w:val="single" w:sz="4" w:space="0" w:color="auto"/>
            </w:tcBorders>
            <w:noWrap/>
            <w:vAlign w:val="center"/>
          </w:tcPr>
          <w:p w:rsidR="00CB462C" w:rsidRPr="00CB462C" w:rsidRDefault="00CB462C" w:rsidP="00CB462C">
            <w:pPr>
              <w:spacing w:after="0" w:line="240" w:lineRule="auto"/>
              <w:ind w:firstLine="40"/>
              <w:contextualSpacing/>
              <w:jc w:val="center"/>
              <w:rPr>
                <w:rFonts w:ascii="Times New Roman" w:eastAsia="Calibri" w:hAnsi="Times New Roman"/>
                <w:b/>
                <w:bCs/>
                <w:sz w:val="26"/>
                <w:szCs w:val="26"/>
              </w:rPr>
            </w:pPr>
            <w:r w:rsidRPr="00CB462C">
              <w:rPr>
                <w:rFonts w:ascii="Times New Roman" w:eastAsia="Calibri" w:hAnsi="Times New Roman"/>
                <w:b/>
                <w:bCs/>
                <w:sz w:val="26"/>
                <w:szCs w:val="26"/>
              </w:rPr>
              <w:t>4 185 458 046</w:t>
            </w:r>
          </w:p>
        </w:tc>
        <w:tc>
          <w:tcPr>
            <w:tcW w:w="1019" w:type="dxa"/>
            <w:tcBorders>
              <w:top w:val="nil"/>
              <w:left w:val="nil"/>
              <w:bottom w:val="single" w:sz="4" w:space="0" w:color="auto"/>
              <w:right w:val="single" w:sz="4" w:space="0" w:color="auto"/>
            </w:tcBorders>
            <w:noWrap/>
            <w:vAlign w:val="center"/>
          </w:tcPr>
          <w:p w:rsidR="00CB462C" w:rsidRPr="00CB462C" w:rsidRDefault="00CB462C" w:rsidP="00CB462C">
            <w:pPr>
              <w:spacing w:after="0" w:line="240" w:lineRule="auto"/>
              <w:ind w:firstLine="40"/>
              <w:contextualSpacing/>
              <w:jc w:val="center"/>
              <w:rPr>
                <w:rFonts w:ascii="Times New Roman" w:eastAsia="Calibri" w:hAnsi="Times New Roman"/>
                <w:b/>
                <w:bCs/>
                <w:sz w:val="26"/>
                <w:szCs w:val="26"/>
              </w:rPr>
            </w:pPr>
            <w:r w:rsidRPr="00CB462C">
              <w:rPr>
                <w:rFonts w:ascii="Times New Roman" w:eastAsia="Calibri" w:hAnsi="Times New Roman"/>
                <w:b/>
                <w:bCs/>
                <w:sz w:val="26"/>
                <w:szCs w:val="26"/>
              </w:rPr>
              <w:t>89,9</w:t>
            </w:r>
          </w:p>
        </w:tc>
        <w:tc>
          <w:tcPr>
            <w:tcW w:w="1526" w:type="dxa"/>
            <w:tcBorders>
              <w:top w:val="nil"/>
              <w:left w:val="nil"/>
              <w:bottom w:val="single" w:sz="4" w:space="0" w:color="auto"/>
              <w:right w:val="single" w:sz="4" w:space="0" w:color="auto"/>
            </w:tcBorders>
            <w:vAlign w:val="center"/>
          </w:tcPr>
          <w:p w:rsidR="00CB462C" w:rsidRPr="00CB462C" w:rsidRDefault="00CB462C" w:rsidP="00CB462C">
            <w:pPr>
              <w:spacing w:after="0" w:line="240" w:lineRule="auto"/>
              <w:ind w:firstLine="40"/>
              <w:contextualSpacing/>
              <w:jc w:val="center"/>
              <w:rPr>
                <w:rFonts w:ascii="Times New Roman" w:eastAsia="Calibri" w:hAnsi="Times New Roman"/>
                <w:b/>
                <w:bCs/>
                <w:sz w:val="26"/>
                <w:szCs w:val="26"/>
              </w:rPr>
            </w:pPr>
            <w:r w:rsidRPr="00CB462C">
              <w:rPr>
                <w:rFonts w:ascii="Times New Roman" w:eastAsia="Calibri" w:hAnsi="Times New Roman"/>
                <w:b/>
                <w:bCs/>
                <w:sz w:val="26"/>
                <w:szCs w:val="26"/>
              </w:rPr>
              <w:t>96,6</w:t>
            </w:r>
          </w:p>
        </w:tc>
      </w:tr>
      <w:tr w:rsidR="00CB462C" w:rsidRPr="00CB462C" w:rsidTr="00653B80">
        <w:trPr>
          <w:trHeight w:val="144"/>
        </w:trPr>
        <w:tc>
          <w:tcPr>
            <w:tcW w:w="3396" w:type="dxa"/>
            <w:tcBorders>
              <w:top w:val="nil"/>
              <w:left w:val="single" w:sz="4" w:space="0" w:color="auto"/>
              <w:bottom w:val="single" w:sz="4" w:space="0" w:color="auto"/>
              <w:right w:val="single" w:sz="4" w:space="0" w:color="auto"/>
            </w:tcBorders>
            <w:noWrap/>
          </w:tcPr>
          <w:p w:rsidR="00CB462C" w:rsidRPr="00CB462C" w:rsidRDefault="00CB462C" w:rsidP="00CB462C">
            <w:pPr>
              <w:spacing w:after="0" w:line="240" w:lineRule="auto"/>
              <w:contextualSpacing/>
              <w:rPr>
                <w:rFonts w:ascii="Times New Roman" w:eastAsia="Calibri" w:hAnsi="Times New Roman"/>
                <w:bCs/>
                <w:sz w:val="26"/>
                <w:szCs w:val="26"/>
              </w:rPr>
            </w:pPr>
            <w:r w:rsidRPr="00CB462C">
              <w:rPr>
                <w:rFonts w:ascii="Times New Roman" w:eastAsia="Calibri" w:hAnsi="Times New Roman"/>
                <w:bCs/>
                <w:sz w:val="26"/>
                <w:szCs w:val="26"/>
              </w:rPr>
              <w:t>Республиканский бюджет</w:t>
            </w:r>
          </w:p>
        </w:tc>
        <w:tc>
          <w:tcPr>
            <w:tcW w:w="1866" w:type="dxa"/>
            <w:tcBorders>
              <w:top w:val="nil"/>
              <w:left w:val="nil"/>
              <w:bottom w:val="single" w:sz="4" w:space="0" w:color="auto"/>
              <w:right w:val="single" w:sz="4" w:space="0" w:color="auto"/>
            </w:tcBorders>
            <w:noWrap/>
            <w:vAlign w:val="center"/>
          </w:tcPr>
          <w:p w:rsidR="00CB462C" w:rsidRPr="00CB462C" w:rsidRDefault="00CB462C" w:rsidP="00CB462C">
            <w:pPr>
              <w:spacing w:after="0" w:line="240" w:lineRule="auto"/>
              <w:ind w:firstLine="40"/>
              <w:contextualSpacing/>
              <w:jc w:val="center"/>
              <w:rPr>
                <w:rFonts w:ascii="Times New Roman" w:eastAsia="Calibri" w:hAnsi="Times New Roman"/>
                <w:bCs/>
                <w:sz w:val="26"/>
                <w:szCs w:val="26"/>
              </w:rPr>
            </w:pPr>
            <w:r w:rsidRPr="00CB462C">
              <w:rPr>
                <w:rFonts w:ascii="Times New Roman" w:eastAsia="Calibri" w:hAnsi="Times New Roman"/>
                <w:bCs/>
                <w:sz w:val="26"/>
                <w:szCs w:val="26"/>
              </w:rPr>
              <w:t>3 321 535 778</w:t>
            </w:r>
          </w:p>
        </w:tc>
        <w:tc>
          <w:tcPr>
            <w:tcW w:w="1866" w:type="dxa"/>
            <w:tcBorders>
              <w:top w:val="nil"/>
              <w:left w:val="nil"/>
              <w:bottom w:val="single" w:sz="4" w:space="0" w:color="auto"/>
              <w:right w:val="single" w:sz="4" w:space="0" w:color="auto"/>
            </w:tcBorders>
            <w:noWrap/>
            <w:vAlign w:val="center"/>
          </w:tcPr>
          <w:p w:rsidR="00CB462C" w:rsidRPr="00CB462C" w:rsidRDefault="00CB462C" w:rsidP="00CB462C">
            <w:pPr>
              <w:spacing w:after="0" w:line="240" w:lineRule="auto"/>
              <w:ind w:firstLine="40"/>
              <w:contextualSpacing/>
              <w:jc w:val="center"/>
              <w:rPr>
                <w:rFonts w:ascii="Times New Roman" w:eastAsia="Calibri" w:hAnsi="Times New Roman"/>
                <w:bCs/>
                <w:sz w:val="26"/>
                <w:szCs w:val="26"/>
              </w:rPr>
            </w:pPr>
            <w:r w:rsidRPr="00CB462C">
              <w:rPr>
                <w:rFonts w:ascii="Times New Roman" w:eastAsia="Calibri" w:hAnsi="Times New Roman"/>
                <w:bCs/>
                <w:sz w:val="26"/>
                <w:szCs w:val="26"/>
              </w:rPr>
              <w:t>2 923 935 574</w:t>
            </w:r>
          </w:p>
        </w:tc>
        <w:tc>
          <w:tcPr>
            <w:tcW w:w="1019" w:type="dxa"/>
            <w:tcBorders>
              <w:top w:val="nil"/>
              <w:left w:val="nil"/>
              <w:bottom w:val="single" w:sz="4" w:space="0" w:color="auto"/>
              <w:right w:val="single" w:sz="4" w:space="0" w:color="auto"/>
            </w:tcBorders>
            <w:noWrap/>
            <w:vAlign w:val="center"/>
          </w:tcPr>
          <w:p w:rsidR="00CB462C" w:rsidRPr="00CB462C" w:rsidRDefault="00CB462C" w:rsidP="00CB462C">
            <w:pPr>
              <w:spacing w:after="0" w:line="240" w:lineRule="auto"/>
              <w:ind w:firstLine="40"/>
              <w:contextualSpacing/>
              <w:jc w:val="center"/>
              <w:rPr>
                <w:rFonts w:ascii="Times New Roman" w:eastAsia="Calibri" w:hAnsi="Times New Roman"/>
                <w:bCs/>
                <w:sz w:val="26"/>
                <w:szCs w:val="26"/>
              </w:rPr>
            </w:pPr>
            <w:r w:rsidRPr="00CB462C">
              <w:rPr>
                <w:rFonts w:ascii="Times New Roman" w:eastAsia="Calibri" w:hAnsi="Times New Roman"/>
                <w:bCs/>
                <w:sz w:val="26"/>
                <w:szCs w:val="26"/>
              </w:rPr>
              <w:t>88,0</w:t>
            </w:r>
          </w:p>
        </w:tc>
        <w:tc>
          <w:tcPr>
            <w:tcW w:w="1526" w:type="dxa"/>
            <w:tcBorders>
              <w:top w:val="nil"/>
              <w:left w:val="nil"/>
              <w:bottom w:val="single" w:sz="4" w:space="0" w:color="auto"/>
              <w:right w:val="single" w:sz="4" w:space="0" w:color="auto"/>
            </w:tcBorders>
            <w:vAlign w:val="center"/>
          </w:tcPr>
          <w:p w:rsidR="00CB462C" w:rsidRPr="00CB462C" w:rsidRDefault="00CB462C" w:rsidP="00CB462C">
            <w:pPr>
              <w:spacing w:after="0" w:line="240" w:lineRule="auto"/>
              <w:ind w:firstLine="40"/>
              <w:contextualSpacing/>
              <w:jc w:val="center"/>
              <w:rPr>
                <w:rFonts w:ascii="Times New Roman" w:eastAsia="Calibri" w:hAnsi="Times New Roman"/>
                <w:bCs/>
                <w:sz w:val="26"/>
                <w:szCs w:val="26"/>
              </w:rPr>
            </w:pPr>
            <w:r w:rsidRPr="00CB462C">
              <w:rPr>
                <w:rFonts w:ascii="Times New Roman" w:eastAsia="Calibri" w:hAnsi="Times New Roman"/>
                <w:bCs/>
                <w:sz w:val="26"/>
                <w:szCs w:val="26"/>
              </w:rPr>
              <w:t>93,3</w:t>
            </w:r>
          </w:p>
        </w:tc>
      </w:tr>
      <w:tr w:rsidR="00CB462C" w:rsidRPr="00CB462C" w:rsidTr="00653B80">
        <w:trPr>
          <w:trHeight w:val="161"/>
        </w:trPr>
        <w:tc>
          <w:tcPr>
            <w:tcW w:w="3396" w:type="dxa"/>
            <w:tcBorders>
              <w:top w:val="nil"/>
              <w:left w:val="single" w:sz="4" w:space="0" w:color="auto"/>
              <w:bottom w:val="single" w:sz="4" w:space="0" w:color="auto"/>
              <w:right w:val="single" w:sz="4" w:space="0" w:color="auto"/>
            </w:tcBorders>
            <w:noWrap/>
          </w:tcPr>
          <w:p w:rsidR="00CB462C" w:rsidRPr="00CB462C" w:rsidRDefault="00CB462C" w:rsidP="00CB462C">
            <w:pPr>
              <w:spacing w:after="0" w:line="240" w:lineRule="auto"/>
              <w:ind w:firstLine="34"/>
              <w:contextualSpacing/>
              <w:rPr>
                <w:rFonts w:ascii="Times New Roman" w:eastAsia="Calibri" w:hAnsi="Times New Roman"/>
                <w:bCs/>
                <w:sz w:val="26"/>
                <w:szCs w:val="26"/>
              </w:rPr>
            </w:pPr>
            <w:r w:rsidRPr="00CB462C">
              <w:rPr>
                <w:rFonts w:ascii="Times New Roman" w:eastAsia="Calibri" w:hAnsi="Times New Roman"/>
                <w:bCs/>
                <w:sz w:val="26"/>
                <w:szCs w:val="26"/>
              </w:rPr>
              <w:t>Местные бюджеты</w:t>
            </w:r>
          </w:p>
        </w:tc>
        <w:tc>
          <w:tcPr>
            <w:tcW w:w="1866" w:type="dxa"/>
            <w:tcBorders>
              <w:top w:val="nil"/>
              <w:left w:val="nil"/>
              <w:bottom w:val="single" w:sz="4" w:space="0" w:color="auto"/>
              <w:right w:val="single" w:sz="4" w:space="0" w:color="auto"/>
            </w:tcBorders>
            <w:noWrap/>
            <w:vAlign w:val="center"/>
          </w:tcPr>
          <w:p w:rsidR="00CB462C" w:rsidRPr="00CB462C" w:rsidRDefault="00CB462C" w:rsidP="00CB462C">
            <w:pPr>
              <w:spacing w:after="0" w:line="240" w:lineRule="auto"/>
              <w:ind w:firstLine="40"/>
              <w:contextualSpacing/>
              <w:jc w:val="center"/>
              <w:rPr>
                <w:rFonts w:ascii="Times New Roman" w:eastAsia="Calibri" w:hAnsi="Times New Roman"/>
                <w:bCs/>
                <w:sz w:val="26"/>
                <w:szCs w:val="26"/>
              </w:rPr>
            </w:pPr>
            <w:r w:rsidRPr="00CB462C">
              <w:rPr>
                <w:rFonts w:ascii="Times New Roman" w:eastAsia="Calibri" w:hAnsi="Times New Roman"/>
                <w:bCs/>
                <w:sz w:val="26"/>
                <w:szCs w:val="26"/>
              </w:rPr>
              <w:t>1 334 120 946</w:t>
            </w:r>
          </w:p>
        </w:tc>
        <w:tc>
          <w:tcPr>
            <w:tcW w:w="1866" w:type="dxa"/>
            <w:tcBorders>
              <w:top w:val="nil"/>
              <w:left w:val="nil"/>
              <w:bottom w:val="single" w:sz="4" w:space="0" w:color="auto"/>
              <w:right w:val="single" w:sz="4" w:space="0" w:color="auto"/>
            </w:tcBorders>
            <w:noWrap/>
            <w:vAlign w:val="center"/>
          </w:tcPr>
          <w:p w:rsidR="00CB462C" w:rsidRPr="00CB462C" w:rsidRDefault="00CB462C" w:rsidP="00CB462C">
            <w:pPr>
              <w:spacing w:after="0" w:line="240" w:lineRule="auto"/>
              <w:ind w:firstLine="40"/>
              <w:contextualSpacing/>
              <w:jc w:val="center"/>
              <w:rPr>
                <w:rFonts w:ascii="Times New Roman" w:eastAsia="Calibri" w:hAnsi="Times New Roman"/>
                <w:bCs/>
                <w:sz w:val="26"/>
                <w:szCs w:val="26"/>
              </w:rPr>
            </w:pPr>
            <w:r w:rsidRPr="00CB462C">
              <w:rPr>
                <w:rFonts w:ascii="Times New Roman" w:eastAsia="Calibri" w:hAnsi="Times New Roman"/>
                <w:bCs/>
                <w:sz w:val="26"/>
                <w:szCs w:val="26"/>
              </w:rPr>
              <w:t>1 261 522 472</w:t>
            </w:r>
          </w:p>
        </w:tc>
        <w:tc>
          <w:tcPr>
            <w:tcW w:w="1019" w:type="dxa"/>
            <w:tcBorders>
              <w:top w:val="nil"/>
              <w:left w:val="nil"/>
              <w:bottom w:val="single" w:sz="4" w:space="0" w:color="auto"/>
              <w:right w:val="single" w:sz="4" w:space="0" w:color="auto"/>
            </w:tcBorders>
            <w:noWrap/>
            <w:vAlign w:val="center"/>
          </w:tcPr>
          <w:p w:rsidR="00CB462C" w:rsidRPr="00CB462C" w:rsidRDefault="00CB462C" w:rsidP="00CB462C">
            <w:pPr>
              <w:spacing w:after="0" w:line="240" w:lineRule="auto"/>
              <w:ind w:firstLine="40"/>
              <w:contextualSpacing/>
              <w:jc w:val="center"/>
              <w:rPr>
                <w:rFonts w:ascii="Times New Roman" w:eastAsia="Calibri" w:hAnsi="Times New Roman"/>
                <w:bCs/>
                <w:sz w:val="26"/>
                <w:szCs w:val="26"/>
              </w:rPr>
            </w:pPr>
            <w:r w:rsidRPr="00CB462C">
              <w:rPr>
                <w:rFonts w:ascii="Times New Roman" w:eastAsia="Calibri" w:hAnsi="Times New Roman"/>
                <w:bCs/>
                <w:sz w:val="26"/>
                <w:szCs w:val="26"/>
              </w:rPr>
              <w:t>94,6</w:t>
            </w:r>
          </w:p>
        </w:tc>
        <w:tc>
          <w:tcPr>
            <w:tcW w:w="1526" w:type="dxa"/>
            <w:tcBorders>
              <w:top w:val="nil"/>
              <w:left w:val="nil"/>
              <w:bottom w:val="single" w:sz="4" w:space="0" w:color="auto"/>
              <w:right w:val="single" w:sz="4" w:space="0" w:color="auto"/>
            </w:tcBorders>
            <w:vAlign w:val="center"/>
          </w:tcPr>
          <w:p w:rsidR="00CB462C" w:rsidRPr="00CB462C" w:rsidRDefault="00CB462C" w:rsidP="00CB462C">
            <w:pPr>
              <w:spacing w:after="0" w:line="240" w:lineRule="auto"/>
              <w:ind w:firstLine="40"/>
              <w:contextualSpacing/>
              <w:jc w:val="center"/>
              <w:rPr>
                <w:rFonts w:ascii="Times New Roman" w:eastAsia="Calibri" w:hAnsi="Times New Roman"/>
                <w:bCs/>
                <w:sz w:val="26"/>
                <w:szCs w:val="26"/>
              </w:rPr>
            </w:pPr>
            <w:r w:rsidRPr="00CB462C">
              <w:rPr>
                <w:rFonts w:ascii="Times New Roman" w:eastAsia="Calibri" w:hAnsi="Times New Roman"/>
                <w:bCs/>
                <w:sz w:val="26"/>
                <w:szCs w:val="26"/>
              </w:rPr>
              <w:t>105,4</w:t>
            </w:r>
          </w:p>
        </w:tc>
      </w:tr>
    </w:tbl>
    <w:p w:rsidR="0049772A" w:rsidRDefault="0049772A" w:rsidP="00CB462C">
      <w:pPr>
        <w:spacing w:line="240" w:lineRule="auto"/>
        <w:ind w:firstLine="426"/>
        <w:contextualSpacing/>
        <w:jc w:val="both"/>
        <w:rPr>
          <w:rFonts w:ascii="Times New Roman" w:eastAsia="Calibri" w:hAnsi="Times New Roman"/>
          <w:sz w:val="28"/>
          <w:szCs w:val="28"/>
        </w:rPr>
      </w:pPr>
    </w:p>
    <w:p w:rsidR="0049772A" w:rsidRDefault="0049772A" w:rsidP="00CB462C">
      <w:pPr>
        <w:spacing w:line="240" w:lineRule="auto"/>
        <w:ind w:firstLine="426"/>
        <w:contextualSpacing/>
        <w:jc w:val="both"/>
        <w:rPr>
          <w:rFonts w:ascii="Times New Roman" w:eastAsia="Calibri" w:hAnsi="Times New Roman"/>
          <w:sz w:val="28"/>
          <w:szCs w:val="28"/>
        </w:rPr>
      </w:pPr>
    </w:p>
    <w:p w:rsidR="0049772A" w:rsidRDefault="0049772A" w:rsidP="00CB462C">
      <w:pPr>
        <w:spacing w:line="240" w:lineRule="auto"/>
        <w:ind w:firstLine="426"/>
        <w:contextualSpacing/>
        <w:jc w:val="both"/>
        <w:rPr>
          <w:rFonts w:ascii="Times New Roman" w:eastAsia="Calibri" w:hAnsi="Times New Roman"/>
          <w:sz w:val="28"/>
          <w:szCs w:val="28"/>
        </w:rPr>
      </w:pPr>
    </w:p>
    <w:p w:rsidR="0049772A" w:rsidRDefault="0049772A" w:rsidP="00CB462C">
      <w:pPr>
        <w:spacing w:line="240" w:lineRule="auto"/>
        <w:ind w:firstLine="426"/>
        <w:contextualSpacing/>
        <w:jc w:val="both"/>
        <w:rPr>
          <w:rFonts w:ascii="Times New Roman" w:eastAsia="Calibri" w:hAnsi="Times New Roman"/>
          <w:sz w:val="28"/>
          <w:szCs w:val="28"/>
        </w:rPr>
      </w:pPr>
    </w:p>
    <w:p w:rsidR="0049772A" w:rsidRDefault="0049772A" w:rsidP="00CB462C">
      <w:pPr>
        <w:spacing w:line="240" w:lineRule="auto"/>
        <w:ind w:firstLine="426"/>
        <w:contextualSpacing/>
        <w:jc w:val="both"/>
        <w:rPr>
          <w:rFonts w:ascii="Times New Roman" w:eastAsia="Calibri" w:hAnsi="Times New Roman"/>
          <w:sz w:val="28"/>
          <w:szCs w:val="28"/>
        </w:rPr>
      </w:pPr>
    </w:p>
    <w:p w:rsidR="0049772A" w:rsidRDefault="0049772A" w:rsidP="00CB462C">
      <w:pPr>
        <w:spacing w:line="240" w:lineRule="auto"/>
        <w:ind w:firstLine="426"/>
        <w:contextualSpacing/>
        <w:jc w:val="both"/>
        <w:rPr>
          <w:rFonts w:ascii="Times New Roman" w:eastAsia="Calibri" w:hAnsi="Times New Roman"/>
          <w:sz w:val="28"/>
          <w:szCs w:val="28"/>
        </w:rPr>
      </w:pPr>
    </w:p>
    <w:p w:rsidR="0049772A" w:rsidRPr="00CB462C" w:rsidRDefault="0049772A" w:rsidP="0049772A">
      <w:pPr>
        <w:spacing w:after="0" w:line="240" w:lineRule="auto"/>
        <w:ind w:firstLine="426"/>
        <w:jc w:val="right"/>
        <w:rPr>
          <w:rFonts w:ascii="Times New Roman" w:eastAsia="Calibri" w:hAnsi="Times New Roman"/>
          <w:b/>
          <w:i/>
          <w:sz w:val="28"/>
          <w:szCs w:val="28"/>
        </w:rPr>
      </w:pPr>
      <w:r w:rsidRPr="00CB462C">
        <w:rPr>
          <w:rFonts w:ascii="Times New Roman" w:eastAsia="Calibri" w:hAnsi="Times New Roman"/>
          <w:b/>
          <w:i/>
          <w:sz w:val="28"/>
          <w:szCs w:val="28"/>
        </w:rPr>
        <w:lastRenderedPageBreak/>
        <w:t xml:space="preserve">Рисунок </w:t>
      </w:r>
      <w:r>
        <w:rPr>
          <w:rFonts w:ascii="Times New Roman" w:eastAsia="Calibri" w:hAnsi="Times New Roman"/>
          <w:b/>
          <w:i/>
          <w:sz w:val="28"/>
          <w:szCs w:val="28"/>
        </w:rPr>
        <w:t>46</w:t>
      </w:r>
    </w:p>
    <w:p w:rsidR="00CB462C" w:rsidRPr="00CB462C" w:rsidRDefault="00CB462C" w:rsidP="00CB462C">
      <w:pPr>
        <w:spacing w:line="240" w:lineRule="auto"/>
        <w:ind w:firstLine="426"/>
        <w:contextualSpacing/>
        <w:jc w:val="both"/>
        <w:rPr>
          <w:rFonts w:ascii="Times New Roman" w:eastAsia="Calibri" w:hAnsi="Times New Roman"/>
          <w:sz w:val="28"/>
          <w:szCs w:val="28"/>
        </w:rPr>
      </w:pPr>
      <w:r w:rsidRPr="00CB462C">
        <w:rPr>
          <w:rFonts w:ascii="Times New Roman" w:eastAsia="Calibri" w:hAnsi="Times New Roman"/>
          <w:noProof/>
          <w:sz w:val="28"/>
          <w:szCs w:val="28"/>
        </w:rPr>
        <w:drawing>
          <wp:inline distT="0" distB="0" distL="0" distR="0">
            <wp:extent cx="5210175" cy="2085975"/>
            <wp:effectExtent l="0" t="0" r="0" b="0"/>
            <wp:docPr id="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B462C" w:rsidRPr="00CB462C" w:rsidRDefault="00CB462C" w:rsidP="00CB462C">
      <w:pPr>
        <w:spacing w:line="240" w:lineRule="auto"/>
        <w:ind w:firstLine="426"/>
        <w:contextualSpacing/>
        <w:jc w:val="both"/>
        <w:rPr>
          <w:rFonts w:ascii="Times New Roman" w:eastAsia="Calibri" w:hAnsi="Times New Roman"/>
          <w:sz w:val="10"/>
          <w:szCs w:val="10"/>
        </w:rPr>
      </w:pPr>
    </w:p>
    <w:p w:rsidR="00CB462C" w:rsidRPr="00CB462C" w:rsidRDefault="00CB462C" w:rsidP="00CB462C">
      <w:pPr>
        <w:spacing w:line="240" w:lineRule="auto"/>
        <w:ind w:firstLine="426"/>
        <w:contextualSpacing/>
        <w:jc w:val="both"/>
        <w:rPr>
          <w:rFonts w:ascii="Times New Roman" w:eastAsia="Calibri" w:hAnsi="Times New Roman"/>
          <w:sz w:val="28"/>
          <w:szCs w:val="28"/>
        </w:rPr>
      </w:pPr>
      <w:r w:rsidRPr="00CB462C">
        <w:rPr>
          <w:rFonts w:ascii="Times New Roman" w:eastAsia="Calibri" w:hAnsi="Times New Roman"/>
          <w:sz w:val="28"/>
          <w:szCs w:val="28"/>
        </w:rPr>
        <w:t>Фактическое финансирование в 2018 году по основным разделам функциональной классификации расходов осуществлялось достаточно равномерно. Приоритетными направлениями продолжают оставаться образование (23,0%), здравоохранение (12,3%), социальная политика (10,2%) и в минувшем году по этим направлениям было выделено соответственно 21,1%, 10,7% и 9,4% средств. Доля фактических расходов государства по финансированию социальных отраслей увеличилась на 4,5 п.п. до 47,4</w:t>
      </w:r>
      <w:r w:rsidR="006A580E">
        <w:rPr>
          <w:rFonts w:ascii="Times New Roman" w:eastAsia="Calibri" w:hAnsi="Times New Roman"/>
          <w:sz w:val="28"/>
          <w:szCs w:val="28"/>
        </w:rPr>
        <w:t>% совокупного показателя (рис. 47</w:t>
      </w:r>
      <w:r w:rsidRPr="00CB462C">
        <w:rPr>
          <w:rFonts w:ascii="Times New Roman" w:eastAsia="Calibri" w:hAnsi="Times New Roman"/>
          <w:sz w:val="28"/>
          <w:szCs w:val="28"/>
        </w:rPr>
        <w:t>). При этом доля прочих расходов (в том числе расходов, профинансированных из средств учреждений, оказывающих платные услуги, а также расходов, направленных на реализацию государственных целевых (и нецелевых) программ) сократилась с 26,3% до 14,2%. В тоже время доля расходов на финансовую помощь бюджетам других уровней также сократилась с 5,2% до 4,5%.</w:t>
      </w:r>
    </w:p>
    <w:p w:rsidR="00CB462C" w:rsidRPr="00CB462C" w:rsidRDefault="00CB462C" w:rsidP="00CB462C">
      <w:pPr>
        <w:spacing w:after="0" w:line="240" w:lineRule="auto"/>
        <w:ind w:firstLine="426"/>
        <w:contextualSpacing/>
        <w:jc w:val="right"/>
        <w:rPr>
          <w:rFonts w:ascii="Times New Roman" w:eastAsia="Calibri" w:hAnsi="Times New Roman"/>
          <w:b/>
          <w:i/>
          <w:sz w:val="28"/>
          <w:szCs w:val="28"/>
        </w:rPr>
      </w:pPr>
      <w:r w:rsidRPr="00CB462C">
        <w:rPr>
          <w:rFonts w:ascii="Times New Roman" w:eastAsia="Calibri" w:hAnsi="Times New Roman"/>
          <w:b/>
          <w:i/>
          <w:sz w:val="28"/>
          <w:szCs w:val="28"/>
        </w:rPr>
        <w:t xml:space="preserve">Рисунок </w:t>
      </w:r>
      <w:r w:rsidR="006A580E">
        <w:rPr>
          <w:rFonts w:ascii="Times New Roman" w:eastAsia="Calibri" w:hAnsi="Times New Roman"/>
          <w:b/>
          <w:i/>
          <w:sz w:val="28"/>
          <w:szCs w:val="28"/>
        </w:rPr>
        <w:t>47</w:t>
      </w:r>
    </w:p>
    <w:p w:rsidR="00CB462C" w:rsidRPr="00CB462C" w:rsidRDefault="00CB462C" w:rsidP="00CB462C">
      <w:pPr>
        <w:spacing w:after="0" w:line="240" w:lineRule="auto"/>
        <w:ind w:right="-284"/>
        <w:jc w:val="both"/>
        <w:rPr>
          <w:rFonts w:ascii="Times New Roman" w:eastAsia="Calibri" w:hAnsi="Times New Roman"/>
          <w:sz w:val="28"/>
          <w:szCs w:val="28"/>
        </w:rPr>
      </w:pPr>
      <w:r w:rsidRPr="00CB462C">
        <w:rPr>
          <w:rFonts w:ascii="Times New Roman" w:eastAsia="Calibri" w:hAnsi="Times New Roman"/>
          <w:noProof/>
          <w:sz w:val="28"/>
          <w:szCs w:val="28"/>
        </w:rPr>
        <w:drawing>
          <wp:inline distT="0" distB="0" distL="0" distR="0">
            <wp:extent cx="2600325" cy="2238375"/>
            <wp:effectExtent l="19050" t="0" r="0" b="0"/>
            <wp:docPr id="4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CB462C">
        <w:rPr>
          <w:rFonts w:ascii="Times New Roman" w:eastAsia="Calibri" w:hAnsi="Times New Roman"/>
          <w:noProof/>
          <w:sz w:val="28"/>
          <w:szCs w:val="28"/>
        </w:rPr>
        <w:drawing>
          <wp:inline distT="0" distB="0" distL="0" distR="0">
            <wp:extent cx="3344545" cy="2238375"/>
            <wp:effectExtent l="19050" t="0" r="8255" b="0"/>
            <wp:docPr id="4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B462C" w:rsidRP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t>Благодаря политике экономии бюджетных средств, выделяемых на содержание государственного аппарата, долевое представление данной статьи увеличилось незначительно на 0,5 п.п. и составило 6,0%.</w:t>
      </w:r>
    </w:p>
    <w:p w:rsidR="00CB462C" w:rsidRPr="00CB462C" w:rsidRDefault="00CB462C" w:rsidP="00CB462C">
      <w:pPr>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t>Затраты на содержание силовых структур и органов обеспечения правопорядка остаются весомой частью в бюджетных расходах, их удельный вес вырос с 14,1% до 16,1%.</w:t>
      </w:r>
    </w:p>
    <w:p w:rsidR="00CB462C" w:rsidRPr="00CB462C" w:rsidRDefault="00CB462C" w:rsidP="00CB462C">
      <w:pPr>
        <w:suppressAutoHyphens/>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t xml:space="preserve">Направленность расходов консолидированного бюджета 2018 года сохраняла социальный характер, что подтверждается долей расходов фактически профинансированных социально-защищенных статей в суммарном </w:t>
      </w:r>
      <w:r w:rsidRPr="00CB462C">
        <w:rPr>
          <w:rFonts w:ascii="Times New Roman" w:eastAsia="Calibri" w:hAnsi="Times New Roman"/>
          <w:sz w:val="28"/>
          <w:szCs w:val="28"/>
        </w:rPr>
        <w:lastRenderedPageBreak/>
        <w:t xml:space="preserve">показателе, которая составила 71,9% (+0,6% в абсолютном выражении к базовому показателю минувшего года). </w:t>
      </w:r>
    </w:p>
    <w:p w:rsidR="00CB462C" w:rsidRPr="00CB462C" w:rsidRDefault="00CB462C" w:rsidP="00CB462C">
      <w:pPr>
        <w:suppressAutoHyphens/>
        <w:spacing w:after="0" w:line="240" w:lineRule="auto"/>
        <w:ind w:firstLine="426"/>
        <w:jc w:val="both"/>
        <w:rPr>
          <w:rFonts w:ascii="Times New Roman" w:eastAsia="Calibri" w:hAnsi="Times New Roman"/>
          <w:sz w:val="28"/>
          <w:szCs w:val="28"/>
        </w:rPr>
      </w:pPr>
      <w:r w:rsidRPr="00CB462C">
        <w:rPr>
          <w:rFonts w:ascii="Times New Roman" w:eastAsia="Calibri" w:hAnsi="Times New Roman"/>
          <w:sz w:val="28"/>
          <w:szCs w:val="28"/>
        </w:rPr>
        <w:t xml:space="preserve">Расходы по социально защищенным статьям республиканского бюджета были исполнены на 90,3% и профинансированы в объеме </w:t>
      </w:r>
      <w:r w:rsidRPr="00CB462C">
        <w:rPr>
          <w:rFonts w:ascii="Times New Roman" w:eastAsia="Calibri" w:hAnsi="Times New Roman"/>
          <w:bCs/>
          <w:sz w:val="28"/>
          <w:szCs w:val="28"/>
        </w:rPr>
        <w:t xml:space="preserve">2 067 384 249 </w:t>
      </w:r>
      <w:r w:rsidRPr="00CB462C">
        <w:rPr>
          <w:rFonts w:ascii="Times New Roman" w:eastAsia="Calibri" w:hAnsi="Times New Roman"/>
          <w:sz w:val="28"/>
          <w:szCs w:val="28"/>
        </w:rPr>
        <w:t>руб.</w:t>
      </w:r>
      <w:r w:rsidRPr="00CB462C">
        <w:rPr>
          <w:rFonts w:ascii="Times New Roman" w:eastAsia="Calibri" w:hAnsi="Times New Roman"/>
          <w:spacing w:val="-2"/>
          <w:sz w:val="28"/>
          <w:szCs w:val="28"/>
        </w:rPr>
        <w:t xml:space="preserve"> Наибольший удельный вес в них занимали затраты на выплату заработной платы с учетом взносов на социальное страхование – 63,5%, а также: социальные пенсии – 7,1%; пенсии и пожизненное содержание – 3,8%.</w:t>
      </w:r>
    </w:p>
    <w:p w:rsidR="00CB462C" w:rsidRPr="00CB462C" w:rsidRDefault="00CB462C" w:rsidP="00CB462C">
      <w:pPr>
        <w:shd w:val="clear" w:color="auto" w:fill="FFFFFF"/>
        <w:tabs>
          <w:tab w:val="left" w:pos="7368"/>
        </w:tabs>
        <w:spacing w:after="0" w:line="240" w:lineRule="auto"/>
        <w:ind w:firstLine="426"/>
        <w:contextualSpacing/>
        <w:jc w:val="both"/>
        <w:rPr>
          <w:rFonts w:ascii="Times New Roman" w:eastAsia="Calibri" w:hAnsi="Times New Roman"/>
          <w:spacing w:val="-2"/>
          <w:sz w:val="28"/>
          <w:szCs w:val="28"/>
        </w:rPr>
      </w:pPr>
      <w:r w:rsidRPr="00CB462C">
        <w:rPr>
          <w:rFonts w:ascii="Times New Roman" w:eastAsia="Calibri" w:hAnsi="Times New Roman"/>
          <w:sz w:val="28"/>
          <w:szCs w:val="28"/>
        </w:rPr>
        <w:t xml:space="preserve">Расходы по социально защищенным статьям местных бюджетов были исполнены на 98,5% и составили </w:t>
      </w:r>
      <w:r w:rsidRPr="00CB462C">
        <w:rPr>
          <w:rFonts w:ascii="Times New Roman" w:eastAsia="Calibri" w:hAnsi="Times New Roman"/>
          <w:bCs/>
          <w:sz w:val="28"/>
          <w:szCs w:val="28"/>
        </w:rPr>
        <w:t xml:space="preserve">942 808 433 </w:t>
      </w:r>
      <w:r w:rsidRPr="00CB462C">
        <w:rPr>
          <w:rFonts w:ascii="Times New Roman" w:eastAsia="Calibri" w:hAnsi="Times New Roman"/>
          <w:sz w:val="28"/>
          <w:szCs w:val="28"/>
        </w:rPr>
        <w:t xml:space="preserve">руб., из которых 93,1% было направлено </w:t>
      </w:r>
      <w:r w:rsidRPr="00CB462C">
        <w:rPr>
          <w:rFonts w:ascii="Times New Roman" w:eastAsia="Calibri" w:hAnsi="Times New Roman"/>
          <w:spacing w:val="-2"/>
          <w:sz w:val="28"/>
          <w:szCs w:val="28"/>
        </w:rPr>
        <w:t>на выплату заработной платы с учетом взносов на социальное страхование.</w:t>
      </w:r>
    </w:p>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В 2018 году в результате превышения расходов консолидированного бюджета над доходами (на 40,4%), отмечено увеличение сальдо расходов и доходов консолидированного бюджета к уровню 2017 года на 0,8% до 1 203 887 096 руб., что соответствует 8,7% ВВП.</w:t>
      </w:r>
    </w:p>
    <w:p w:rsidR="00CB462C" w:rsidRPr="00CB462C" w:rsidRDefault="00CB462C" w:rsidP="00CB462C">
      <w:pPr>
        <w:spacing w:after="0" w:line="240" w:lineRule="auto"/>
        <w:ind w:firstLine="426"/>
        <w:jc w:val="right"/>
        <w:rPr>
          <w:rFonts w:ascii="Times New Roman" w:hAnsi="Times New Roman"/>
          <w:sz w:val="28"/>
          <w:szCs w:val="28"/>
        </w:rPr>
      </w:pPr>
      <w:r w:rsidRPr="00CB462C">
        <w:rPr>
          <w:rFonts w:ascii="Times New Roman" w:hAnsi="Times New Roman"/>
          <w:sz w:val="28"/>
          <w:szCs w:val="28"/>
        </w:rPr>
        <w:t>Таблица №</w:t>
      </w:r>
      <w:r w:rsidR="00914EB7">
        <w:rPr>
          <w:rFonts w:ascii="Times New Roman" w:hAnsi="Times New Roman"/>
          <w:sz w:val="28"/>
          <w:szCs w:val="28"/>
        </w:rPr>
        <w:t>10</w:t>
      </w:r>
    </w:p>
    <w:p w:rsidR="00CB462C" w:rsidRPr="00CB462C" w:rsidRDefault="00CB462C" w:rsidP="00CB462C">
      <w:pPr>
        <w:spacing w:after="0" w:line="240" w:lineRule="auto"/>
        <w:ind w:firstLine="426"/>
        <w:contextualSpacing/>
        <w:jc w:val="center"/>
        <w:rPr>
          <w:rFonts w:ascii="Times New Roman" w:hAnsi="Times New Roman"/>
          <w:b/>
          <w:sz w:val="28"/>
          <w:szCs w:val="28"/>
        </w:rPr>
      </w:pPr>
      <w:r w:rsidRPr="00CB462C">
        <w:rPr>
          <w:rFonts w:ascii="Times New Roman" w:hAnsi="Times New Roman"/>
          <w:b/>
          <w:sz w:val="28"/>
          <w:szCs w:val="28"/>
        </w:rPr>
        <w:t>Сальдо доходов и расходов Консолидированного бюджета</w:t>
      </w: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1464"/>
        <w:gridCol w:w="886"/>
        <w:gridCol w:w="761"/>
        <w:gridCol w:w="1490"/>
        <w:gridCol w:w="889"/>
        <w:gridCol w:w="766"/>
        <w:gridCol w:w="984"/>
      </w:tblGrid>
      <w:tr w:rsidR="00CB462C" w:rsidRPr="00CB462C" w:rsidTr="00653B80">
        <w:trPr>
          <w:trHeight w:val="381"/>
          <w:jc w:val="center"/>
        </w:trPr>
        <w:tc>
          <w:tcPr>
            <w:tcW w:w="2528" w:type="dxa"/>
            <w:vMerge w:val="restart"/>
            <w:shd w:val="clear" w:color="auto" w:fill="D9D9D9" w:themeFill="background1" w:themeFillShade="D9"/>
            <w:vAlign w:val="center"/>
          </w:tcPr>
          <w:p w:rsidR="00CB462C" w:rsidRPr="00CB462C" w:rsidRDefault="00CB462C" w:rsidP="00CB462C">
            <w:pPr>
              <w:spacing w:after="0" w:line="240" w:lineRule="auto"/>
              <w:ind w:firstLine="426"/>
              <w:contextualSpacing/>
              <w:jc w:val="center"/>
              <w:rPr>
                <w:rFonts w:ascii="Times New Roman" w:eastAsia="Calibri" w:hAnsi="Times New Roman"/>
                <w:b/>
                <w:sz w:val="24"/>
                <w:szCs w:val="24"/>
              </w:rPr>
            </w:pPr>
          </w:p>
        </w:tc>
        <w:tc>
          <w:tcPr>
            <w:tcW w:w="3111" w:type="dxa"/>
            <w:gridSpan w:val="3"/>
            <w:shd w:val="clear" w:color="auto" w:fill="D9D9D9" w:themeFill="background1" w:themeFillShade="D9"/>
            <w:vAlign w:val="center"/>
          </w:tcPr>
          <w:p w:rsidR="00CB462C" w:rsidRPr="00CB462C" w:rsidRDefault="00CB462C" w:rsidP="00CB462C">
            <w:pPr>
              <w:spacing w:after="0" w:line="240" w:lineRule="auto"/>
              <w:ind w:firstLine="426"/>
              <w:contextualSpacing/>
              <w:jc w:val="center"/>
              <w:rPr>
                <w:rFonts w:ascii="Times New Roman" w:eastAsia="Calibri" w:hAnsi="Times New Roman"/>
                <w:b/>
                <w:sz w:val="24"/>
                <w:szCs w:val="24"/>
              </w:rPr>
            </w:pPr>
            <w:r w:rsidRPr="00CB462C">
              <w:rPr>
                <w:rFonts w:ascii="Times New Roman" w:eastAsia="Calibri" w:hAnsi="Times New Roman"/>
                <w:b/>
                <w:sz w:val="24"/>
                <w:szCs w:val="24"/>
              </w:rPr>
              <w:t>2017 год</w:t>
            </w:r>
          </w:p>
        </w:tc>
        <w:tc>
          <w:tcPr>
            <w:tcW w:w="3145" w:type="dxa"/>
            <w:gridSpan w:val="3"/>
            <w:shd w:val="clear" w:color="auto" w:fill="D9D9D9" w:themeFill="background1" w:themeFillShade="D9"/>
            <w:vAlign w:val="center"/>
          </w:tcPr>
          <w:p w:rsidR="00CB462C" w:rsidRPr="00CB462C" w:rsidRDefault="00CB462C" w:rsidP="00CB462C">
            <w:pPr>
              <w:spacing w:after="0" w:line="240" w:lineRule="auto"/>
              <w:ind w:firstLine="426"/>
              <w:contextualSpacing/>
              <w:jc w:val="center"/>
              <w:rPr>
                <w:rFonts w:ascii="Times New Roman" w:eastAsia="Calibri" w:hAnsi="Times New Roman"/>
                <w:b/>
                <w:sz w:val="24"/>
                <w:szCs w:val="24"/>
              </w:rPr>
            </w:pPr>
            <w:r w:rsidRPr="00CB462C">
              <w:rPr>
                <w:rFonts w:ascii="Times New Roman" w:eastAsia="Calibri" w:hAnsi="Times New Roman"/>
                <w:b/>
                <w:sz w:val="24"/>
                <w:szCs w:val="24"/>
              </w:rPr>
              <w:t>2018 год</w:t>
            </w:r>
          </w:p>
        </w:tc>
        <w:tc>
          <w:tcPr>
            <w:tcW w:w="984" w:type="dxa"/>
            <w:vMerge w:val="restart"/>
            <w:shd w:val="clear" w:color="auto" w:fill="D9D9D9" w:themeFill="background1" w:themeFillShade="D9"/>
            <w:vAlign w:val="center"/>
          </w:tcPr>
          <w:p w:rsidR="00CB462C" w:rsidRPr="00CB462C" w:rsidRDefault="00CB462C" w:rsidP="00CB462C">
            <w:pPr>
              <w:spacing w:after="0" w:line="240" w:lineRule="auto"/>
              <w:ind w:left="-70" w:right="-165" w:firstLine="70"/>
              <w:contextualSpacing/>
              <w:jc w:val="center"/>
              <w:rPr>
                <w:rFonts w:ascii="Times New Roman" w:eastAsia="Calibri" w:hAnsi="Times New Roman"/>
                <w:b/>
                <w:sz w:val="24"/>
                <w:szCs w:val="24"/>
              </w:rPr>
            </w:pPr>
            <w:r w:rsidRPr="00CB462C">
              <w:rPr>
                <w:rFonts w:ascii="Times New Roman" w:eastAsia="Calibri" w:hAnsi="Times New Roman"/>
                <w:b/>
                <w:sz w:val="24"/>
                <w:szCs w:val="24"/>
              </w:rPr>
              <w:t>Темп роста. 2018г. к</w:t>
            </w:r>
          </w:p>
          <w:p w:rsidR="00CB462C" w:rsidRPr="00CB462C" w:rsidRDefault="00CB462C" w:rsidP="00CB462C">
            <w:pPr>
              <w:spacing w:after="0" w:line="240" w:lineRule="auto"/>
              <w:ind w:left="-70" w:right="-165" w:firstLine="32"/>
              <w:contextualSpacing/>
              <w:jc w:val="center"/>
              <w:rPr>
                <w:rFonts w:ascii="Times New Roman" w:eastAsia="Calibri" w:hAnsi="Times New Roman"/>
                <w:b/>
                <w:sz w:val="24"/>
                <w:szCs w:val="24"/>
              </w:rPr>
            </w:pPr>
            <w:r w:rsidRPr="00CB462C">
              <w:rPr>
                <w:rFonts w:ascii="Times New Roman" w:eastAsia="Calibri" w:hAnsi="Times New Roman"/>
                <w:b/>
                <w:sz w:val="24"/>
                <w:szCs w:val="24"/>
              </w:rPr>
              <w:t>2017г., %</w:t>
            </w:r>
          </w:p>
        </w:tc>
      </w:tr>
      <w:tr w:rsidR="00CB462C" w:rsidRPr="00CB462C" w:rsidTr="00653B80">
        <w:trPr>
          <w:trHeight w:val="712"/>
          <w:jc w:val="center"/>
        </w:trPr>
        <w:tc>
          <w:tcPr>
            <w:tcW w:w="2528" w:type="dxa"/>
            <w:vMerge/>
            <w:vAlign w:val="center"/>
          </w:tcPr>
          <w:p w:rsidR="00CB462C" w:rsidRPr="00CB462C" w:rsidRDefault="00CB462C" w:rsidP="00CB462C">
            <w:pPr>
              <w:spacing w:after="0" w:line="240" w:lineRule="auto"/>
              <w:ind w:firstLine="426"/>
              <w:jc w:val="center"/>
              <w:rPr>
                <w:rFonts w:ascii="Times New Roman" w:eastAsia="Calibri" w:hAnsi="Times New Roman"/>
                <w:b/>
                <w:sz w:val="24"/>
                <w:szCs w:val="24"/>
              </w:rPr>
            </w:pPr>
          </w:p>
        </w:tc>
        <w:tc>
          <w:tcPr>
            <w:tcW w:w="1464" w:type="dxa"/>
            <w:shd w:val="clear" w:color="auto" w:fill="D9D9D9" w:themeFill="background1" w:themeFillShade="D9"/>
            <w:vAlign w:val="center"/>
          </w:tcPr>
          <w:p w:rsidR="00CB462C" w:rsidRPr="00CB462C" w:rsidRDefault="00CB462C" w:rsidP="00CB462C">
            <w:pPr>
              <w:spacing w:after="0" w:line="240" w:lineRule="auto"/>
              <w:ind w:firstLine="67"/>
              <w:jc w:val="center"/>
              <w:rPr>
                <w:rFonts w:ascii="Times New Roman" w:eastAsia="Calibri" w:hAnsi="Times New Roman"/>
                <w:b/>
                <w:sz w:val="24"/>
                <w:szCs w:val="24"/>
              </w:rPr>
            </w:pPr>
            <w:r w:rsidRPr="00CB462C">
              <w:rPr>
                <w:rFonts w:ascii="Times New Roman" w:eastAsia="Calibri" w:hAnsi="Times New Roman"/>
                <w:b/>
                <w:sz w:val="24"/>
                <w:szCs w:val="24"/>
              </w:rPr>
              <w:t>факт</w:t>
            </w:r>
          </w:p>
        </w:tc>
        <w:tc>
          <w:tcPr>
            <w:tcW w:w="886" w:type="dxa"/>
            <w:shd w:val="clear" w:color="auto" w:fill="D9D9D9" w:themeFill="background1" w:themeFillShade="D9"/>
            <w:vAlign w:val="center"/>
          </w:tcPr>
          <w:p w:rsidR="00CB462C" w:rsidRPr="00CB462C" w:rsidRDefault="00CB462C" w:rsidP="00CB462C">
            <w:pPr>
              <w:spacing w:after="0" w:line="240" w:lineRule="auto"/>
              <w:ind w:firstLine="1"/>
              <w:jc w:val="center"/>
              <w:rPr>
                <w:rFonts w:ascii="Times New Roman" w:eastAsia="Calibri" w:hAnsi="Times New Roman"/>
                <w:b/>
                <w:sz w:val="24"/>
                <w:szCs w:val="24"/>
              </w:rPr>
            </w:pPr>
            <w:r w:rsidRPr="00CB462C">
              <w:rPr>
                <w:rFonts w:ascii="Times New Roman" w:eastAsia="Calibri" w:hAnsi="Times New Roman"/>
                <w:b/>
                <w:sz w:val="24"/>
                <w:szCs w:val="24"/>
              </w:rPr>
              <w:t>% к расх. части</w:t>
            </w:r>
          </w:p>
        </w:tc>
        <w:tc>
          <w:tcPr>
            <w:tcW w:w="761" w:type="dxa"/>
            <w:shd w:val="clear" w:color="auto" w:fill="D9D9D9" w:themeFill="background1" w:themeFillShade="D9"/>
            <w:vAlign w:val="center"/>
          </w:tcPr>
          <w:p w:rsidR="00CB462C" w:rsidRPr="00CB462C" w:rsidRDefault="00CB462C" w:rsidP="00CB462C">
            <w:pPr>
              <w:spacing w:after="0" w:line="240" w:lineRule="auto"/>
              <w:ind w:hanging="34"/>
              <w:jc w:val="center"/>
              <w:rPr>
                <w:rFonts w:ascii="Times New Roman" w:eastAsia="Calibri" w:hAnsi="Times New Roman"/>
                <w:b/>
                <w:sz w:val="24"/>
                <w:szCs w:val="24"/>
              </w:rPr>
            </w:pPr>
            <w:r w:rsidRPr="00CB462C">
              <w:rPr>
                <w:rFonts w:ascii="Times New Roman" w:eastAsia="Calibri" w:hAnsi="Times New Roman"/>
                <w:b/>
                <w:sz w:val="24"/>
                <w:szCs w:val="24"/>
              </w:rPr>
              <w:t>% к ВВП</w:t>
            </w:r>
          </w:p>
        </w:tc>
        <w:tc>
          <w:tcPr>
            <w:tcW w:w="1490" w:type="dxa"/>
            <w:shd w:val="clear" w:color="auto" w:fill="D9D9D9" w:themeFill="background1" w:themeFillShade="D9"/>
            <w:vAlign w:val="center"/>
          </w:tcPr>
          <w:p w:rsidR="00CB462C" w:rsidRPr="00CB462C" w:rsidRDefault="00CB462C" w:rsidP="00CB462C">
            <w:pPr>
              <w:spacing w:after="0" w:line="240" w:lineRule="auto"/>
              <w:ind w:firstLine="67"/>
              <w:jc w:val="center"/>
              <w:rPr>
                <w:rFonts w:ascii="Times New Roman" w:eastAsia="Calibri" w:hAnsi="Times New Roman"/>
                <w:b/>
                <w:sz w:val="24"/>
                <w:szCs w:val="24"/>
              </w:rPr>
            </w:pPr>
            <w:r w:rsidRPr="00CB462C">
              <w:rPr>
                <w:rFonts w:ascii="Times New Roman" w:eastAsia="Calibri" w:hAnsi="Times New Roman"/>
                <w:b/>
                <w:sz w:val="24"/>
                <w:szCs w:val="24"/>
              </w:rPr>
              <w:t>факт</w:t>
            </w:r>
          </w:p>
        </w:tc>
        <w:tc>
          <w:tcPr>
            <w:tcW w:w="889" w:type="dxa"/>
            <w:shd w:val="clear" w:color="auto" w:fill="D9D9D9" w:themeFill="background1" w:themeFillShade="D9"/>
            <w:vAlign w:val="center"/>
          </w:tcPr>
          <w:p w:rsidR="00CB462C" w:rsidRPr="00CB462C" w:rsidRDefault="00CB462C" w:rsidP="00CB462C">
            <w:pPr>
              <w:spacing w:after="0" w:line="240" w:lineRule="auto"/>
              <w:ind w:firstLine="67"/>
              <w:jc w:val="center"/>
              <w:rPr>
                <w:rFonts w:ascii="Times New Roman" w:eastAsia="Calibri" w:hAnsi="Times New Roman"/>
                <w:b/>
                <w:sz w:val="24"/>
                <w:szCs w:val="24"/>
              </w:rPr>
            </w:pPr>
            <w:r w:rsidRPr="00CB462C">
              <w:rPr>
                <w:rFonts w:ascii="Times New Roman" w:eastAsia="Calibri" w:hAnsi="Times New Roman"/>
                <w:b/>
                <w:sz w:val="24"/>
                <w:szCs w:val="24"/>
              </w:rPr>
              <w:t>% к расх. части</w:t>
            </w:r>
          </w:p>
        </w:tc>
        <w:tc>
          <w:tcPr>
            <w:tcW w:w="766" w:type="dxa"/>
            <w:shd w:val="clear" w:color="auto" w:fill="D9D9D9" w:themeFill="background1" w:themeFillShade="D9"/>
            <w:vAlign w:val="center"/>
          </w:tcPr>
          <w:p w:rsidR="00CB462C" w:rsidRPr="00CB462C" w:rsidRDefault="00CB462C" w:rsidP="00CB462C">
            <w:pPr>
              <w:spacing w:after="0" w:line="240" w:lineRule="auto"/>
              <w:ind w:firstLine="67"/>
              <w:jc w:val="center"/>
              <w:rPr>
                <w:rFonts w:ascii="Times New Roman" w:eastAsia="Calibri" w:hAnsi="Times New Roman"/>
                <w:b/>
                <w:sz w:val="24"/>
                <w:szCs w:val="24"/>
              </w:rPr>
            </w:pPr>
            <w:r w:rsidRPr="00CB462C">
              <w:rPr>
                <w:rFonts w:ascii="Times New Roman" w:eastAsia="Calibri" w:hAnsi="Times New Roman"/>
                <w:b/>
                <w:sz w:val="24"/>
                <w:szCs w:val="24"/>
              </w:rPr>
              <w:t>% к ВВП</w:t>
            </w:r>
          </w:p>
        </w:tc>
        <w:tc>
          <w:tcPr>
            <w:tcW w:w="984" w:type="dxa"/>
            <w:vMerge/>
            <w:vAlign w:val="center"/>
          </w:tcPr>
          <w:p w:rsidR="00CB462C" w:rsidRPr="00CB462C" w:rsidRDefault="00CB462C" w:rsidP="00CB462C">
            <w:pPr>
              <w:spacing w:after="0" w:line="240" w:lineRule="auto"/>
              <w:ind w:firstLine="426"/>
              <w:jc w:val="center"/>
              <w:rPr>
                <w:rFonts w:ascii="Times New Roman" w:eastAsia="Calibri" w:hAnsi="Times New Roman"/>
                <w:b/>
                <w:sz w:val="24"/>
                <w:szCs w:val="24"/>
              </w:rPr>
            </w:pPr>
          </w:p>
        </w:tc>
      </w:tr>
      <w:tr w:rsidR="00CB462C" w:rsidRPr="00CB462C" w:rsidTr="00653B80">
        <w:trPr>
          <w:trHeight w:val="639"/>
          <w:jc w:val="center"/>
        </w:trPr>
        <w:tc>
          <w:tcPr>
            <w:tcW w:w="2528" w:type="dxa"/>
          </w:tcPr>
          <w:p w:rsidR="00CB462C" w:rsidRPr="00CB462C" w:rsidRDefault="00CB462C" w:rsidP="00CB462C">
            <w:pPr>
              <w:spacing w:after="0" w:line="240" w:lineRule="auto"/>
              <w:ind w:left="-101" w:right="-161" w:firstLine="58"/>
              <w:rPr>
                <w:rFonts w:ascii="Times New Roman" w:eastAsia="Calibri" w:hAnsi="Times New Roman"/>
                <w:b/>
                <w:sz w:val="24"/>
                <w:szCs w:val="24"/>
              </w:rPr>
            </w:pPr>
            <w:r w:rsidRPr="00CB462C">
              <w:rPr>
                <w:rFonts w:ascii="Times New Roman" w:eastAsia="Calibri" w:hAnsi="Times New Roman"/>
                <w:b/>
                <w:sz w:val="24"/>
                <w:szCs w:val="24"/>
              </w:rPr>
              <w:t>Сальдо консолидированного бюджета, в том числе:</w:t>
            </w:r>
          </w:p>
        </w:tc>
        <w:tc>
          <w:tcPr>
            <w:tcW w:w="1464" w:type="dxa"/>
            <w:vAlign w:val="center"/>
          </w:tcPr>
          <w:p w:rsidR="00CB462C" w:rsidRPr="00CB462C" w:rsidRDefault="00CB462C" w:rsidP="00CB462C">
            <w:pPr>
              <w:spacing w:after="0" w:line="240" w:lineRule="auto"/>
              <w:ind w:left="-124" w:right="-97" w:firstLine="32"/>
              <w:jc w:val="right"/>
              <w:rPr>
                <w:rFonts w:ascii="Times New Roman" w:eastAsia="Calibri" w:hAnsi="Times New Roman"/>
                <w:b/>
                <w:sz w:val="24"/>
                <w:szCs w:val="24"/>
              </w:rPr>
            </w:pPr>
            <w:r w:rsidRPr="00CB462C">
              <w:rPr>
                <w:rFonts w:ascii="Times New Roman" w:eastAsia="Calibri" w:hAnsi="Times New Roman"/>
                <w:b/>
                <w:sz w:val="24"/>
                <w:szCs w:val="24"/>
              </w:rPr>
              <w:t xml:space="preserve">1 194 497 956 </w:t>
            </w:r>
          </w:p>
        </w:tc>
        <w:tc>
          <w:tcPr>
            <w:tcW w:w="886" w:type="dxa"/>
            <w:vAlign w:val="center"/>
          </w:tcPr>
          <w:p w:rsidR="00CB462C" w:rsidRPr="00CB462C" w:rsidRDefault="00CB462C" w:rsidP="00CB462C">
            <w:pPr>
              <w:spacing w:after="0" w:line="240" w:lineRule="auto"/>
              <w:ind w:right="-97" w:firstLine="32"/>
              <w:jc w:val="right"/>
              <w:rPr>
                <w:rFonts w:ascii="Times New Roman" w:eastAsia="Calibri" w:hAnsi="Times New Roman"/>
                <w:b/>
                <w:sz w:val="24"/>
                <w:szCs w:val="24"/>
              </w:rPr>
            </w:pPr>
            <w:r w:rsidRPr="00CB462C">
              <w:rPr>
                <w:rFonts w:ascii="Times New Roman" w:eastAsia="Calibri" w:hAnsi="Times New Roman"/>
                <w:b/>
                <w:sz w:val="24"/>
                <w:szCs w:val="24"/>
              </w:rPr>
              <w:t>27,6</w:t>
            </w:r>
          </w:p>
        </w:tc>
        <w:tc>
          <w:tcPr>
            <w:tcW w:w="761" w:type="dxa"/>
            <w:vAlign w:val="center"/>
          </w:tcPr>
          <w:p w:rsidR="00CB462C" w:rsidRPr="00CB462C" w:rsidRDefault="00CB462C" w:rsidP="00CB462C">
            <w:pPr>
              <w:spacing w:after="0" w:line="240" w:lineRule="auto"/>
              <w:ind w:right="-97" w:firstLine="32"/>
              <w:jc w:val="right"/>
              <w:rPr>
                <w:rFonts w:ascii="Times New Roman" w:eastAsia="Calibri" w:hAnsi="Times New Roman"/>
                <w:b/>
                <w:sz w:val="24"/>
                <w:szCs w:val="24"/>
              </w:rPr>
            </w:pPr>
            <w:r w:rsidRPr="00CB462C">
              <w:rPr>
                <w:rFonts w:ascii="Times New Roman" w:eastAsia="Calibri" w:hAnsi="Times New Roman"/>
                <w:b/>
                <w:sz w:val="24"/>
                <w:szCs w:val="24"/>
              </w:rPr>
              <w:t>9,7</w:t>
            </w:r>
          </w:p>
        </w:tc>
        <w:tc>
          <w:tcPr>
            <w:tcW w:w="1490" w:type="dxa"/>
            <w:vAlign w:val="center"/>
          </w:tcPr>
          <w:p w:rsidR="00CB462C" w:rsidRPr="00CB462C" w:rsidRDefault="00CB462C" w:rsidP="00CB462C">
            <w:pPr>
              <w:spacing w:after="0" w:line="240" w:lineRule="auto"/>
              <w:ind w:left="-124" w:right="-97" w:firstLine="32"/>
              <w:jc w:val="right"/>
              <w:rPr>
                <w:rFonts w:ascii="Times New Roman" w:eastAsia="Calibri" w:hAnsi="Times New Roman"/>
                <w:b/>
                <w:sz w:val="24"/>
                <w:szCs w:val="24"/>
              </w:rPr>
            </w:pPr>
            <w:r w:rsidRPr="00CB462C">
              <w:rPr>
                <w:rFonts w:ascii="Times New Roman" w:eastAsia="Calibri" w:hAnsi="Times New Roman"/>
                <w:b/>
                <w:sz w:val="24"/>
                <w:szCs w:val="24"/>
              </w:rPr>
              <w:t xml:space="preserve">1 203 887 096 </w:t>
            </w:r>
          </w:p>
        </w:tc>
        <w:tc>
          <w:tcPr>
            <w:tcW w:w="889" w:type="dxa"/>
            <w:vAlign w:val="center"/>
          </w:tcPr>
          <w:p w:rsidR="00CB462C" w:rsidRPr="00CB462C" w:rsidRDefault="00CB462C" w:rsidP="00CB462C">
            <w:pPr>
              <w:spacing w:after="0" w:line="240" w:lineRule="auto"/>
              <w:ind w:right="-97" w:firstLine="32"/>
              <w:jc w:val="right"/>
              <w:rPr>
                <w:rFonts w:ascii="Times New Roman" w:eastAsia="Calibri" w:hAnsi="Times New Roman"/>
                <w:b/>
                <w:sz w:val="24"/>
                <w:szCs w:val="24"/>
              </w:rPr>
            </w:pPr>
            <w:r w:rsidRPr="00CB462C">
              <w:rPr>
                <w:rFonts w:ascii="Times New Roman" w:eastAsia="Calibri" w:hAnsi="Times New Roman"/>
                <w:b/>
                <w:sz w:val="24"/>
                <w:szCs w:val="24"/>
              </w:rPr>
              <w:t>28,8</w:t>
            </w:r>
          </w:p>
        </w:tc>
        <w:tc>
          <w:tcPr>
            <w:tcW w:w="766" w:type="dxa"/>
            <w:vAlign w:val="center"/>
          </w:tcPr>
          <w:p w:rsidR="00CB462C" w:rsidRPr="00CB462C" w:rsidRDefault="00CB462C" w:rsidP="00CB462C">
            <w:pPr>
              <w:spacing w:after="0" w:line="240" w:lineRule="auto"/>
              <w:ind w:right="-97" w:firstLine="32"/>
              <w:jc w:val="right"/>
              <w:rPr>
                <w:rFonts w:ascii="Times New Roman" w:eastAsia="Calibri" w:hAnsi="Times New Roman"/>
                <w:b/>
                <w:sz w:val="24"/>
                <w:szCs w:val="24"/>
              </w:rPr>
            </w:pPr>
            <w:r w:rsidRPr="00CB462C">
              <w:rPr>
                <w:rFonts w:ascii="Times New Roman" w:eastAsia="Calibri" w:hAnsi="Times New Roman"/>
                <w:b/>
                <w:sz w:val="24"/>
                <w:szCs w:val="24"/>
              </w:rPr>
              <w:t>8,7</w:t>
            </w:r>
          </w:p>
        </w:tc>
        <w:tc>
          <w:tcPr>
            <w:tcW w:w="984" w:type="dxa"/>
            <w:vAlign w:val="center"/>
          </w:tcPr>
          <w:p w:rsidR="00CB462C" w:rsidRPr="00CB462C" w:rsidRDefault="00CB462C" w:rsidP="00CB462C">
            <w:pPr>
              <w:spacing w:after="0" w:line="240" w:lineRule="auto"/>
              <w:ind w:right="-97" w:firstLine="32"/>
              <w:jc w:val="right"/>
              <w:rPr>
                <w:rFonts w:ascii="Times New Roman" w:eastAsia="Calibri" w:hAnsi="Times New Roman"/>
                <w:b/>
                <w:sz w:val="24"/>
                <w:szCs w:val="24"/>
              </w:rPr>
            </w:pPr>
            <w:r w:rsidRPr="00CB462C">
              <w:rPr>
                <w:rFonts w:ascii="Times New Roman" w:eastAsia="Calibri" w:hAnsi="Times New Roman"/>
                <w:b/>
                <w:sz w:val="24"/>
                <w:szCs w:val="24"/>
              </w:rPr>
              <w:t>100,8</w:t>
            </w:r>
          </w:p>
        </w:tc>
      </w:tr>
      <w:tr w:rsidR="00CB462C" w:rsidRPr="00CB462C" w:rsidTr="00653B80">
        <w:trPr>
          <w:trHeight w:val="437"/>
          <w:jc w:val="center"/>
        </w:trPr>
        <w:tc>
          <w:tcPr>
            <w:tcW w:w="2528" w:type="dxa"/>
          </w:tcPr>
          <w:p w:rsidR="00CB462C" w:rsidRPr="00CB462C" w:rsidRDefault="00CB462C" w:rsidP="00CB462C">
            <w:pPr>
              <w:spacing w:after="0" w:line="240" w:lineRule="auto"/>
              <w:ind w:left="-91" w:right="-132" w:firstLine="48"/>
              <w:rPr>
                <w:rFonts w:ascii="Times New Roman" w:eastAsia="Calibri" w:hAnsi="Times New Roman"/>
                <w:sz w:val="24"/>
                <w:szCs w:val="24"/>
              </w:rPr>
            </w:pPr>
            <w:r w:rsidRPr="00CB462C">
              <w:rPr>
                <w:rFonts w:ascii="Times New Roman" w:eastAsia="Calibri" w:hAnsi="Times New Roman"/>
                <w:sz w:val="24"/>
                <w:szCs w:val="24"/>
              </w:rPr>
              <w:t>Сальдо республиканского бюджета</w:t>
            </w:r>
          </w:p>
        </w:tc>
        <w:tc>
          <w:tcPr>
            <w:tcW w:w="1464" w:type="dxa"/>
            <w:vAlign w:val="center"/>
          </w:tcPr>
          <w:p w:rsidR="00CB462C" w:rsidRPr="00CB462C" w:rsidRDefault="00CB462C" w:rsidP="00CB462C">
            <w:pPr>
              <w:spacing w:after="0" w:line="240" w:lineRule="auto"/>
              <w:ind w:left="-124" w:right="-97" w:firstLine="32"/>
              <w:jc w:val="right"/>
              <w:rPr>
                <w:rFonts w:ascii="Times New Roman" w:eastAsia="Calibri" w:hAnsi="Times New Roman"/>
                <w:bCs/>
                <w:sz w:val="24"/>
                <w:szCs w:val="24"/>
              </w:rPr>
            </w:pPr>
            <w:r w:rsidRPr="00CB462C">
              <w:rPr>
                <w:rFonts w:ascii="Times New Roman" w:eastAsia="Calibri" w:hAnsi="Times New Roman"/>
                <w:bCs/>
                <w:sz w:val="24"/>
                <w:szCs w:val="24"/>
              </w:rPr>
              <w:t xml:space="preserve">849 703 231 </w:t>
            </w:r>
          </w:p>
        </w:tc>
        <w:tc>
          <w:tcPr>
            <w:tcW w:w="886" w:type="dxa"/>
            <w:vAlign w:val="center"/>
          </w:tcPr>
          <w:p w:rsidR="00CB462C" w:rsidRPr="00CB462C" w:rsidRDefault="00CB462C" w:rsidP="00CB462C">
            <w:pPr>
              <w:spacing w:after="0" w:line="240" w:lineRule="auto"/>
              <w:ind w:right="-97" w:firstLine="32"/>
              <w:jc w:val="right"/>
              <w:rPr>
                <w:rFonts w:ascii="Times New Roman" w:eastAsia="Calibri" w:hAnsi="Times New Roman"/>
                <w:bCs/>
                <w:sz w:val="24"/>
                <w:szCs w:val="24"/>
              </w:rPr>
            </w:pPr>
            <w:r w:rsidRPr="00CB462C">
              <w:rPr>
                <w:rFonts w:ascii="Times New Roman" w:eastAsia="Calibri" w:hAnsi="Times New Roman"/>
                <w:bCs/>
                <w:sz w:val="24"/>
                <w:szCs w:val="24"/>
              </w:rPr>
              <w:t>27,1</w:t>
            </w:r>
          </w:p>
        </w:tc>
        <w:tc>
          <w:tcPr>
            <w:tcW w:w="761" w:type="dxa"/>
            <w:vAlign w:val="center"/>
          </w:tcPr>
          <w:p w:rsidR="00CB462C" w:rsidRPr="00CB462C" w:rsidRDefault="00CB462C" w:rsidP="00CB462C">
            <w:pPr>
              <w:spacing w:after="0" w:line="240" w:lineRule="auto"/>
              <w:ind w:right="-97" w:firstLine="32"/>
              <w:jc w:val="right"/>
              <w:rPr>
                <w:rFonts w:ascii="Times New Roman" w:eastAsia="Calibri" w:hAnsi="Times New Roman"/>
                <w:bCs/>
                <w:sz w:val="24"/>
                <w:szCs w:val="24"/>
              </w:rPr>
            </w:pPr>
            <w:r w:rsidRPr="00CB462C">
              <w:rPr>
                <w:rFonts w:ascii="Times New Roman" w:eastAsia="Calibri" w:hAnsi="Times New Roman"/>
                <w:bCs/>
                <w:sz w:val="24"/>
                <w:szCs w:val="24"/>
              </w:rPr>
              <w:t>6,9</w:t>
            </w:r>
          </w:p>
        </w:tc>
        <w:tc>
          <w:tcPr>
            <w:tcW w:w="1490" w:type="dxa"/>
            <w:vAlign w:val="center"/>
          </w:tcPr>
          <w:p w:rsidR="00CB462C" w:rsidRPr="00CB462C" w:rsidRDefault="00CB462C" w:rsidP="00CB462C">
            <w:pPr>
              <w:spacing w:after="0" w:line="240" w:lineRule="auto"/>
              <w:ind w:left="-124" w:right="-97" w:firstLine="32"/>
              <w:jc w:val="right"/>
              <w:rPr>
                <w:rFonts w:ascii="Times New Roman" w:eastAsia="Calibri" w:hAnsi="Times New Roman"/>
                <w:bCs/>
                <w:sz w:val="24"/>
                <w:szCs w:val="24"/>
              </w:rPr>
            </w:pPr>
            <w:r w:rsidRPr="00CB462C">
              <w:rPr>
                <w:rFonts w:ascii="Times New Roman" w:eastAsia="Calibri" w:hAnsi="Times New Roman"/>
                <w:bCs/>
                <w:sz w:val="24"/>
                <w:szCs w:val="24"/>
              </w:rPr>
              <w:t xml:space="preserve">926 741 589 </w:t>
            </w:r>
          </w:p>
        </w:tc>
        <w:tc>
          <w:tcPr>
            <w:tcW w:w="889" w:type="dxa"/>
            <w:vAlign w:val="center"/>
          </w:tcPr>
          <w:p w:rsidR="00CB462C" w:rsidRPr="00CB462C" w:rsidRDefault="00CB462C" w:rsidP="00CB462C">
            <w:pPr>
              <w:spacing w:after="0" w:line="240" w:lineRule="auto"/>
              <w:ind w:right="-97" w:firstLine="32"/>
              <w:jc w:val="right"/>
              <w:rPr>
                <w:rFonts w:ascii="Times New Roman" w:eastAsia="Calibri" w:hAnsi="Times New Roman"/>
                <w:bCs/>
                <w:sz w:val="24"/>
                <w:szCs w:val="24"/>
              </w:rPr>
            </w:pPr>
            <w:r w:rsidRPr="00CB462C">
              <w:rPr>
                <w:rFonts w:ascii="Times New Roman" w:eastAsia="Calibri" w:hAnsi="Times New Roman"/>
                <w:bCs/>
                <w:sz w:val="24"/>
                <w:szCs w:val="24"/>
              </w:rPr>
              <w:t>31,7</w:t>
            </w:r>
          </w:p>
        </w:tc>
        <w:tc>
          <w:tcPr>
            <w:tcW w:w="766" w:type="dxa"/>
            <w:vAlign w:val="center"/>
          </w:tcPr>
          <w:p w:rsidR="00CB462C" w:rsidRPr="00CB462C" w:rsidRDefault="00CB462C" w:rsidP="00CB462C">
            <w:pPr>
              <w:spacing w:after="0" w:line="240" w:lineRule="auto"/>
              <w:ind w:right="-97" w:firstLine="32"/>
              <w:jc w:val="right"/>
              <w:rPr>
                <w:rFonts w:ascii="Times New Roman" w:eastAsia="Calibri" w:hAnsi="Times New Roman"/>
                <w:bCs/>
                <w:sz w:val="24"/>
                <w:szCs w:val="24"/>
              </w:rPr>
            </w:pPr>
            <w:r w:rsidRPr="00CB462C">
              <w:rPr>
                <w:rFonts w:ascii="Times New Roman" w:eastAsia="Calibri" w:hAnsi="Times New Roman"/>
                <w:bCs/>
                <w:sz w:val="24"/>
                <w:szCs w:val="24"/>
              </w:rPr>
              <w:t>6,7</w:t>
            </w:r>
          </w:p>
        </w:tc>
        <w:tc>
          <w:tcPr>
            <w:tcW w:w="984" w:type="dxa"/>
            <w:vAlign w:val="center"/>
          </w:tcPr>
          <w:p w:rsidR="00CB462C" w:rsidRPr="00CB462C" w:rsidRDefault="00CB462C" w:rsidP="00CB462C">
            <w:pPr>
              <w:spacing w:after="0" w:line="240" w:lineRule="auto"/>
              <w:ind w:right="-97" w:firstLine="32"/>
              <w:jc w:val="right"/>
              <w:rPr>
                <w:rFonts w:ascii="Times New Roman" w:eastAsia="Calibri" w:hAnsi="Times New Roman"/>
                <w:sz w:val="24"/>
                <w:szCs w:val="24"/>
              </w:rPr>
            </w:pPr>
            <w:r w:rsidRPr="00CB462C">
              <w:rPr>
                <w:rFonts w:ascii="Times New Roman" w:eastAsia="Calibri" w:hAnsi="Times New Roman"/>
                <w:sz w:val="24"/>
                <w:szCs w:val="24"/>
              </w:rPr>
              <w:t>109,1</w:t>
            </w:r>
          </w:p>
        </w:tc>
      </w:tr>
      <w:tr w:rsidR="00CB462C" w:rsidRPr="00CB462C" w:rsidTr="00653B80">
        <w:trPr>
          <w:trHeight w:val="150"/>
          <w:jc w:val="center"/>
        </w:trPr>
        <w:tc>
          <w:tcPr>
            <w:tcW w:w="2528" w:type="dxa"/>
          </w:tcPr>
          <w:p w:rsidR="00CB462C" w:rsidRPr="00CB462C" w:rsidRDefault="00CB462C" w:rsidP="00CB462C">
            <w:pPr>
              <w:spacing w:after="0" w:line="240" w:lineRule="auto"/>
              <w:ind w:left="-91" w:right="-132" w:firstLine="48"/>
              <w:rPr>
                <w:rFonts w:ascii="Times New Roman" w:eastAsia="Calibri" w:hAnsi="Times New Roman"/>
                <w:sz w:val="24"/>
                <w:szCs w:val="24"/>
              </w:rPr>
            </w:pPr>
            <w:r w:rsidRPr="00CB462C">
              <w:rPr>
                <w:rFonts w:ascii="Times New Roman" w:eastAsia="Calibri" w:hAnsi="Times New Roman"/>
                <w:sz w:val="24"/>
                <w:szCs w:val="24"/>
              </w:rPr>
              <w:t>Сальдо местного бюджета</w:t>
            </w:r>
          </w:p>
        </w:tc>
        <w:tc>
          <w:tcPr>
            <w:tcW w:w="1464" w:type="dxa"/>
            <w:vAlign w:val="center"/>
          </w:tcPr>
          <w:p w:rsidR="00CB462C" w:rsidRPr="00CB462C" w:rsidRDefault="00CB462C" w:rsidP="00CB462C">
            <w:pPr>
              <w:spacing w:after="0" w:line="240" w:lineRule="auto"/>
              <w:ind w:left="-124" w:right="-97" w:firstLine="32"/>
              <w:jc w:val="right"/>
              <w:rPr>
                <w:rFonts w:ascii="Times New Roman" w:eastAsia="Calibri" w:hAnsi="Times New Roman"/>
                <w:sz w:val="24"/>
                <w:szCs w:val="24"/>
              </w:rPr>
            </w:pPr>
            <w:r w:rsidRPr="00CB462C">
              <w:rPr>
                <w:rFonts w:ascii="Times New Roman" w:eastAsia="Calibri" w:hAnsi="Times New Roman"/>
                <w:sz w:val="24"/>
                <w:szCs w:val="24"/>
              </w:rPr>
              <w:t xml:space="preserve">344 794 725 </w:t>
            </w:r>
          </w:p>
        </w:tc>
        <w:tc>
          <w:tcPr>
            <w:tcW w:w="886" w:type="dxa"/>
            <w:vAlign w:val="center"/>
          </w:tcPr>
          <w:p w:rsidR="00CB462C" w:rsidRPr="00CB462C" w:rsidRDefault="00CB462C" w:rsidP="00CB462C">
            <w:pPr>
              <w:spacing w:after="0" w:line="240" w:lineRule="auto"/>
              <w:ind w:right="-97" w:firstLine="32"/>
              <w:jc w:val="right"/>
              <w:rPr>
                <w:rFonts w:ascii="Times New Roman" w:eastAsia="Calibri" w:hAnsi="Times New Roman"/>
                <w:sz w:val="24"/>
                <w:szCs w:val="24"/>
              </w:rPr>
            </w:pPr>
            <w:r w:rsidRPr="00CB462C">
              <w:rPr>
                <w:rFonts w:ascii="Times New Roman" w:eastAsia="Calibri" w:hAnsi="Times New Roman"/>
                <w:sz w:val="24"/>
                <w:szCs w:val="24"/>
              </w:rPr>
              <w:t>28,8</w:t>
            </w:r>
          </w:p>
        </w:tc>
        <w:tc>
          <w:tcPr>
            <w:tcW w:w="761" w:type="dxa"/>
            <w:vAlign w:val="center"/>
          </w:tcPr>
          <w:p w:rsidR="00CB462C" w:rsidRPr="00CB462C" w:rsidRDefault="00CB462C" w:rsidP="00CB462C">
            <w:pPr>
              <w:spacing w:after="0" w:line="240" w:lineRule="auto"/>
              <w:ind w:right="-97" w:firstLine="32"/>
              <w:jc w:val="right"/>
              <w:rPr>
                <w:rFonts w:ascii="Times New Roman" w:eastAsia="Calibri" w:hAnsi="Times New Roman"/>
                <w:sz w:val="24"/>
                <w:szCs w:val="24"/>
              </w:rPr>
            </w:pPr>
            <w:r w:rsidRPr="00CB462C">
              <w:rPr>
                <w:rFonts w:ascii="Times New Roman" w:eastAsia="Calibri" w:hAnsi="Times New Roman"/>
                <w:sz w:val="24"/>
                <w:szCs w:val="24"/>
              </w:rPr>
              <w:t>2,8</w:t>
            </w:r>
          </w:p>
        </w:tc>
        <w:tc>
          <w:tcPr>
            <w:tcW w:w="1490" w:type="dxa"/>
            <w:vAlign w:val="center"/>
          </w:tcPr>
          <w:p w:rsidR="00CB462C" w:rsidRPr="00CB462C" w:rsidRDefault="00CB462C" w:rsidP="00CB462C">
            <w:pPr>
              <w:spacing w:after="0" w:line="240" w:lineRule="auto"/>
              <w:ind w:left="-124" w:right="-97" w:firstLine="32"/>
              <w:jc w:val="right"/>
              <w:rPr>
                <w:rFonts w:ascii="Times New Roman" w:eastAsia="Calibri" w:hAnsi="Times New Roman"/>
                <w:sz w:val="24"/>
                <w:szCs w:val="24"/>
              </w:rPr>
            </w:pPr>
            <w:r w:rsidRPr="00CB462C">
              <w:rPr>
                <w:rFonts w:ascii="Times New Roman" w:eastAsia="Calibri" w:hAnsi="Times New Roman"/>
                <w:sz w:val="24"/>
                <w:szCs w:val="24"/>
              </w:rPr>
              <w:t xml:space="preserve">277 145 507 </w:t>
            </w:r>
          </w:p>
        </w:tc>
        <w:tc>
          <w:tcPr>
            <w:tcW w:w="889" w:type="dxa"/>
            <w:vAlign w:val="center"/>
          </w:tcPr>
          <w:p w:rsidR="00CB462C" w:rsidRPr="00CB462C" w:rsidRDefault="00CB462C" w:rsidP="00CB462C">
            <w:pPr>
              <w:spacing w:after="0" w:line="240" w:lineRule="auto"/>
              <w:ind w:right="-97" w:firstLine="32"/>
              <w:jc w:val="right"/>
              <w:rPr>
                <w:rFonts w:ascii="Times New Roman" w:eastAsia="Calibri" w:hAnsi="Times New Roman"/>
                <w:sz w:val="24"/>
                <w:szCs w:val="24"/>
              </w:rPr>
            </w:pPr>
            <w:r w:rsidRPr="00CB462C">
              <w:rPr>
                <w:rFonts w:ascii="Times New Roman" w:eastAsia="Calibri" w:hAnsi="Times New Roman"/>
                <w:sz w:val="24"/>
                <w:szCs w:val="24"/>
              </w:rPr>
              <w:t>22,0</w:t>
            </w:r>
          </w:p>
        </w:tc>
        <w:tc>
          <w:tcPr>
            <w:tcW w:w="766" w:type="dxa"/>
            <w:vAlign w:val="center"/>
          </w:tcPr>
          <w:p w:rsidR="00CB462C" w:rsidRPr="00CB462C" w:rsidRDefault="00CB462C" w:rsidP="00CB462C">
            <w:pPr>
              <w:spacing w:after="0" w:line="240" w:lineRule="auto"/>
              <w:ind w:right="-97" w:firstLine="32"/>
              <w:jc w:val="right"/>
              <w:rPr>
                <w:rFonts w:ascii="Times New Roman" w:eastAsia="Calibri" w:hAnsi="Times New Roman"/>
                <w:sz w:val="24"/>
                <w:szCs w:val="24"/>
              </w:rPr>
            </w:pPr>
            <w:r w:rsidRPr="00CB462C">
              <w:rPr>
                <w:rFonts w:ascii="Times New Roman" w:eastAsia="Calibri" w:hAnsi="Times New Roman"/>
                <w:sz w:val="24"/>
                <w:szCs w:val="24"/>
              </w:rPr>
              <w:t>2,0</w:t>
            </w:r>
          </w:p>
        </w:tc>
        <w:tc>
          <w:tcPr>
            <w:tcW w:w="984" w:type="dxa"/>
            <w:vAlign w:val="center"/>
          </w:tcPr>
          <w:p w:rsidR="00CB462C" w:rsidRPr="00CB462C" w:rsidRDefault="00CB462C" w:rsidP="00CB462C">
            <w:pPr>
              <w:spacing w:after="0" w:line="240" w:lineRule="auto"/>
              <w:ind w:right="-97" w:firstLine="32"/>
              <w:jc w:val="right"/>
              <w:rPr>
                <w:rFonts w:ascii="Times New Roman" w:eastAsia="Calibri" w:hAnsi="Times New Roman"/>
                <w:sz w:val="24"/>
                <w:szCs w:val="24"/>
              </w:rPr>
            </w:pPr>
            <w:r w:rsidRPr="00CB462C">
              <w:rPr>
                <w:rFonts w:ascii="Times New Roman" w:eastAsia="Calibri" w:hAnsi="Times New Roman"/>
                <w:sz w:val="24"/>
                <w:szCs w:val="24"/>
              </w:rPr>
              <w:t>80,4</w:t>
            </w:r>
          </w:p>
        </w:tc>
      </w:tr>
    </w:tbl>
    <w:p w:rsidR="00CB462C" w:rsidRPr="00CB462C" w:rsidRDefault="00CB462C" w:rsidP="00CB462C">
      <w:pPr>
        <w:spacing w:after="0" w:line="240" w:lineRule="auto"/>
        <w:ind w:firstLine="426"/>
        <w:jc w:val="both"/>
        <w:rPr>
          <w:rFonts w:ascii="Times New Roman" w:hAnsi="Times New Roman"/>
          <w:sz w:val="28"/>
          <w:szCs w:val="28"/>
        </w:rPr>
      </w:pPr>
      <w:r w:rsidRPr="00CB462C">
        <w:rPr>
          <w:rFonts w:ascii="Times New Roman" w:hAnsi="Times New Roman"/>
          <w:sz w:val="28"/>
          <w:szCs w:val="28"/>
        </w:rPr>
        <w:t>Несмотря на снижение величины сальдо консолидированного бюджета в                          отчетном периоде 2018 года, устойчивая напряженность исполнения бюджетных параметров сохраняется, что приводит к ограничению возможностей маневра в распределении поступающих ресурсов, в виду необходимости поддержания на должном уровне социальной сферы.</w:t>
      </w:r>
    </w:p>
    <w:p w:rsidR="00E32407" w:rsidRDefault="00E32407" w:rsidP="00CB462C">
      <w:pPr>
        <w:spacing w:after="0" w:line="240" w:lineRule="auto"/>
        <w:ind w:firstLine="426"/>
        <w:jc w:val="both"/>
        <w:rPr>
          <w:rFonts w:ascii="Times New Roman" w:hAnsi="Times New Roman"/>
          <w:b/>
          <w:sz w:val="28"/>
          <w:szCs w:val="28"/>
        </w:rPr>
      </w:pPr>
    </w:p>
    <w:p w:rsidR="00CB462C" w:rsidRPr="00CB462C" w:rsidRDefault="00CB462C" w:rsidP="00CB462C">
      <w:pPr>
        <w:spacing w:after="0" w:line="240" w:lineRule="auto"/>
        <w:ind w:firstLine="720"/>
        <w:contextualSpacing/>
        <w:jc w:val="both"/>
        <w:rPr>
          <w:rFonts w:ascii="Times New Roman" w:hAnsi="Times New Roman"/>
          <w:b/>
          <w:sz w:val="28"/>
          <w:szCs w:val="28"/>
        </w:rPr>
      </w:pPr>
      <w:r w:rsidRPr="00CB462C">
        <w:rPr>
          <w:rFonts w:ascii="Times New Roman" w:hAnsi="Times New Roman"/>
          <w:b/>
          <w:sz w:val="28"/>
          <w:szCs w:val="28"/>
        </w:rPr>
        <w:t>Денежно-кредитная политика</w:t>
      </w:r>
    </w:p>
    <w:p w:rsidR="00CB462C" w:rsidRPr="00CB462C" w:rsidRDefault="00CB462C" w:rsidP="00CB462C">
      <w:pPr>
        <w:widowControl w:val="0"/>
        <w:spacing w:after="0" w:line="240" w:lineRule="auto"/>
        <w:ind w:firstLine="709"/>
        <w:contextualSpacing/>
        <w:jc w:val="both"/>
        <w:rPr>
          <w:rFonts w:ascii="Times New Roman" w:hAnsi="Times New Roman"/>
          <w:sz w:val="28"/>
          <w:szCs w:val="28"/>
        </w:rPr>
      </w:pPr>
    </w:p>
    <w:p w:rsidR="00CB462C" w:rsidRPr="00CB462C" w:rsidRDefault="00CB462C" w:rsidP="00CB462C">
      <w:pPr>
        <w:widowControl w:val="0"/>
        <w:spacing w:after="0" w:line="240" w:lineRule="auto"/>
        <w:ind w:firstLine="709"/>
        <w:contextualSpacing/>
        <w:jc w:val="both"/>
        <w:rPr>
          <w:rFonts w:ascii="Times New Roman" w:hAnsi="Times New Roman"/>
          <w:b/>
          <w:i/>
          <w:color w:val="000000"/>
          <w:sz w:val="28"/>
          <w:szCs w:val="28"/>
        </w:rPr>
      </w:pPr>
      <w:r w:rsidRPr="00CB462C">
        <w:rPr>
          <w:rFonts w:ascii="Times New Roman" w:hAnsi="Times New Roman"/>
          <w:b/>
          <w:i/>
          <w:color w:val="000000"/>
          <w:sz w:val="28"/>
          <w:szCs w:val="28"/>
        </w:rPr>
        <w:t>Монетарная сфера</w:t>
      </w:r>
    </w:p>
    <w:p w:rsidR="00CB462C" w:rsidRDefault="00CB462C" w:rsidP="00CB462C">
      <w:pPr>
        <w:spacing w:after="0" w:line="240" w:lineRule="auto"/>
        <w:ind w:firstLine="720"/>
        <w:jc w:val="both"/>
        <w:rPr>
          <w:rFonts w:ascii="Times New Roman" w:hAnsi="Times New Roman"/>
          <w:sz w:val="28"/>
          <w:szCs w:val="28"/>
        </w:rPr>
      </w:pPr>
      <w:r w:rsidRPr="00CB462C">
        <w:rPr>
          <w:rFonts w:ascii="Times New Roman" w:hAnsi="Times New Roman"/>
          <w:sz w:val="28"/>
          <w:szCs w:val="28"/>
        </w:rPr>
        <w:t>Активизация экономической деятельности в республике способствовала увеличению национальной денежной массы по состоянию на 1 января 2019 года к уровню начала 2018 года на 18,2% до 2 758,0 млн руб., что обеспечено прежде всего ростом средств, сосредоточенных в безналичном сегменте на 27,5% до 1 723,5 млн руб. Объем наличных денег в обращении характеризовался более умеренной динамикой (+5,3% до 1 034,5 млн руб.), вследствие чего доля наличной компоненты в структуре денежной массы снизилась на 4,6 п.п. до 37,5%.</w:t>
      </w:r>
    </w:p>
    <w:p w:rsidR="006A580E" w:rsidRPr="00CB462C" w:rsidRDefault="006A580E" w:rsidP="00CB462C">
      <w:pPr>
        <w:spacing w:after="0" w:line="240" w:lineRule="auto"/>
        <w:ind w:firstLine="720"/>
        <w:jc w:val="both"/>
        <w:rPr>
          <w:rFonts w:ascii="Times New Roman" w:hAnsi="Times New Roman"/>
          <w:sz w:val="28"/>
          <w:szCs w:val="28"/>
        </w:rPr>
      </w:pPr>
    </w:p>
    <w:p w:rsidR="00CB462C" w:rsidRPr="00CB462C" w:rsidRDefault="00CB462C" w:rsidP="00CB462C">
      <w:pPr>
        <w:spacing w:line="240" w:lineRule="auto"/>
        <w:contextualSpacing/>
        <w:jc w:val="right"/>
        <w:rPr>
          <w:rFonts w:ascii="Times New Roman" w:hAnsi="Times New Roman"/>
          <w:sz w:val="28"/>
          <w:szCs w:val="28"/>
        </w:rPr>
      </w:pPr>
      <w:r w:rsidRPr="00CB462C">
        <w:rPr>
          <w:rFonts w:ascii="Times New Roman" w:hAnsi="Times New Roman"/>
          <w:sz w:val="28"/>
          <w:szCs w:val="28"/>
        </w:rPr>
        <w:lastRenderedPageBreak/>
        <w:t>Таблица №</w:t>
      </w:r>
      <w:r w:rsidR="006A580E">
        <w:rPr>
          <w:rFonts w:ascii="Times New Roman" w:hAnsi="Times New Roman"/>
          <w:sz w:val="28"/>
          <w:szCs w:val="28"/>
        </w:rPr>
        <w:t>1</w:t>
      </w:r>
      <w:r w:rsidR="00914EB7">
        <w:rPr>
          <w:rFonts w:ascii="Times New Roman" w:hAnsi="Times New Roman"/>
          <w:sz w:val="28"/>
          <w:szCs w:val="28"/>
        </w:rPr>
        <w:t>1</w:t>
      </w:r>
    </w:p>
    <w:p w:rsidR="00CB462C" w:rsidRPr="00CB462C" w:rsidRDefault="00CB462C" w:rsidP="00CB462C">
      <w:pPr>
        <w:spacing w:before="120" w:after="120" w:line="240" w:lineRule="auto"/>
        <w:jc w:val="center"/>
        <w:rPr>
          <w:rFonts w:ascii="Times New Roman" w:hAnsi="Times New Roman"/>
          <w:b/>
          <w:color w:val="000000"/>
          <w:sz w:val="28"/>
          <w:szCs w:val="28"/>
        </w:rPr>
      </w:pPr>
      <w:bookmarkStart w:id="1" w:name="OLE_LINK10"/>
      <w:r w:rsidRPr="00CB462C">
        <w:rPr>
          <w:rFonts w:ascii="Times New Roman" w:hAnsi="Times New Roman"/>
          <w:b/>
          <w:color w:val="000000"/>
          <w:sz w:val="28"/>
          <w:szCs w:val="28"/>
        </w:rPr>
        <w:t xml:space="preserve">Структура и динамика денежного предложения </w:t>
      </w: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4"/>
        <w:gridCol w:w="1121"/>
        <w:gridCol w:w="1123"/>
        <w:gridCol w:w="1122"/>
        <w:gridCol w:w="1123"/>
        <w:gridCol w:w="988"/>
      </w:tblGrid>
      <w:tr w:rsidR="00CB462C" w:rsidRPr="00CB462C" w:rsidTr="006A580E">
        <w:trPr>
          <w:cantSplit/>
          <w:trHeight w:val="75"/>
        </w:trPr>
        <w:tc>
          <w:tcPr>
            <w:tcW w:w="4124" w:type="dxa"/>
            <w:vMerge w:val="restart"/>
            <w:shd w:val="clear" w:color="auto" w:fill="C0C0C0"/>
          </w:tcPr>
          <w:p w:rsidR="00CB462C" w:rsidRPr="00CB462C" w:rsidRDefault="00CB462C" w:rsidP="00CB462C">
            <w:pPr>
              <w:spacing w:after="0" w:line="240" w:lineRule="auto"/>
              <w:ind w:right="-1"/>
              <w:jc w:val="both"/>
              <w:rPr>
                <w:rFonts w:ascii="Times New Roman" w:hAnsi="Times New Roman"/>
                <w:color w:val="000000"/>
                <w:sz w:val="24"/>
                <w:szCs w:val="24"/>
              </w:rPr>
            </w:pPr>
            <w:bookmarkStart w:id="2" w:name="OLE_LINK4"/>
            <w:bookmarkStart w:id="3" w:name="OLE_LINK7"/>
          </w:p>
        </w:tc>
        <w:tc>
          <w:tcPr>
            <w:tcW w:w="2244" w:type="dxa"/>
            <w:gridSpan w:val="2"/>
            <w:shd w:val="clear" w:color="auto" w:fill="C0C0C0"/>
            <w:vAlign w:val="center"/>
          </w:tcPr>
          <w:p w:rsidR="00CB462C" w:rsidRPr="00CB462C" w:rsidRDefault="00CB462C" w:rsidP="00CB462C">
            <w:pPr>
              <w:spacing w:after="0" w:line="240" w:lineRule="auto"/>
              <w:jc w:val="center"/>
              <w:rPr>
                <w:rFonts w:ascii="Times New Roman" w:hAnsi="Times New Roman"/>
                <w:color w:val="000000"/>
                <w:sz w:val="24"/>
                <w:szCs w:val="24"/>
              </w:rPr>
            </w:pPr>
            <w:r w:rsidRPr="00CB462C">
              <w:rPr>
                <w:rFonts w:ascii="Times New Roman" w:hAnsi="Times New Roman"/>
                <w:color w:val="000000"/>
                <w:sz w:val="24"/>
                <w:szCs w:val="24"/>
              </w:rPr>
              <w:t>на 01.01.2018 г.</w:t>
            </w:r>
          </w:p>
        </w:tc>
        <w:tc>
          <w:tcPr>
            <w:tcW w:w="2245" w:type="dxa"/>
            <w:gridSpan w:val="2"/>
            <w:shd w:val="clear" w:color="auto" w:fill="C0C0C0"/>
            <w:vAlign w:val="center"/>
          </w:tcPr>
          <w:p w:rsidR="00CB462C" w:rsidRPr="00CB462C" w:rsidRDefault="00CB462C" w:rsidP="00CB462C">
            <w:pPr>
              <w:spacing w:after="0" w:line="240" w:lineRule="auto"/>
              <w:jc w:val="center"/>
              <w:rPr>
                <w:rFonts w:ascii="Times New Roman" w:hAnsi="Times New Roman"/>
                <w:color w:val="000000"/>
                <w:sz w:val="24"/>
                <w:szCs w:val="24"/>
              </w:rPr>
            </w:pPr>
            <w:r w:rsidRPr="00CB462C">
              <w:rPr>
                <w:rFonts w:ascii="Times New Roman" w:hAnsi="Times New Roman"/>
                <w:color w:val="000000"/>
                <w:sz w:val="24"/>
                <w:szCs w:val="24"/>
              </w:rPr>
              <w:t>на 01.01.2019 г.</w:t>
            </w:r>
          </w:p>
        </w:tc>
        <w:tc>
          <w:tcPr>
            <w:tcW w:w="988" w:type="dxa"/>
            <w:vMerge w:val="restart"/>
            <w:shd w:val="clear" w:color="auto" w:fill="C0C0C0"/>
          </w:tcPr>
          <w:p w:rsidR="00CB462C" w:rsidRPr="00CB462C" w:rsidRDefault="00CB462C" w:rsidP="00CB462C">
            <w:pPr>
              <w:spacing w:after="0" w:line="240" w:lineRule="auto"/>
              <w:ind w:left="-108" w:right="-108"/>
              <w:jc w:val="center"/>
              <w:rPr>
                <w:rFonts w:ascii="Times New Roman" w:hAnsi="Times New Roman"/>
                <w:color w:val="000000"/>
                <w:sz w:val="24"/>
                <w:szCs w:val="24"/>
              </w:rPr>
            </w:pPr>
            <w:r w:rsidRPr="00CB462C">
              <w:rPr>
                <w:rFonts w:ascii="Times New Roman" w:hAnsi="Times New Roman"/>
                <w:color w:val="000000"/>
                <w:sz w:val="24"/>
                <w:szCs w:val="24"/>
              </w:rPr>
              <w:t>темп</w:t>
            </w:r>
          </w:p>
          <w:p w:rsidR="00CB462C" w:rsidRPr="00CB462C" w:rsidRDefault="00CB462C" w:rsidP="00CB462C">
            <w:pPr>
              <w:spacing w:after="0" w:line="240" w:lineRule="auto"/>
              <w:ind w:left="-108" w:right="-108"/>
              <w:jc w:val="center"/>
              <w:rPr>
                <w:rFonts w:ascii="Times New Roman" w:hAnsi="Times New Roman"/>
                <w:color w:val="000000"/>
                <w:sz w:val="24"/>
                <w:szCs w:val="24"/>
              </w:rPr>
            </w:pPr>
            <w:r w:rsidRPr="00CB462C">
              <w:rPr>
                <w:rFonts w:ascii="Times New Roman" w:hAnsi="Times New Roman"/>
                <w:color w:val="000000"/>
                <w:sz w:val="24"/>
                <w:szCs w:val="24"/>
              </w:rPr>
              <w:t>роста, %</w:t>
            </w:r>
          </w:p>
        </w:tc>
      </w:tr>
      <w:tr w:rsidR="00CB462C" w:rsidRPr="00CB462C" w:rsidTr="006A580E">
        <w:trPr>
          <w:cantSplit/>
          <w:trHeight w:val="70"/>
        </w:trPr>
        <w:tc>
          <w:tcPr>
            <w:tcW w:w="4124" w:type="dxa"/>
            <w:vMerge/>
          </w:tcPr>
          <w:p w:rsidR="00CB462C" w:rsidRPr="00CB462C" w:rsidRDefault="00CB462C" w:rsidP="00CB462C">
            <w:pPr>
              <w:spacing w:after="0" w:line="240" w:lineRule="auto"/>
              <w:ind w:right="-1"/>
              <w:jc w:val="both"/>
              <w:rPr>
                <w:rFonts w:ascii="Times New Roman" w:hAnsi="Times New Roman"/>
                <w:color w:val="000000"/>
                <w:sz w:val="24"/>
                <w:szCs w:val="24"/>
              </w:rPr>
            </w:pPr>
          </w:p>
        </w:tc>
        <w:tc>
          <w:tcPr>
            <w:tcW w:w="1121" w:type="dxa"/>
            <w:shd w:val="clear" w:color="auto" w:fill="C0C0C0"/>
          </w:tcPr>
          <w:p w:rsidR="00CB462C" w:rsidRPr="00CB462C" w:rsidRDefault="00CB462C" w:rsidP="00CB462C">
            <w:pPr>
              <w:spacing w:after="0" w:line="240" w:lineRule="auto"/>
              <w:ind w:left="-134" w:right="-91"/>
              <w:jc w:val="center"/>
              <w:rPr>
                <w:rFonts w:ascii="Times New Roman" w:hAnsi="Times New Roman"/>
                <w:color w:val="000000"/>
                <w:sz w:val="24"/>
                <w:szCs w:val="24"/>
              </w:rPr>
            </w:pPr>
            <w:r w:rsidRPr="00CB462C">
              <w:rPr>
                <w:rFonts w:ascii="Times New Roman" w:hAnsi="Times New Roman"/>
                <w:color w:val="000000"/>
                <w:sz w:val="24"/>
                <w:szCs w:val="24"/>
              </w:rPr>
              <w:t>млн. руб.</w:t>
            </w:r>
          </w:p>
        </w:tc>
        <w:tc>
          <w:tcPr>
            <w:tcW w:w="1122" w:type="dxa"/>
            <w:shd w:val="clear" w:color="auto" w:fill="C0C0C0"/>
          </w:tcPr>
          <w:p w:rsidR="00CB462C" w:rsidRPr="00CB462C" w:rsidRDefault="00CB462C" w:rsidP="00CB462C">
            <w:pPr>
              <w:keepNext/>
              <w:spacing w:after="0" w:line="240" w:lineRule="auto"/>
              <w:ind w:left="-117" w:right="-108"/>
              <w:jc w:val="center"/>
              <w:outlineLvl w:val="2"/>
              <w:rPr>
                <w:rFonts w:ascii="Times New Roman" w:hAnsi="Times New Roman" w:cs="Arial"/>
                <w:bCs/>
                <w:color w:val="000000"/>
                <w:sz w:val="24"/>
                <w:szCs w:val="24"/>
              </w:rPr>
            </w:pPr>
            <w:r w:rsidRPr="00CB462C">
              <w:rPr>
                <w:rFonts w:ascii="Times New Roman" w:hAnsi="Times New Roman" w:cs="Arial"/>
                <w:bCs/>
                <w:color w:val="000000"/>
                <w:sz w:val="24"/>
                <w:szCs w:val="24"/>
              </w:rPr>
              <w:t>уд. вес, %</w:t>
            </w:r>
          </w:p>
        </w:tc>
        <w:tc>
          <w:tcPr>
            <w:tcW w:w="1122" w:type="dxa"/>
            <w:tcBorders>
              <w:bottom w:val="double" w:sz="4" w:space="0" w:color="auto"/>
            </w:tcBorders>
            <w:shd w:val="clear" w:color="auto" w:fill="C0C0C0"/>
          </w:tcPr>
          <w:p w:rsidR="00CB462C" w:rsidRPr="00CB462C" w:rsidRDefault="00CB462C" w:rsidP="00CB462C">
            <w:pPr>
              <w:spacing w:after="0" w:line="240" w:lineRule="auto"/>
              <w:ind w:left="-117" w:right="-107"/>
              <w:jc w:val="center"/>
              <w:rPr>
                <w:rFonts w:ascii="Times New Roman" w:hAnsi="Times New Roman"/>
                <w:color w:val="000000"/>
                <w:sz w:val="24"/>
                <w:szCs w:val="24"/>
              </w:rPr>
            </w:pPr>
            <w:r w:rsidRPr="00CB462C">
              <w:rPr>
                <w:rFonts w:ascii="Times New Roman" w:hAnsi="Times New Roman"/>
                <w:color w:val="000000"/>
                <w:sz w:val="24"/>
                <w:szCs w:val="24"/>
              </w:rPr>
              <w:t>млн. руб.</w:t>
            </w:r>
          </w:p>
        </w:tc>
        <w:tc>
          <w:tcPr>
            <w:tcW w:w="1122" w:type="dxa"/>
            <w:shd w:val="clear" w:color="auto" w:fill="C0C0C0"/>
          </w:tcPr>
          <w:p w:rsidR="00CB462C" w:rsidRPr="00CB462C" w:rsidRDefault="00CB462C" w:rsidP="00CB462C">
            <w:pPr>
              <w:keepNext/>
              <w:spacing w:after="0" w:line="240" w:lineRule="auto"/>
              <w:ind w:left="-117" w:right="-108"/>
              <w:jc w:val="center"/>
              <w:outlineLvl w:val="2"/>
              <w:rPr>
                <w:rFonts w:ascii="Times New Roman" w:hAnsi="Times New Roman" w:cs="Arial"/>
                <w:bCs/>
                <w:color w:val="000000"/>
                <w:sz w:val="24"/>
                <w:szCs w:val="24"/>
              </w:rPr>
            </w:pPr>
            <w:r w:rsidRPr="00CB462C">
              <w:rPr>
                <w:rFonts w:ascii="Times New Roman" w:hAnsi="Times New Roman" w:cs="Arial"/>
                <w:bCs/>
                <w:color w:val="000000"/>
                <w:sz w:val="24"/>
                <w:szCs w:val="24"/>
              </w:rPr>
              <w:t>уд. вес, %</w:t>
            </w:r>
          </w:p>
        </w:tc>
        <w:tc>
          <w:tcPr>
            <w:tcW w:w="988" w:type="dxa"/>
            <w:vMerge/>
            <w:shd w:val="clear" w:color="auto" w:fill="C0C0C0"/>
          </w:tcPr>
          <w:p w:rsidR="00CB462C" w:rsidRPr="00CB462C" w:rsidRDefault="00CB462C" w:rsidP="00CB462C">
            <w:pPr>
              <w:keepNext/>
              <w:spacing w:after="0" w:line="240" w:lineRule="auto"/>
              <w:ind w:left="-91" w:right="-94"/>
              <w:outlineLvl w:val="2"/>
              <w:rPr>
                <w:rFonts w:ascii="Times New Roman" w:hAnsi="Times New Roman" w:cs="Arial"/>
                <w:bCs/>
                <w:color w:val="000000"/>
                <w:sz w:val="24"/>
                <w:szCs w:val="24"/>
              </w:rPr>
            </w:pPr>
          </w:p>
        </w:tc>
      </w:tr>
      <w:tr w:rsidR="00CB462C" w:rsidRPr="00CB462C" w:rsidTr="006A580E">
        <w:trPr>
          <w:cantSplit/>
          <w:trHeight w:val="50"/>
        </w:trPr>
        <w:tc>
          <w:tcPr>
            <w:tcW w:w="4124" w:type="dxa"/>
            <w:tcBorders>
              <w:top w:val="double" w:sz="4" w:space="0" w:color="auto"/>
              <w:bottom w:val="single" w:sz="4" w:space="0" w:color="auto"/>
            </w:tcBorders>
            <w:shd w:val="clear" w:color="auto" w:fill="E6E6E6"/>
          </w:tcPr>
          <w:p w:rsidR="00CB462C" w:rsidRPr="00CB462C" w:rsidRDefault="00CB462C" w:rsidP="00CB462C">
            <w:pPr>
              <w:keepNext/>
              <w:spacing w:after="0" w:line="240" w:lineRule="auto"/>
              <w:ind w:right="-1"/>
              <w:outlineLvl w:val="2"/>
              <w:rPr>
                <w:rFonts w:ascii="Times New Roman" w:hAnsi="Times New Roman" w:cs="Arial"/>
                <w:bCs/>
                <w:color w:val="000000"/>
                <w:sz w:val="24"/>
                <w:szCs w:val="24"/>
              </w:rPr>
            </w:pPr>
            <w:r w:rsidRPr="00CB462C">
              <w:rPr>
                <w:rFonts w:ascii="Times New Roman" w:hAnsi="Times New Roman" w:cs="Arial"/>
                <w:bCs/>
                <w:color w:val="000000"/>
                <w:sz w:val="24"/>
                <w:szCs w:val="24"/>
              </w:rPr>
              <w:t>Полная денежная масса (М3)</w:t>
            </w:r>
          </w:p>
        </w:tc>
        <w:tc>
          <w:tcPr>
            <w:tcW w:w="1121" w:type="dxa"/>
            <w:tcBorders>
              <w:top w:val="double" w:sz="4" w:space="0" w:color="auto"/>
              <w:bottom w:val="single" w:sz="4" w:space="0" w:color="auto"/>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7 433,9</w:t>
            </w:r>
          </w:p>
        </w:tc>
        <w:tc>
          <w:tcPr>
            <w:tcW w:w="1122" w:type="dxa"/>
            <w:tcBorders>
              <w:top w:val="double" w:sz="4" w:space="0" w:color="auto"/>
              <w:bottom w:val="single" w:sz="4" w:space="0" w:color="auto"/>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100,0</w:t>
            </w:r>
          </w:p>
        </w:tc>
        <w:tc>
          <w:tcPr>
            <w:tcW w:w="1122" w:type="dxa"/>
            <w:tcBorders>
              <w:top w:val="double" w:sz="4" w:space="0" w:color="auto"/>
              <w:bottom w:val="single" w:sz="4" w:space="0" w:color="auto"/>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8 130,0</w:t>
            </w:r>
          </w:p>
        </w:tc>
        <w:tc>
          <w:tcPr>
            <w:tcW w:w="1122" w:type="dxa"/>
            <w:tcBorders>
              <w:top w:val="double" w:sz="4" w:space="0" w:color="auto"/>
              <w:bottom w:val="single" w:sz="4" w:space="0" w:color="auto"/>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100,0</w:t>
            </w:r>
          </w:p>
        </w:tc>
        <w:tc>
          <w:tcPr>
            <w:tcW w:w="988" w:type="dxa"/>
            <w:tcBorders>
              <w:top w:val="double" w:sz="4" w:space="0" w:color="auto"/>
              <w:bottom w:val="single" w:sz="4" w:space="0" w:color="auto"/>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109,4</w:t>
            </w:r>
          </w:p>
        </w:tc>
      </w:tr>
      <w:tr w:rsidR="00CB462C" w:rsidRPr="00CB462C" w:rsidTr="006A580E">
        <w:trPr>
          <w:cantSplit/>
          <w:trHeight w:val="50"/>
        </w:trPr>
        <w:tc>
          <w:tcPr>
            <w:tcW w:w="4124" w:type="dxa"/>
            <w:tcBorders>
              <w:top w:val="single" w:sz="4" w:space="0" w:color="auto"/>
              <w:bottom w:val="nil"/>
            </w:tcBorders>
            <w:shd w:val="clear" w:color="auto" w:fill="E6E6E6"/>
          </w:tcPr>
          <w:p w:rsidR="00CB462C" w:rsidRPr="00CB462C" w:rsidRDefault="00CB462C" w:rsidP="00CB462C">
            <w:pPr>
              <w:keepNext/>
              <w:spacing w:after="0" w:line="240" w:lineRule="auto"/>
              <w:ind w:left="32" w:right="-1" w:firstLine="112"/>
              <w:outlineLvl w:val="2"/>
              <w:rPr>
                <w:rFonts w:ascii="Times New Roman" w:hAnsi="Times New Roman" w:cs="Arial"/>
                <w:bCs/>
                <w:color w:val="000000"/>
                <w:sz w:val="24"/>
                <w:szCs w:val="24"/>
              </w:rPr>
            </w:pPr>
            <w:r w:rsidRPr="00CB462C">
              <w:rPr>
                <w:rFonts w:ascii="Times New Roman" w:hAnsi="Times New Roman" w:cs="Arial"/>
                <w:bCs/>
                <w:color w:val="000000"/>
                <w:sz w:val="24"/>
                <w:szCs w:val="24"/>
              </w:rPr>
              <w:t>в том числе:</w:t>
            </w:r>
          </w:p>
        </w:tc>
        <w:tc>
          <w:tcPr>
            <w:tcW w:w="1121" w:type="dxa"/>
            <w:tcBorders>
              <w:top w:val="single" w:sz="4" w:space="0" w:color="auto"/>
              <w:bottom w:val="nil"/>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p>
        </w:tc>
        <w:tc>
          <w:tcPr>
            <w:tcW w:w="1122" w:type="dxa"/>
            <w:tcBorders>
              <w:top w:val="single" w:sz="4" w:space="0" w:color="auto"/>
              <w:bottom w:val="nil"/>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p>
        </w:tc>
        <w:tc>
          <w:tcPr>
            <w:tcW w:w="1122" w:type="dxa"/>
            <w:tcBorders>
              <w:top w:val="single" w:sz="4" w:space="0" w:color="auto"/>
              <w:bottom w:val="nil"/>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p>
        </w:tc>
        <w:tc>
          <w:tcPr>
            <w:tcW w:w="1122" w:type="dxa"/>
            <w:tcBorders>
              <w:top w:val="single" w:sz="4" w:space="0" w:color="auto"/>
              <w:bottom w:val="nil"/>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p>
        </w:tc>
        <w:tc>
          <w:tcPr>
            <w:tcW w:w="988" w:type="dxa"/>
            <w:tcBorders>
              <w:top w:val="single" w:sz="4" w:space="0" w:color="auto"/>
              <w:bottom w:val="nil"/>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p>
        </w:tc>
      </w:tr>
      <w:tr w:rsidR="00CB462C" w:rsidRPr="00CB462C" w:rsidTr="006A580E">
        <w:trPr>
          <w:cantSplit/>
          <w:trHeight w:val="77"/>
        </w:trPr>
        <w:tc>
          <w:tcPr>
            <w:tcW w:w="4124" w:type="dxa"/>
            <w:tcBorders>
              <w:top w:val="nil"/>
            </w:tcBorders>
            <w:shd w:val="clear" w:color="auto" w:fill="E6E6E6"/>
          </w:tcPr>
          <w:p w:rsidR="00CB462C" w:rsidRPr="00CB462C" w:rsidRDefault="00CB462C" w:rsidP="00CB462C">
            <w:pPr>
              <w:keepNext/>
              <w:spacing w:after="0" w:line="240" w:lineRule="auto"/>
              <w:ind w:left="116" w:right="-108" w:firstLine="12"/>
              <w:outlineLvl w:val="2"/>
              <w:rPr>
                <w:rFonts w:ascii="Times New Roman" w:hAnsi="Times New Roman" w:cs="Arial"/>
                <w:bCs/>
                <w:color w:val="000000"/>
                <w:sz w:val="24"/>
                <w:szCs w:val="24"/>
              </w:rPr>
            </w:pPr>
            <w:r w:rsidRPr="00CB462C">
              <w:rPr>
                <w:rFonts w:ascii="Times New Roman" w:hAnsi="Times New Roman" w:cs="Arial"/>
                <w:bCs/>
                <w:color w:val="000000"/>
                <w:sz w:val="24"/>
                <w:szCs w:val="24"/>
              </w:rPr>
              <w:t>Национальная денежная масса (</w:t>
            </w:r>
            <w:bookmarkStart w:id="4" w:name="OLE_LINK5"/>
            <w:r w:rsidRPr="00CB462C">
              <w:rPr>
                <w:rFonts w:ascii="Times New Roman" w:hAnsi="Times New Roman" w:cs="Arial"/>
                <w:bCs/>
                <w:color w:val="000000"/>
                <w:sz w:val="24"/>
                <w:szCs w:val="24"/>
              </w:rPr>
              <w:t>М2х</w:t>
            </w:r>
            <w:bookmarkEnd w:id="4"/>
            <w:r w:rsidRPr="00CB462C">
              <w:rPr>
                <w:rFonts w:ascii="Times New Roman" w:hAnsi="Times New Roman" w:cs="Arial"/>
                <w:bCs/>
                <w:color w:val="000000"/>
                <w:sz w:val="24"/>
                <w:szCs w:val="24"/>
              </w:rPr>
              <w:t>)</w:t>
            </w:r>
          </w:p>
        </w:tc>
        <w:tc>
          <w:tcPr>
            <w:tcW w:w="1121" w:type="dxa"/>
            <w:tcBorders>
              <w:top w:val="nil"/>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2 334,1</w:t>
            </w:r>
          </w:p>
        </w:tc>
        <w:tc>
          <w:tcPr>
            <w:tcW w:w="1122" w:type="dxa"/>
            <w:tcBorders>
              <w:top w:val="nil"/>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31,4</w:t>
            </w:r>
          </w:p>
        </w:tc>
        <w:tc>
          <w:tcPr>
            <w:tcW w:w="1122" w:type="dxa"/>
            <w:tcBorders>
              <w:top w:val="nil"/>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2 758,0</w:t>
            </w:r>
          </w:p>
        </w:tc>
        <w:tc>
          <w:tcPr>
            <w:tcW w:w="1122" w:type="dxa"/>
            <w:tcBorders>
              <w:top w:val="nil"/>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33,9</w:t>
            </w:r>
          </w:p>
        </w:tc>
        <w:tc>
          <w:tcPr>
            <w:tcW w:w="988" w:type="dxa"/>
            <w:tcBorders>
              <w:top w:val="nil"/>
            </w:tcBorders>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118,2</w:t>
            </w:r>
          </w:p>
        </w:tc>
      </w:tr>
      <w:tr w:rsidR="00CB462C" w:rsidRPr="00CB462C" w:rsidTr="006A580E">
        <w:trPr>
          <w:cantSplit/>
          <w:trHeight w:val="183"/>
        </w:trPr>
        <w:tc>
          <w:tcPr>
            <w:tcW w:w="4124" w:type="dxa"/>
            <w:tcBorders>
              <w:bottom w:val="single" w:sz="4" w:space="0" w:color="FFFFFF"/>
            </w:tcBorders>
          </w:tcPr>
          <w:p w:rsidR="00CB462C" w:rsidRPr="00CB462C" w:rsidRDefault="00CB462C" w:rsidP="00CB462C">
            <w:pPr>
              <w:keepNext/>
              <w:tabs>
                <w:tab w:val="left" w:pos="612"/>
              </w:tabs>
              <w:spacing w:after="0" w:line="240" w:lineRule="auto"/>
              <w:ind w:left="252" w:right="-108" w:firstLine="46"/>
              <w:outlineLvl w:val="2"/>
              <w:rPr>
                <w:rFonts w:ascii="Times New Roman" w:hAnsi="Times New Roman" w:cs="Arial"/>
                <w:bCs/>
                <w:color w:val="000000"/>
                <w:sz w:val="24"/>
                <w:szCs w:val="24"/>
              </w:rPr>
            </w:pPr>
            <w:r w:rsidRPr="00CB462C">
              <w:rPr>
                <w:rFonts w:ascii="Times New Roman" w:hAnsi="Times New Roman" w:cs="Arial"/>
                <w:bCs/>
                <w:color w:val="000000"/>
                <w:sz w:val="24"/>
                <w:szCs w:val="24"/>
              </w:rPr>
              <w:t>в том числе</w:t>
            </w:r>
            <w:r w:rsidRPr="00CB462C">
              <w:rPr>
                <w:rFonts w:ascii="Times New Roman" w:hAnsi="Times New Roman" w:cs="Arial"/>
                <w:bCs/>
                <w:color w:val="000000"/>
                <w:sz w:val="24"/>
                <w:szCs w:val="24"/>
                <w:lang w:val="en-US"/>
              </w:rPr>
              <w:t>:</w:t>
            </w:r>
          </w:p>
        </w:tc>
        <w:tc>
          <w:tcPr>
            <w:tcW w:w="1121" w:type="dxa"/>
            <w:tcBorders>
              <w:bottom w:val="single" w:sz="4" w:space="0" w:color="FFFFFF"/>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p>
        </w:tc>
        <w:tc>
          <w:tcPr>
            <w:tcW w:w="1122" w:type="dxa"/>
            <w:tcBorders>
              <w:bottom w:val="single" w:sz="4" w:space="0" w:color="FFFFFF"/>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p>
        </w:tc>
        <w:tc>
          <w:tcPr>
            <w:tcW w:w="1122" w:type="dxa"/>
            <w:tcBorders>
              <w:bottom w:val="single" w:sz="4" w:space="0" w:color="FFFFFF"/>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p>
        </w:tc>
        <w:tc>
          <w:tcPr>
            <w:tcW w:w="1122" w:type="dxa"/>
            <w:tcBorders>
              <w:bottom w:val="single" w:sz="4" w:space="0" w:color="FFFFFF"/>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p>
        </w:tc>
        <w:tc>
          <w:tcPr>
            <w:tcW w:w="988" w:type="dxa"/>
            <w:tcBorders>
              <w:bottom w:val="single" w:sz="4" w:space="0" w:color="FFFFFF"/>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p>
        </w:tc>
      </w:tr>
      <w:tr w:rsidR="00CB462C" w:rsidRPr="00CB462C" w:rsidTr="006A580E">
        <w:trPr>
          <w:cantSplit/>
          <w:trHeight w:val="193"/>
        </w:trPr>
        <w:tc>
          <w:tcPr>
            <w:tcW w:w="4124" w:type="dxa"/>
            <w:tcBorders>
              <w:top w:val="single" w:sz="4" w:space="0" w:color="FFFFFF"/>
              <w:bottom w:val="single" w:sz="4" w:space="0" w:color="auto"/>
            </w:tcBorders>
          </w:tcPr>
          <w:p w:rsidR="00CB462C" w:rsidRPr="00CB462C" w:rsidRDefault="00CB462C" w:rsidP="00CB462C">
            <w:pPr>
              <w:keepNext/>
              <w:tabs>
                <w:tab w:val="left" w:pos="176"/>
                <w:tab w:val="left" w:pos="612"/>
              </w:tabs>
              <w:spacing w:after="0" w:line="240" w:lineRule="auto"/>
              <w:ind w:left="252" w:right="-108" w:firstLine="46"/>
              <w:outlineLvl w:val="2"/>
              <w:rPr>
                <w:rFonts w:ascii="Times New Roman" w:hAnsi="Times New Roman" w:cs="Arial"/>
                <w:bCs/>
                <w:color w:val="000000"/>
                <w:sz w:val="24"/>
                <w:szCs w:val="24"/>
              </w:rPr>
            </w:pPr>
            <w:r w:rsidRPr="00CB462C">
              <w:rPr>
                <w:rFonts w:ascii="Times New Roman" w:hAnsi="Times New Roman" w:cs="Arial"/>
                <w:bCs/>
                <w:color w:val="000000"/>
                <w:sz w:val="24"/>
                <w:szCs w:val="24"/>
              </w:rPr>
              <w:t>- наличные деньги в обращении</w:t>
            </w:r>
          </w:p>
        </w:tc>
        <w:tc>
          <w:tcPr>
            <w:tcW w:w="1121" w:type="dxa"/>
            <w:tcBorders>
              <w:top w:val="single" w:sz="4" w:space="0" w:color="FFFFFF"/>
              <w:bottom w:val="single" w:sz="4" w:space="0" w:color="auto"/>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982,4</w:t>
            </w:r>
          </w:p>
        </w:tc>
        <w:tc>
          <w:tcPr>
            <w:tcW w:w="1122" w:type="dxa"/>
            <w:tcBorders>
              <w:top w:val="single" w:sz="4" w:space="0" w:color="FFFFFF"/>
              <w:bottom w:val="single" w:sz="4" w:space="0" w:color="auto"/>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13,2</w:t>
            </w:r>
          </w:p>
        </w:tc>
        <w:tc>
          <w:tcPr>
            <w:tcW w:w="1122" w:type="dxa"/>
            <w:tcBorders>
              <w:top w:val="single" w:sz="4" w:space="0" w:color="FFFFFF"/>
              <w:bottom w:val="single" w:sz="4" w:space="0" w:color="auto"/>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1 034,5</w:t>
            </w:r>
          </w:p>
        </w:tc>
        <w:tc>
          <w:tcPr>
            <w:tcW w:w="1122" w:type="dxa"/>
            <w:tcBorders>
              <w:top w:val="single" w:sz="4" w:space="0" w:color="FFFFFF"/>
              <w:bottom w:val="single" w:sz="4" w:space="0" w:color="auto"/>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12,7</w:t>
            </w:r>
          </w:p>
        </w:tc>
        <w:tc>
          <w:tcPr>
            <w:tcW w:w="988" w:type="dxa"/>
            <w:tcBorders>
              <w:top w:val="single" w:sz="4" w:space="0" w:color="FFFFFF"/>
              <w:bottom w:val="single" w:sz="4" w:space="0" w:color="auto"/>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105,3</w:t>
            </w:r>
          </w:p>
        </w:tc>
      </w:tr>
      <w:tr w:rsidR="00CB462C" w:rsidRPr="00CB462C" w:rsidTr="006A580E">
        <w:trPr>
          <w:cantSplit/>
          <w:trHeight w:val="193"/>
        </w:trPr>
        <w:tc>
          <w:tcPr>
            <w:tcW w:w="4124" w:type="dxa"/>
            <w:tcBorders>
              <w:top w:val="single" w:sz="4" w:space="0" w:color="FFFFFF"/>
              <w:bottom w:val="single" w:sz="4" w:space="0" w:color="auto"/>
            </w:tcBorders>
          </w:tcPr>
          <w:p w:rsidR="00CB462C" w:rsidRPr="00CB462C" w:rsidRDefault="00CB462C" w:rsidP="00CB462C">
            <w:pPr>
              <w:keepNext/>
              <w:tabs>
                <w:tab w:val="left" w:pos="176"/>
                <w:tab w:val="left" w:pos="612"/>
              </w:tabs>
              <w:spacing w:after="0" w:line="240" w:lineRule="auto"/>
              <w:ind w:left="252" w:right="-108" w:firstLine="46"/>
              <w:outlineLvl w:val="2"/>
              <w:rPr>
                <w:rFonts w:ascii="Times New Roman" w:hAnsi="Times New Roman" w:cs="Arial"/>
                <w:bCs/>
                <w:color w:val="000000"/>
                <w:sz w:val="24"/>
                <w:szCs w:val="24"/>
              </w:rPr>
            </w:pPr>
            <w:r w:rsidRPr="00CB462C">
              <w:rPr>
                <w:rFonts w:ascii="Times New Roman" w:hAnsi="Times New Roman" w:cs="Arial"/>
                <w:bCs/>
                <w:color w:val="000000"/>
                <w:sz w:val="24"/>
                <w:szCs w:val="24"/>
                <w:lang w:val="en-US"/>
              </w:rPr>
              <w:t>-</w:t>
            </w:r>
            <w:r w:rsidRPr="00CB462C">
              <w:rPr>
                <w:rFonts w:ascii="Times New Roman" w:hAnsi="Times New Roman" w:cs="Arial"/>
                <w:bCs/>
                <w:color w:val="000000"/>
                <w:sz w:val="24"/>
                <w:szCs w:val="24"/>
              </w:rPr>
              <w:t xml:space="preserve"> безналичные денежные средства</w:t>
            </w:r>
          </w:p>
        </w:tc>
        <w:tc>
          <w:tcPr>
            <w:tcW w:w="1121" w:type="dxa"/>
            <w:tcBorders>
              <w:top w:val="single" w:sz="4" w:space="0" w:color="FFFFFF"/>
              <w:bottom w:val="single" w:sz="4" w:space="0" w:color="auto"/>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1 351,7</w:t>
            </w:r>
          </w:p>
        </w:tc>
        <w:tc>
          <w:tcPr>
            <w:tcW w:w="1122" w:type="dxa"/>
            <w:tcBorders>
              <w:top w:val="single" w:sz="4" w:space="0" w:color="FFFFFF"/>
              <w:bottom w:val="single" w:sz="4" w:space="0" w:color="auto"/>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18,2</w:t>
            </w:r>
          </w:p>
        </w:tc>
        <w:tc>
          <w:tcPr>
            <w:tcW w:w="1122" w:type="dxa"/>
            <w:tcBorders>
              <w:top w:val="single" w:sz="4" w:space="0" w:color="FFFFFF"/>
              <w:bottom w:val="single" w:sz="4" w:space="0" w:color="auto"/>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1 723,5</w:t>
            </w:r>
          </w:p>
        </w:tc>
        <w:tc>
          <w:tcPr>
            <w:tcW w:w="1122" w:type="dxa"/>
            <w:tcBorders>
              <w:top w:val="single" w:sz="4" w:space="0" w:color="FFFFFF"/>
              <w:bottom w:val="single" w:sz="4" w:space="0" w:color="auto"/>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21,2</w:t>
            </w:r>
          </w:p>
        </w:tc>
        <w:tc>
          <w:tcPr>
            <w:tcW w:w="988" w:type="dxa"/>
            <w:tcBorders>
              <w:top w:val="single" w:sz="4" w:space="0" w:color="FFFFFF"/>
              <w:bottom w:val="single" w:sz="4" w:space="0" w:color="auto"/>
            </w:tcBorders>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127,5</w:t>
            </w:r>
          </w:p>
        </w:tc>
      </w:tr>
      <w:tr w:rsidR="00CB462C" w:rsidRPr="00CB462C" w:rsidTr="006A580E">
        <w:trPr>
          <w:trHeight w:val="170"/>
        </w:trPr>
        <w:tc>
          <w:tcPr>
            <w:tcW w:w="4124" w:type="dxa"/>
            <w:shd w:val="clear" w:color="auto" w:fill="E6E6E6"/>
          </w:tcPr>
          <w:p w:rsidR="00CB462C" w:rsidRPr="00CB462C" w:rsidRDefault="00CB462C" w:rsidP="00CB462C">
            <w:pPr>
              <w:tabs>
                <w:tab w:val="left" w:pos="0"/>
                <w:tab w:val="left" w:pos="612"/>
              </w:tabs>
              <w:spacing w:after="0" w:line="240" w:lineRule="auto"/>
              <w:ind w:left="144" w:right="-1"/>
              <w:rPr>
                <w:rFonts w:ascii="Times New Roman" w:hAnsi="Times New Roman"/>
                <w:color w:val="000000"/>
                <w:sz w:val="24"/>
                <w:szCs w:val="24"/>
              </w:rPr>
            </w:pPr>
            <w:r w:rsidRPr="00CB462C">
              <w:rPr>
                <w:rFonts w:ascii="Times New Roman" w:hAnsi="Times New Roman"/>
                <w:color w:val="000000"/>
                <w:sz w:val="24"/>
                <w:szCs w:val="24"/>
              </w:rPr>
              <w:t>Денежная масса в иностранной валюте</w:t>
            </w:r>
          </w:p>
        </w:tc>
        <w:tc>
          <w:tcPr>
            <w:tcW w:w="1121" w:type="dxa"/>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5 099,8</w:t>
            </w:r>
          </w:p>
        </w:tc>
        <w:tc>
          <w:tcPr>
            <w:tcW w:w="1122" w:type="dxa"/>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68,6</w:t>
            </w:r>
          </w:p>
        </w:tc>
        <w:tc>
          <w:tcPr>
            <w:tcW w:w="1122" w:type="dxa"/>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5 372,0</w:t>
            </w:r>
          </w:p>
        </w:tc>
        <w:tc>
          <w:tcPr>
            <w:tcW w:w="1122" w:type="dxa"/>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66,1</w:t>
            </w:r>
          </w:p>
        </w:tc>
        <w:tc>
          <w:tcPr>
            <w:tcW w:w="988" w:type="dxa"/>
            <w:shd w:val="clear" w:color="auto" w:fill="E6E6E6"/>
            <w:vAlign w:val="bottom"/>
          </w:tcPr>
          <w:p w:rsidR="00CB462C" w:rsidRPr="00CB462C" w:rsidRDefault="00CB462C" w:rsidP="00CB462C">
            <w:pPr>
              <w:spacing w:after="0" w:line="240" w:lineRule="auto"/>
              <w:ind w:right="89"/>
              <w:jc w:val="right"/>
              <w:rPr>
                <w:rFonts w:ascii="Times New Roman" w:hAnsi="Times New Roman" w:cs="Arial CYR"/>
                <w:sz w:val="24"/>
                <w:szCs w:val="24"/>
              </w:rPr>
            </w:pPr>
            <w:r w:rsidRPr="00CB462C">
              <w:rPr>
                <w:rFonts w:ascii="Times New Roman" w:hAnsi="Times New Roman" w:cs="Arial CYR"/>
                <w:sz w:val="24"/>
                <w:szCs w:val="24"/>
              </w:rPr>
              <w:t>105,3</w:t>
            </w:r>
          </w:p>
        </w:tc>
      </w:tr>
      <w:bookmarkEnd w:id="1"/>
      <w:bookmarkEnd w:id="2"/>
      <w:bookmarkEnd w:id="3"/>
    </w:tbl>
    <w:p w:rsidR="00CB462C" w:rsidRPr="00CB462C" w:rsidRDefault="00CB462C" w:rsidP="00CB462C">
      <w:pPr>
        <w:spacing w:after="0" w:line="240" w:lineRule="auto"/>
        <w:ind w:firstLine="709"/>
        <w:jc w:val="both"/>
        <w:rPr>
          <w:rFonts w:ascii="Times New Roman" w:hAnsi="Times New Roman"/>
          <w:sz w:val="24"/>
          <w:highlight w:val="yellow"/>
        </w:rPr>
      </w:pPr>
    </w:p>
    <w:p w:rsidR="00CB462C" w:rsidRPr="00CB462C" w:rsidRDefault="00CB462C" w:rsidP="00CB462C">
      <w:pPr>
        <w:spacing w:after="0" w:line="240" w:lineRule="auto"/>
        <w:ind w:firstLine="709"/>
        <w:jc w:val="both"/>
        <w:rPr>
          <w:rFonts w:ascii="Times New Roman" w:hAnsi="Times New Roman"/>
          <w:sz w:val="28"/>
          <w:szCs w:val="28"/>
        </w:rPr>
      </w:pPr>
      <w:r w:rsidRPr="00CB462C">
        <w:rPr>
          <w:rFonts w:ascii="Times New Roman" w:hAnsi="Times New Roman"/>
          <w:sz w:val="28"/>
          <w:szCs w:val="28"/>
        </w:rPr>
        <w:t xml:space="preserve">Денежная масса в иностранной валюте также демонстрировала рост на 5,3% или на 272,2 млн руб. до 5 372,0 млн руб., а без учета валютной переоценки (девальвация составила 3,9%) – на 1,4%. Существенное влияние на данную динамику оказало увеличение остатков наличной иностранной валюты в кассах банков (+59,2% до 335,7 млн руб.), а также приток средств на депозиты до востребования (+5,1% до 1 579,3 млн руб.) и срочные депозиты (+2,0% до 3 418,0 млн руб.). </w:t>
      </w:r>
    </w:p>
    <w:p w:rsidR="00CB462C" w:rsidRPr="00CB462C" w:rsidRDefault="00CB462C" w:rsidP="00CB462C">
      <w:pPr>
        <w:spacing w:after="0" w:line="240" w:lineRule="auto"/>
        <w:ind w:firstLine="709"/>
        <w:jc w:val="both"/>
        <w:rPr>
          <w:rFonts w:ascii="Times New Roman" w:hAnsi="Times New Roman"/>
          <w:sz w:val="28"/>
          <w:szCs w:val="28"/>
        </w:rPr>
      </w:pPr>
      <w:r w:rsidRPr="00CB462C">
        <w:rPr>
          <w:rFonts w:ascii="Times New Roman" w:hAnsi="Times New Roman"/>
          <w:sz w:val="28"/>
          <w:szCs w:val="28"/>
        </w:rPr>
        <w:t>Таким образом, объем совокупного денежного предложения на                      1 января 2019 года составил 8 130,0 млн руб., превысив уровень начала               2018 года на 9,4%.</w:t>
      </w:r>
    </w:p>
    <w:p w:rsidR="00CB462C" w:rsidRPr="00CB462C" w:rsidRDefault="00CB462C" w:rsidP="00CB462C">
      <w:pPr>
        <w:widowControl w:val="0"/>
        <w:spacing w:after="0" w:line="240" w:lineRule="auto"/>
        <w:jc w:val="right"/>
        <w:rPr>
          <w:rFonts w:ascii="Times New Roman" w:hAnsi="Times New Roman"/>
          <w:bCs/>
          <w:iCs/>
          <w:sz w:val="28"/>
          <w:szCs w:val="28"/>
        </w:rPr>
      </w:pPr>
      <w:r w:rsidRPr="00CB462C">
        <w:rPr>
          <w:rFonts w:ascii="Times New Roman" w:hAnsi="Times New Roman"/>
          <w:bCs/>
          <w:iCs/>
          <w:sz w:val="28"/>
          <w:szCs w:val="28"/>
        </w:rPr>
        <w:t>Таблица №</w:t>
      </w:r>
      <w:r w:rsidR="006A580E">
        <w:rPr>
          <w:rFonts w:ascii="Times New Roman" w:hAnsi="Times New Roman"/>
          <w:bCs/>
          <w:iCs/>
          <w:sz w:val="28"/>
          <w:szCs w:val="28"/>
        </w:rPr>
        <w:t>1</w:t>
      </w:r>
      <w:r w:rsidR="00914EB7">
        <w:rPr>
          <w:rFonts w:ascii="Times New Roman" w:hAnsi="Times New Roman"/>
          <w:bCs/>
          <w:iCs/>
          <w:sz w:val="28"/>
          <w:szCs w:val="28"/>
        </w:rPr>
        <w:t>2</w:t>
      </w:r>
    </w:p>
    <w:p w:rsidR="00CB462C" w:rsidRPr="00CB462C" w:rsidRDefault="00CB462C" w:rsidP="00CB462C">
      <w:pPr>
        <w:spacing w:after="0" w:line="240" w:lineRule="auto"/>
        <w:jc w:val="center"/>
        <w:rPr>
          <w:rFonts w:ascii="Times New Roman" w:hAnsi="Times New Roman"/>
          <w:b/>
          <w:color w:val="000000"/>
          <w:sz w:val="28"/>
          <w:szCs w:val="28"/>
        </w:rPr>
      </w:pPr>
      <w:r w:rsidRPr="00CB462C">
        <w:rPr>
          <w:rFonts w:ascii="Times New Roman" w:hAnsi="Times New Roman"/>
          <w:b/>
          <w:color w:val="000000"/>
          <w:sz w:val="28"/>
          <w:szCs w:val="28"/>
        </w:rPr>
        <w:t>Структура и динамика денежной базы</w:t>
      </w: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240"/>
        <w:gridCol w:w="1241"/>
        <w:gridCol w:w="1240"/>
        <w:gridCol w:w="1242"/>
        <w:gridCol w:w="1126"/>
      </w:tblGrid>
      <w:tr w:rsidR="00CB462C" w:rsidRPr="00CB462C" w:rsidTr="006A580E">
        <w:trPr>
          <w:cantSplit/>
          <w:trHeight w:val="147"/>
        </w:trPr>
        <w:tc>
          <w:tcPr>
            <w:tcW w:w="3544" w:type="dxa"/>
            <w:vMerge w:val="restart"/>
            <w:shd w:val="clear" w:color="auto" w:fill="CCCCCC"/>
          </w:tcPr>
          <w:p w:rsidR="00CB462C" w:rsidRPr="00CB462C" w:rsidRDefault="00CB462C" w:rsidP="00CB462C">
            <w:pPr>
              <w:spacing w:after="0" w:line="240" w:lineRule="auto"/>
              <w:ind w:left="-108"/>
              <w:jc w:val="both"/>
              <w:rPr>
                <w:rFonts w:ascii="Times New Roman" w:hAnsi="Times New Roman"/>
                <w:color w:val="000000"/>
                <w:sz w:val="24"/>
                <w:szCs w:val="24"/>
              </w:rPr>
            </w:pPr>
          </w:p>
        </w:tc>
        <w:tc>
          <w:tcPr>
            <w:tcW w:w="2480" w:type="dxa"/>
            <w:gridSpan w:val="2"/>
            <w:shd w:val="clear" w:color="auto" w:fill="CCCCCC"/>
            <w:vAlign w:val="bottom"/>
          </w:tcPr>
          <w:p w:rsidR="00CB462C" w:rsidRPr="00CB462C" w:rsidRDefault="00CB462C" w:rsidP="00CB462C">
            <w:pPr>
              <w:spacing w:after="0" w:line="240" w:lineRule="auto"/>
              <w:ind w:left="-107" w:right="-111"/>
              <w:jc w:val="center"/>
              <w:rPr>
                <w:rFonts w:ascii="Times New Roman" w:hAnsi="Times New Roman"/>
                <w:sz w:val="24"/>
                <w:szCs w:val="24"/>
              </w:rPr>
            </w:pPr>
            <w:r w:rsidRPr="00CB462C">
              <w:rPr>
                <w:rFonts w:ascii="Times New Roman" w:hAnsi="Times New Roman"/>
                <w:sz w:val="24"/>
                <w:szCs w:val="24"/>
              </w:rPr>
              <w:t>на 01.01.2018 г.</w:t>
            </w:r>
          </w:p>
        </w:tc>
        <w:tc>
          <w:tcPr>
            <w:tcW w:w="2481" w:type="dxa"/>
            <w:gridSpan w:val="2"/>
            <w:shd w:val="clear" w:color="auto" w:fill="CCCCCC"/>
            <w:vAlign w:val="bottom"/>
          </w:tcPr>
          <w:p w:rsidR="00CB462C" w:rsidRPr="00CB462C" w:rsidRDefault="00CB462C" w:rsidP="00CB462C">
            <w:pPr>
              <w:spacing w:after="0" w:line="240" w:lineRule="auto"/>
              <w:ind w:left="-107" w:right="-111"/>
              <w:jc w:val="center"/>
              <w:rPr>
                <w:rFonts w:ascii="Times New Roman" w:hAnsi="Times New Roman"/>
                <w:sz w:val="24"/>
                <w:szCs w:val="24"/>
              </w:rPr>
            </w:pPr>
            <w:r w:rsidRPr="00CB462C">
              <w:rPr>
                <w:rFonts w:ascii="Times New Roman" w:hAnsi="Times New Roman"/>
                <w:sz w:val="24"/>
                <w:szCs w:val="24"/>
              </w:rPr>
              <w:t>на 01.01.2019 г.</w:t>
            </w:r>
          </w:p>
        </w:tc>
        <w:tc>
          <w:tcPr>
            <w:tcW w:w="1126" w:type="dxa"/>
            <w:vMerge w:val="restart"/>
            <w:shd w:val="clear" w:color="auto" w:fill="CCCCCC"/>
            <w:vAlign w:val="center"/>
          </w:tcPr>
          <w:p w:rsidR="00CB462C" w:rsidRPr="00CB462C" w:rsidRDefault="00CB462C" w:rsidP="00CB462C">
            <w:pPr>
              <w:spacing w:after="0" w:line="240" w:lineRule="auto"/>
              <w:jc w:val="center"/>
              <w:rPr>
                <w:rFonts w:ascii="Times New Roman" w:hAnsi="Times New Roman"/>
                <w:color w:val="000000"/>
                <w:sz w:val="24"/>
                <w:szCs w:val="24"/>
              </w:rPr>
            </w:pPr>
            <w:r w:rsidRPr="00CB462C">
              <w:rPr>
                <w:rFonts w:ascii="Times New Roman" w:hAnsi="Times New Roman"/>
                <w:color w:val="000000"/>
                <w:sz w:val="24"/>
                <w:szCs w:val="24"/>
              </w:rPr>
              <w:t>темп роста, %</w:t>
            </w:r>
          </w:p>
        </w:tc>
      </w:tr>
      <w:tr w:rsidR="00CB462C" w:rsidRPr="00CB462C" w:rsidTr="006A580E">
        <w:trPr>
          <w:cantSplit/>
          <w:trHeight w:val="115"/>
        </w:trPr>
        <w:tc>
          <w:tcPr>
            <w:tcW w:w="3544" w:type="dxa"/>
            <w:vMerge/>
            <w:tcBorders>
              <w:bottom w:val="double" w:sz="4" w:space="0" w:color="auto"/>
            </w:tcBorders>
          </w:tcPr>
          <w:p w:rsidR="00CB462C" w:rsidRPr="00CB462C" w:rsidRDefault="00CB462C" w:rsidP="00CB462C">
            <w:pPr>
              <w:spacing w:after="0" w:line="240" w:lineRule="auto"/>
              <w:ind w:left="-108"/>
              <w:jc w:val="both"/>
              <w:rPr>
                <w:rFonts w:ascii="Times New Roman" w:hAnsi="Times New Roman"/>
                <w:color w:val="000000"/>
                <w:sz w:val="24"/>
                <w:szCs w:val="24"/>
              </w:rPr>
            </w:pPr>
          </w:p>
        </w:tc>
        <w:tc>
          <w:tcPr>
            <w:tcW w:w="1240" w:type="dxa"/>
            <w:tcBorders>
              <w:bottom w:val="double" w:sz="4" w:space="0" w:color="auto"/>
            </w:tcBorders>
            <w:shd w:val="clear" w:color="auto" w:fill="CCCCCC"/>
            <w:vAlign w:val="center"/>
          </w:tcPr>
          <w:p w:rsidR="00CB462C" w:rsidRPr="00CB462C" w:rsidRDefault="00CB462C" w:rsidP="00CB462C">
            <w:pPr>
              <w:spacing w:after="0" w:line="240" w:lineRule="auto"/>
              <w:jc w:val="center"/>
              <w:rPr>
                <w:rFonts w:ascii="Times New Roman" w:hAnsi="Times New Roman"/>
                <w:color w:val="000000"/>
                <w:sz w:val="24"/>
                <w:szCs w:val="24"/>
              </w:rPr>
            </w:pPr>
            <w:r w:rsidRPr="00CB462C">
              <w:rPr>
                <w:rFonts w:ascii="Times New Roman" w:hAnsi="Times New Roman"/>
                <w:color w:val="000000"/>
                <w:sz w:val="24"/>
                <w:szCs w:val="24"/>
              </w:rPr>
              <w:t>млн. руб.</w:t>
            </w:r>
          </w:p>
        </w:tc>
        <w:tc>
          <w:tcPr>
            <w:tcW w:w="1241" w:type="dxa"/>
            <w:tcBorders>
              <w:bottom w:val="double" w:sz="4" w:space="0" w:color="auto"/>
            </w:tcBorders>
            <w:shd w:val="clear" w:color="auto" w:fill="CCCCCC"/>
            <w:vAlign w:val="center"/>
          </w:tcPr>
          <w:p w:rsidR="00CB462C" w:rsidRPr="00CB462C" w:rsidRDefault="00CB462C" w:rsidP="00CB462C">
            <w:pPr>
              <w:spacing w:after="0" w:line="240" w:lineRule="auto"/>
              <w:jc w:val="center"/>
              <w:rPr>
                <w:rFonts w:ascii="Times New Roman" w:hAnsi="Times New Roman"/>
                <w:color w:val="000000"/>
                <w:sz w:val="24"/>
                <w:szCs w:val="24"/>
              </w:rPr>
            </w:pPr>
            <w:r w:rsidRPr="00CB462C">
              <w:rPr>
                <w:rFonts w:ascii="Times New Roman" w:hAnsi="Times New Roman"/>
                <w:color w:val="000000"/>
                <w:sz w:val="24"/>
                <w:szCs w:val="24"/>
              </w:rPr>
              <w:t>уд. вес, %</w:t>
            </w:r>
          </w:p>
        </w:tc>
        <w:tc>
          <w:tcPr>
            <w:tcW w:w="1240" w:type="dxa"/>
            <w:tcBorders>
              <w:bottom w:val="double" w:sz="4" w:space="0" w:color="auto"/>
            </w:tcBorders>
            <w:shd w:val="clear" w:color="auto" w:fill="CCCCCC"/>
            <w:vAlign w:val="center"/>
          </w:tcPr>
          <w:p w:rsidR="00CB462C" w:rsidRPr="00CB462C" w:rsidRDefault="00CB462C" w:rsidP="00CB462C">
            <w:pPr>
              <w:spacing w:after="0" w:line="240" w:lineRule="auto"/>
              <w:jc w:val="center"/>
              <w:rPr>
                <w:rFonts w:ascii="Times New Roman" w:hAnsi="Times New Roman"/>
                <w:color w:val="000000"/>
                <w:sz w:val="24"/>
                <w:szCs w:val="24"/>
              </w:rPr>
            </w:pPr>
            <w:r w:rsidRPr="00CB462C">
              <w:rPr>
                <w:rFonts w:ascii="Times New Roman" w:hAnsi="Times New Roman"/>
                <w:color w:val="000000"/>
                <w:sz w:val="24"/>
                <w:szCs w:val="24"/>
              </w:rPr>
              <w:t>млн. руб.</w:t>
            </w:r>
          </w:p>
        </w:tc>
        <w:tc>
          <w:tcPr>
            <w:tcW w:w="1242" w:type="dxa"/>
            <w:tcBorders>
              <w:bottom w:val="double" w:sz="4" w:space="0" w:color="auto"/>
            </w:tcBorders>
            <w:shd w:val="clear" w:color="auto" w:fill="CCCCCC"/>
            <w:vAlign w:val="center"/>
          </w:tcPr>
          <w:p w:rsidR="00CB462C" w:rsidRPr="00CB462C" w:rsidRDefault="00CB462C" w:rsidP="00CB462C">
            <w:pPr>
              <w:spacing w:after="0" w:line="240" w:lineRule="auto"/>
              <w:jc w:val="center"/>
              <w:rPr>
                <w:rFonts w:ascii="Times New Roman" w:hAnsi="Times New Roman"/>
                <w:color w:val="000000"/>
                <w:sz w:val="24"/>
                <w:szCs w:val="24"/>
              </w:rPr>
            </w:pPr>
            <w:r w:rsidRPr="00CB462C">
              <w:rPr>
                <w:rFonts w:ascii="Times New Roman" w:hAnsi="Times New Roman"/>
                <w:color w:val="000000"/>
                <w:sz w:val="24"/>
                <w:szCs w:val="24"/>
              </w:rPr>
              <w:t>уд. вес, %</w:t>
            </w:r>
          </w:p>
        </w:tc>
        <w:tc>
          <w:tcPr>
            <w:tcW w:w="1126" w:type="dxa"/>
            <w:vMerge/>
            <w:tcBorders>
              <w:bottom w:val="double" w:sz="4" w:space="0" w:color="auto"/>
            </w:tcBorders>
            <w:vAlign w:val="center"/>
          </w:tcPr>
          <w:p w:rsidR="00CB462C" w:rsidRPr="00CB462C" w:rsidRDefault="00CB462C" w:rsidP="00CB462C">
            <w:pPr>
              <w:spacing w:after="0" w:line="240" w:lineRule="auto"/>
              <w:jc w:val="both"/>
              <w:rPr>
                <w:rFonts w:ascii="Times New Roman" w:hAnsi="Times New Roman"/>
                <w:color w:val="000000"/>
                <w:sz w:val="24"/>
                <w:szCs w:val="24"/>
              </w:rPr>
            </w:pPr>
          </w:p>
        </w:tc>
      </w:tr>
      <w:tr w:rsidR="00CB462C" w:rsidRPr="00CB462C" w:rsidTr="006A580E">
        <w:trPr>
          <w:trHeight w:val="215"/>
        </w:trPr>
        <w:tc>
          <w:tcPr>
            <w:tcW w:w="3544" w:type="dxa"/>
            <w:tcBorders>
              <w:top w:val="double" w:sz="4" w:space="0" w:color="auto"/>
            </w:tcBorders>
            <w:shd w:val="clear" w:color="auto" w:fill="E0E0E0"/>
            <w:vAlign w:val="center"/>
          </w:tcPr>
          <w:p w:rsidR="00CB462C" w:rsidRPr="00CB462C" w:rsidRDefault="00CB462C" w:rsidP="00CB462C">
            <w:pPr>
              <w:spacing w:after="0" w:line="240" w:lineRule="auto"/>
              <w:rPr>
                <w:rFonts w:ascii="Times New Roman" w:hAnsi="Times New Roman"/>
                <w:color w:val="000000"/>
                <w:sz w:val="24"/>
                <w:szCs w:val="24"/>
              </w:rPr>
            </w:pPr>
            <w:r w:rsidRPr="00CB462C">
              <w:rPr>
                <w:rFonts w:ascii="Times New Roman" w:hAnsi="Times New Roman"/>
                <w:color w:val="000000"/>
                <w:sz w:val="24"/>
                <w:szCs w:val="24"/>
              </w:rPr>
              <w:t>Денежная база</w:t>
            </w:r>
          </w:p>
        </w:tc>
        <w:tc>
          <w:tcPr>
            <w:tcW w:w="1240" w:type="dxa"/>
            <w:tcBorders>
              <w:top w:val="double" w:sz="4" w:space="0" w:color="auto"/>
            </w:tcBorders>
            <w:shd w:val="clear" w:color="auto" w:fill="E0E0E0"/>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1 750,7</w:t>
            </w:r>
          </w:p>
        </w:tc>
        <w:tc>
          <w:tcPr>
            <w:tcW w:w="1241" w:type="dxa"/>
            <w:tcBorders>
              <w:top w:val="double" w:sz="4" w:space="0" w:color="auto"/>
            </w:tcBorders>
            <w:shd w:val="clear" w:color="auto" w:fill="E0E0E0"/>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100,0</w:t>
            </w:r>
          </w:p>
        </w:tc>
        <w:tc>
          <w:tcPr>
            <w:tcW w:w="1240" w:type="dxa"/>
            <w:tcBorders>
              <w:top w:val="double" w:sz="4" w:space="0" w:color="auto"/>
            </w:tcBorders>
            <w:shd w:val="clear" w:color="auto" w:fill="E0E0E0"/>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2 148,3</w:t>
            </w:r>
          </w:p>
        </w:tc>
        <w:tc>
          <w:tcPr>
            <w:tcW w:w="1242" w:type="dxa"/>
            <w:tcBorders>
              <w:top w:val="double" w:sz="4" w:space="0" w:color="auto"/>
            </w:tcBorders>
            <w:shd w:val="clear" w:color="auto" w:fill="E0E0E0"/>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100,0</w:t>
            </w:r>
          </w:p>
        </w:tc>
        <w:tc>
          <w:tcPr>
            <w:tcW w:w="1126" w:type="dxa"/>
            <w:tcBorders>
              <w:top w:val="double" w:sz="4" w:space="0" w:color="auto"/>
            </w:tcBorders>
            <w:shd w:val="clear" w:color="auto" w:fill="E0E0E0"/>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122,7</w:t>
            </w:r>
          </w:p>
        </w:tc>
      </w:tr>
      <w:tr w:rsidR="00CB462C" w:rsidRPr="00CB462C" w:rsidTr="006A580E">
        <w:trPr>
          <w:trHeight w:val="136"/>
        </w:trPr>
        <w:tc>
          <w:tcPr>
            <w:tcW w:w="3544" w:type="dxa"/>
            <w:tcBorders>
              <w:bottom w:val="nil"/>
            </w:tcBorders>
            <w:vAlign w:val="center"/>
          </w:tcPr>
          <w:p w:rsidR="00CB462C" w:rsidRPr="00CB462C" w:rsidRDefault="00CB462C" w:rsidP="00CB462C">
            <w:pPr>
              <w:spacing w:after="0" w:line="240" w:lineRule="auto"/>
              <w:ind w:left="74" w:firstLine="102"/>
              <w:rPr>
                <w:rFonts w:ascii="Times New Roman" w:hAnsi="Times New Roman"/>
                <w:color w:val="000000"/>
                <w:sz w:val="24"/>
                <w:szCs w:val="24"/>
              </w:rPr>
            </w:pPr>
            <w:r w:rsidRPr="00CB462C">
              <w:rPr>
                <w:rFonts w:ascii="Times New Roman" w:hAnsi="Times New Roman"/>
                <w:color w:val="000000"/>
                <w:sz w:val="24"/>
                <w:szCs w:val="24"/>
              </w:rPr>
              <w:t>в том числе:</w:t>
            </w:r>
          </w:p>
        </w:tc>
        <w:tc>
          <w:tcPr>
            <w:tcW w:w="1240" w:type="dxa"/>
            <w:tcBorders>
              <w:bottom w:val="nil"/>
            </w:tcBorders>
            <w:vAlign w:val="bottom"/>
          </w:tcPr>
          <w:p w:rsidR="00CB462C" w:rsidRPr="00CB462C" w:rsidRDefault="00CB462C" w:rsidP="00CB462C">
            <w:pPr>
              <w:spacing w:after="0" w:line="240" w:lineRule="auto"/>
              <w:ind w:right="176"/>
              <w:rPr>
                <w:rFonts w:ascii="Times New Roman" w:hAnsi="Times New Roman" w:cs="Arial CYR"/>
                <w:sz w:val="24"/>
                <w:szCs w:val="24"/>
              </w:rPr>
            </w:pPr>
          </w:p>
        </w:tc>
        <w:tc>
          <w:tcPr>
            <w:tcW w:w="1241" w:type="dxa"/>
            <w:tcBorders>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p>
        </w:tc>
        <w:tc>
          <w:tcPr>
            <w:tcW w:w="1240" w:type="dxa"/>
            <w:tcBorders>
              <w:bottom w:val="nil"/>
            </w:tcBorders>
            <w:vAlign w:val="bottom"/>
          </w:tcPr>
          <w:p w:rsidR="00CB462C" w:rsidRPr="00CB462C" w:rsidRDefault="00CB462C" w:rsidP="00CB462C">
            <w:pPr>
              <w:spacing w:after="0" w:line="240" w:lineRule="auto"/>
              <w:ind w:right="176"/>
              <w:rPr>
                <w:rFonts w:ascii="Times New Roman" w:hAnsi="Times New Roman" w:cs="Arial CYR"/>
                <w:sz w:val="24"/>
                <w:szCs w:val="24"/>
              </w:rPr>
            </w:pPr>
          </w:p>
        </w:tc>
        <w:tc>
          <w:tcPr>
            <w:tcW w:w="1242" w:type="dxa"/>
            <w:tcBorders>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p>
        </w:tc>
        <w:tc>
          <w:tcPr>
            <w:tcW w:w="1126" w:type="dxa"/>
            <w:tcBorders>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p>
        </w:tc>
      </w:tr>
      <w:tr w:rsidR="00CB462C" w:rsidRPr="00CB462C" w:rsidTr="006A580E">
        <w:trPr>
          <w:trHeight w:val="542"/>
        </w:trPr>
        <w:tc>
          <w:tcPr>
            <w:tcW w:w="3544" w:type="dxa"/>
            <w:tcBorders>
              <w:top w:val="nil"/>
              <w:bottom w:val="nil"/>
            </w:tcBorders>
            <w:vAlign w:val="center"/>
          </w:tcPr>
          <w:p w:rsidR="00CB462C" w:rsidRPr="00CB462C" w:rsidRDefault="00CB462C" w:rsidP="00CB462C">
            <w:pPr>
              <w:spacing w:after="0" w:line="240" w:lineRule="auto"/>
              <w:ind w:left="176"/>
              <w:rPr>
                <w:rFonts w:ascii="Times New Roman" w:hAnsi="Times New Roman"/>
                <w:color w:val="000000"/>
                <w:sz w:val="24"/>
                <w:szCs w:val="24"/>
              </w:rPr>
            </w:pPr>
            <w:r w:rsidRPr="00CB462C">
              <w:rPr>
                <w:rFonts w:ascii="Times New Roman" w:hAnsi="Times New Roman"/>
                <w:color w:val="000000"/>
                <w:sz w:val="24"/>
                <w:szCs w:val="24"/>
              </w:rPr>
              <w:t>- наличные деньги в обращении</w:t>
            </w:r>
          </w:p>
        </w:tc>
        <w:tc>
          <w:tcPr>
            <w:tcW w:w="1240" w:type="dxa"/>
            <w:tcBorders>
              <w:top w:val="nil"/>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982,4</w:t>
            </w:r>
          </w:p>
        </w:tc>
        <w:tc>
          <w:tcPr>
            <w:tcW w:w="1241" w:type="dxa"/>
            <w:tcBorders>
              <w:top w:val="nil"/>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56,1</w:t>
            </w:r>
          </w:p>
        </w:tc>
        <w:tc>
          <w:tcPr>
            <w:tcW w:w="1240" w:type="dxa"/>
            <w:tcBorders>
              <w:top w:val="nil"/>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1 034,5</w:t>
            </w:r>
          </w:p>
        </w:tc>
        <w:tc>
          <w:tcPr>
            <w:tcW w:w="1242" w:type="dxa"/>
            <w:tcBorders>
              <w:top w:val="nil"/>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48,1</w:t>
            </w:r>
          </w:p>
        </w:tc>
        <w:tc>
          <w:tcPr>
            <w:tcW w:w="1126" w:type="dxa"/>
            <w:tcBorders>
              <w:top w:val="nil"/>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105,3</w:t>
            </w:r>
          </w:p>
        </w:tc>
      </w:tr>
      <w:tr w:rsidR="00CB462C" w:rsidRPr="00CB462C" w:rsidTr="006A580E">
        <w:trPr>
          <w:trHeight w:val="264"/>
        </w:trPr>
        <w:tc>
          <w:tcPr>
            <w:tcW w:w="3544" w:type="dxa"/>
            <w:tcBorders>
              <w:top w:val="nil"/>
              <w:bottom w:val="nil"/>
            </w:tcBorders>
            <w:vAlign w:val="center"/>
          </w:tcPr>
          <w:p w:rsidR="00CB462C" w:rsidRPr="00CB462C" w:rsidRDefault="00CB462C" w:rsidP="00CB462C">
            <w:pPr>
              <w:spacing w:after="0" w:line="240" w:lineRule="auto"/>
              <w:ind w:left="74" w:firstLine="102"/>
              <w:rPr>
                <w:rFonts w:ascii="Times New Roman" w:hAnsi="Times New Roman"/>
                <w:color w:val="000000"/>
                <w:sz w:val="24"/>
                <w:szCs w:val="24"/>
              </w:rPr>
            </w:pPr>
            <w:r w:rsidRPr="00CB462C">
              <w:rPr>
                <w:rFonts w:ascii="Times New Roman" w:hAnsi="Times New Roman"/>
                <w:color w:val="000000"/>
                <w:sz w:val="24"/>
                <w:szCs w:val="24"/>
              </w:rPr>
              <w:t>- средства в кассах банков</w:t>
            </w:r>
          </w:p>
        </w:tc>
        <w:tc>
          <w:tcPr>
            <w:tcW w:w="1240" w:type="dxa"/>
            <w:tcBorders>
              <w:top w:val="nil"/>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157,8</w:t>
            </w:r>
          </w:p>
        </w:tc>
        <w:tc>
          <w:tcPr>
            <w:tcW w:w="1241" w:type="dxa"/>
            <w:tcBorders>
              <w:top w:val="nil"/>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9,0</w:t>
            </w:r>
          </w:p>
        </w:tc>
        <w:tc>
          <w:tcPr>
            <w:tcW w:w="1240" w:type="dxa"/>
            <w:tcBorders>
              <w:top w:val="nil"/>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229,0</w:t>
            </w:r>
          </w:p>
        </w:tc>
        <w:tc>
          <w:tcPr>
            <w:tcW w:w="1242" w:type="dxa"/>
            <w:tcBorders>
              <w:top w:val="nil"/>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10,7</w:t>
            </w:r>
          </w:p>
        </w:tc>
        <w:tc>
          <w:tcPr>
            <w:tcW w:w="1126" w:type="dxa"/>
            <w:tcBorders>
              <w:top w:val="nil"/>
              <w:bottom w:val="nil"/>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145,1</w:t>
            </w:r>
          </w:p>
        </w:tc>
      </w:tr>
      <w:tr w:rsidR="00CB462C" w:rsidRPr="00CB462C" w:rsidTr="006A580E">
        <w:trPr>
          <w:trHeight w:val="556"/>
        </w:trPr>
        <w:tc>
          <w:tcPr>
            <w:tcW w:w="3544" w:type="dxa"/>
            <w:tcBorders>
              <w:top w:val="nil"/>
              <w:bottom w:val="single" w:sz="4" w:space="0" w:color="auto"/>
            </w:tcBorders>
            <w:vAlign w:val="center"/>
          </w:tcPr>
          <w:p w:rsidR="00CB462C" w:rsidRPr="00CB462C" w:rsidRDefault="00CB462C" w:rsidP="00CB462C">
            <w:pPr>
              <w:spacing w:after="0" w:line="240" w:lineRule="auto"/>
              <w:ind w:left="312" w:hanging="136"/>
              <w:rPr>
                <w:rFonts w:ascii="Times New Roman" w:hAnsi="Times New Roman"/>
                <w:color w:val="000000"/>
                <w:sz w:val="24"/>
                <w:szCs w:val="24"/>
              </w:rPr>
            </w:pPr>
            <w:r w:rsidRPr="00CB462C">
              <w:rPr>
                <w:rFonts w:ascii="Times New Roman" w:hAnsi="Times New Roman"/>
                <w:color w:val="000000"/>
                <w:sz w:val="24"/>
                <w:szCs w:val="24"/>
              </w:rPr>
              <w:t>- корреспондентские счета коммерческих банков</w:t>
            </w:r>
          </w:p>
        </w:tc>
        <w:tc>
          <w:tcPr>
            <w:tcW w:w="1240" w:type="dxa"/>
            <w:tcBorders>
              <w:top w:val="nil"/>
              <w:bottom w:val="single" w:sz="4" w:space="0" w:color="auto"/>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610,5</w:t>
            </w:r>
          </w:p>
        </w:tc>
        <w:tc>
          <w:tcPr>
            <w:tcW w:w="1241" w:type="dxa"/>
            <w:tcBorders>
              <w:top w:val="nil"/>
              <w:bottom w:val="single" w:sz="4" w:space="0" w:color="auto"/>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34,9</w:t>
            </w:r>
          </w:p>
        </w:tc>
        <w:tc>
          <w:tcPr>
            <w:tcW w:w="1240" w:type="dxa"/>
            <w:tcBorders>
              <w:top w:val="nil"/>
              <w:bottom w:val="single" w:sz="4" w:space="0" w:color="auto"/>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884,8</w:t>
            </w:r>
          </w:p>
        </w:tc>
        <w:tc>
          <w:tcPr>
            <w:tcW w:w="1242" w:type="dxa"/>
            <w:tcBorders>
              <w:top w:val="nil"/>
              <w:bottom w:val="single" w:sz="4" w:space="0" w:color="auto"/>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41,2</w:t>
            </w:r>
          </w:p>
        </w:tc>
        <w:tc>
          <w:tcPr>
            <w:tcW w:w="1126" w:type="dxa"/>
            <w:tcBorders>
              <w:top w:val="nil"/>
              <w:bottom w:val="single" w:sz="4" w:space="0" w:color="auto"/>
            </w:tcBorders>
            <w:vAlign w:val="bottom"/>
          </w:tcPr>
          <w:p w:rsidR="00CB462C" w:rsidRPr="00CB462C" w:rsidRDefault="00CB462C" w:rsidP="00CB462C">
            <w:pPr>
              <w:spacing w:after="0" w:line="240" w:lineRule="auto"/>
              <w:ind w:right="176"/>
              <w:jc w:val="right"/>
              <w:rPr>
                <w:rFonts w:ascii="Times New Roman" w:hAnsi="Times New Roman" w:cs="Arial CYR"/>
                <w:color w:val="000000"/>
                <w:sz w:val="24"/>
                <w:szCs w:val="24"/>
              </w:rPr>
            </w:pPr>
            <w:r w:rsidRPr="00CB462C">
              <w:rPr>
                <w:rFonts w:ascii="Times New Roman" w:hAnsi="Times New Roman" w:cs="Arial CYR"/>
                <w:color w:val="000000"/>
                <w:sz w:val="24"/>
                <w:szCs w:val="24"/>
              </w:rPr>
              <w:t>144,9</w:t>
            </w:r>
          </w:p>
        </w:tc>
      </w:tr>
    </w:tbl>
    <w:p w:rsidR="00CB462C" w:rsidRPr="00CB462C" w:rsidRDefault="00CB462C" w:rsidP="00CB462C">
      <w:pPr>
        <w:spacing w:after="0" w:line="240" w:lineRule="auto"/>
        <w:ind w:firstLine="709"/>
        <w:jc w:val="both"/>
        <w:rPr>
          <w:rFonts w:ascii="Times New Roman" w:hAnsi="Times New Roman"/>
          <w:color w:val="000000"/>
          <w:sz w:val="24"/>
          <w:szCs w:val="24"/>
        </w:rPr>
      </w:pPr>
    </w:p>
    <w:p w:rsidR="00CB462C" w:rsidRPr="00CB462C" w:rsidRDefault="00CB462C" w:rsidP="00CB462C">
      <w:pPr>
        <w:spacing w:after="0" w:line="240" w:lineRule="auto"/>
        <w:ind w:firstLine="709"/>
        <w:jc w:val="both"/>
        <w:rPr>
          <w:rFonts w:ascii="Times New Roman" w:hAnsi="Times New Roman"/>
          <w:color w:val="000000"/>
          <w:sz w:val="28"/>
          <w:szCs w:val="28"/>
          <w:highlight w:val="yellow"/>
        </w:rPr>
      </w:pPr>
      <w:r w:rsidRPr="00CB462C">
        <w:rPr>
          <w:rFonts w:ascii="Times New Roman" w:hAnsi="Times New Roman"/>
          <w:color w:val="000000"/>
          <w:sz w:val="28"/>
          <w:szCs w:val="28"/>
        </w:rPr>
        <w:t>За 2018 год размер денежной базы увеличился на 22,8% или на 397,6 млн руб., составив в абсолютном выражении 2 148,3 млн руб. Основное влияние на прирост обязательств центрального банка оказало повышение остатков средств, размещенных на корреспондентских счетах коммерческих банков в ПРБ на 44,9% или на 274,3 млн руб. до 884,8 млн руб.</w:t>
      </w:r>
      <w:r w:rsidRPr="00CB462C">
        <w:rPr>
          <w:rFonts w:ascii="Times New Roman" w:hAnsi="Times New Roman"/>
          <w:color w:val="000000"/>
          <w:sz w:val="28"/>
          <w:szCs w:val="28"/>
          <w:highlight w:val="yellow"/>
        </w:rPr>
        <w:t xml:space="preserve"> </w:t>
      </w:r>
    </w:p>
    <w:p w:rsidR="00CB462C" w:rsidRPr="00CB462C" w:rsidRDefault="00CB462C" w:rsidP="00CB462C">
      <w:pPr>
        <w:widowControl w:val="0"/>
        <w:spacing w:after="0" w:line="240" w:lineRule="auto"/>
        <w:ind w:firstLine="709"/>
        <w:jc w:val="both"/>
        <w:rPr>
          <w:rFonts w:ascii="Times New Roman" w:hAnsi="Times New Roman"/>
          <w:color w:val="000000"/>
          <w:sz w:val="28"/>
          <w:szCs w:val="28"/>
        </w:rPr>
      </w:pPr>
      <w:r w:rsidRPr="00CB462C">
        <w:rPr>
          <w:rFonts w:ascii="Times New Roman" w:hAnsi="Times New Roman"/>
          <w:color w:val="000000"/>
          <w:sz w:val="28"/>
          <w:szCs w:val="28"/>
        </w:rPr>
        <w:t>Объем обязательств центрального банка по выпущенным наличным денежным средствам увеличился к уровню начала 2018 года на 10,8% и составил 1 263,5 млн руб. Внутригодовая динамика показателя характеризовалась умеренными колебаниями преимущественно в сторону сжатия и повышением в конце года по причине осуществления социальных выплат населению из средств поступивших из Российской Федерации трансфертов. Вследствие более активного расширения денежной базы по сравнению с динамикой национальной денежной массы денежный мультипликатор</w:t>
      </w:r>
      <w:r w:rsidRPr="00CB462C">
        <w:rPr>
          <w:rFonts w:ascii="Times New Roman" w:hAnsi="Times New Roman"/>
          <w:color w:val="000000"/>
          <w:sz w:val="28"/>
          <w:szCs w:val="28"/>
          <w:vertAlign w:val="superscript"/>
        </w:rPr>
        <w:t xml:space="preserve"> </w:t>
      </w:r>
      <w:r w:rsidRPr="00CB462C">
        <w:rPr>
          <w:rFonts w:ascii="Times New Roman" w:hAnsi="Times New Roman"/>
          <w:color w:val="000000"/>
          <w:sz w:val="28"/>
          <w:szCs w:val="28"/>
        </w:rPr>
        <w:t>сократился с 1,33 до 1,28.</w:t>
      </w:r>
    </w:p>
    <w:p w:rsidR="00CB462C" w:rsidRPr="00CB462C" w:rsidRDefault="00CB462C" w:rsidP="00CB462C">
      <w:pPr>
        <w:widowControl w:val="0"/>
        <w:spacing w:after="0" w:line="240" w:lineRule="auto"/>
        <w:ind w:firstLine="709"/>
        <w:jc w:val="both"/>
        <w:rPr>
          <w:rFonts w:ascii="Times New Roman" w:hAnsi="Times New Roman"/>
          <w:b/>
          <w:i/>
          <w:color w:val="000000"/>
          <w:sz w:val="28"/>
          <w:szCs w:val="28"/>
        </w:rPr>
      </w:pPr>
      <w:r w:rsidRPr="00CB462C">
        <w:rPr>
          <w:rFonts w:ascii="Times New Roman" w:hAnsi="Times New Roman"/>
          <w:b/>
          <w:i/>
          <w:color w:val="000000"/>
          <w:sz w:val="28"/>
          <w:szCs w:val="28"/>
        </w:rPr>
        <w:lastRenderedPageBreak/>
        <w:t>Валютная сфера</w:t>
      </w:r>
    </w:p>
    <w:p w:rsidR="00CB462C" w:rsidRPr="00CB462C" w:rsidRDefault="00CB462C" w:rsidP="00CB462C">
      <w:pPr>
        <w:widowControl w:val="0"/>
        <w:spacing w:after="0" w:line="240" w:lineRule="auto"/>
        <w:ind w:firstLine="709"/>
        <w:jc w:val="both"/>
        <w:rPr>
          <w:rFonts w:ascii="Times New Roman" w:hAnsi="Times New Roman"/>
          <w:color w:val="000000"/>
          <w:sz w:val="28"/>
          <w:szCs w:val="28"/>
        </w:rPr>
      </w:pPr>
      <w:r w:rsidRPr="00CB462C">
        <w:rPr>
          <w:rFonts w:ascii="Times New Roman" w:hAnsi="Times New Roman"/>
          <w:color w:val="000000"/>
          <w:sz w:val="28"/>
          <w:szCs w:val="28"/>
        </w:rPr>
        <w:t xml:space="preserve">Ситуацию на валютном рынке Приднестровья в 2018 году в целом можно охарактеризовать как достаточно стабильную. Изменение официального курса доллара США к рублю производилось в рамках утвержденного валютного коридора 16,0-16,5 рублей за доллар США. В целом за 2018 год курс доллара США, установленный Приднестровским республиканским банком, повысился на 3,9%, составив 16,10 руб. ПМР на конец года, а его средневзвешенное значение сложилось на отметке 16,0592 руб. ПМР. Реальный эффективный курс приднестровского рубля, являющийся макроэкономическим индикатором, отражающим относительную ценовую динамику на рынках с учетом номинальных валютных курсов, за 2018 год укрепился на 3,5%. </w:t>
      </w:r>
    </w:p>
    <w:p w:rsidR="00CB462C" w:rsidRPr="00CB462C" w:rsidRDefault="00CB462C" w:rsidP="00CB462C">
      <w:pPr>
        <w:widowControl w:val="0"/>
        <w:shd w:val="clear" w:color="auto" w:fill="FFFFFF"/>
        <w:spacing w:after="0" w:line="240" w:lineRule="auto"/>
        <w:ind w:firstLine="709"/>
        <w:jc w:val="both"/>
        <w:rPr>
          <w:rFonts w:ascii="Times New Roman" w:eastAsia="Calibri" w:hAnsi="Times New Roman"/>
          <w:sz w:val="28"/>
          <w:szCs w:val="28"/>
          <w:lang w:eastAsia="en-US"/>
        </w:rPr>
      </w:pPr>
      <w:r w:rsidRPr="00CB462C">
        <w:rPr>
          <w:rFonts w:ascii="Times New Roman" w:eastAsiaTheme="minorHAnsi" w:hAnsi="Times New Roman"/>
          <w:sz w:val="28"/>
          <w:szCs w:val="28"/>
          <w:lang w:eastAsia="en-US"/>
        </w:rPr>
        <w:t xml:space="preserve">Совокупная емкость наличного сегмента валютного рынка составила в эквиваленте 428,5 млн долл. </w:t>
      </w:r>
      <w:r w:rsidRPr="00CB462C">
        <w:rPr>
          <w:rFonts w:ascii="Times New Roman" w:eastAsia="Calibri" w:hAnsi="Times New Roman"/>
          <w:sz w:val="28"/>
          <w:szCs w:val="28"/>
          <w:lang w:eastAsia="en-US"/>
        </w:rPr>
        <w:t>Ежеквартальные обороты валютообменных операций, характеризовавшиеся повышательной динамикой от 74,6 млн долл. в январе-марте до 124,0 млн долл. в июле-сентябре, в IV квартале снизились до 121,5 млн долл. Большая часть совокупного показателя пришлась на сделки с долларом (263,7 млн долл., или 61,5%), российским рубл</w:t>
      </w:r>
      <w:r w:rsidRPr="00CB462C">
        <w:rPr>
          <w:rFonts w:ascii="Times New Roman" w:eastAsiaTheme="minorHAnsi" w:hAnsi="Times New Roman"/>
          <w:sz w:val="28"/>
          <w:szCs w:val="28"/>
          <w:lang w:eastAsia="en-US"/>
        </w:rPr>
        <w:t>е</w:t>
      </w:r>
      <w:r w:rsidRPr="00CB462C">
        <w:rPr>
          <w:rFonts w:ascii="Times New Roman" w:eastAsia="Calibri" w:hAnsi="Times New Roman"/>
          <w:sz w:val="28"/>
          <w:szCs w:val="28"/>
          <w:lang w:eastAsia="en-US"/>
        </w:rPr>
        <w:t xml:space="preserve">м (в эквиваленте 69,3 млн долл., или 16,2%) и евро (в эквиваленте 45,2 млн долл., или 10,5%). </w:t>
      </w:r>
    </w:p>
    <w:p w:rsidR="00CB462C" w:rsidRPr="00CB462C" w:rsidRDefault="00CB462C" w:rsidP="00CB462C">
      <w:pPr>
        <w:widowControl w:val="0"/>
        <w:shd w:val="clear" w:color="auto" w:fill="FFFFFF"/>
        <w:spacing w:after="0" w:line="240" w:lineRule="auto"/>
        <w:ind w:firstLine="709"/>
        <w:jc w:val="both"/>
        <w:rPr>
          <w:rFonts w:ascii="Times New Roman" w:eastAsia="Calibri" w:hAnsi="Times New Roman"/>
          <w:sz w:val="28"/>
          <w:szCs w:val="28"/>
          <w:lang w:eastAsia="en-US"/>
        </w:rPr>
      </w:pPr>
      <w:r w:rsidRPr="00CB462C">
        <w:rPr>
          <w:rFonts w:ascii="Times New Roman" w:eastAsia="Calibri" w:hAnsi="Times New Roman"/>
          <w:sz w:val="28"/>
          <w:szCs w:val="28"/>
          <w:lang w:eastAsia="en-US"/>
        </w:rPr>
        <w:t xml:space="preserve">Долларовый эквивалент наличной иностранной валюты, проданной клиентами обменных пунктов, </w:t>
      </w:r>
      <w:r w:rsidRPr="00CB462C">
        <w:rPr>
          <w:rFonts w:ascii="Times New Roman" w:eastAsiaTheme="minorHAnsi" w:hAnsi="Times New Roman"/>
          <w:sz w:val="28"/>
          <w:szCs w:val="28"/>
          <w:lang w:eastAsia="en-US"/>
        </w:rPr>
        <w:t>зафиксирован</w:t>
      </w:r>
      <w:r w:rsidRPr="00CB462C">
        <w:rPr>
          <w:rFonts w:ascii="Times New Roman" w:eastAsia="Calibri" w:hAnsi="Times New Roman"/>
          <w:sz w:val="28"/>
          <w:szCs w:val="28"/>
          <w:lang w:eastAsia="en-US"/>
        </w:rPr>
        <w:t xml:space="preserve"> на уровне 247,8 млн долл., купленной – 180,7 млн </w:t>
      </w:r>
      <w:r w:rsidRPr="00CB462C">
        <w:rPr>
          <w:rFonts w:ascii="Times New Roman" w:eastAsiaTheme="minorHAnsi" w:hAnsi="Times New Roman"/>
          <w:sz w:val="28"/>
          <w:szCs w:val="28"/>
          <w:lang w:eastAsia="en-US"/>
        </w:rPr>
        <w:t>долл</w:t>
      </w:r>
      <w:r w:rsidRPr="00CB462C">
        <w:rPr>
          <w:rFonts w:ascii="Times New Roman" w:eastAsia="Calibri" w:hAnsi="Times New Roman"/>
          <w:sz w:val="28"/>
          <w:szCs w:val="28"/>
          <w:lang w:eastAsia="en-US"/>
        </w:rPr>
        <w:t>. Превышение объ</w:t>
      </w:r>
      <w:r w:rsidRPr="00CB462C">
        <w:rPr>
          <w:rFonts w:ascii="Times New Roman" w:eastAsiaTheme="minorHAnsi" w:hAnsi="Times New Roman"/>
          <w:sz w:val="28"/>
          <w:szCs w:val="28"/>
          <w:lang w:eastAsia="en-US"/>
        </w:rPr>
        <w:t>е</w:t>
      </w:r>
      <w:r w:rsidRPr="00CB462C">
        <w:rPr>
          <w:rFonts w:ascii="Times New Roman" w:eastAsia="Calibri" w:hAnsi="Times New Roman"/>
          <w:sz w:val="28"/>
          <w:szCs w:val="28"/>
          <w:lang w:eastAsia="en-US"/>
        </w:rPr>
        <w:t>мов реализованной валюты над приобрет</w:t>
      </w:r>
      <w:r w:rsidRPr="00CB462C">
        <w:rPr>
          <w:rFonts w:ascii="Times New Roman" w:eastAsiaTheme="minorHAnsi" w:hAnsi="Times New Roman"/>
          <w:sz w:val="28"/>
          <w:szCs w:val="28"/>
          <w:lang w:eastAsia="en-US"/>
        </w:rPr>
        <w:t>е</w:t>
      </w:r>
      <w:r w:rsidRPr="00CB462C">
        <w:rPr>
          <w:rFonts w:ascii="Times New Roman" w:eastAsia="Calibri" w:hAnsi="Times New Roman"/>
          <w:sz w:val="28"/>
          <w:szCs w:val="28"/>
          <w:lang w:eastAsia="en-US"/>
        </w:rPr>
        <w:t>нной выразилось в формировании положительного сальдо на наличном сегменте валютного рынка в сумме 67,1 млн долл.</w:t>
      </w:r>
    </w:p>
    <w:p w:rsidR="00CB462C" w:rsidRPr="00CB462C" w:rsidRDefault="00CB462C" w:rsidP="00CB462C">
      <w:pPr>
        <w:widowControl w:val="0"/>
        <w:shd w:val="clear" w:color="auto" w:fill="FFFFFF"/>
        <w:spacing w:after="0" w:line="240" w:lineRule="auto"/>
        <w:ind w:firstLine="709"/>
        <w:jc w:val="both"/>
        <w:rPr>
          <w:rFonts w:ascii="Times New Roman" w:eastAsia="Calibri" w:hAnsi="Times New Roman"/>
          <w:sz w:val="28"/>
          <w:szCs w:val="28"/>
          <w:lang w:eastAsia="en-US"/>
        </w:rPr>
      </w:pPr>
      <w:r w:rsidRPr="00CB462C">
        <w:rPr>
          <w:rFonts w:ascii="Times New Roman" w:eastAsia="Calibri" w:hAnsi="Times New Roman"/>
          <w:sz w:val="28"/>
          <w:szCs w:val="28"/>
          <w:lang w:eastAsia="en-US"/>
        </w:rPr>
        <w:t xml:space="preserve">Совокупная </w:t>
      </w:r>
      <w:r w:rsidRPr="00CB462C">
        <w:rPr>
          <w:rFonts w:ascii="Times New Roman" w:eastAsiaTheme="minorHAnsi" w:hAnsi="Times New Roman"/>
          <w:sz w:val="28"/>
          <w:szCs w:val="28"/>
          <w:lang w:eastAsia="en-US"/>
        </w:rPr>
        <w:t>е</w:t>
      </w:r>
      <w:r w:rsidRPr="00CB462C">
        <w:rPr>
          <w:rFonts w:ascii="Times New Roman" w:eastAsia="Calibri" w:hAnsi="Times New Roman"/>
          <w:sz w:val="28"/>
          <w:szCs w:val="28"/>
          <w:lang w:eastAsia="en-US"/>
        </w:rPr>
        <w:t xml:space="preserve">мкость безналичного рынка иностранной валюты составила 1 200,2 млн долл. </w:t>
      </w:r>
      <w:r w:rsidRPr="00CB462C">
        <w:rPr>
          <w:rFonts w:ascii="Times New Roman" w:eastAsiaTheme="minorHAnsi" w:hAnsi="Times New Roman"/>
          <w:sz w:val="28"/>
          <w:szCs w:val="28"/>
          <w:lang w:eastAsia="en-US"/>
        </w:rPr>
        <w:t>П</w:t>
      </w:r>
      <w:r w:rsidRPr="00CB462C">
        <w:rPr>
          <w:rFonts w:ascii="Times New Roman" w:eastAsia="Calibri" w:hAnsi="Times New Roman"/>
          <w:sz w:val="28"/>
          <w:szCs w:val="28"/>
          <w:lang w:eastAsia="en-US"/>
        </w:rPr>
        <w:t xml:space="preserve">редложение зафиксировано на уровне 585,5 млн долл. (в том числе доллара США – 43,7%), а спрос – 614,6 млн долл. (в том числе на доллар США – 45,9%). Итогом безналичных валютообменных сделок за 2018 год стала нетто-покупка клиентами иностранной валюты в эквиваленте 29,1 млн долл. </w:t>
      </w:r>
    </w:p>
    <w:p w:rsidR="00CB462C" w:rsidRPr="00CB462C" w:rsidRDefault="00CB462C" w:rsidP="00CB462C">
      <w:pPr>
        <w:widowControl w:val="0"/>
        <w:shd w:val="clear" w:color="auto" w:fill="FFFFFF"/>
        <w:spacing w:after="0" w:line="240" w:lineRule="auto"/>
        <w:ind w:firstLine="709"/>
        <w:jc w:val="both"/>
        <w:rPr>
          <w:rFonts w:ascii="Times New Roman" w:eastAsiaTheme="minorHAnsi" w:hAnsi="Times New Roman"/>
          <w:sz w:val="28"/>
          <w:szCs w:val="28"/>
          <w:lang w:eastAsia="en-US"/>
        </w:rPr>
      </w:pPr>
    </w:p>
    <w:p w:rsidR="00CB462C" w:rsidRPr="00CB462C" w:rsidRDefault="00CB462C" w:rsidP="00CB462C">
      <w:pPr>
        <w:widowControl w:val="0"/>
        <w:spacing w:after="0" w:line="240" w:lineRule="auto"/>
        <w:ind w:firstLine="709"/>
        <w:jc w:val="both"/>
        <w:rPr>
          <w:rFonts w:ascii="Times New Roman" w:hAnsi="Times New Roman"/>
          <w:b/>
          <w:bCs/>
          <w:i/>
          <w:iCs/>
          <w:sz w:val="28"/>
          <w:szCs w:val="28"/>
        </w:rPr>
      </w:pPr>
      <w:r w:rsidRPr="00CB462C">
        <w:rPr>
          <w:rFonts w:ascii="Times New Roman" w:hAnsi="Times New Roman"/>
          <w:b/>
          <w:bCs/>
          <w:i/>
          <w:iCs/>
          <w:sz w:val="28"/>
          <w:szCs w:val="28"/>
        </w:rPr>
        <w:t>Кредитная деятельность ПРБ</w:t>
      </w:r>
    </w:p>
    <w:p w:rsidR="00CB462C" w:rsidRPr="00CB462C" w:rsidRDefault="00CB462C" w:rsidP="00CB462C">
      <w:pPr>
        <w:spacing w:after="0" w:line="240" w:lineRule="auto"/>
        <w:ind w:firstLine="709"/>
        <w:jc w:val="both"/>
        <w:rPr>
          <w:rFonts w:ascii="Times New Roman" w:hAnsi="Times New Roman"/>
          <w:sz w:val="28"/>
          <w:szCs w:val="28"/>
        </w:rPr>
      </w:pPr>
      <w:r w:rsidRPr="00CB462C">
        <w:rPr>
          <w:rFonts w:ascii="Times New Roman" w:hAnsi="Times New Roman"/>
          <w:sz w:val="28"/>
          <w:szCs w:val="28"/>
        </w:rPr>
        <w:t>Совокупная задолженность банков перед Приднестровским республиканским банком за 2018 год по состоянию на 1 января 2019 года составила 9 млн руб. (просроченная задолженность по кредитам ОАО «Бендерысоцбанк).</w:t>
      </w:r>
    </w:p>
    <w:p w:rsidR="00CB462C" w:rsidRPr="00CB462C" w:rsidRDefault="00CB462C" w:rsidP="00CB462C">
      <w:pPr>
        <w:spacing w:after="0" w:line="240" w:lineRule="auto"/>
        <w:ind w:firstLine="709"/>
        <w:jc w:val="both"/>
        <w:rPr>
          <w:rFonts w:ascii="Times New Roman" w:hAnsi="Times New Roman"/>
          <w:b/>
          <w:sz w:val="28"/>
          <w:szCs w:val="28"/>
        </w:rPr>
      </w:pPr>
      <w:r w:rsidRPr="00CB462C">
        <w:rPr>
          <w:rFonts w:ascii="Times New Roman" w:hAnsi="Times New Roman"/>
          <w:sz w:val="28"/>
          <w:szCs w:val="28"/>
        </w:rPr>
        <w:t>В соответствии с Законом о стабилизации Приднестровский республиканский банк выдал ОАО «Агентство по оздоровлению банковской системы» кредиты в размере 172,6 млн руб. При этом, ОАО «Агентство по оздоровлению банковской системы» погасило задолженность в размере                   5 млн руб. по ранее выданным кредитам.</w:t>
      </w:r>
    </w:p>
    <w:p w:rsidR="00CB462C" w:rsidRPr="00CB462C" w:rsidRDefault="00CB462C" w:rsidP="00CB462C">
      <w:pPr>
        <w:spacing w:after="0" w:line="240" w:lineRule="auto"/>
        <w:ind w:firstLine="709"/>
        <w:jc w:val="both"/>
        <w:rPr>
          <w:rFonts w:ascii="Times New Roman" w:hAnsi="Times New Roman"/>
          <w:b/>
          <w:sz w:val="28"/>
          <w:szCs w:val="28"/>
        </w:rPr>
      </w:pPr>
      <w:r w:rsidRPr="00CB462C">
        <w:rPr>
          <w:rFonts w:ascii="Times New Roman" w:hAnsi="Times New Roman"/>
          <w:sz w:val="28"/>
          <w:szCs w:val="28"/>
        </w:rPr>
        <w:t xml:space="preserve">Задолженность государства по кредитам перед Приднестровским республиканским банком за 2018 год сократилась на 21,2 млн руб. и на                      1 января 2019 года составила 418,6 млн руб. </w:t>
      </w:r>
    </w:p>
    <w:p w:rsidR="00CB462C" w:rsidRPr="00CB462C" w:rsidRDefault="00CB462C" w:rsidP="00CB462C">
      <w:pPr>
        <w:spacing w:after="0" w:line="240" w:lineRule="auto"/>
        <w:ind w:firstLine="709"/>
        <w:jc w:val="both"/>
        <w:rPr>
          <w:rFonts w:ascii="Times New Roman" w:hAnsi="Times New Roman"/>
          <w:sz w:val="28"/>
          <w:szCs w:val="28"/>
        </w:rPr>
      </w:pPr>
      <w:r w:rsidRPr="00CB462C">
        <w:rPr>
          <w:rFonts w:ascii="Times New Roman" w:hAnsi="Times New Roman"/>
          <w:sz w:val="28"/>
          <w:szCs w:val="28"/>
        </w:rPr>
        <w:t xml:space="preserve">По состоянию на 1 января 2019 года в портфеле центрального банка находятся долгосрочные государственные облигации на общую сумму                     1 444,7 млн руб. </w:t>
      </w:r>
    </w:p>
    <w:p w:rsidR="00CB462C" w:rsidRDefault="00CB462C" w:rsidP="00CB462C">
      <w:pPr>
        <w:spacing w:after="0" w:line="240" w:lineRule="auto"/>
        <w:ind w:firstLine="709"/>
        <w:jc w:val="both"/>
        <w:rPr>
          <w:rFonts w:ascii="Times New Roman" w:hAnsi="Times New Roman"/>
          <w:sz w:val="28"/>
          <w:szCs w:val="28"/>
        </w:rPr>
      </w:pPr>
    </w:p>
    <w:p w:rsidR="00914EB7" w:rsidRPr="00CB462C" w:rsidRDefault="00914EB7" w:rsidP="00CB462C">
      <w:pPr>
        <w:spacing w:after="0" w:line="240" w:lineRule="auto"/>
        <w:ind w:firstLine="709"/>
        <w:jc w:val="both"/>
        <w:rPr>
          <w:rFonts w:ascii="Times New Roman" w:hAnsi="Times New Roman"/>
          <w:sz w:val="28"/>
          <w:szCs w:val="28"/>
        </w:rPr>
      </w:pPr>
    </w:p>
    <w:p w:rsidR="00CB462C" w:rsidRPr="00CB462C" w:rsidRDefault="00CB462C" w:rsidP="00CB462C">
      <w:pPr>
        <w:widowControl w:val="0"/>
        <w:spacing w:after="0" w:line="240" w:lineRule="auto"/>
        <w:ind w:firstLine="709"/>
        <w:jc w:val="both"/>
        <w:rPr>
          <w:rFonts w:ascii="Times New Roman" w:hAnsi="Times New Roman"/>
          <w:b/>
          <w:bCs/>
          <w:i/>
          <w:iCs/>
          <w:sz w:val="28"/>
          <w:szCs w:val="28"/>
        </w:rPr>
      </w:pPr>
      <w:bookmarkStart w:id="5" w:name="OLE_LINK11"/>
      <w:bookmarkStart w:id="6" w:name="OLE_LINK12"/>
      <w:r w:rsidRPr="00CB462C">
        <w:rPr>
          <w:rFonts w:ascii="Times New Roman" w:hAnsi="Times New Roman"/>
          <w:b/>
          <w:bCs/>
          <w:i/>
          <w:iCs/>
          <w:sz w:val="28"/>
          <w:szCs w:val="28"/>
        </w:rPr>
        <w:lastRenderedPageBreak/>
        <w:t xml:space="preserve">Кредитование экономики коммерческими банками </w:t>
      </w:r>
    </w:p>
    <w:p w:rsidR="00CB462C" w:rsidRPr="00CB462C" w:rsidRDefault="00CB462C" w:rsidP="00CB462C">
      <w:pPr>
        <w:widowControl w:val="0"/>
        <w:spacing w:after="0" w:line="240" w:lineRule="auto"/>
        <w:ind w:firstLine="709"/>
        <w:jc w:val="both"/>
        <w:rPr>
          <w:rFonts w:ascii="Times New Roman" w:hAnsi="Times New Roman"/>
          <w:bCs/>
          <w:iCs/>
          <w:sz w:val="28"/>
          <w:szCs w:val="28"/>
        </w:rPr>
      </w:pPr>
      <w:r w:rsidRPr="00CB462C">
        <w:rPr>
          <w:rFonts w:ascii="Times New Roman" w:hAnsi="Times New Roman"/>
          <w:bCs/>
          <w:iCs/>
          <w:sz w:val="28"/>
          <w:szCs w:val="28"/>
        </w:rPr>
        <w:t>Сумма задолженности по кредитам и приравненным к ним средствам превысила значение на начало 2018 года на 6,1% или на 262,5 млн руб., составив на 1 января 2019 года в абсолютном выражении 4 591,2 млн руб. Данная динамика стала отражением операций на межбанковском рынке: объем размещений денежных средств в качестве депозитов и кредитов в других банках за год увеличился вдвое (+157,4 млн руб.) до 324,1 млн руб., составив 3,8% в активах-нетто банковского сектора (2,0% на 1 января</w:t>
      </w:r>
      <w:r>
        <w:rPr>
          <w:rFonts w:ascii="Times New Roman" w:hAnsi="Times New Roman"/>
          <w:bCs/>
          <w:iCs/>
          <w:sz w:val="28"/>
          <w:szCs w:val="28"/>
        </w:rPr>
        <w:t xml:space="preserve"> </w:t>
      </w:r>
      <w:r w:rsidRPr="00CB462C">
        <w:rPr>
          <w:rFonts w:ascii="Times New Roman" w:hAnsi="Times New Roman"/>
          <w:bCs/>
          <w:iCs/>
          <w:sz w:val="28"/>
          <w:szCs w:val="28"/>
        </w:rPr>
        <w:t>2018 года).</w:t>
      </w:r>
    </w:p>
    <w:p w:rsidR="00CB462C" w:rsidRPr="00CB462C" w:rsidRDefault="00CB462C" w:rsidP="00CB462C">
      <w:pPr>
        <w:widowControl w:val="0"/>
        <w:spacing w:after="0" w:line="240" w:lineRule="auto"/>
        <w:ind w:firstLine="709"/>
        <w:jc w:val="both"/>
        <w:rPr>
          <w:rFonts w:ascii="Times New Roman" w:hAnsi="Times New Roman"/>
          <w:bCs/>
          <w:iCs/>
          <w:sz w:val="28"/>
          <w:szCs w:val="28"/>
        </w:rPr>
      </w:pPr>
      <w:r w:rsidRPr="00CB462C">
        <w:rPr>
          <w:rFonts w:ascii="Times New Roman" w:hAnsi="Times New Roman"/>
          <w:bCs/>
          <w:iCs/>
          <w:sz w:val="28"/>
          <w:szCs w:val="28"/>
        </w:rPr>
        <w:t xml:space="preserve">На кредитование субъектов нефинансового сектора банками были направлены 42,8% суммарных ресурсов-нетто. За анализируемый год задолженность по кредитам  корпоративных клиентов и населения выросла на 2,9% или на 101,9 млн руб., до 3 650,5 млн руб. </w:t>
      </w:r>
    </w:p>
    <w:p w:rsidR="00CB462C" w:rsidRPr="00CB462C" w:rsidRDefault="00CB462C" w:rsidP="00CB462C">
      <w:pPr>
        <w:widowControl w:val="0"/>
        <w:spacing w:after="0" w:line="240" w:lineRule="auto"/>
        <w:ind w:firstLine="709"/>
        <w:jc w:val="both"/>
        <w:rPr>
          <w:rFonts w:ascii="Times New Roman" w:hAnsi="Times New Roman"/>
          <w:bCs/>
          <w:iCs/>
          <w:sz w:val="28"/>
          <w:szCs w:val="28"/>
        </w:rPr>
      </w:pPr>
      <w:r w:rsidRPr="00CB462C">
        <w:rPr>
          <w:rFonts w:ascii="Times New Roman" w:hAnsi="Times New Roman"/>
          <w:bCs/>
          <w:iCs/>
          <w:sz w:val="28"/>
          <w:szCs w:val="28"/>
        </w:rPr>
        <w:t xml:space="preserve">Динамика кредитов нефинансовому сектору определялась расширением кредитования физических лиц, которое наблюдалось в течение практически всего 2018 года. По отношению к началу года их задолженность увеличилась на 18,4%, или на 144,1 млн руб., до 926,0 млн руб. Степень валютизации потребительских ссуд снизилась на 1,7 п.п. до 27,7%. </w:t>
      </w:r>
    </w:p>
    <w:p w:rsidR="00CB462C" w:rsidRPr="00CB462C" w:rsidRDefault="00CB462C" w:rsidP="00CB462C">
      <w:pPr>
        <w:widowControl w:val="0"/>
        <w:spacing w:after="0" w:line="240" w:lineRule="auto"/>
        <w:ind w:firstLine="709"/>
        <w:jc w:val="both"/>
        <w:rPr>
          <w:rFonts w:ascii="Times New Roman" w:hAnsi="Times New Roman"/>
          <w:bCs/>
          <w:iCs/>
          <w:sz w:val="28"/>
          <w:szCs w:val="28"/>
        </w:rPr>
      </w:pPr>
      <w:r w:rsidRPr="00CB462C">
        <w:rPr>
          <w:rFonts w:ascii="Times New Roman" w:hAnsi="Times New Roman"/>
          <w:bCs/>
          <w:iCs/>
          <w:sz w:val="28"/>
          <w:szCs w:val="28"/>
        </w:rPr>
        <w:t xml:space="preserve">Анализируя структуру розничного кредитного портфеля, следует отметить, что ключевым фактором его повышательной динамики выступает рост среднесрочного сегмента, занимающего 62,9% в совокупном показателе, на 21,5% до 582,3 млн руб. Большим спросом со стороны населения в                 2018 году пользовались и краткосрочные кредиты: задолженность по ним возросла более чем вдвое (+64,8 млн руб.) до 123,9 млн руб. На 1 января 2019 года они сформировали 13,4% розничного кредитного портфеля банков (7,6% годом ранее). Задолженность по долгосрочным займам, соответствующая 15,4% рынка потребительского кредитования, снизилась на 8,7% или на 13,6 млн руб. до 142,2 млн руб. Из данной суммы 27,0% представлены жилищными кредитами, которые в 2018 году были выданы в объеме 11,8 млн руб., что практически на треть больше, чем годом ранее. </w:t>
      </w:r>
    </w:p>
    <w:p w:rsidR="00CB462C" w:rsidRPr="00CB462C" w:rsidRDefault="00CB462C" w:rsidP="00CB462C">
      <w:pPr>
        <w:widowControl w:val="0"/>
        <w:spacing w:after="0" w:line="240" w:lineRule="auto"/>
        <w:ind w:firstLine="709"/>
        <w:jc w:val="both"/>
        <w:rPr>
          <w:rFonts w:ascii="Times New Roman" w:hAnsi="Times New Roman"/>
          <w:bCs/>
          <w:iCs/>
          <w:sz w:val="28"/>
          <w:szCs w:val="28"/>
        </w:rPr>
      </w:pPr>
      <w:r w:rsidRPr="00CB462C">
        <w:rPr>
          <w:rFonts w:ascii="Times New Roman" w:hAnsi="Times New Roman"/>
          <w:bCs/>
          <w:iCs/>
          <w:sz w:val="28"/>
          <w:szCs w:val="28"/>
        </w:rPr>
        <w:t>По итогам 2018 года в корпоративном сегменте рынка заемных ресурсов наблюдалось сжатие (-1,5%). При этом реальный объем валютных заимствований вырос на 10,6% до 2 290,2 млн руб., тогда как рублевых – сократился в 1,8 раза до 434,3 млн руб. Таким образом, степень валютизации ссудной задолженности предприятий реального сектора сложилась на уровне 84,1%, что на 12,1 п.п. выше значения на 1 января 2018 года. В результате, на 1 рубль ссуд, номинированных в приднестровских рублях, приходилось                5,27 рубля кредитов, выданных в иностранной валюте, тогда как на начало отчётного периода это соотношение составляло 1:2,58. В целом, по состоянию на 1 января 2019 года задолженность хозяйствующих субъектов по кредитам и приравненным к ним средствам составила 2 724,5 млн руб., или 74,6% в портфеле кредитов нефинансовому сектору и 32,0% в совокупных активах-нетто.</w:t>
      </w:r>
    </w:p>
    <w:p w:rsidR="00CB462C" w:rsidRPr="00CB462C" w:rsidRDefault="00CB462C" w:rsidP="00CB462C">
      <w:pPr>
        <w:widowControl w:val="0"/>
        <w:spacing w:after="0" w:line="240" w:lineRule="auto"/>
        <w:ind w:firstLine="709"/>
        <w:jc w:val="both"/>
        <w:rPr>
          <w:rFonts w:ascii="Times New Roman" w:hAnsi="Times New Roman"/>
          <w:bCs/>
          <w:iCs/>
          <w:sz w:val="28"/>
          <w:szCs w:val="28"/>
        </w:rPr>
      </w:pPr>
      <w:r w:rsidRPr="00CB462C">
        <w:rPr>
          <w:rFonts w:ascii="Times New Roman" w:hAnsi="Times New Roman"/>
          <w:bCs/>
          <w:iCs/>
          <w:sz w:val="28"/>
          <w:szCs w:val="28"/>
        </w:rPr>
        <w:t xml:space="preserve">В разрезе сроков расширение было характерно только для среднесрочных кредитов предприятий и организаций реального сектора, сумма которых увеличилась в 1,8 раза до 734,1 млн руб., а их удельный вес – на 11,8 п.п. до 26,9%. В то же время остатки на счетах по учету краткосрочной ссудной задолженности хозяйствующих субъектов сократились с 433,3 млн руб. до </w:t>
      </w:r>
      <w:r w:rsidRPr="00CB462C">
        <w:rPr>
          <w:rFonts w:ascii="Times New Roman" w:hAnsi="Times New Roman"/>
          <w:bCs/>
          <w:iCs/>
          <w:sz w:val="28"/>
          <w:szCs w:val="28"/>
        </w:rPr>
        <w:lastRenderedPageBreak/>
        <w:t xml:space="preserve">237,3 млн руб. (на 45,2%) и составили 8,7% корпоративного кредитного портфеля. Задолженность по кредитным ресурсам сроком погашения свыше 3 лет, занимающая практически </w:t>
      </w:r>
      <w:r w:rsidRPr="00CB462C">
        <w:rPr>
          <w:rFonts w:ascii="Times New Roman" w:hAnsi="Times New Roman"/>
          <w:bCs/>
          <w:iCs/>
          <w:sz w:val="28"/>
          <w:szCs w:val="28"/>
          <w:vertAlign w:val="superscript"/>
        </w:rPr>
        <w:t>2</w:t>
      </w:r>
      <w:r w:rsidRPr="00CB462C">
        <w:rPr>
          <w:rFonts w:ascii="Times New Roman" w:hAnsi="Times New Roman"/>
          <w:bCs/>
          <w:iCs/>
          <w:sz w:val="28"/>
          <w:szCs w:val="28"/>
        </w:rPr>
        <w:t>/</w:t>
      </w:r>
      <w:r w:rsidRPr="00CB462C">
        <w:rPr>
          <w:rFonts w:ascii="Times New Roman" w:hAnsi="Times New Roman"/>
          <w:bCs/>
          <w:iCs/>
          <w:sz w:val="28"/>
          <w:szCs w:val="28"/>
          <w:vertAlign w:val="subscript"/>
        </w:rPr>
        <w:t>3</w:t>
      </w:r>
      <w:r w:rsidRPr="00CB462C">
        <w:rPr>
          <w:rFonts w:ascii="Times New Roman" w:hAnsi="Times New Roman"/>
          <w:bCs/>
          <w:iCs/>
          <w:sz w:val="28"/>
          <w:szCs w:val="28"/>
        </w:rPr>
        <w:t xml:space="preserve"> совокупного показателя, также снизилась на 7,8% до 1 662,6 млн руб.).</w:t>
      </w:r>
    </w:p>
    <w:p w:rsidR="00CB462C" w:rsidRPr="00CB462C" w:rsidRDefault="00CB462C" w:rsidP="00CB462C">
      <w:pPr>
        <w:widowControl w:val="0"/>
        <w:spacing w:after="0" w:line="240" w:lineRule="auto"/>
        <w:ind w:firstLine="709"/>
        <w:jc w:val="both"/>
        <w:rPr>
          <w:rFonts w:ascii="Times New Roman" w:hAnsi="Times New Roman"/>
          <w:bCs/>
          <w:iCs/>
          <w:sz w:val="28"/>
          <w:szCs w:val="28"/>
        </w:rPr>
      </w:pPr>
      <w:r w:rsidRPr="00CB462C">
        <w:rPr>
          <w:rFonts w:ascii="Times New Roman" w:hAnsi="Times New Roman"/>
          <w:bCs/>
          <w:iCs/>
          <w:sz w:val="28"/>
          <w:szCs w:val="28"/>
        </w:rPr>
        <w:t>Ключевым фактором понижательной динамики корпоративного кредитного портфеля в отраслевом разрезе выступало сокращение остатков на ссудных счетах предприятий индустриального комплекса на 16,2% до 1 277,6 млн руб., сформировавшего 46,9% совокупного показателя (-8,2 п.п.). В то же время заимствования агрофирм по отношению к уровню на 1 января 2018 года возросли на 26,6% до 625,4 млн руб., составив 23,0% кредитного портфеля. Задолженность по кредитам организаций торговли увеличилась на 14,7% до 633,8 млн руб., что соответствует 23,3% общей задолженности хозяйствующих субъектов. Обязательства строительных предприятий перед коммерческими банками сложились на уровне 12,5 млн руб., что ниже на 3,0% уровня начала года.</w:t>
      </w:r>
    </w:p>
    <w:p w:rsidR="00CB462C" w:rsidRPr="00CB462C" w:rsidRDefault="00CB462C" w:rsidP="00CB462C">
      <w:pPr>
        <w:widowControl w:val="0"/>
        <w:spacing w:after="0" w:line="240" w:lineRule="auto"/>
        <w:ind w:firstLine="709"/>
        <w:jc w:val="both"/>
        <w:rPr>
          <w:rFonts w:ascii="Times New Roman" w:hAnsi="Times New Roman"/>
          <w:bCs/>
          <w:iCs/>
          <w:sz w:val="28"/>
          <w:szCs w:val="28"/>
        </w:rPr>
      </w:pPr>
      <w:r w:rsidRPr="00CB462C">
        <w:rPr>
          <w:rFonts w:ascii="Times New Roman" w:hAnsi="Times New Roman"/>
          <w:bCs/>
          <w:iCs/>
          <w:sz w:val="28"/>
          <w:szCs w:val="28"/>
        </w:rPr>
        <w:t>Позитивным моментом является улучшение структуры кредитного портфеля банков в части «плохих долгов». Просроченная задолженность уменьшилась на 15,7% до 168,0 млн руб., что соответствует 4,6% совокупных кредитов реальному сектору и населению (-2,0 п.п.). Данная динамика была обусловлена значительным сокращением сумм не погашенных в срок обязательств юридических лиц на 18,7%, до 90,5 млн руб., долевое представление которых в корпоративном кредитном портфеле составило 3,3% (-0,7 п.п. от значения на 1 января 2018 года). Остаток просроченной задолженности населения уменьшился на 11,8% до 77,5 млн руб., или 8,4% в структуре розничных кредитов (-2,9 п.п.). В результате интегрированный показатель</w:t>
      </w:r>
      <w:r w:rsidRPr="00CB462C">
        <w:rPr>
          <w:rFonts w:ascii="Times New Roman" w:hAnsi="Times New Roman"/>
          <w:bCs/>
          <w:iCs/>
          <w:sz w:val="28"/>
          <w:szCs w:val="28"/>
          <w:vertAlign w:val="superscript"/>
        </w:rPr>
        <w:footnoteReference w:id="2"/>
      </w:r>
      <w:r w:rsidRPr="00CB462C">
        <w:rPr>
          <w:rFonts w:ascii="Times New Roman" w:hAnsi="Times New Roman"/>
          <w:bCs/>
          <w:iCs/>
          <w:sz w:val="28"/>
          <w:szCs w:val="28"/>
        </w:rPr>
        <w:t xml:space="preserve"> качественных характеристик операций кредитования повысился на 1,0 п.п. до 95,4%.</w:t>
      </w:r>
    </w:p>
    <w:p w:rsidR="00CB462C" w:rsidRPr="00CB462C" w:rsidRDefault="00CB462C" w:rsidP="00CB462C">
      <w:pPr>
        <w:widowControl w:val="0"/>
        <w:spacing w:after="0" w:line="240" w:lineRule="auto"/>
        <w:ind w:firstLine="709"/>
        <w:jc w:val="both"/>
        <w:rPr>
          <w:rFonts w:ascii="Times New Roman" w:hAnsi="Times New Roman"/>
          <w:bCs/>
          <w:iCs/>
          <w:sz w:val="28"/>
          <w:szCs w:val="28"/>
        </w:rPr>
      </w:pPr>
      <w:r w:rsidRPr="00CB462C">
        <w:rPr>
          <w:rFonts w:ascii="Times New Roman" w:hAnsi="Times New Roman"/>
          <w:bCs/>
          <w:iCs/>
          <w:sz w:val="28"/>
          <w:szCs w:val="28"/>
        </w:rPr>
        <w:t xml:space="preserve">Переоценка кредитов и приравненных к ним средств явилась одним из факторов существенного роста остатков ссуд, относящихся к категории нестандартных (+718,8 млн руб.), а также проблемных (+102,2 млн руб.), что обусловило повышение их удельного веса в структуре совокупного показателя. Данный факт определил и наращивание резервов на возможные потери по кредитам. Размер фонда по отношению к уровню начала 2018 года был увеличен на 6,5%, до 541,8 млн руб., составив 11,8% кредитного портфеля. Долевое представление стандартных ссуд сократилось с 63,4% до 54,9% вследствие снижения их суммы на 557,6 млн руб., главным образом в результате сокращения активов, предоставленных с отсрочкой платежа. </w:t>
      </w:r>
    </w:p>
    <w:p w:rsidR="00CB462C" w:rsidRPr="00CB462C" w:rsidRDefault="00CB462C" w:rsidP="00CB462C">
      <w:pPr>
        <w:spacing w:after="0" w:line="240" w:lineRule="auto"/>
        <w:ind w:firstLine="709"/>
        <w:jc w:val="both"/>
        <w:rPr>
          <w:rFonts w:ascii="Times New Roman" w:hAnsi="Times New Roman"/>
          <w:color w:val="000000"/>
          <w:sz w:val="28"/>
          <w:szCs w:val="28"/>
        </w:rPr>
      </w:pPr>
    </w:p>
    <w:bookmarkEnd w:id="5"/>
    <w:bookmarkEnd w:id="6"/>
    <w:p w:rsidR="00CB462C" w:rsidRPr="00CB462C" w:rsidRDefault="00CB462C" w:rsidP="00CB462C">
      <w:pPr>
        <w:widowControl w:val="0"/>
        <w:spacing w:after="0" w:line="240" w:lineRule="auto"/>
        <w:ind w:firstLine="709"/>
        <w:jc w:val="both"/>
        <w:rPr>
          <w:rFonts w:ascii="Times New Roman" w:hAnsi="Times New Roman"/>
          <w:b/>
          <w:bCs/>
          <w:i/>
          <w:iCs/>
          <w:sz w:val="28"/>
          <w:szCs w:val="28"/>
        </w:rPr>
      </w:pPr>
      <w:r w:rsidRPr="00CB462C">
        <w:rPr>
          <w:rFonts w:ascii="Times New Roman" w:hAnsi="Times New Roman"/>
          <w:b/>
          <w:bCs/>
          <w:i/>
          <w:iCs/>
          <w:sz w:val="28"/>
          <w:szCs w:val="28"/>
        </w:rPr>
        <w:t xml:space="preserve">Инструменты денежно-кредитного регулирования </w:t>
      </w:r>
    </w:p>
    <w:p w:rsidR="00CB462C" w:rsidRPr="00CB462C" w:rsidRDefault="00CB462C" w:rsidP="00CB462C">
      <w:pPr>
        <w:spacing w:after="0" w:line="240" w:lineRule="auto"/>
        <w:ind w:firstLine="709"/>
        <w:jc w:val="both"/>
        <w:rPr>
          <w:rFonts w:ascii="Times New Roman" w:hAnsi="Times New Roman"/>
          <w:sz w:val="28"/>
          <w:szCs w:val="28"/>
        </w:rPr>
      </w:pPr>
      <w:r w:rsidRPr="00CB462C">
        <w:rPr>
          <w:rFonts w:ascii="Times New Roman" w:hAnsi="Times New Roman"/>
          <w:sz w:val="28"/>
          <w:szCs w:val="28"/>
        </w:rPr>
        <w:t xml:space="preserve">В 2018 году не производилось корректировок ставок по основным инструментам денежно-кредитной политики. Нормативы обязательных резервов сохранялись на уровне, действующем с 1 февраля 2017 года: 15% – по отношению к обязательствам кредитных организаций перед юридическими лицами в рублях и 12% – к обязательствам в валюте. При этом депонирование </w:t>
      </w:r>
      <w:r w:rsidRPr="00CB462C">
        <w:rPr>
          <w:rFonts w:ascii="Times New Roman" w:hAnsi="Times New Roman"/>
          <w:sz w:val="28"/>
          <w:szCs w:val="28"/>
        </w:rPr>
        <w:lastRenderedPageBreak/>
        <w:t>осуществлялось исключительно в национальной валюте. Общий объем средств, аккумулированных по состоянию на 1 января 2019 года в центральном банке в качестве обязательных резервов, по сравнению с данными на 1 января</w:t>
      </w:r>
      <w:r>
        <w:rPr>
          <w:rFonts w:ascii="Times New Roman" w:hAnsi="Times New Roman"/>
          <w:sz w:val="28"/>
          <w:szCs w:val="28"/>
        </w:rPr>
        <w:t xml:space="preserve">                </w:t>
      </w:r>
      <w:r w:rsidRPr="00CB462C">
        <w:rPr>
          <w:rFonts w:ascii="Times New Roman" w:hAnsi="Times New Roman"/>
          <w:sz w:val="28"/>
          <w:szCs w:val="28"/>
        </w:rPr>
        <w:t xml:space="preserve"> 2018 года увеличился на 57,3 млн руб., составив по действующим банкам 309,2 млн руб. </w:t>
      </w:r>
    </w:p>
    <w:p w:rsidR="00CB462C" w:rsidRPr="00CB462C" w:rsidRDefault="00CB462C" w:rsidP="00CB462C">
      <w:pPr>
        <w:spacing w:after="0" w:line="240" w:lineRule="auto"/>
        <w:ind w:firstLine="709"/>
        <w:jc w:val="both"/>
        <w:rPr>
          <w:rFonts w:ascii="Times New Roman" w:hAnsi="Times New Roman"/>
          <w:sz w:val="28"/>
          <w:szCs w:val="28"/>
        </w:rPr>
      </w:pPr>
      <w:r w:rsidRPr="00CB462C">
        <w:rPr>
          <w:rFonts w:ascii="Times New Roman" w:hAnsi="Times New Roman"/>
          <w:sz w:val="28"/>
          <w:szCs w:val="28"/>
        </w:rPr>
        <w:t xml:space="preserve">Ставка страховых взносов от обязательств банка перед физическими лицами составляла 12% в рублях и 14% – в иностранной валюте. За период с 1 января 2018 года по 1 января 2019 года объем страховых фондов действующих банков, депонируемых в ПРБ исключительно в национальной валюте, увеличился на 24,1% до отметки 357,3 млн руб. </w:t>
      </w:r>
    </w:p>
    <w:p w:rsidR="00CB462C" w:rsidRPr="00CB462C" w:rsidRDefault="00CB462C" w:rsidP="00CB462C">
      <w:pPr>
        <w:spacing w:after="0" w:line="240" w:lineRule="auto"/>
        <w:ind w:firstLine="709"/>
        <w:jc w:val="both"/>
        <w:rPr>
          <w:rFonts w:ascii="Times New Roman" w:hAnsi="Times New Roman"/>
          <w:sz w:val="28"/>
          <w:szCs w:val="28"/>
        </w:rPr>
      </w:pPr>
      <w:r w:rsidRPr="00CB462C">
        <w:rPr>
          <w:rFonts w:ascii="Times New Roman" w:hAnsi="Times New Roman"/>
          <w:sz w:val="28"/>
          <w:szCs w:val="28"/>
        </w:rPr>
        <w:t>Ставка рефинансирования центрального банка, установленная с                    16 февраля 2017 года в размере 7% годовых, в отчетном году не изменилась.</w:t>
      </w:r>
    </w:p>
    <w:p w:rsidR="00CB462C" w:rsidRPr="00CB462C" w:rsidRDefault="00CB462C" w:rsidP="00CB462C">
      <w:pPr>
        <w:widowControl w:val="0"/>
        <w:spacing w:after="0" w:line="240" w:lineRule="auto"/>
        <w:ind w:firstLine="709"/>
        <w:jc w:val="both"/>
        <w:rPr>
          <w:rFonts w:ascii="Times New Roman" w:hAnsi="Times New Roman"/>
          <w:b/>
          <w:bCs/>
          <w:i/>
          <w:iCs/>
          <w:sz w:val="28"/>
          <w:szCs w:val="28"/>
        </w:rPr>
      </w:pPr>
    </w:p>
    <w:p w:rsidR="00CB462C" w:rsidRPr="00CB462C" w:rsidRDefault="00CB462C" w:rsidP="00CB462C">
      <w:pPr>
        <w:widowControl w:val="0"/>
        <w:spacing w:after="0" w:line="240" w:lineRule="auto"/>
        <w:ind w:firstLine="709"/>
        <w:contextualSpacing/>
        <w:jc w:val="both"/>
        <w:rPr>
          <w:rFonts w:ascii="Times New Roman" w:hAnsi="Times New Roman"/>
          <w:b/>
          <w:bCs/>
          <w:i/>
          <w:iCs/>
          <w:sz w:val="28"/>
          <w:szCs w:val="28"/>
        </w:rPr>
      </w:pPr>
      <w:r w:rsidRPr="00CB462C">
        <w:rPr>
          <w:rFonts w:ascii="Times New Roman" w:hAnsi="Times New Roman"/>
          <w:b/>
          <w:bCs/>
          <w:i/>
          <w:iCs/>
          <w:sz w:val="28"/>
          <w:szCs w:val="28"/>
        </w:rPr>
        <w:t>Противодействие легализации (отмыванию) доходов, полученных преступным путем</w:t>
      </w:r>
    </w:p>
    <w:p w:rsidR="00CB462C" w:rsidRPr="00CB462C" w:rsidRDefault="00CB462C" w:rsidP="00CB462C">
      <w:pPr>
        <w:tabs>
          <w:tab w:val="left" w:pos="720"/>
        </w:tabs>
        <w:spacing w:after="0" w:line="240" w:lineRule="auto"/>
        <w:ind w:firstLine="709"/>
        <w:jc w:val="both"/>
        <w:rPr>
          <w:rFonts w:ascii="Times New Roman" w:hAnsi="Times New Roman"/>
          <w:sz w:val="28"/>
          <w:szCs w:val="28"/>
        </w:rPr>
      </w:pPr>
      <w:r w:rsidRPr="00CB462C">
        <w:rPr>
          <w:rFonts w:ascii="Times New Roman" w:hAnsi="Times New Roman"/>
          <w:sz w:val="28"/>
          <w:szCs w:val="28"/>
        </w:rPr>
        <w:t>В 2018 году в рамках реализации функций, установленных статьей 12 Закона Приднестровской Молдавской Республики от 6 апреля 2009 года №704-З-IV «О противодействии легализации (отмыванию) доходов, полученных преступным путём, и финансированию терроризма» осуществлялись мероприятия, направленные на операции с денежными средствами, в отношении которых имелись достаточные основания полагать, что они связаны с легализацией (отмыванием) доходов, полученных преступным путём, и финансированием терроризма, а также продолжилось совершенствование нормативно-правовой базы в данной сфере.</w:t>
      </w:r>
    </w:p>
    <w:p w:rsidR="00E32407" w:rsidRPr="00E32407" w:rsidRDefault="00E32407" w:rsidP="007D3AA7">
      <w:pPr>
        <w:spacing w:after="0" w:line="240" w:lineRule="auto"/>
        <w:ind w:firstLine="426"/>
        <w:contextualSpacing/>
        <w:jc w:val="both"/>
        <w:rPr>
          <w:rFonts w:ascii="Times New Roman" w:hAnsi="Times New Roman"/>
          <w:b/>
          <w:sz w:val="28"/>
          <w:szCs w:val="28"/>
        </w:rPr>
      </w:pPr>
    </w:p>
    <w:p w:rsidR="00E72984" w:rsidRPr="00137B13" w:rsidRDefault="00E72984" w:rsidP="007D3AA7">
      <w:pPr>
        <w:spacing w:after="0" w:line="240" w:lineRule="auto"/>
        <w:ind w:firstLine="426"/>
        <w:rPr>
          <w:rFonts w:ascii="Times New Roman" w:hAnsi="Times New Roman"/>
          <w:b/>
          <w:sz w:val="28"/>
          <w:szCs w:val="28"/>
        </w:rPr>
      </w:pPr>
      <w:r w:rsidRPr="00137B13">
        <w:rPr>
          <w:rFonts w:ascii="Times New Roman" w:hAnsi="Times New Roman"/>
          <w:b/>
          <w:sz w:val="28"/>
          <w:szCs w:val="28"/>
        </w:rPr>
        <w:t>Экология</w:t>
      </w:r>
    </w:p>
    <w:p w:rsidR="00E72984" w:rsidRPr="00137B13" w:rsidRDefault="00E72984" w:rsidP="007D3AA7">
      <w:pPr>
        <w:spacing w:after="0" w:line="240" w:lineRule="auto"/>
        <w:ind w:firstLine="426"/>
        <w:rPr>
          <w:rFonts w:ascii="Times New Roman" w:hAnsi="Times New Roman"/>
          <w:b/>
          <w:sz w:val="28"/>
          <w:szCs w:val="28"/>
        </w:rPr>
      </w:pPr>
    </w:p>
    <w:p w:rsidR="00DB7EBA" w:rsidRPr="00BE109A" w:rsidRDefault="00DB7EBA" w:rsidP="00DB7EBA">
      <w:pPr>
        <w:spacing w:after="0" w:line="240" w:lineRule="auto"/>
        <w:ind w:firstLine="426"/>
        <w:jc w:val="both"/>
        <w:rPr>
          <w:rFonts w:ascii="Times New Roman" w:hAnsi="Times New Roman"/>
          <w:sz w:val="28"/>
          <w:szCs w:val="28"/>
        </w:rPr>
      </w:pPr>
      <w:r>
        <w:rPr>
          <w:rFonts w:ascii="Times New Roman" w:hAnsi="Times New Roman"/>
          <w:sz w:val="28"/>
          <w:szCs w:val="28"/>
        </w:rPr>
        <w:t xml:space="preserve">Стабильная производственная деятельность ряда крупных промышленных предприятий республики обусловила в 2018 году </w:t>
      </w:r>
      <w:r w:rsidRPr="00DF6D34">
        <w:rPr>
          <w:rFonts w:ascii="Times New Roman" w:hAnsi="Times New Roman"/>
          <w:sz w:val="28"/>
          <w:szCs w:val="28"/>
        </w:rPr>
        <w:t>увеличение совокупного объема</w:t>
      </w:r>
      <w:r w:rsidRPr="00DF6D34">
        <w:rPr>
          <w:rFonts w:ascii="Times New Roman" w:hAnsi="Times New Roman"/>
          <w:b/>
          <w:i/>
          <w:sz w:val="28"/>
          <w:szCs w:val="28"/>
        </w:rPr>
        <w:t xml:space="preserve"> выбросов вредных (загрязняющих) веществ в атмосферный воздух до</w:t>
      </w:r>
      <w:r w:rsidRPr="00BE109A">
        <w:rPr>
          <w:rFonts w:ascii="Times New Roman" w:hAnsi="Times New Roman"/>
          <w:sz w:val="28"/>
          <w:szCs w:val="28"/>
        </w:rPr>
        <w:t xml:space="preserve"> </w:t>
      </w:r>
      <w:r>
        <w:rPr>
          <w:rFonts w:ascii="Times New Roman" w:hAnsi="Times New Roman"/>
          <w:b/>
          <w:i/>
          <w:sz w:val="28"/>
          <w:szCs w:val="28"/>
        </w:rPr>
        <w:t>45 102,3</w:t>
      </w:r>
      <w:r w:rsidRPr="00BE109A">
        <w:rPr>
          <w:rFonts w:ascii="Times New Roman" w:hAnsi="Times New Roman"/>
          <w:b/>
          <w:i/>
          <w:sz w:val="28"/>
          <w:szCs w:val="28"/>
        </w:rPr>
        <w:t xml:space="preserve"> тонн</w:t>
      </w:r>
      <w:r w:rsidRPr="00B71084">
        <w:rPr>
          <w:rFonts w:ascii="Times New Roman" w:hAnsi="Times New Roman"/>
          <w:sz w:val="28"/>
          <w:szCs w:val="28"/>
        </w:rPr>
        <w:t xml:space="preserve">, </w:t>
      </w:r>
      <w:r>
        <w:rPr>
          <w:rFonts w:ascii="Times New Roman" w:hAnsi="Times New Roman"/>
          <w:sz w:val="28"/>
          <w:szCs w:val="28"/>
        </w:rPr>
        <w:t xml:space="preserve">превысив уровень 2017 года </w:t>
      </w:r>
      <w:r w:rsidRPr="00B71084">
        <w:rPr>
          <w:rFonts w:ascii="Times New Roman" w:hAnsi="Times New Roman"/>
          <w:sz w:val="28"/>
          <w:szCs w:val="28"/>
        </w:rPr>
        <w:t>на 418</w:t>
      </w:r>
      <w:r>
        <w:rPr>
          <w:rFonts w:ascii="Times New Roman" w:hAnsi="Times New Roman"/>
          <w:sz w:val="28"/>
          <w:szCs w:val="28"/>
        </w:rPr>
        <w:t> тонн (+0,9%).</w:t>
      </w:r>
    </w:p>
    <w:p w:rsidR="00DB7EBA" w:rsidRPr="006A580E" w:rsidRDefault="00DB7EBA" w:rsidP="00DB7EBA">
      <w:pPr>
        <w:spacing w:after="0" w:line="240" w:lineRule="auto"/>
        <w:ind w:firstLine="720"/>
        <w:jc w:val="right"/>
        <w:rPr>
          <w:rFonts w:ascii="Times New Roman" w:hAnsi="Times New Roman"/>
          <w:sz w:val="28"/>
          <w:szCs w:val="28"/>
        </w:rPr>
      </w:pPr>
      <w:r w:rsidRPr="006A580E">
        <w:rPr>
          <w:rFonts w:ascii="Times New Roman" w:hAnsi="Times New Roman"/>
          <w:sz w:val="28"/>
          <w:szCs w:val="28"/>
        </w:rPr>
        <w:t>Таблица №</w:t>
      </w:r>
      <w:r w:rsidR="006A580E" w:rsidRPr="006A580E">
        <w:rPr>
          <w:rFonts w:ascii="Times New Roman" w:hAnsi="Times New Roman"/>
          <w:sz w:val="28"/>
          <w:szCs w:val="28"/>
        </w:rPr>
        <w:t>1</w:t>
      </w:r>
      <w:r w:rsidR="00914EB7">
        <w:rPr>
          <w:rFonts w:ascii="Times New Roman" w:hAnsi="Times New Roman"/>
          <w:sz w:val="28"/>
          <w:szCs w:val="28"/>
        </w:rPr>
        <w:t>3</w:t>
      </w:r>
    </w:p>
    <w:p w:rsidR="00DB7EBA" w:rsidRPr="003879D6" w:rsidRDefault="00DB7EBA" w:rsidP="00DB7EBA">
      <w:pPr>
        <w:spacing w:after="0" w:line="240" w:lineRule="auto"/>
        <w:ind w:firstLine="720"/>
        <w:jc w:val="center"/>
        <w:rPr>
          <w:rFonts w:ascii="Times New Roman" w:hAnsi="Times New Roman"/>
          <w:b/>
          <w:sz w:val="28"/>
          <w:szCs w:val="28"/>
        </w:rPr>
      </w:pPr>
      <w:r w:rsidRPr="003879D6">
        <w:rPr>
          <w:rFonts w:ascii="Times New Roman" w:hAnsi="Times New Roman"/>
          <w:b/>
          <w:sz w:val="28"/>
          <w:szCs w:val="28"/>
        </w:rPr>
        <w:t xml:space="preserve">Выбросы вредных веществ в атмосферный воздух </w:t>
      </w:r>
    </w:p>
    <w:p w:rsidR="00DB7EBA" w:rsidRPr="003879D6" w:rsidRDefault="00DB7EBA" w:rsidP="00DB7EBA">
      <w:pPr>
        <w:spacing w:after="0" w:line="240" w:lineRule="auto"/>
        <w:ind w:firstLine="720"/>
        <w:jc w:val="center"/>
        <w:rPr>
          <w:rFonts w:ascii="Times New Roman" w:hAnsi="Times New Roman"/>
          <w:b/>
          <w:sz w:val="28"/>
          <w:szCs w:val="28"/>
        </w:rPr>
      </w:pPr>
      <w:r w:rsidRPr="003879D6">
        <w:rPr>
          <w:rFonts w:ascii="Times New Roman" w:hAnsi="Times New Roman"/>
          <w:b/>
          <w:sz w:val="28"/>
          <w:szCs w:val="28"/>
        </w:rPr>
        <w:t>в разрезе городов и районов за 201</w:t>
      </w:r>
      <w:r>
        <w:rPr>
          <w:rFonts w:ascii="Times New Roman" w:hAnsi="Times New Roman"/>
          <w:b/>
          <w:sz w:val="28"/>
          <w:szCs w:val="28"/>
        </w:rPr>
        <w:t xml:space="preserve">8 </w:t>
      </w:r>
      <w:r w:rsidRPr="003879D6">
        <w:rPr>
          <w:rFonts w:ascii="Times New Roman" w:hAnsi="Times New Roman"/>
          <w:b/>
          <w:sz w:val="28"/>
          <w:szCs w:val="28"/>
        </w:rPr>
        <w:t>год</w:t>
      </w:r>
    </w:p>
    <w:p w:rsidR="00DB7EBA" w:rsidRPr="00553E0B" w:rsidRDefault="00DB7EBA" w:rsidP="00DB7EBA">
      <w:pPr>
        <w:spacing w:after="0" w:line="240" w:lineRule="auto"/>
        <w:ind w:firstLine="720"/>
        <w:jc w:val="right"/>
        <w:rPr>
          <w:rFonts w:ascii="Times New Roman" w:hAnsi="Times New Roman"/>
          <w:i/>
        </w:rPr>
      </w:pPr>
      <w:r w:rsidRPr="00553E0B">
        <w:rPr>
          <w:rFonts w:ascii="Times New Roman" w:hAnsi="Times New Roman"/>
          <w:i/>
        </w:rPr>
        <w:t>(тонн, %)</w:t>
      </w:r>
    </w:p>
    <w:tbl>
      <w:tblPr>
        <w:tblW w:w="9515" w:type="dxa"/>
        <w:tblInd w:w="93" w:type="dxa"/>
        <w:tblLook w:val="04A0" w:firstRow="1" w:lastRow="0" w:firstColumn="1" w:lastColumn="0" w:noHBand="0" w:noVBand="1"/>
      </w:tblPr>
      <w:tblGrid>
        <w:gridCol w:w="3571"/>
        <w:gridCol w:w="995"/>
        <w:gridCol w:w="963"/>
        <w:gridCol w:w="1028"/>
        <w:gridCol w:w="964"/>
        <w:gridCol w:w="1031"/>
        <w:gridCol w:w="963"/>
      </w:tblGrid>
      <w:tr w:rsidR="00DB7EBA" w:rsidRPr="0094333A" w:rsidTr="00641CCA">
        <w:trPr>
          <w:trHeight w:val="362"/>
        </w:trPr>
        <w:tc>
          <w:tcPr>
            <w:tcW w:w="357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jc w:val="center"/>
              <w:rPr>
                <w:rFonts w:ascii="Times New Roman" w:hAnsi="Times New Roman"/>
                <w:b/>
                <w:bCs/>
                <w:color w:val="000000"/>
              </w:rPr>
            </w:pPr>
            <w:r w:rsidRPr="00D54CFE">
              <w:rPr>
                <w:rFonts w:ascii="Times New Roman" w:hAnsi="Times New Roman"/>
                <w:b/>
                <w:bCs/>
                <w:color w:val="000000"/>
              </w:rPr>
              <w:t>Город, район</w:t>
            </w:r>
          </w:p>
        </w:tc>
        <w:tc>
          <w:tcPr>
            <w:tcW w:w="195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jc w:val="center"/>
              <w:rPr>
                <w:rFonts w:ascii="Times New Roman" w:hAnsi="Times New Roman"/>
                <w:b/>
                <w:bCs/>
                <w:color w:val="000000"/>
              </w:rPr>
            </w:pPr>
            <w:r w:rsidRPr="00D54CFE">
              <w:rPr>
                <w:rFonts w:ascii="Times New Roman" w:hAnsi="Times New Roman"/>
                <w:b/>
                <w:bCs/>
                <w:color w:val="000000"/>
              </w:rPr>
              <w:t>Всего</w:t>
            </w:r>
          </w:p>
        </w:tc>
        <w:tc>
          <w:tcPr>
            <w:tcW w:w="199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ind w:left="-93" w:right="-140"/>
              <w:jc w:val="center"/>
              <w:rPr>
                <w:rFonts w:ascii="Times New Roman" w:hAnsi="Times New Roman"/>
                <w:b/>
                <w:bCs/>
                <w:color w:val="000000"/>
              </w:rPr>
            </w:pPr>
            <w:r w:rsidRPr="00D54CFE">
              <w:rPr>
                <w:rFonts w:ascii="Times New Roman" w:hAnsi="Times New Roman"/>
                <w:b/>
                <w:bCs/>
                <w:color w:val="000000"/>
              </w:rPr>
              <w:t>От стационарных источников</w:t>
            </w:r>
          </w:p>
        </w:tc>
        <w:tc>
          <w:tcPr>
            <w:tcW w:w="199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jc w:val="center"/>
              <w:rPr>
                <w:rFonts w:ascii="Times New Roman" w:hAnsi="Times New Roman"/>
                <w:b/>
                <w:bCs/>
                <w:color w:val="000000"/>
              </w:rPr>
            </w:pPr>
            <w:r w:rsidRPr="00D54CFE">
              <w:rPr>
                <w:rFonts w:ascii="Times New Roman" w:hAnsi="Times New Roman"/>
                <w:b/>
                <w:bCs/>
                <w:color w:val="000000"/>
              </w:rPr>
              <w:t>От передвижных источников</w:t>
            </w:r>
          </w:p>
        </w:tc>
      </w:tr>
      <w:tr w:rsidR="00DB7EBA" w:rsidRPr="0094333A" w:rsidTr="00641CCA">
        <w:trPr>
          <w:trHeight w:val="358"/>
        </w:trPr>
        <w:tc>
          <w:tcPr>
            <w:tcW w:w="357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rPr>
                <w:rFonts w:ascii="Times New Roman" w:hAnsi="Times New Roman"/>
                <w:b/>
                <w:bCs/>
                <w:color w:val="000000"/>
              </w:rPr>
            </w:pPr>
          </w:p>
        </w:tc>
        <w:tc>
          <w:tcPr>
            <w:tcW w:w="995" w:type="dxa"/>
            <w:tcBorders>
              <w:top w:val="nil"/>
              <w:left w:val="nil"/>
              <w:bottom w:val="single" w:sz="4" w:space="0" w:color="auto"/>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jc w:val="center"/>
              <w:rPr>
                <w:rFonts w:ascii="Times New Roman" w:hAnsi="Times New Roman"/>
                <w:b/>
                <w:bCs/>
                <w:color w:val="000000"/>
              </w:rPr>
            </w:pPr>
            <w:r w:rsidRPr="00D54CFE">
              <w:rPr>
                <w:rFonts w:ascii="Times New Roman" w:hAnsi="Times New Roman"/>
                <w:b/>
                <w:bCs/>
                <w:color w:val="000000"/>
              </w:rPr>
              <w:t>2018г.</w:t>
            </w:r>
          </w:p>
        </w:tc>
        <w:tc>
          <w:tcPr>
            <w:tcW w:w="963" w:type="dxa"/>
            <w:tcBorders>
              <w:top w:val="nil"/>
              <w:left w:val="nil"/>
              <w:bottom w:val="single" w:sz="4" w:space="0" w:color="auto"/>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jc w:val="center"/>
              <w:rPr>
                <w:rFonts w:ascii="Times New Roman" w:hAnsi="Times New Roman"/>
                <w:b/>
                <w:bCs/>
                <w:color w:val="000000"/>
              </w:rPr>
            </w:pPr>
            <w:r w:rsidRPr="00D54CFE">
              <w:rPr>
                <w:rFonts w:ascii="Times New Roman" w:hAnsi="Times New Roman"/>
                <w:b/>
                <w:bCs/>
                <w:color w:val="000000"/>
              </w:rPr>
              <w:t>в % к 2017г.</w:t>
            </w:r>
          </w:p>
        </w:tc>
        <w:tc>
          <w:tcPr>
            <w:tcW w:w="1028" w:type="dxa"/>
            <w:tcBorders>
              <w:top w:val="nil"/>
              <w:left w:val="nil"/>
              <w:bottom w:val="single" w:sz="4" w:space="0" w:color="auto"/>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jc w:val="center"/>
              <w:rPr>
                <w:rFonts w:ascii="Times New Roman" w:hAnsi="Times New Roman"/>
                <w:b/>
                <w:bCs/>
                <w:color w:val="000000"/>
              </w:rPr>
            </w:pPr>
            <w:r w:rsidRPr="00D54CFE">
              <w:rPr>
                <w:rFonts w:ascii="Times New Roman" w:hAnsi="Times New Roman"/>
                <w:b/>
                <w:bCs/>
                <w:color w:val="000000"/>
              </w:rPr>
              <w:t>2018г.</w:t>
            </w:r>
          </w:p>
        </w:tc>
        <w:tc>
          <w:tcPr>
            <w:tcW w:w="964" w:type="dxa"/>
            <w:tcBorders>
              <w:top w:val="nil"/>
              <w:left w:val="nil"/>
              <w:bottom w:val="single" w:sz="4" w:space="0" w:color="auto"/>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jc w:val="center"/>
              <w:rPr>
                <w:rFonts w:ascii="Times New Roman" w:hAnsi="Times New Roman"/>
                <w:b/>
                <w:bCs/>
                <w:color w:val="000000"/>
              </w:rPr>
            </w:pPr>
            <w:r w:rsidRPr="00D54CFE">
              <w:rPr>
                <w:rFonts w:ascii="Times New Roman" w:hAnsi="Times New Roman"/>
                <w:b/>
                <w:bCs/>
                <w:color w:val="000000"/>
              </w:rPr>
              <w:t>в % к 2017г.</w:t>
            </w:r>
          </w:p>
        </w:tc>
        <w:tc>
          <w:tcPr>
            <w:tcW w:w="1031" w:type="dxa"/>
            <w:tcBorders>
              <w:top w:val="nil"/>
              <w:left w:val="nil"/>
              <w:bottom w:val="single" w:sz="4" w:space="0" w:color="auto"/>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jc w:val="center"/>
              <w:rPr>
                <w:rFonts w:ascii="Times New Roman" w:hAnsi="Times New Roman"/>
                <w:b/>
                <w:bCs/>
                <w:color w:val="000000"/>
              </w:rPr>
            </w:pPr>
            <w:r w:rsidRPr="00D54CFE">
              <w:rPr>
                <w:rFonts w:ascii="Times New Roman" w:hAnsi="Times New Roman"/>
                <w:b/>
                <w:bCs/>
                <w:color w:val="000000"/>
              </w:rPr>
              <w:t>2018г.</w:t>
            </w:r>
          </w:p>
        </w:tc>
        <w:tc>
          <w:tcPr>
            <w:tcW w:w="963" w:type="dxa"/>
            <w:tcBorders>
              <w:top w:val="nil"/>
              <w:left w:val="nil"/>
              <w:bottom w:val="single" w:sz="4" w:space="0" w:color="auto"/>
              <w:right w:val="single" w:sz="4" w:space="0" w:color="auto"/>
            </w:tcBorders>
            <w:shd w:val="clear" w:color="auto" w:fill="D9D9D9" w:themeFill="background1" w:themeFillShade="D9"/>
            <w:vAlign w:val="center"/>
            <w:hideMark/>
          </w:tcPr>
          <w:p w:rsidR="00DB7EBA" w:rsidRPr="00D54CFE" w:rsidRDefault="00DB7EBA" w:rsidP="00641CCA">
            <w:pPr>
              <w:spacing w:after="0" w:line="240" w:lineRule="auto"/>
              <w:jc w:val="center"/>
              <w:rPr>
                <w:rFonts w:ascii="Times New Roman" w:hAnsi="Times New Roman"/>
                <w:b/>
                <w:bCs/>
                <w:color w:val="000000"/>
              </w:rPr>
            </w:pPr>
            <w:r w:rsidRPr="00D54CFE">
              <w:rPr>
                <w:rFonts w:ascii="Times New Roman" w:hAnsi="Times New Roman"/>
                <w:b/>
                <w:bCs/>
                <w:color w:val="000000"/>
              </w:rPr>
              <w:t>в % к. 2017г.</w:t>
            </w:r>
          </w:p>
        </w:tc>
      </w:tr>
      <w:tr w:rsidR="00DB7EBA" w:rsidRPr="0094333A" w:rsidTr="00641CCA">
        <w:trPr>
          <w:trHeight w:val="141"/>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ind w:right="-96"/>
              <w:rPr>
                <w:rFonts w:ascii="Times New Roman" w:hAnsi="Times New Roman"/>
                <w:color w:val="000000"/>
              </w:rPr>
            </w:pPr>
            <w:r w:rsidRPr="00D54CFE">
              <w:rPr>
                <w:rFonts w:ascii="Times New Roman" w:hAnsi="Times New Roman"/>
                <w:color w:val="000000"/>
              </w:rPr>
              <w:t>г. Тирасполь</w:t>
            </w:r>
          </w:p>
        </w:tc>
        <w:tc>
          <w:tcPr>
            <w:tcW w:w="995"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9 618,1</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80,8</w:t>
            </w:r>
          </w:p>
        </w:tc>
        <w:tc>
          <w:tcPr>
            <w:tcW w:w="1028"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1 610,6</w:t>
            </w:r>
          </w:p>
        </w:tc>
        <w:tc>
          <w:tcPr>
            <w:tcW w:w="964"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104,1</w:t>
            </w:r>
          </w:p>
        </w:tc>
        <w:tc>
          <w:tcPr>
            <w:tcW w:w="1031"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8 007,5</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77,3</w:t>
            </w:r>
          </w:p>
        </w:tc>
      </w:tr>
      <w:tr w:rsidR="00DB7EBA" w:rsidRPr="0094333A" w:rsidTr="00641CCA">
        <w:trPr>
          <w:trHeight w:val="148"/>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ind w:right="-96"/>
              <w:rPr>
                <w:rFonts w:ascii="Times New Roman" w:hAnsi="Times New Roman"/>
                <w:color w:val="000000"/>
              </w:rPr>
            </w:pPr>
            <w:r w:rsidRPr="00D54CFE">
              <w:rPr>
                <w:rFonts w:ascii="Times New Roman" w:hAnsi="Times New Roman"/>
                <w:color w:val="000000"/>
              </w:rPr>
              <w:t>г. Днестровск,</w:t>
            </w:r>
            <w:r w:rsidRPr="00D54CFE">
              <w:rPr>
                <w:rFonts w:ascii="Times New Roman" w:hAnsi="Times New Roman"/>
                <w:i/>
                <w:iCs/>
                <w:color w:val="000000"/>
              </w:rPr>
              <w:t xml:space="preserve"> в том числе:</w:t>
            </w:r>
          </w:p>
        </w:tc>
        <w:tc>
          <w:tcPr>
            <w:tcW w:w="995"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5 700,8</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115,0</w:t>
            </w:r>
          </w:p>
        </w:tc>
        <w:tc>
          <w:tcPr>
            <w:tcW w:w="1028"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5 615,8</w:t>
            </w:r>
          </w:p>
        </w:tc>
        <w:tc>
          <w:tcPr>
            <w:tcW w:w="964"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115,1</w:t>
            </w:r>
          </w:p>
        </w:tc>
        <w:tc>
          <w:tcPr>
            <w:tcW w:w="1031"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85</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104,9</w:t>
            </w:r>
          </w:p>
        </w:tc>
      </w:tr>
      <w:tr w:rsidR="00DB7EBA" w:rsidRPr="0094333A" w:rsidTr="00641CCA">
        <w:trPr>
          <w:trHeight w:val="137"/>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ind w:right="-96" w:firstLineChars="100" w:firstLine="220"/>
              <w:rPr>
                <w:rFonts w:ascii="Times New Roman" w:hAnsi="Times New Roman"/>
                <w:color w:val="000000"/>
              </w:rPr>
            </w:pPr>
            <w:r w:rsidRPr="00D54CFE">
              <w:rPr>
                <w:rFonts w:ascii="Times New Roman" w:hAnsi="Times New Roman"/>
                <w:color w:val="000000"/>
              </w:rPr>
              <w:t>ЗАО «Молдавская ГРЭС»</w:t>
            </w:r>
          </w:p>
        </w:tc>
        <w:tc>
          <w:tcPr>
            <w:tcW w:w="995" w:type="dxa"/>
            <w:tcBorders>
              <w:top w:val="nil"/>
              <w:left w:val="single" w:sz="4" w:space="0" w:color="auto"/>
              <w:bottom w:val="single" w:sz="4" w:space="0" w:color="auto"/>
              <w:right w:val="single" w:sz="4" w:space="0" w:color="auto"/>
            </w:tcBorders>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5 691,3</w:t>
            </w:r>
          </w:p>
        </w:tc>
        <w:tc>
          <w:tcPr>
            <w:tcW w:w="963" w:type="dxa"/>
            <w:tcBorders>
              <w:top w:val="nil"/>
              <w:left w:val="single" w:sz="4" w:space="0" w:color="auto"/>
              <w:bottom w:val="single" w:sz="4" w:space="0" w:color="auto"/>
              <w:right w:val="single" w:sz="4" w:space="0" w:color="auto"/>
            </w:tcBorders>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115,0</w:t>
            </w:r>
          </w:p>
        </w:tc>
        <w:tc>
          <w:tcPr>
            <w:tcW w:w="1028" w:type="dxa"/>
            <w:tcBorders>
              <w:top w:val="nil"/>
              <w:left w:val="single" w:sz="4" w:space="0" w:color="auto"/>
              <w:bottom w:val="single" w:sz="4" w:space="0" w:color="auto"/>
              <w:right w:val="single" w:sz="4" w:space="0" w:color="auto"/>
            </w:tcBorders>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5 606,3</w:t>
            </w:r>
          </w:p>
        </w:tc>
        <w:tc>
          <w:tcPr>
            <w:tcW w:w="964" w:type="dxa"/>
            <w:tcBorders>
              <w:top w:val="nil"/>
              <w:left w:val="single" w:sz="4" w:space="0" w:color="auto"/>
              <w:bottom w:val="single" w:sz="4" w:space="0" w:color="auto"/>
              <w:right w:val="single" w:sz="4" w:space="0" w:color="auto"/>
            </w:tcBorders>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115,2</w:t>
            </w:r>
          </w:p>
        </w:tc>
        <w:tc>
          <w:tcPr>
            <w:tcW w:w="1031" w:type="dxa"/>
            <w:tcBorders>
              <w:top w:val="nil"/>
              <w:left w:val="single" w:sz="4" w:space="0" w:color="auto"/>
              <w:bottom w:val="single" w:sz="4" w:space="0" w:color="auto"/>
              <w:right w:val="single" w:sz="4" w:space="0" w:color="auto"/>
            </w:tcBorders>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85</w:t>
            </w:r>
          </w:p>
        </w:tc>
        <w:tc>
          <w:tcPr>
            <w:tcW w:w="963" w:type="dxa"/>
            <w:tcBorders>
              <w:top w:val="nil"/>
              <w:left w:val="single" w:sz="4" w:space="0" w:color="auto"/>
              <w:bottom w:val="single" w:sz="4" w:space="0" w:color="auto"/>
              <w:right w:val="single" w:sz="4" w:space="0" w:color="auto"/>
            </w:tcBorders>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104,9</w:t>
            </w:r>
          </w:p>
        </w:tc>
      </w:tr>
      <w:tr w:rsidR="00DB7EBA" w:rsidRPr="0094333A" w:rsidTr="00641CCA">
        <w:trPr>
          <w:trHeight w:val="81"/>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ind w:right="-96"/>
              <w:rPr>
                <w:rFonts w:ascii="Times New Roman" w:hAnsi="Times New Roman"/>
                <w:color w:val="000000"/>
              </w:rPr>
            </w:pPr>
            <w:r w:rsidRPr="00D54CFE">
              <w:rPr>
                <w:rFonts w:ascii="Times New Roman" w:hAnsi="Times New Roman"/>
                <w:color w:val="000000"/>
              </w:rPr>
              <w:t>г. Бендеры</w:t>
            </w:r>
          </w:p>
        </w:tc>
        <w:tc>
          <w:tcPr>
            <w:tcW w:w="995"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5 327,9</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98,0</w:t>
            </w:r>
          </w:p>
        </w:tc>
        <w:tc>
          <w:tcPr>
            <w:tcW w:w="1028"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614,6</w:t>
            </w:r>
          </w:p>
        </w:tc>
        <w:tc>
          <w:tcPr>
            <w:tcW w:w="964"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100,9</w:t>
            </w:r>
          </w:p>
        </w:tc>
        <w:tc>
          <w:tcPr>
            <w:tcW w:w="1031"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4 713,3</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97,7</w:t>
            </w:r>
          </w:p>
        </w:tc>
      </w:tr>
      <w:tr w:rsidR="00DB7EBA" w:rsidRPr="0094333A" w:rsidTr="00641CCA">
        <w:trPr>
          <w:trHeight w:val="214"/>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ind w:right="-96"/>
              <w:rPr>
                <w:rFonts w:ascii="Times New Roman" w:hAnsi="Times New Roman"/>
                <w:color w:val="000000"/>
              </w:rPr>
            </w:pPr>
            <w:r w:rsidRPr="00D54CFE">
              <w:rPr>
                <w:rFonts w:ascii="Times New Roman" w:hAnsi="Times New Roman"/>
                <w:color w:val="000000"/>
              </w:rPr>
              <w:t>г. Рыбница и Рыбницкий р-н</w:t>
            </w:r>
          </w:p>
        </w:tc>
        <w:tc>
          <w:tcPr>
            <w:tcW w:w="995"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10 407,1</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109,6</w:t>
            </w:r>
          </w:p>
        </w:tc>
        <w:tc>
          <w:tcPr>
            <w:tcW w:w="1028"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5 227,4</w:t>
            </w:r>
          </w:p>
        </w:tc>
        <w:tc>
          <w:tcPr>
            <w:tcW w:w="964"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121,3</w:t>
            </w:r>
          </w:p>
        </w:tc>
        <w:tc>
          <w:tcPr>
            <w:tcW w:w="1031"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iCs/>
                <w:color w:val="000000"/>
              </w:rPr>
              <w:t>5 179,7</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100,0</w:t>
            </w:r>
          </w:p>
        </w:tc>
      </w:tr>
      <w:tr w:rsidR="00DB7EBA" w:rsidRPr="0094333A" w:rsidTr="00641CCA">
        <w:trPr>
          <w:trHeight w:val="193"/>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ind w:right="-96"/>
              <w:rPr>
                <w:rFonts w:ascii="Times New Roman" w:hAnsi="Times New Roman"/>
                <w:color w:val="000000"/>
              </w:rPr>
            </w:pPr>
            <w:r w:rsidRPr="00D54CFE">
              <w:rPr>
                <w:rFonts w:ascii="Times New Roman" w:hAnsi="Times New Roman"/>
                <w:color w:val="000000"/>
              </w:rPr>
              <w:t>г. Дубоссары и Дубоссарский р-н</w:t>
            </w:r>
          </w:p>
        </w:tc>
        <w:tc>
          <w:tcPr>
            <w:tcW w:w="995"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3 027,0</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105,4</w:t>
            </w:r>
          </w:p>
        </w:tc>
        <w:tc>
          <w:tcPr>
            <w:tcW w:w="1028"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97,4</w:t>
            </w:r>
          </w:p>
        </w:tc>
        <w:tc>
          <w:tcPr>
            <w:tcW w:w="964"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82,5</w:t>
            </w:r>
          </w:p>
        </w:tc>
        <w:tc>
          <w:tcPr>
            <w:tcW w:w="1031"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2 929,6</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106,4</w:t>
            </w:r>
          </w:p>
        </w:tc>
      </w:tr>
      <w:tr w:rsidR="00DB7EBA" w:rsidRPr="0094333A" w:rsidTr="00641CCA">
        <w:trPr>
          <w:trHeight w:val="229"/>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ind w:right="-96"/>
              <w:rPr>
                <w:rFonts w:ascii="Times New Roman" w:hAnsi="Times New Roman"/>
                <w:color w:val="000000"/>
              </w:rPr>
            </w:pPr>
            <w:r w:rsidRPr="00D54CFE">
              <w:rPr>
                <w:rFonts w:ascii="Times New Roman" w:hAnsi="Times New Roman"/>
                <w:color w:val="000000"/>
              </w:rPr>
              <w:t xml:space="preserve">г. Григориополь и Григориопольский р-н </w:t>
            </w:r>
          </w:p>
        </w:tc>
        <w:tc>
          <w:tcPr>
            <w:tcW w:w="995"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1 826,7</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114,5</w:t>
            </w:r>
          </w:p>
        </w:tc>
        <w:tc>
          <w:tcPr>
            <w:tcW w:w="1028"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104</w:t>
            </w:r>
            <w:r w:rsidR="00660694">
              <w:rPr>
                <w:rFonts w:ascii="Times New Roman" w:hAnsi="Times New Roman"/>
                <w:color w:val="000000"/>
              </w:rPr>
              <w:t>,0</w:t>
            </w:r>
          </w:p>
        </w:tc>
        <w:tc>
          <w:tcPr>
            <w:tcW w:w="964"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81,7</w:t>
            </w:r>
          </w:p>
        </w:tc>
        <w:tc>
          <w:tcPr>
            <w:tcW w:w="1031"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1 727,2</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113,8</w:t>
            </w:r>
          </w:p>
        </w:tc>
      </w:tr>
      <w:tr w:rsidR="00DB7EBA" w:rsidRPr="0094333A" w:rsidTr="00641CCA">
        <w:trPr>
          <w:trHeight w:val="57"/>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ind w:right="-96"/>
              <w:rPr>
                <w:rFonts w:ascii="Times New Roman" w:hAnsi="Times New Roman"/>
                <w:color w:val="000000"/>
              </w:rPr>
            </w:pPr>
            <w:r w:rsidRPr="00D54CFE">
              <w:rPr>
                <w:rFonts w:ascii="Times New Roman" w:hAnsi="Times New Roman"/>
                <w:color w:val="000000"/>
              </w:rPr>
              <w:t>г. Слободзея и Слободзейский р-н</w:t>
            </w:r>
          </w:p>
        </w:tc>
        <w:tc>
          <w:tcPr>
            <w:tcW w:w="995"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8 288,4</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108,1</w:t>
            </w:r>
          </w:p>
        </w:tc>
        <w:tc>
          <w:tcPr>
            <w:tcW w:w="1028"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1 000,4</w:t>
            </w:r>
          </w:p>
        </w:tc>
        <w:tc>
          <w:tcPr>
            <w:tcW w:w="964"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102,3</w:t>
            </w:r>
          </w:p>
        </w:tc>
        <w:tc>
          <w:tcPr>
            <w:tcW w:w="1031"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7 288,0</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108,9</w:t>
            </w:r>
          </w:p>
        </w:tc>
      </w:tr>
      <w:tr w:rsidR="00DB7EBA" w:rsidRPr="0094333A" w:rsidTr="00641CCA">
        <w:trPr>
          <w:trHeight w:val="65"/>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ind w:right="-96"/>
              <w:rPr>
                <w:rFonts w:ascii="Times New Roman" w:hAnsi="Times New Roman"/>
                <w:color w:val="000000"/>
              </w:rPr>
            </w:pPr>
            <w:r w:rsidRPr="00D54CFE">
              <w:rPr>
                <w:rFonts w:ascii="Times New Roman" w:hAnsi="Times New Roman"/>
                <w:color w:val="000000"/>
              </w:rPr>
              <w:t>г. Каменка и Каменский р-н</w:t>
            </w:r>
          </w:p>
        </w:tc>
        <w:tc>
          <w:tcPr>
            <w:tcW w:w="995"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906,3</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119,4</w:t>
            </w:r>
          </w:p>
        </w:tc>
        <w:tc>
          <w:tcPr>
            <w:tcW w:w="1028"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29,7</w:t>
            </w:r>
          </w:p>
        </w:tc>
        <w:tc>
          <w:tcPr>
            <w:tcW w:w="964"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99,0</w:t>
            </w:r>
          </w:p>
        </w:tc>
        <w:tc>
          <w:tcPr>
            <w:tcW w:w="1031"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color w:val="000000"/>
              </w:rPr>
            </w:pPr>
            <w:r>
              <w:rPr>
                <w:rFonts w:ascii="Times New Roman" w:hAnsi="Times New Roman"/>
                <w:color w:val="000000"/>
              </w:rPr>
              <w:t>876,6</w:t>
            </w:r>
          </w:p>
        </w:tc>
        <w:tc>
          <w:tcPr>
            <w:tcW w:w="963"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iCs/>
                <w:color w:val="000000"/>
              </w:rPr>
            </w:pPr>
            <w:r>
              <w:rPr>
                <w:rFonts w:ascii="Times New Roman" w:hAnsi="Times New Roman"/>
                <w:iCs/>
                <w:color w:val="000000"/>
              </w:rPr>
              <w:t>120,2</w:t>
            </w:r>
          </w:p>
        </w:tc>
      </w:tr>
      <w:tr w:rsidR="00DB7EBA" w:rsidRPr="0094333A" w:rsidTr="00641CCA">
        <w:trPr>
          <w:trHeight w:val="80"/>
        </w:trPr>
        <w:tc>
          <w:tcPr>
            <w:tcW w:w="3571" w:type="dxa"/>
            <w:tcBorders>
              <w:top w:val="nil"/>
              <w:left w:val="single" w:sz="4" w:space="0" w:color="auto"/>
              <w:bottom w:val="single" w:sz="4" w:space="0" w:color="auto"/>
              <w:right w:val="single" w:sz="4" w:space="0" w:color="auto"/>
            </w:tcBorders>
            <w:shd w:val="clear" w:color="auto" w:fill="auto"/>
            <w:hideMark/>
          </w:tcPr>
          <w:p w:rsidR="00DB7EBA" w:rsidRPr="00D54CFE" w:rsidRDefault="00DB7EBA" w:rsidP="00641CCA">
            <w:pPr>
              <w:spacing w:after="0" w:line="240" w:lineRule="auto"/>
              <w:ind w:right="-96"/>
              <w:rPr>
                <w:rFonts w:ascii="Times New Roman" w:hAnsi="Times New Roman"/>
                <w:b/>
                <w:bCs/>
                <w:color w:val="000000"/>
              </w:rPr>
            </w:pPr>
            <w:r w:rsidRPr="00D54CFE">
              <w:rPr>
                <w:rFonts w:ascii="Times New Roman" w:hAnsi="Times New Roman"/>
                <w:b/>
                <w:bCs/>
                <w:color w:val="000000"/>
              </w:rPr>
              <w:t>Всего</w:t>
            </w:r>
          </w:p>
        </w:tc>
        <w:tc>
          <w:tcPr>
            <w:tcW w:w="995" w:type="dxa"/>
            <w:tcBorders>
              <w:top w:val="nil"/>
              <w:left w:val="nil"/>
              <w:bottom w:val="single" w:sz="4" w:space="0" w:color="auto"/>
              <w:right w:val="single" w:sz="4" w:space="0" w:color="auto"/>
            </w:tcBorders>
            <w:shd w:val="clear" w:color="auto" w:fill="auto"/>
            <w:vAlign w:val="bottom"/>
            <w:hideMark/>
          </w:tcPr>
          <w:p w:rsidR="00DB7EBA" w:rsidRPr="00D54CFE" w:rsidRDefault="00DB7EBA" w:rsidP="00641CCA">
            <w:pPr>
              <w:spacing w:after="0" w:line="240" w:lineRule="auto"/>
              <w:jc w:val="center"/>
              <w:rPr>
                <w:rFonts w:ascii="Times New Roman" w:hAnsi="Times New Roman"/>
                <w:b/>
                <w:bCs/>
                <w:color w:val="000000"/>
              </w:rPr>
            </w:pPr>
            <w:r>
              <w:rPr>
                <w:rFonts w:ascii="Times New Roman" w:hAnsi="Times New Roman"/>
                <w:b/>
                <w:bCs/>
                <w:color w:val="000000"/>
              </w:rPr>
              <w:t>45 102,3</w:t>
            </w:r>
          </w:p>
        </w:tc>
        <w:tc>
          <w:tcPr>
            <w:tcW w:w="963" w:type="dxa"/>
            <w:tcBorders>
              <w:top w:val="nil"/>
              <w:left w:val="nil"/>
              <w:bottom w:val="single" w:sz="4" w:space="0" w:color="auto"/>
              <w:right w:val="single" w:sz="4" w:space="0" w:color="auto"/>
            </w:tcBorders>
            <w:shd w:val="clear" w:color="auto" w:fill="auto"/>
            <w:vAlign w:val="bottom"/>
            <w:hideMark/>
          </w:tcPr>
          <w:p w:rsidR="00DB7EBA" w:rsidRPr="0035231A" w:rsidRDefault="00DB7EBA" w:rsidP="00641CCA">
            <w:pPr>
              <w:spacing w:after="0" w:line="240" w:lineRule="auto"/>
              <w:jc w:val="center"/>
              <w:rPr>
                <w:rFonts w:ascii="Times New Roman" w:hAnsi="Times New Roman"/>
                <w:b/>
                <w:iCs/>
                <w:color w:val="000000"/>
              </w:rPr>
            </w:pPr>
            <w:r w:rsidRPr="0035231A">
              <w:rPr>
                <w:rFonts w:ascii="Times New Roman" w:hAnsi="Times New Roman"/>
                <w:b/>
                <w:iCs/>
                <w:color w:val="000000"/>
              </w:rPr>
              <w:t>100,9</w:t>
            </w:r>
          </w:p>
        </w:tc>
        <w:tc>
          <w:tcPr>
            <w:tcW w:w="1028" w:type="dxa"/>
            <w:tcBorders>
              <w:top w:val="nil"/>
              <w:left w:val="nil"/>
              <w:bottom w:val="single" w:sz="4" w:space="0" w:color="auto"/>
              <w:right w:val="single" w:sz="4" w:space="0" w:color="auto"/>
            </w:tcBorders>
            <w:shd w:val="clear" w:color="auto" w:fill="auto"/>
            <w:vAlign w:val="bottom"/>
            <w:hideMark/>
          </w:tcPr>
          <w:p w:rsidR="00DB7EBA" w:rsidRPr="0035231A" w:rsidRDefault="00DB7EBA" w:rsidP="00641CCA">
            <w:pPr>
              <w:spacing w:after="0" w:line="240" w:lineRule="auto"/>
              <w:jc w:val="center"/>
              <w:rPr>
                <w:rFonts w:ascii="Times New Roman" w:hAnsi="Times New Roman"/>
                <w:b/>
                <w:bCs/>
                <w:color w:val="000000"/>
              </w:rPr>
            </w:pPr>
            <w:r w:rsidRPr="0035231A">
              <w:rPr>
                <w:rFonts w:ascii="Times New Roman" w:hAnsi="Times New Roman"/>
                <w:b/>
                <w:bCs/>
                <w:color w:val="000000"/>
              </w:rPr>
              <w:t>14 299,9</w:t>
            </w:r>
          </w:p>
        </w:tc>
        <w:tc>
          <w:tcPr>
            <w:tcW w:w="964" w:type="dxa"/>
            <w:tcBorders>
              <w:top w:val="nil"/>
              <w:left w:val="nil"/>
              <w:bottom w:val="single" w:sz="4" w:space="0" w:color="auto"/>
              <w:right w:val="single" w:sz="4" w:space="0" w:color="auto"/>
            </w:tcBorders>
            <w:shd w:val="clear" w:color="auto" w:fill="auto"/>
            <w:vAlign w:val="bottom"/>
            <w:hideMark/>
          </w:tcPr>
          <w:p w:rsidR="00DB7EBA" w:rsidRPr="0035231A" w:rsidRDefault="00DB7EBA" w:rsidP="00641CCA">
            <w:pPr>
              <w:spacing w:after="0" w:line="240" w:lineRule="auto"/>
              <w:jc w:val="center"/>
              <w:rPr>
                <w:rFonts w:ascii="Times New Roman" w:hAnsi="Times New Roman"/>
                <w:b/>
                <w:iCs/>
                <w:color w:val="000000"/>
              </w:rPr>
            </w:pPr>
            <w:r w:rsidRPr="0035231A">
              <w:rPr>
                <w:rFonts w:ascii="Times New Roman" w:hAnsi="Times New Roman"/>
                <w:b/>
                <w:iCs/>
                <w:color w:val="000000"/>
              </w:rPr>
              <w:t>113,9</w:t>
            </w:r>
          </w:p>
        </w:tc>
        <w:tc>
          <w:tcPr>
            <w:tcW w:w="1031" w:type="dxa"/>
            <w:tcBorders>
              <w:top w:val="nil"/>
              <w:left w:val="nil"/>
              <w:bottom w:val="single" w:sz="4" w:space="0" w:color="auto"/>
              <w:right w:val="single" w:sz="4" w:space="0" w:color="auto"/>
            </w:tcBorders>
            <w:shd w:val="clear" w:color="auto" w:fill="auto"/>
            <w:vAlign w:val="bottom"/>
            <w:hideMark/>
          </w:tcPr>
          <w:p w:rsidR="00DB7EBA" w:rsidRPr="0035231A" w:rsidRDefault="00DB7EBA" w:rsidP="00641CCA">
            <w:pPr>
              <w:spacing w:after="0" w:line="240" w:lineRule="auto"/>
              <w:jc w:val="center"/>
              <w:rPr>
                <w:rFonts w:ascii="Times New Roman" w:hAnsi="Times New Roman"/>
                <w:b/>
                <w:bCs/>
                <w:color w:val="000000"/>
              </w:rPr>
            </w:pPr>
            <w:r w:rsidRPr="0035231A">
              <w:rPr>
                <w:rFonts w:ascii="Times New Roman" w:hAnsi="Times New Roman"/>
                <w:b/>
                <w:bCs/>
                <w:color w:val="000000"/>
              </w:rPr>
              <w:t>30 802,4</w:t>
            </w:r>
          </w:p>
        </w:tc>
        <w:tc>
          <w:tcPr>
            <w:tcW w:w="963" w:type="dxa"/>
            <w:tcBorders>
              <w:top w:val="nil"/>
              <w:left w:val="nil"/>
              <w:bottom w:val="single" w:sz="4" w:space="0" w:color="auto"/>
              <w:right w:val="single" w:sz="4" w:space="0" w:color="auto"/>
            </w:tcBorders>
            <w:shd w:val="clear" w:color="auto" w:fill="auto"/>
            <w:vAlign w:val="bottom"/>
            <w:hideMark/>
          </w:tcPr>
          <w:p w:rsidR="00DB7EBA" w:rsidRPr="0035231A" w:rsidRDefault="00DB7EBA" w:rsidP="00641CCA">
            <w:pPr>
              <w:spacing w:after="0" w:line="240" w:lineRule="auto"/>
              <w:jc w:val="center"/>
              <w:rPr>
                <w:rFonts w:ascii="Times New Roman" w:hAnsi="Times New Roman"/>
                <w:b/>
                <w:iCs/>
                <w:color w:val="000000"/>
              </w:rPr>
            </w:pPr>
            <w:r w:rsidRPr="0035231A">
              <w:rPr>
                <w:rFonts w:ascii="Times New Roman" w:hAnsi="Times New Roman"/>
                <w:b/>
                <w:iCs/>
                <w:color w:val="000000"/>
              </w:rPr>
              <w:t>95,9</w:t>
            </w:r>
          </w:p>
        </w:tc>
      </w:tr>
    </w:tbl>
    <w:p w:rsidR="00DB7EBA" w:rsidRDefault="00DB7EBA" w:rsidP="00DB7EBA">
      <w:pPr>
        <w:spacing w:after="0" w:line="240" w:lineRule="auto"/>
        <w:ind w:firstLine="709"/>
        <w:jc w:val="both"/>
        <w:rPr>
          <w:rFonts w:ascii="Times New Roman" w:hAnsi="Times New Roman"/>
          <w:spacing w:val="6"/>
          <w:sz w:val="28"/>
          <w:szCs w:val="28"/>
        </w:rPr>
      </w:pPr>
      <w:r>
        <w:rPr>
          <w:rFonts w:ascii="Times New Roman" w:hAnsi="Times New Roman"/>
          <w:spacing w:val="6"/>
          <w:sz w:val="28"/>
          <w:szCs w:val="28"/>
        </w:rPr>
        <w:lastRenderedPageBreak/>
        <w:t>На этом фоне в с</w:t>
      </w:r>
      <w:r w:rsidRPr="003C6403">
        <w:rPr>
          <w:rFonts w:ascii="Times New Roman" w:hAnsi="Times New Roman"/>
          <w:spacing w:val="6"/>
          <w:sz w:val="28"/>
          <w:szCs w:val="28"/>
        </w:rPr>
        <w:t>труктур</w:t>
      </w:r>
      <w:r>
        <w:rPr>
          <w:rFonts w:ascii="Times New Roman" w:hAnsi="Times New Roman"/>
          <w:spacing w:val="6"/>
          <w:sz w:val="28"/>
          <w:szCs w:val="28"/>
        </w:rPr>
        <w:t>е</w:t>
      </w:r>
      <w:r w:rsidRPr="003C6403">
        <w:rPr>
          <w:rFonts w:ascii="Times New Roman" w:hAnsi="Times New Roman"/>
          <w:spacing w:val="6"/>
          <w:sz w:val="28"/>
          <w:szCs w:val="28"/>
        </w:rPr>
        <w:t xml:space="preserve"> выбросов </w:t>
      </w:r>
      <w:r>
        <w:rPr>
          <w:rFonts w:ascii="Times New Roman" w:hAnsi="Times New Roman"/>
          <w:spacing w:val="6"/>
          <w:sz w:val="28"/>
          <w:szCs w:val="28"/>
        </w:rPr>
        <w:t>по</w:t>
      </w:r>
      <w:r w:rsidRPr="003C6403">
        <w:rPr>
          <w:rFonts w:ascii="Times New Roman" w:hAnsi="Times New Roman"/>
          <w:spacing w:val="6"/>
          <w:sz w:val="28"/>
          <w:szCs w:val="28"/>
        </w:rPr>
        <w:t xml:space="preserve"> источник</w:t>
      </w:r>
      <w:r>
        <w:rPr>
          <w:rFonts w:ascii="Times New Roman" w:hAnsi="Times New Roman"/>
          <w:spacing w:val="6"/>
          <w:sz w:val="28"/>
          <w:szCs w:val="28"/>
        </w:rPr>
        <w:t>ам</w:t>
      </w:r>
      <w:r w:rsidRPr="003C6403">
        <w:rPr>
          <w:rFonts w:ascii="Times New Roman" w:hAnsi="Times New Roman"/>
          <w:spacing w:val="6"/>
          <w:sz w:val="28"/>
          <w:szCs w:val="28"/>
        </w:rPr>
        <w:t xml:space="preserve"> загрязнения </w:t>
      </w:r>
      <w:r>
        <w:rPr>
          <w:rFonts w:ascii="Times New Roman" w:hAnsi="Times New Roman"/>
          <w:spacing w:val="6"/>
          <w:sz w:val="28"/>
          <w:szCs w:val="28"/>
        </w:rPr>
        <w:t xml:space="preserve">наблюдался сдвиг в сторону расширения удельного представления </w:t>
      </w:r>
      <w:r w:rsidRPr="00F91310">
        <w:rPr>
          <w:rFonts w:ascii="Times New Roman" w:hAnsi="Times New Roman"/>
          <w:spacing w:val="6"/>
          <w:sz w:val="28"/>
          <w:szCs w:val="28"/>
        </w:rPr>
        <w:t>выброс</w:t>
      </w:r>
      <w:r>
        <w:rPr>
          <w:rFonts w:ascii="Times New Roman" w:hAnsi="Times New Roman"/>
          <w:spacing w:val="6"/>
          <w:sz w:val="28"/>
          <w:szCs w:val="28"/>
        </w:rPr>
        <w:t>ов</w:t>
      </w:r>
      <w:r w:rsidRPr="00F91310">
        <w:rPr>
          <w:rFonts w:ascii="Times New Roman" w:hAnsi="Times New Roman"/>
          <w:spacing w:val="6"/>
          <w:sz w:val="28"/>
          <w:szCs w:val="28"/>
        </w:rPr>
        <w:t xml:space="preserve"> </w:t>
      </w:r>
      <w:r w:rsidRPr="00216DAB">
        <w:rPr>
          <w:rFonts w:ascii="Times New Roman" w:hAnsi="Times New Roman"/>
          <w:spacing w:val="6"/>
          <w:sz w:val="28"/>
          <w:szCs w:val="28"/>
        </w:rPr>
        <w:t>от стационарных источников</w:t>
      </w:r>
      <w:r>
        <w:rPr>
          <w:rFonts w:ascii="Times New Roman" w:hAnsi="Times New Roman"/>
          <w:spacing w:val="6"/>
          <w:sz w:val="28"/>
          <w:szCs w:val="28"/>
        </w:rPr>
        <w:t xml:space="preserve"> на 3,6 п.п. до 31,7%, соответственно на долю </w:t>
      </w:r>
      <w:r w:rsidRPr="00F91310">
        <w:rPr>
          <w:rFonts w:ascii="Times New Roman" w:hAnsi="Times New Roman"/>
          <w:spacing w:val="6"/>
          <w:sz w:val="28"/>
          <w:szCs w:val="28"/>
        </w:rPr>
        <w:t xml:space="preserve">выброшенных вредных веществ от </w:t>
      </w:r>
      <w:r>
        <w:rPr>
          <w:rFonts w:ascii="Times New Roman" w:hAnsi="Times New Roman"/>
          <w:spacing w:val="6"/>
          <w:sz w:val="28"/>
          <w:szCs w:val="28"/>
        </w:rPr>
        <w:t>передвижных</w:t>
      </w:r>
      <w:r w:rsidRPr="00F91310">
        <w:rPr>
          <w:rFonts w:ascii="Times New Roman" w:hAnsi="Times New Roman"/>
          <w:spacing w:val="6"/>
          <w:sz w:val="28"/>
          <w:szCs w:val="28"/>
        </w:rPr>
        <w:t xml:space="preserve"> источников</w:t>
      </w:r>
      <w:r>
        <w:rPr>
          <w:rFonts w:ascii="Times New Roman" w:hAnsi="Times New Roman"/>
          <w:spacing w:val="6"/>
          <w:sz w:val="28"/>
          <w:szCs w:val="28"/>
        </w:rPr>
        <w:t xml:space="preserve"> </w:t>
      </w:r>
      <w:r w:rsidRPr="00216DAB">
        <w:rPr>
          <w:rFonts w:ascii="Times New Roman" w:hAnsi="Times New Roman"/>
          <w:spacing w:val="6"/>
          <w:sz w:val="28"/>
          <w:szCs w:val="28"/>
        </w:rPr>
        <w:t>(автотранспорта)</w:t>
      </w:r>
      <w:r>
        <w:rPr>
          <w:rFonts w:ascii="Times New Roman" w:hAnsi="Times New Roman"/>
          <w:spacing w:val="6"/>
          <w:sz w:val="28"/>
          <w:szCs w:val="28"/>
        </w:rPr>
        <w:t xml:space="preserve"> пришлось 68,3% </w:t>
      </w:r>
      <w:r w:rsidRPr="00F91310">
        <w:rPr>
          <w:rFonts w:ascii="Times New Roman" w:hAnsi="Times New Roman"/>
          <w:spacing w:val="6"/>
          <w:sz w:val="28"/>
          <w:szCs w:val="28"/>
        </w:rPr>
        <w:t>(рис</w:t>
      </w:r>
      <w:r>
        <w:rPr>
          <w:rFonts w:ascii="Times New Roman" w:hAnsi="Times New Roman"/>
          <w:spacing w:val="6"/>
          <w:sz w:val="28"/>
          <w:szCs w:val="28"/>
        </w:rPr>
        <w:t>.</w:t>
      </w:r>
      <w:r w:rsidR="006A580E">
        <w:rPr>
          <w:rFonts w:ascii="Times New Roman" w:hAnsi="Times New Roman"/>
          <w:spacing w:val="6"/>
          <w:sz w:val="28"/>
          <w:szCs w:val="28"/>
        </w:rPr>
        <w:t xml:space="preserve"> 48</w:t>
      </w:r>
      <w:r w:rsidRPr="00F91310">
        <w:rPr>
          <w:rFonts w:ascii="Times New Roman" w:hAnsi="Times New Roman"/>
          <w:spacing w:val="6"/>
          <w:sz w:val="28"/>
          <w:szCs w:val="28"/>
        </w:rPr>
        <w:t>).</w:t>
      </w:r>
    </w:p>
    <w:p w:rsidR="00DB7EBA" w:rsidRPr="003879D6" w:rsidRDefault="00DB7EBA" w:rsidP="00DB7EBA">
      <w:pPr>
        <w:spacing w:after="100" w:line="240" w:lineRule="auto"/>
        <w:ind w:firstLine="720"/>
        <w:jc w:val="right"/>
        <w:rPr>
          <w:rFonts w:ascii="Times New Roman" w:hAnsi="Times New Roman"/>
          <w:b/>
          <w:i/>
          <w:spacing w:val="6"/>
          <w:sz w:val="28"/>
          <w:szCs w:val="28"/>
        </w:rPr>
      </w:pPr>
      <w:r w:rsidRPr="003879D6">
        <w:rPr>
          <w:rFonts w:ascii="Times New Roman" w:hAnsi="Times New Roman"/>
          <w:b/>
          <w:i/>
          <w:sz w:val="28"/>
          <w:szCs w:val="28"/>
        </w:rPr>
        <w:t xml:space="preserve">Рисунок </w:t>
      </w:r>
      <w:r w:rsidR="006A580E">
        <w:rPr>
          <w:rFonts w:ascii="Times New Roman" w:hAnsi="Times New Roman"/>
          <w:b/>
          <w:i/>
          <w:sz w:val="28"/>
          <w:szCs w:val="28"/>
        </w:rPr>
        <w:t>48</w:t>
      </w:r>
    </w:p>
    <w:p w:rsidR="00DB7EBA" w:rsidRPr="0080737A" w:rsidRDefault="00DB7EBA" w:rsidP="00DB7EBA">
      <w:pPr>
        <w:spacing w:after="0" w:line="240" w:lineRule="auto"/>
        <w:jc w:val="center"/>
        <w:rPr>
          <w:rFonts w:ascii="Times New Roman" w:hAnsi="Times New Roman"/>
          <w:b/>
          <w:sz w:val="24"/>
          <w:szCs w:val="24"/>
        </w:rPr>
      </w:pPr>
      <w:r w:rsidRPr="0080737A">
        <w:rPr>
          <w:rFonts w:ascii="Times New Roman" w:hAnsi="Times New Roman"/>
          <w:b/>
          <w:sz w:val="24"/>
          <w:szCs w:val="24"/>
        </w:rPr>
        <w:t xml:space="preserve">Структура выбросов вредных веществ </w:t>
      </w:r>
    </w:p>
    <w:p w:rsidR="00DB7EBA" w:rsidRPr="0080737A" w:rsidRDefault="00DB7EBA" w:rsidP="00DB7EBA">
      <w:pPr>
        <w:spacing w:after="0" w:line="240" w:lineRule="auto"/>
        <w:jc w:val="center"/>
        <w:rPr>
          <w:rFonts w:ascii="Times New Roman" w:hAnsi="Times New Roman"/>
          <w:b/>
          <w:sz w:val="24"/>
          <w:szCs w:val="24"/>
        </w:rPr>
      </w:pPr>
      <w:r w:rsidRPr="0080737A">
        <w:rPr>
          <w:rFonts w:ascii="Times New Roman" w:hAnsi="Times New Roman"/>
          <w:b/>
          <w:sz w:val="24"/>
          <w:szCs w:val="24"/>
        </w:rPr>
        <w:t>в атмосферный воздух (тыс. тонн; %)</w:t>
      </w:r>
    </w:p>
    <w:p w:rsidR="00DB7EBA" w:rsidRDefault="00DB7EBA" w:rsidP="00DB7EBA">
      <w:pPr>
        <w:spacing w:after="0" w:line="240" w:lineRule="auto"/>
        <w:jc w:val="both"/>
        <w:rPr>
          <w:rFonts w:ascii="Times New Roman" w:hAnsi="Times New Roman"/>
          <w:spacing w:val="6"/>
          <w:sz w:val="24"/>
          <w:szCs w:val="24"/>
        </w:rPr>
      </w:pPr>
      <w:r w:rsidRPr="00EB1C50">
        <w:rPr>
          <w:rFonts w:eastAsia="Calibri"/>
          <w:noProof/>
        </w:rPr>
        <w:drawing>
          <wp:inline distT="0" distB="0" distL="0" distR="0">
            <wp:extent cx="3467100" cy="1362075"/>
            <wp:effectExtent l="19050" t="0" r="0" b="0"/>
            <wp:docPr id="13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EB1C50">
        <w:rPr>
          <w:rFonts w:eastAsia="Calibri"/>
          <w:noProof/>
        </w:rPr>
        <w:drawing>
          <wp:inline distT="0" distB="0" distL="0" distR="0">
            <wp:extent cx="2295525" cy="1314450"/>
            <wp:effectExtent l="19050" t="0" r="0" b="0"/>
            <wp:docPr id="13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B7EBA" w:rsidRPr="0084469B" w:rsidRDefault="00DB7EBA" w:rsidP="00DB7EBA">
      <w:pPr>
        <w:spacing w:after="0" w:line="240" w:lineRule="auto"/>
        <w:ind w:firstLine="720"/>
        <w:jc w:val="both"/>
        <w:rPr>
          <w:rFonts w:ascii="Times New Roman" w:hAnsi="Times New Roman"/>
          <w:spacing w:val="6"/>
          <w:sz w:val="16"/>
          <w:szCs w:val="16"/>
        </w:rPr>
      </w:pPr>
    </w:p>
    <w:p w:rsidR="00DB7EBA" w:rsidRDefault="00DB7EBA" w:rsidP="00DB7EBA">
      <w:pPr>
        <w:spacing w:after="0" w:line="240" w:lineRule="auto"/>
        <w:ind w:firstLine="426"/>
        <w:jc w:val="both"/>
        <w:rPr>
          <w:rFonts w:ascii="Times New Roman" w:hAnsi="Times New Roman"/>
          <w:spacing w:val="6"/>
          <w:sz w:val="28"/>
          <w:szCs w:val="28"/>
        </w:rPr>
      </w:pPr>
      <w:r>
        <w:rPr>
          <w:rFonts w:ascii="Times New Roman" w:hAnsi="Times New Roman"/>
          <w:spacing w:val="6"/>
          <w:sz w:val="28"/>
          <w:szCs w:val="28"/>
        </w:rPr>
        <w:t>В 2018 году о</w:t>
      </w:r>
      <w:r w:rsidRPr="00D15433">
        <w:rPr>
          <w:rFonts w:ascii="Times New Roman" w:hAnsi="Times New Roman"/>
          <w:spacing w:val="6"/>
          <w:sz w:val="28"/>
          <w:szCs w:val="28"/>
        </w:rPr>
        <w:t xml:space="preserve">сновное влияние </w:t>
      </w:r>
      <w:r>
        <w:rPr>
          <w:rFonts w:ascii="Times New Roman" w:hAnsi="Times New Roman"/>
          <w:spacing w:val="6"/>
          <w:sz w:val="28"/>
          <w:szCs w:val="28"/>
        </w:rPr>
        <w:t xml:space="preserve">на загрязнение </w:t>
      </w:r>
      <w:r w:rsidRPr="00D15433">
        <w:rPr>
          <w:rFonts w:ascii="Times New Roman" w:hAnsi="Times New Roman"/>
          <w:spacing w:val="6"/>
          <w:sz w:val="28"/>
          <w:szCs w:val="28"/>
        </w:rPr>
        <w:t>атмосфер</w:t>
      </w:r>
      <w:r>
        <w:rPr>
          <w:rFonts w:ascii="Times New Roman" w:hAnsi="Times New Roman"/>
          <w:spacing w:val="6"/>
          <w:sz w:val="28"/>
          <w:szCs w:val="28"/>
        </w:rPr>
        <w:t>ного воздуха</w:t>
      </w:r>
      <w:r w:rsidRPr="00D15433">
        <w:rPr>
          <w:rFonts w:ascii="Times New Roman" w:hAnsi="Times New Roman"/>
          <w:spacing w:val="6"/>
          <w:sz w:val="28"/>
          <w:szCs w:val="28"/>
        </w:rPr>
        <w:t xml:space="preserve"> республики</w:t>
      </w:r>
      <w:r>
        <w:rPr>
          <w:rFonts w:ascii="Times New Roman" w:hAnsi="Times New Roman"/>
          <w:spacing w:val="6"/>
          <w:sz w:val="28"/>
          <w:szCs w:val="28"/>
        </w:rPr>
        <w:t xml:space="preserve"> </w:t>
      </w:r>
      <w:r w:rsidRPr="00D15433">
        <w:rPr>
          <w:rFonts w:ascii="Times New Roman" w:hAnsi="Times New Roman"/>
          <w:spacing w:val="6"/>
          <w:sz w:val="28"/>
          <w:szCs w:val="28"/>
        </w:rPr>
        <w:t>оказыва</w:t>
      </w:r>
      <w:r>
        <w:rPr>
          <w:rFonts w:ascii="Times New Roman" w:hAnsi="Times New Roman"/>
          <w:spacing w:val="6"/>
          <w:sz w:val="28"/>
          <w:szCs w:val="28"/>
        </w:rPr>
        <w:t>ли</w:t>
      </w:r>
      <w:r w:rsidRPr="00D15433">
        <w:rPr>
          <w:rFonts w:ascii="Times New Roman" w:hAnsi="Times New Roman"/>
          <w:spacing w:val="6"/>
          <w:sz w:val="28"/>
          <w:szCs w:val="28"/>
        </w:rPr>
        <w:t xml:space="preserve"> выбросы </w:t>
      </w:r>
      <w:r w:rsidRPr="00D15433">
        <w:rPr>
          <w:rFonts w:ascii="Times New Roman" w:hAnsi="Times New Roman"/>
          <w:i/>
          <w:spacing w:val="6"/>
          <w:sz w:val="28"/>
          <w:szCs w:val="28"/>
        </w:rPr>
        <w:t xml:space="preserve">от передвижных источников (автотранспорта), </w:t>
      </w:r>
      <w:r w:rsidRPr="00D15433">
        <w:rPr>
          <w:rFonts w:ascii="Times New Roman" w:hAnsi="Times New Roman"/>
          <w:spacing w:val="6"/>
          <w:sz w:val="28"/>
          <w:szCs w:val="28"/>
        </w:rPr>
        <w:t xml:space="preserve">объем которых </w:t>
      </w:r>
      <w:r>
        <w:rPr>
          <w:rFonts w:ascii="Times New Roman" w:hAnsi="Times New Roman"/>
          <w:spacing w:val="6"/>
          <w:sz w:val="28"/>
          <w:szCs w:val="28"/>
        </w:rPr>
        <w:t xml:space="preserve">сократился к </w:t>
      </w:r>
      <w:r w:rsidRPr="00D15433">
        <w:rPr>
          <w:rFonts w:ascii="Times New Roman" w:hAnsi="Times New Roman"/>
          <w:spacing w:val="6"/>
          <w:sz w:val="28"/>
          <w:szCs w:val="28"/>
        </w:rPr>
        <w:t>уров</w:t>
      </w:r>
      <w:r>
        <w:rPr>
          <w:rFonts w:ascii="Times New Roman" w:hAnsi="Times New Roman"/>
          <w:spacing w:val="6"/>
          <w:sz w:val="28"/>
          <w:szCs w:val="28"/>
        </w:rPr>
        <w:t>ню</w:t>
      </w:r>
      <w:r w:rsidRPr="00D15433">
        <w:rPr>
          <w:rFonts w:ascii="Times New Roman" w:hAnsi="Times New Roman"/>
          <w:i/>
          <w:spacing w:val="6"/>
          <w:sz w:val="28"/>
          <w:szCs w:val="28"/>
        </w:rPr>
        <w:t xml:space="preserve"> </w:t>
      </w:r>
      <w:r w:rsidRPr="00D15433">
        <w:rPr>
          <w:rFonts w:ascii="Times New Roman" w:hAnsi="Times New Roman"/>
          <w:spacing w:val="6"/>
          <w:sz w:val="28"/>
          <w:szCs w:val="28"/>
        </w:rPr>
        <w:t xml:space="preserve">2017 года на </w:t>
      </w:r>
      <w:r>
        <w:rPr>
          <w:rFonts w:ascii="Times New Roman" w:hAnsi="Times New Roman"/>
          <w:spacing w:val="6"/>
          <w:sz w:val="28"/>
          <w:szCs w:val="28"/>
        </w:rPr>
        <w:t>4,1</w:t>
      </w:r>
      <w:r w:rsidRPr="00D15433">
        <w:rPr>
          <w:rFonts w:ascii="Times New Roman" w:hAnsi="Times New Roman"/>
          <w:spacing w:val="6"/>
          <w:sz w:val="28"/>
          <w:szCs w:val="28"/>
        </w:rPr>
        <w:t xml:space="preserve">%, составив </w:t>
      </w:r>
      <w:r>
        <w:rPr>
          <w:rFonts w:ascii="Times New Roman" w:hAnsi="Times New Roman"/>
          <w:spacing w:val="6"/>
          <w:sz w:val="28"/>
          <w:szCs w:val="28"/>
        </w:rPr>
        <w:t>30 802,4 </w:t>
      </w:r>
      <w:r w:rsidRPr="00D15433">
        <w:rPr>
          <w:rFonts w:ascii="Times New Roman" w:hAnsi="Times New Roman"/>
          <w:spacing w:val="6"/>
          <w:sz w:val="28"/>
          <w:szCs w:val="28"/>
        </w:rPr>
        <w:t xml:space="preserve">тонн. </w:t>
      </w:r>
      <w:r>
        <w:rPr>
          <w:rFonts w:ascii="Times New Roman" w:hAnsi="Times New Roman"/>
          <w:spacing w:val="6"/>
          <w:sz w:val="28"/>
          <w:szCs w:val="28"/>
        </w:rPr>
        <w:t xml:space="preserve">Формированию понижательной динамики послужило сокращение объемов выбросов по </w:t>
      </w:r>
      <w:r w:rsidRPr="00D15433">
        <w:rPr>
          <w:rFonts w:ascii="Times New Roman" w:hAnsi="Times New Roman"/>
          <w:spacing w:val="6"/>
          <w:sz w:val="28"/>
          <w:szCs w:val="28"/>
        </w:rPr>
        <w:t>г. Тирасполь</w:t>
      </w:r>
      <w:r>
        <w:rPr>
          <w:rFonts w:ascii="Times New Roman" w:hAnsi="Times New Roman"/>
          <w:spacing w:val="6"/>
          <w:sz w:val="28"/>
          <w:szCs w:val="28"/>
        </w:rPr>
        <w:t xml:space="preserve"> (-22,7% к уровню 2017 года) и г. Бендеры (-2,3%). По г. </w:t>
      </w:r>
      <w:r w:rsidRPr="006966CF">
        <w:rPr>
          <w:rFonts w:ascii="Times New Roman" w:hAnsi="Times New Roman"/>
          <w:spacing w:val="6"/>
          <w:sz w:val="28"/>
          <w:szCs w:val="28"/>
        </w:rPr>
        <w:t>Рыбница и Рыбницк</w:t>
      </w:r>
      <w:r>
        <w:rPr>
          <w:rFonts w:ascii="Times New Roman" w:hAnsi="Times New Roman"/>
          <w:spacing w:val="6"/>
          <w:sz w:val="28"/>
          <w:szCs w:val="28"/>
        </w:rPr>
        <w:t>ому</w:t>
      </w:r>
      <w:r w:rsidRPr="006966CF">
        <w:rPr>
          <w:rFonts w:ascii="Times New Roman" w:hAnsi="Times New Roman"/>
          <w:spacing w:val="6"/>
          <w:sz w:val="28"/>
          <w:szCs w:val="28"/>
        </w:rPr>
        <w:t xml:space="preserve"> р</w:t>
      </w:r>
      <w:r>
        <w:rPr>
          <w:rFonts w:ascii="Times New Roman" w:hAnsi="Times New Roman"/>
          <w:spacing w:val="6"/>
          <w:sz w:val="28"/>
          <w:szCs w:val="28"/>
        </w:rPr>
        <w:t>айону объем выбросов сохранился на уровне минувшего года, по</w:t>
      </w:r>
      <w:r w:rsidRPr="006966CF">
        <w:rPr>
          <w:rFonts w:ascii="Times New Roman" w:hAnsi="Times New Roman"/>
          <w:spacing w:val="6"/>
          <w:sz w:val="28"/>
          <w:szCs w:val="28"/>
        </w:rPr>
        <w:t xml:space="preserve"> </w:t>
      </w:r>
      <w:r>
        <w:rPr>
          <w:rFonts w:ascii="Times New Roman" w:hAnsi="Times New Roman"/>
          <w:spacing w:val="6"/>
          <w:sz w:val="28"/>
          <w:szCs w:val="28"/>
        </w:rPr>
        <w:t xml:space="preserve">остальным городам и </w:t>
      </w:r>
      <w:r w:rsidRPr="00D15433">
        <w:rPr>
          <w:rFonts w:ascii="Times New Roman" w:hAnsi="Times New Roman"/>
          <w:spacing w:val="6"/>
          <w:sz w:val="28"/>
          <w:szCs w:val="28"/>
        </w:rPr>
        <w:t xml:space="preserve">районам </w:t>
      </w:r>
      <w:r>
        <w:rPr>
          <w:rFonts w:ascii="Times New Roman" w:hAnsi="Times New Roman"/>
          <w:spacing w:val="6"/>
          <w:sz w:val="28"/>
          <w:szCs w:val="28"/>
        </w:rPr>
        <w:t>зафиксирован их прирост в пределах 4,9-20,2%%.</w:t>
      </w:r>
    </w:p>
    <w:p w:rsidR="00DB7EBA" w:rsidRPr="00DC5669" w:rsidRDefault="00DB7EBA" w:rsidP="00DB7EBA">
      <w:pPr>
        <w:spacing w:after="0" w:line="240" w:lineRule="auto"/>
        <w:ind w:firstLine="426"/>
        <w:jc w:val="both"/>
        <w:rPr>
          <w:rFonts w:ascii="Times New Roman" w:hAnsi="Times New Roman"/>
          <w:spacing w:val="6"/>
          <w:sz w:val="28"/>
          <w:szCs w:val="28"/>
        </w:rPr>
      </w:pPr>
      <w:r>
        <w:rPr>
          <w:rFonts w:ascii="Times New Roman" w:hAnsi="Times New Roman"/>
          <w:spacing w:val="6"/>
          <w:sz w:val="28"/>
          <w:szCs w:val="28"/>
        </w:rPr>
        <w:t xml:space="preserve">По итогам в 2018 года </w:t>
      </w:r>
      <w:r w:rsidRPr="00DC5669">
        <w:rPr>
          <w:rFonts w:ascii="Times New Roman" w:hAnsi="Times New Roman"/>
          <w:spacing w:val="6"/>
          <w:sz w:val="28"/>
          <w:szCs w:val="28"/>
        </w:rPr>
        <w:t xml:space="preserve">объем выброшенных в атмосферу вредных веществ </w:t>
      </w:r>
      <w:r w:rsidRPr="00DC5669">
        <w:rPr>
          <w:rFonts w:ascii="Times New Roman" w:hAnsi="Times New Roman"/>
          <w:i/>
          <w:spacing w:val="6"/>
          <w:sz w:val="28"/>
          <w:szCs w:val="28"/>
        </w:rPr>
        <w:t xml:space="preserve">от стационарных источников </w:t>
      </w:r>
      <w:r w:rsidRPr="00780F78">
        <w:rPr>
          <w:rFonts w:ascii="Times New Roman" w:hAnsi="Times New Roman"/>
          <w:spacing w:val="6"/>
          <w:sz w:val="28"/>
          <w:szCs w:val="28"/>
        </w:rPr>
        <w:t>превысил</w:t>
      </w:r>
      <w:r>
        <w:rPr>
          <w:rFonts w:ascii="Times New Roman" w:hAnsi="Times New Roman"/>
          <w:i/>
          <w:spacing w:val="6"/>
          <w:sz w:val="28"/>
          <w:szCs w:val="28"/>
        </w:rPr>
        <w:t xml:space="preserve"> </w:t>
      </w:r>
      <w:r>
        <w:rPr>
          <w:rFonts w:ascii="Times New Roman" w:hAnsi="Times New Roman"/>
          <w:spacing w:val="6"/>
          <w:sz w:val="28"/>
          <w:szCs w:val="28"/>
        </w:rPr>
        <w:t xml:space="preserve">уровень 2017 года </w:t>
      </w:r>
      <w:r w:rsidRPr="00DC5669">
        <w:rPr>
          <w:rFonts w:ascii="Times New Roman" w:hAnsi="Times New Roman"/>
          <w:spacing w:val="6"/>
          <w:sz w:val="28"/>
          <w:szCs w:val="28"/>
        </w:rPr>
        <w:t xml:space="preserve">на </w:t>
      </w:r>
      <w:r>
        <w:rPr>
          <w:rFonts w:ascii="Times New Roman" w:hAnsi="Times New Roman"/>
          <w:spacing w:val="6"/>
          <w:sz w:val="28"/>
          <w:szCs w:val="28"/>
        </w:rPr>
        <w:t>13,9</w:t>
      </w:r>
      <w:r w:rsidRPr="00DC5669">
        <w:rPr>
          <w:rFonts w:ascii="Times New Roman" w:hAnsi="Times New Roman"/>
          <w:spacing w:val="6"/>
          <w:sz w:val="28"/>
          <w:szCs w:val="28"/>
        </w:rPr>
        <w:t xml:space="preserve">%, составив </w:t>
      </w:r>
      <w:r>
        <w:rPr>
          <w:rFonts w:ascii="Times New Roman" w:hAnsi="Times New Roman"/>
          <w:spacing w:val="6"/>
          <w:sz w:val="28"/>
          <w:szCs w:val="28"/>
        </w:rPr>
        <w:t>14 299,9</w:t>
      </w:r>
      <w:r w:rsidRPr="00DC5669">
        <w:rPr>
          <w:rFonts w:ascii="Times New Roman" w:hAnsi="Times New Roman"/>
          <w:spacing w:val="6"/>
          <w:sz w:val="28"/>
          <w:szCs w:val="28"/>
        </w:rPr>
        <w:t xml:space="preserve"> тонн, что обусловлено </w:t>
      </w:r>
      <w:r>
        <w:rPr>
          <w:rFonts w:ascii="Times New Roman" w:hAnsi="Times New Roman"/>
          <w:spacing w:val="6"/>
          <w:sz w:val="28"/>
          <w:szCs w:val="28"/>
        </w:rPr>
        <w:t xml:space="preserve">ритмичной деятельностью </w:t>
      </w:r>
      <w:r w:rsidRPr="00DC5669">
        <w:rPr>
          <w:rFonts w:ascii="Times New Roman" w:hAnsi="Times New Roman"/>
          <w:spacing w:val="6"/>
          <w:sz w:val="28"/>
          <w:szCs w:val="28"/>
        </w:rPr>
        <w:t xml:space="preserve">ОАО «Молдавский металлургический завод», ЗАО «Рыбницкий цементный комбинат», а также увеличением выработки электроэнергии на ЗАО «Молдавская ГРЭС». </w:t>
      </w:r>
    </w:p>
    <w:p w:rsidR="00DB7EBA" w:rsidRDefault="00DB7EBA" w:rsidP="00DB7EBA">
      <w:pPr>
        <w:spacing w:after="0" w:line="240" w:lineRule="auto"/>
        <w:ind w:firstLine="426"/>
        <w:jc w:val="both"/>
        <w:rPr>
          <w:rFonts w:ascii="Times New Roman" w:hAnsi="Times New Roman"/>
          <w:spacing w:val="6"/>
          <w:sz w:val="28"/>
          <w:szCs w:val="28"/>
        </w:rPr>
      </w:pPr>
    </w:p>
    <w:p w:rsidR="00DB7EBA" w:rsidRPr="003879D6" w:rsidRDefault="00DB7EBA" w:rsidP="00DB7EBA">
      <w:pPr>
        <w:spacing w:after="0" w:line="240" w:lineRule="auto"/>
        <w:ind w:firstLine="426"/>
        <w:jc w:val="both"/>
        <w:rPr>
          <w:rFonts w:ascii="Times New Roman" w:hAnsi="Times New Roman"/>
          <w:sz w:val="28"/>
          <w:szCs w:val="28"/>
        </w:rPr>
      </w:pPr>
      <w:r>
        <w:rPr>
          <w:rFonts w:ascii="Times New Roman" w:hAnsi="Times New Roman"/>
          <w:sz w:val="28"/>
          <w:szCs w:val="28"/>
        </w:rPr>
        <w:t>В рамках</w:t>
      </w:r>
      <w:r w:rsidRPr="003879D6">
        <w:rPr>
          <w:rFonts w:ascii="Times New Roman" w:hAnsi="Times New Roman"/>
          <w:sz w:val="28"/>
          <w:szCs w:val="28"/>
        </w:rPr>
        <w:t xml:space="preserve"> реализации государственной политики в </w:t>
      </w:r>
      <w:r w:rsidRPr="003879D6">
        <w:rPr>
          <w:rFonts w:ascii="Times New Roman" w:hAnsi="Times New Roman"/>
          <w:b/>
          <w:sz w:val="28"/>
          <w:szCs w:val="28"/>
        </w:rPr>
        <w:t xml:space="preserve">области охраны, рационального использования, восстановления и охраны водных и рыбных ресурсов республики </w:t>
      </w:r>
      <w:r w:rsidRPr="00660694">
        <w:rPr>
          <w:rFonts w:ascii="Times New Roman" w:hAnsi="Times New Roman"/>
          <w:sz w:val="28"/>
          <w:szCs w:val="28"/>
        </w:rPr>
        <w:t>в</w:t>
      </w:r>
      <w:r w:rsidRPr="003879D6">
        <w:rPr>
          <w:rFonts w:ascii="Times New Roman" w:hAnsi="Times New Roman"/>
          <w:sz w:val="28"/>
          <w:szCs w:val="28"/>
        </w:rPr>
        <w:t xml:space="preserve"> 201</w:t>
      </w:r>
      <w:r>
        <w:rPr>
          <w:rFonts w:ascii="Times New Roman" w:hAnsi="Times New Roman"/>
          <w:sz w:val="28"/>
          <w:szCs w:val="28"/>
        </w:rPr>
        <w:t>8</w:t>
      </w:r>
      <w:r w:rsidRPr="003879D6">
        <w:rPr>
          <w:rFonts w:ascii="Times New Roman" w:hAnsi="Times New Roman"/>
          <w:sz w:val="28"/>
          <w:szCs w:val="28"/>
        </w:rPr>
        <w:t> году проводилась работа по:</w:t>
      </w:r>
    </w:p>
    <w:p w:rsidR="00DB7EBA" w:rsidRPr="003879D6" w:rsidRDefault="00DB7EBA" w:rsidP="00DB7EBA">
      <w:pPr>
        <w:pStyle w:val="a6"/>
        <w:numPr>
          <w:ilvl w:val="0"/>
          <w:numId w:val="11"/>
        </w:numPr>
        <w:tabs>
          <w:tab w:val="left" w:pos="284"/>
          <w:tab w:val="left" w:pos="993"/>
        </w:tabs>
        <w:spacing w:after="0" w:line="240" w:lineRule="auto"/>
        <w:ind w:left="0" w:firstLine="426"/>
        <w:jc w:val="both"/>
        <w:rPr>
          <w:rFonts w:ascii="Times New Roman" w:hAnsi="Times New Roman"/>
          <w:sz w:val="28"/>
          <w:szCs w:val="28"/>
        </w:rPr>
      </w:pPr>
      <w:r w:rsidRPr="003879D6">
        <w:rPr>
          <w:rFonts w:ascii="Times New Roman" w:hAnsi="Times New Roman"/>
          <w:sz w:val="28"/>
          <w:szCs w:val="28"/>
        </w:rPr>
        <w:t>установлению 2</w:t>
      </w:r>
      <w:r>
        <w:rPr>
          <w:rFonts w:ascii="Times New Roman" w:hAnsi="Times New Roman"/>
          <w:sz w:val="28"/>
          <w:szCs w:val="28"/>
        </w:rPr>
        <w:t>9</w:t>
      </w:r>
      <w:r w:rsidRPr="003879D6">
        <w:rPr>
          <w:rFonts w:ascii="Times New Roman" w:hAnsi="Times New Roman"/>
          <w:sz w:val="28"/>
          <w:szCs w:val="28"/>
        </w:rPr>
        <w:t xml:space="preserve">8 лимитов водопользования, а также выдаче разрешений на специальное водопользование по </w:t>
      </w:r>
      <w:r>
        <w:rPr>
          <w:rFonts w:ascii="Times New Roman" w:hAnsi="Times New Roman"/>
          <w:sz w:val="28"/>
          <w:szCs w:val="28"/>
        </w:rPr>
        <w:t>8</w:t>
      </w:r>
      <w:r w:rsidRPr="003879D6">
        <w:rPr>
          <w:rFonts w:ascii="Times New Roman" w:hAnsi="Times New Roman"/>
          <w:sz w:val="28"/>
          <w:szCs w:val="28"/>
        </w:rPr>
        <w:t>2 объектам</w:t>
      </w:r>
      <w:r w:rsidR="00660694">
        <w:rPr>
          <w:rFonts w:ascii="Times New Roman" w:hAnsi="Times New Roman"/>
          <w:sz w:val="28"/>
          <w:szCs w:val="28"/>
        </w:rPr>
        <w:t xml:space="preserve">, тогда как </w:t>
      </w:r>
      <w:r w:rsidRPr="003879D6">
        <w:rPr>
          <w:rFonts w:ascii="Times New Roman" w:hAnsi="Times New Roman"/>
          <w:sz w:val="28"/>
          <w:szCs w:val="28"/>
        </w:rPr>
        <w:t>в 201</w:t>
      </w:r>
      <w:r>
        <w:rPr>
          <w:rFonts w:ascii="Times New Roman" w:hAnsi="Times New Roman"/>
          <w:sz w:val="28"/>
          <w:szCs w:val="28"/>
        </w:rPr>
        <w:t>7</w:t>
      </w:r>
      <w:r w:rsidR="00660694">
        <w:rPr>
          <w:rFonts w:ascii="Times New Roman" w:hAnsi="Times New Roman"/>
          <w:sz w:val="28"/>
          <w:szCs w:val="28"/>
        </w:rPr>
        <w:t> </w:t>
      </w:r>
      <w:r w:rsidRPr="003879D6">
        <w:rPr>
          <w:rFonts w:ascii="Times New Roman" w:hAnsi="Times New Roman"/>
          <w:sz w:val="28"/>
          <w:szCs w:val="28"/>
        </w:rPr>
        <w:t xml:space="preserve">году </w:t>
      </w:r>
      <w:r w:rsidR="00660694">
        <w:rPr>
          <w:rFonts w:ascii="Times New Roman" w:hAnsi="Times New Roman"/>
          <w:sz w:val="28"/>
          <w:szCs w:val="28"/>
        </w:rPr>
        <w:t xml:space="preserve">их количество составляло </w:t>
      </w:r>
      <w:r>
        <w:rPr>
          <w:rFonts w:ascii="Times New Roman" w:hAnsi="Times New Roman"/>
          <w:sz w:val="28"/>
          <w:szCs w:val="28"/>
        </w:rPr>
        <w:t>278</w:t>
      </w:r>
      <w:r w:rsidRPr="003879D6">
        <w:rPr>
          <w:rFonts w:ascii="Times New Roman" w:hAnsi="Times New Roman"/>
          <w:sz w:val="28"/>
          <w:szCs w:val="28"/>
        </w:rPr>
        <w:t xml:space="preserve"> и </w:t>
      </w:r>
      <w:r>
        <w:rPr>
          <w:rFonts w:ascii="Times New Roman" w:hAnsi="Times New Roman"/>
          <w:sz w:val="28"/>
          <w:szCs w:val="28"/>
        </w:rPr>
        <w:t>72</w:t>
      </w:r>
      <w:r w:rsidRPr="003879D6">
        <w:rPr>
          <w:rFonts w:ascii="Times New Roman" w:hAnsi="Times New Roman"/>
          <w:sz w:val="28"/>
          <w:szCs w:val="28"/>
        </w:rPr>
        <w:t xml:space="preserve"> единиц</w:t>
      </w:r>
      <w:r>
        <w:rPr>
          <w:rFonts w:ascii="Times New Roman" w:hAnsi="Times New Roman"/>
          <w:sz w:val="28"/>
          <w:szCs w:val="28"/>
        </w:rPr>
        <w:t>ы</w:t>
      </w:r>
      <w:r w:rsidRPr="003879D6">
        <w:rPr>
          <w:rFonts w:ascii="Times New Roman" w:hAnsi="Times New Roman"/>
          <w:sz w:val="28"/>
          <w:szCs w:val="28"/>
        </w:rPr>
        <w:t xml:space="preserve"> соответственно;</w:t>
      </w:r>
    </w:p>
    <w:p w:rsidR="00DB7EBA" w:rsidRPr="003879D6" w:rsidRDefault="00DB7EBA" w:rsidP="00DB7EBA">
      <w:pPr>
        <w:pStyle w:val="a6"/>
        <w:numPr>
          <w:ilvl w:val="0"/>
          <w:numId w:val="11"/>
        </w:numPr>
        <w:tabs>
          <w:tab w:val="left" w:pos="0"/>
          <w:tab w:val="left" w:pos="284"/>
          <w:tab w:val="left" w:pos="993"/>
        </w:tabs>
        <w:spacing w:after="0" w:line="240" w:lineRule="auto"/>
        <w:ind w:left="0" w:firstLine="426"/>
        <w:jc w:val="both"/>
        <w:rPr>
          <w:rFonts w:ascii="Times New Roman" w:hAnsi="Times New Roman"/>
          <w:sz w:val="28"/>
          <w:szCs w:val="28"/>
        </w:rPr>
      </w:pPr>
      <w:r w:rsidRPr="003879D6">
        <w:rPr>
          <w:rFonts w:ascii="Times New Roman" w:hAnsi="Times New Roman"/>
          <w:sz w:val="28"/>
          <w:szCs w:val="28"/>
        </w:rPr>
        <w:t xml:space="preserve">проведению государственной экспертизы предпроектной и проектной документации на строительство и реконструкцию хозяйственных и других объектов, влияющих на состояние водных объектов по </w:t>
      </w:r>
      <w:r>
        <w:rPr>
          <w:rFonts w:ascii="Times New Roman" w:hAnsi="Times New Roman"/>
          <w:sz w:val="28"/>
          <w:szCs w:val="28"/>
        </w:rPr>
        <w:t>12</w:t>
      </w:r>
      <w:r w:rsidRPr="003879D6">
        <w:rPr>
          <w:rFonts w:ascii="Times New Roman" w:hAnsi="Times New Roman"/>
          <w:sz w:val="28"/>
          <w:szCs w:val="28"/>
        </w:rPr>
        <w:t xml:space="preserve"> объектам</w:t>
      </w:r>
      <w:r w:rsidR="009313FC">
        <w:rPr>
          <w:rFonts w:ascii="Times New Roman" w:hAnsi="Times New Roman"/>
          <w:sz w:val="28"/>
          <w:szCs w:val="28"/>
        </w:rPr>
        <w:t xml:space="preserve">, против </w:t>
      </w:r>
      <w:r>
        <w:rPr>
          <w:rFonts w:ascii="Times New Roman" w:hAnsi="Times New Roman"/>
          <w:sz w:val="28"/>
          <w:szCs w:val="28"/>
        </w:rPr>
        <w:t>32</w:t>
      </w:r>
      <w:r w:rsidRPr="003879D6">
        <w:rPr>
          <w:rFonts w:ascii="Times New Roman" w:hAnsi="Times New Roman"/>
          <w:sz w:val="28"/>
          <w:szCs w:val="28"/>
        </w:rPr>
        <w:t xml:space="preserve"> объект</w:t>
      </w:r>
      <w:r w:rsidR="009313FC">
        <w:rPr>
          <w:rFonts w:ascii="Times New Roman" w:hAnsi="Times New Roman"/>
          <w:sz w:val="28"/>
          <w:szCs w:val="28"/>
        </w:rPr>
        <w:t>ов</w:t>
      </w:r>
      <w:r w:rsidR="009313FC" w:rsidRPr="009313FC">
        <w:rPr>
          <w:rFonts w:ascii="Times New Roman" w:hAnsi="Times New Roman"/>
          <w:sz w:val="28"/>
          <w:szCs w:val="28"/>
        </w:rPr>
        <w:t xml:space="preserve"> </w:t>
      </w:r>
      <w:r w:rsidR="009313FC" w:rsidRPr="003879D6">
        <w:rPr>
          <w:rFonts w:ascii="Times New Roman" w:hAnsi="Times New Roman"/>
          <w:sz w:val="28"/>
          <w:szCs w:val="28"/>
        </w:rPr>
        <w:t>в 201</w:t>
      </w:r>
      <w:r w:rsidR="009313FC">
        <w:rPr>
          <w:rFonts w:ascii="Times New Roman" w:hAnsi="Times New Roman"/>
          <w:sz w:val="28"/>
          <w:szCs w:val="28"/>
        </w:rPr>
        <w:t>7</w:t>
      </w:r>
      <w:r w:rsidR="009313FC" w:rsidRPr="003879D6">
        <w:rPr>
          <w:rFonts w:ascii="Times New Roman" w:hAnsi="Times New Roman"/>
          <w:sz w:val="28"/>
          <w:szCs w:val="28"/>
        </w:rPr>
        <w:t xml:space="preserve"> году</w:t>
      </w:r>
      <w:r w:rsidRPr="003879D6">
        <w:rPr>
          <w:rFonts w:ascii="Times New Roman" w:hAnsi="Times New Roman"/>
          <w:sz w:val="28"/>
          <w:szCs w:val="28"/>
        </w:rPr>
        <w:t>;</w:t>
      </w:r>
    </w:p>
    <w:p w:rsidR="00DB7EBA" w:rsidRPr="003879D6" w:rsidRDefault="00DB7EBA" w:rsidP="00DB7EBA">
      <w:pPr>
        <w:pStyle w:val="a6"/>
        <w:numPr>
          <w:ilvl w:val="0"/>
          <w:numId w:val="11"/>
        </w:numPr>
        <w:tabs>
          <w:tab w:val="left" w:pos="993"/>
        </w:tabs>
        <w:spacing w:after="0" w:line="240" w:lineRule="auto"/>
        <w:ind w:left="0" w:firstLine="426"/>
        <w:jc w:val="both"/>
        <w:rPr>
          <w:rFonts w:ascii="Times New Roman" w:hAnsi="Times New Roman"/>
          <w:sz w:val="28"/>
          <w:szCs w:val="28"/>
        </w:rPr>
      </w:pPr>
      <w:r w:rsidRPr="003879D6">
        <w:rPr>
          <w:rFonts w:ascii="Times New Roman" w:hAnsi="Times New Roman"/>
          <w:sz w:val="28"/>
          <w:szCs w:val="28"/>
        </w:rPr>
        <w:t xml:space="preserve">опломбированию первичных приборов учета забираемой воды водопользователей на </w:t>
      </w:r>
      <w:r>
        <w:rPr>
          <w:rFonts w:ascii="Times New Roman" w:hAnsi="Times New Roman"/>
          <w:sz w:val="28"/>
          <w:szCs w:val="28"/>
        </w:rPr>
        <w:t>47</w:t>
      </w:r>
      <w:r w:rsidRPr="003879D6">
        <w:rPr>
          <w:rFonts w:ascii="Times New Roman" w:hAnsi="Times New Roman"/>
          <w:sz w:val="28"/>
          <w:szCs w:val="28"/>
        </w:rPr>
        <w:t xml:space="preserve"> объектах</w:t>
      </w:r>
      <w:r w:rsidR="009003DA">
        <w:rPr>
          <w:rFonts w:ascii="Times New Roman" w:hAnsi="Times New Roman"/>
          <w:sz w:val="28"/>
          <w:szCs w:val="28"/>
        </w:rPr>
        <w:t>, против 134</w:t>
      </w:r>
      <w:r w:rsidR="009003DA" w:rsidRPr="003879D6">
        <w:rPr>
          <w:rFonts w:ascii="Times New Roman" w:hAnsi="Times New Roman"/>
          <w:sz w:val="28"/>
          <w:szCs w:val="28"/>
        </w:rPr>
        <w:t xml:space="preserve"> объект</w:t>
      </w:r>
      <w:r w:rsidR="009003DA">
        <w:rPr>
          <w:rFonts w:ascii="Times New Roman" w:hAnsi="Times New Roman"/>
          <w:sz w:val="28"/>
          <w:szCs w:val="28"/>
        </w:rPr>
        <w:t>ов</w:t>
      </w:r>
      <w:r w:rsidR="009003DA" w:rsidRPr="003879D6">
        <w:rPr>
          <w:rFonts w:ascii="Times New Roman" w:hAnsi="Times New Roman"/>
          <w:sz w:val="28"/>
          <w:szCs w:val="28"/>
        </w:rPr>
        <w:t xml:space="preserve"> </w:t>
      </w:r>
      <w:r w:rsidRPr="003879D6">
        <w:rPr>
          <w:rFonts w:ascii="Times New Roman" w:hAnsi="Times New Roman"/>
          <w:sz w:val="28"/>
          <w:szCs w:val="28"/>
        </w:rPr>
        <w:t>в 201</w:t>
      </w:r>
      <w:r>
        <w:rPr>
          <w:rFonts w:ascii="Times New Roman" w:hAnsi="Times New Roman"/>
          <w:sz w:val="28"/>
          <w:szCs w:val="28"/>
        </w:rPr>
        <w:t>7</w:t>
      </w:r>
      <w:r w:rsidRPr="003879D6">
        <w:rPr>
          <w:rFonts w:ascii="Times New Roman" w:hAnsi="Times New Roman"/>
          <w:sz w:val="28"/>
          <w:szCs w:val="28"/>
        </w:rPr>
        <w:t xml:space="preserve"> году;</w:t>
      </w:r>
    </w:p>
    <w:p w:rsidR="00DB7EBA" w:rsidRPr="003879D6" w:rsidRDefault="00DB7EBA" w:rsidP="00DB7EBA">
      <w:pPr>
        <w:pStyle w:val="a6"/>
        <w:numPr>
          <w:ilvl w:val="0"/>
          <w:numId w:val="11"/>
        </w:numPr>
        <w:tabs>
          <w:tab w:val="left" w:pos="993"/>
        </w:tabs>
        <w:spacing w:after="0" w:line="240" w:lineRule="auto"/>
        <w:ind w:left="0" w:firstLine="426"/>
        <w:jc w:val="both"/>
        <w:rPr>
          <w:rFonts w:ascii="Times New Roman" w:hAnsi="Times New Roman"/>
          <w:sz w:val="28"/>
          <w:szCs w:val="28"/>
        </w:rPr>
      </w:pPr>
      <w:r w:rsidRPr="003879D6">
        <w:rPr>
          <w:rFonts w:ascii="Times New Roman" w:hAnsi="Times New Roman"/>
          <w:sz w:val="28"/>
          <w:szCs w:val="28"/>
        </w:rPr>
        <w:t xml:space="preserve">выполнению мероприятий, направленных на сохранение, поддержание и увеличение рыбных запасов, в рамках которых было проведено зарыбление рыбохозяйственных водоемов республики (реки Днестр, протока Турунчук, Кучурганского и Дубоссарского водохранилищ) разновозрастными группами </w:t>
      </w:r>
      <w:r w:rsidRPr="003879D6">
        <w:rPr>
          <w:rFonts w:ascii="Times New Roman" w:hAnsi="Times New Roman"/>
          <w:sz w:val="28"/>
          <w:szCs w:val="28"/>
        </w:rPr>
        <w:lastRenderedPageBreak/>
        <w:t xml:space="preserve">промысловых видов рыб (белый и пестрый толстолобик, белый амур, карп карась, судак, лещ, тарань (плотва)) общим весом </w:t>
      </w:r>
      <w:r>
        <w:rPr>
          <w:rFonts w:ascii="Times New Roman" w:hAnsi="Times New Roman"/>
          <w:sz w:val="28"/>
          <w:szCs w:val="28"/>
        </w:rPr>
        <w:t>36 753,2</w:t>
      </w:r>
      <w:r w:rsidRPr="003879D6">
        <w:rPr>
          <w:rFonts w:ascii="Times New Roman" w:hAnsi="Times New Roman"/>
          <w:sz w:val="28"/>
          <w:szCs w:val="28"/>
        </w:rPr>
        <w:t xml:space="preserve"> кг</w:t>
      </w:r>
      <w:r>
        <w:rPr>
          <w:rFonts w:ascii="Times New Roman" w:hAnsi="Times New Roman"/>
          <w:sz w:val="28"/>
          <w:szCs w:val="28"/>
        </w:rPr>
        <w:t>, против 24 620,2</w:t>
      </w:r>
      <w:r w:rsidRPr="003879D6">
        <w:rPr>
          <w:rFonts w:ascii="Times New Roman" w:hAnsi="Times New Roman"/>
          <w:sz w:val="28"/>
          <w:szCs w:val="28"/>
        </w:rPr>
        <w:t> кг</w:t>
      </w:r>
      <w:r>
        <w:rPr>
          <w:rFonts w:ascii="Times New Roman" w:hAnsi="Times New Roman"/>
          <w:sz w:val="28"/>
          <w:szCs w:val="28"/>
        </w:rPr>
        <w:t xml:space="preserve"> в 2017 году.</w:t>
      </w:r>
    </w:p>
    <w:p w:rsidR="00DB7EBA" w:rsidRDefault="00DB7EBA" w:rsidP="00DB7EBA">
      <w:pPr>
        <w:tabs>
          <w:tab w:val="left" w:pos="1134"/>
        </w:tabs>
        <w:spacing w:after="0" w:line="240" w:lineRule="auto"/>
        <w:ind w:firstLine="426"/>
        <w:jc w:val="both"/>
        <w:rPr>
          <w:rFonts w:ascii="Times New Roman" w:hAnsi="Times New Roman"/>
          <w:sz w:val="28"/>
          <w:szCs w:val="28"/>
        </w:rPr>
      </w:pPr>
      <w:r>
        <w:rPr>
          <w:rFonts w:ascii="Times New Roman" w:hAnsi="Times New Roman"/>
          <w:sz w:val="28"/>
          <w:szCs w:val="28"/>
        </w:rPr>
        <w:t>З</w:t>
      </w:r>
      <w:r w:rsidRPr="003879D6">
        <w:rPr>
          <w:rFonts w:ascii="Times New Roman" w:hAnsi="Times New Roman"/>
          <w:sz w:val="28"/>
          <w:szCs w:val="28"/>
        </w:rPr>
        <w:t xml:space="preserve">а разрешения в целях осуществления промыслового рыболовства, любительского и спортивного рыболовства с плавсредств и подводной охоты </w:t>
      </w:r>
      <w:r>
        <w:rPr>
          <w:rFonts w:ascii="Times New Roman" w:hAnsi="Times New Roman"/>
          <w:sz w:val="28"/>
          <w:szCs w:val="28"/>
        </w:rPr>
        <w:t xml:space="preserve"> в 2018 году </w:t>
      </w:r>
      <w:r w:rsidRPr="003879D6">
        <w:rPr>
          <w:rFonts w:ascii="Times New Roman" w:hAnsi="Times New Roman"/>
          <w:sz w:val="28"/>
          <w:szCs w:val="28"/>
        </w:rPr>
        <w:t xml:space="preserve">в Республиканский целевой бюджетный экологический фонд было перечислено </w:t>
      </w:r>
      <w:r>
        <w:rPr>
          <w:rFonts w:ascii="Times New Roman" w:hAnsi="Times New Roman"/>
          <w:sz w:val="28"/>
          <w:szCs w:val="28"/>
        </w:rPr>
        <w:t>более 60,7</w:t>
      </w:r>
      <w:r w:rsidRPr="003879D6">
        <w:rPr>
          <w:rFonts w:ascii="Times New Roman" w:hAnsi="Times New Roman"/>
          <w:sz w:val="28"/>
          <w:szCs w:val="28"/>
        </w:rPr>
        <w:t xml:space="preserve"> тыс. руб. ПМР, </w:t>
      </w:r>
      <w:r w:rsidR="009003DA">
        <w:rPr>
          <w:rFonts w:ascii="Times New Roman" w:hAnsi="Times New Roman"/>
          <w:sz w:val="28"/>
          <w:szCs w:val="28"/>
        </w:rPr>
        <w:t xml:space="preserve">что на 20,2% превышает уровень </w:t>
      </w:r>
      <w:r>
        <w:rPr>
          <w:rFonts w:ascii="Times New Roman" w:hAnsi="Times New Roman"/>
          <w:sz w:val="28"/>
          <w:szCs w:val="28"/>
        </w:rPr>
        <w:t>минувше</w:t>
      </w:r>
      <w:r w:rsidR="009003DA">
        <w:rPr>
          <w:rFonts w:ascii="Times New Roman" w:hAnsi="Times New Roman"/>
          <w:sz w:val="28"/>
          <w:szCs w:val="28"/>
        </w:rPr>
        <w:t>го</w:t>
      </w:r>
      <w:r w:rsidRPr="003879D6">
        <w:rPr>
          <w:rFonts w:ascii="Times New Roman" w:hAnsi="Times New Roman"/>
          <w:sz w:val="28"/>
          <w:szCs w:val="28"/>
        </w:rPr>
        <w:t xml:space="preserve"> год</w:t>
      </w:r>
      <w:r w:rsidR="009003DA">
        <w:rPr>
          <w:rFonts w:ascii="Times New Roman" w:hAnsi="Times New Roman"/>
          <w:sz w:val="28"/>
          <w:szCs w:val="28"/>
        </w:rPr>
        <w:t>а</w:t>
      </w:r>
      <w:r w:rsidRPr="003879D6">
        <w:rPr>
          <w:rFonts w:ascii="Times New Roman" w:hAnsi="Times New Roman"/>
          <w:sz w:val="28"/>
          <w:szCs w:val="28"/>
        </w:rPr>
        <w:t>.</w:t>
      </w:r>
    </w:p>
    <w:p w:rsidR="00DB7EBA" w:rsidRPr="003879D6" w:rsidRDefault="00DB7EBA" w:rsidP="00DB7EBA">
      <w:pPr>
        <w:spacing w:after="0" w:line="240" w:lineRule="auto"/>
        <w:ind w:firstLine="426"/>
        <w:jc w:val="both"/>
        <w:rPr>
          <w:rFonts w:ascii="Times New Roman" w:hAnsi="Times New Roman"/>
          <w:sz w:val="28"/>
          <w:szCs w:val="28"/>
        </w:rPr>
      </w:pPr>
      <w:r w:rsidRPr="003879D6">
        <w:rPr>
          <w:rFonts w:ascii="Times New Roman" w:hAnsi="Times New Roman"/>
          <w:sz w:val="28"/>
          <w:szCs w:val="28"/>
        </w:rPr>
        <w:t xml:space="preserve">В сфере </w:t>
      </w:r>
      <w:r w:rsidRPr="003879D6">
        <w:rPr>
          <w:rFonts w:ascii="Times New Roman" w:hAnsi="Times New Roman"/>
          <w:b/>
          <w:sz w:val="28"/>
          <w:szCs w:val="28"/>
        </w:rPr>
        <w:t>охраны и использования лесных ресурсов</w:t>
      </w:r>
      <w:r w:rsidRPr="003879D6">
        <w:rPr>
          <w:rFonts w:ascii="Times New Roman" w:hAnsi="Times New Roman"/>
          <w:sz w:val="28"/>
          <w:szCs w:val="28"/>
        </w:rPr>
        <w:t xml:space="preserve"> в </w:t>
      </w:r>
      <w:r>
        <w:rPr>
          <w:rFonts w:ascii="Times New Roman" w:hAnsi="Times New Roman"/>
          <w:sz w:val="28"/>
          <w:szCs w:val="28"/>
        </w:rPr>
        <w:t>отчетном периоде проводилась</w:t>
      </w:r>
      <w:r w:rsidRPr="003879D6">
        <w:rPr>
          <w:rFonts w:ascii="Times New Roman" w:hAnsi="Times New Roman"/>
          <w:sz w:val="28"/>
          <w:szCs w:val="28"/>
        </w:rPr>
        <w:t xml:space="preserve"> работа</w:t>
      </w:r>
      <w:r>
        <w:rPr>
          <w:rFonts w:ascii="Times New Roman" w:hAnsi="Times New Roman"/>
          <w:sz w:val="28"/>
          <w:szCs w:val="28"/>
        </w:rPr>
        <w:t xml:space="preserve"> по</w:t>
      </w:r>
      <w:r w:rsidRPr="003879D6">
        <w:rPr>
          <w:rFonts w:ascii="Times New Roman" w:hAnsi="Times New Roman"/>
          <w:sz w:val="28"/>
          <w:szCs w:val="28"/>
        </w:rPr>
        <w:t xml:space="preserve"> повышени</w:t>
      </w:r>
      <w:r>
        <w:rPr>
          <w:rFonts w:ascii="Times New Roman" w:hAnsi="Times New Roman"/>
          <w:sz w:val="28"/>
          <w:szCs w:val="28"/>
        </w:rPr>
        <w:t>ю</w:t>
      </w:r>
      <w:r w:rsidRPr="003879D6">
        <w:rPr>
          <w:rFonts w:ascii="Times New Roman" w:hAnsi="Times New Roman"/>
          <w:sz w:val="28"/>
          <w:szCs w:val="28"/>
        </w:rPr>
        <w:t xml:space="preserve"> экологической безопасности региона, увеличени</w:t>
      </w:r>
      <w:r>
        <w:rPr>
          <w:rFonts w:ascii="Times New Roman" w:hAnsi="Times New Roman"/>
          <w:sz w:val="28"/>
          <w:szCs w:val="28"/>
        </w:rPr>
        <w:t>ю</w:t>
      </w:r>
      <w:r w:rsidRPr="003879D6">
        <w:rPr>
          <w:rFonts w:ascii="Times New Roman" w:hAnsi="Times New Roman"/>
          <w:sz w:val="28"/>
          <w:szCs w:val="28"/>
        </w:rPr>
        <w:t xml:space="preserve"> лесистости территории, выращивани</w:t>
      </w:r>
      <w:r>
        <w:rPr>
          <w:rFonts w:ascii="Times New Roman" w:hAnsi="Times New Roman"/>
          <w:sz w:val="28"/>
          <w:szCs w:val="28"/>
        </w:rPr>
        <w:t>ю</w:t>
      </w:r>
      <w:r w:rsidRPr="003879D6">
        <w:rPr>
          <w:rFonts w:ascii="Times New Roman" w:hAnsi="Times New Roman"/>
          <w:sz w:val="28"/>
          <w:szCs w:val="28"/>
        </w:rPr>
        <w:t xml:space="preserve"> высокопродуктивных</w:t>
      </w:r>
      <w:r>
        <w:rPr>
          <w:rFonts w:ascii="Times New Roman" w:hAnsi="Times New Roman"/>
          <w:sz w:val="28"/>
          <w:szCs w:val="28"/>
        </w:rPr>
        <w:t xml:space="preserve"> и</w:t>
      </w:r>
      <w:r w:rsidRPr="003879D6">
        <w:rPr>
          <w:rFonts w:ascii="Times New Roman" w:hAnsi="Times New Roman"/>
          <w:sz w:val="28"/>
          <w:szCs w:val="28"/>
        </w:rPr>
        <w:t xml:space="preserve"> экологически устойчивых лесов.</w:t>
      </w:r>
    </w:p>
    <w:p w:rsidR="00DB7EBA" w:rsidRPr="003879D6" w:rsidRDefault="00DB7EBA" w:rsidP="00DB7EBA">
      <w:pPr>
        <w:spacing w:after="0" w:line="240" w:lineRule="auto"/>
        <w:ind w:firstLine="426"/>
        <w:jc w:val="both"/>
        <w:rPr>
          <w:rFonts w:ascii="Times New Roman" w:hAnsi="Times New Roman"/>
          <w:sz w:val="28"/>
          <w:szCs w:val="28"/>
        </w:rPr>
      </w:pPr>
      <w:r>
        <w:rPr>
          <w:rFonts w:ascii="Times New Roman" w:hAnsi="Times New Roman"/>
          <w:sz w:val="28"/>
          <w:szCs w:val="28"/>
        </w:rPr>
        <w:t xml:space="preserve">Так, на протяжении января-декабря 2018 года </w:t>
      </w:r>
      <w:r w:rsidRPr="003879D6">
        <w:rPr>
          <w:rFonts w:ascii="Times New Roman" w:hAnsi="Times New Roman"/>
          <w:sz w:val="28"/>
          <w:szCs w:val="28"/>
        </w:rPr>
        <w:t xml:space="preserve">проведены рубки ухода за лесом и выборочные санитарные рубки на площади </w:t>
      </w:r>
      <w:r>
        <w:rPr>
          <w:rFonts w:ascii="Times New Roman" w:hAnsi="Times New Roman"/>
          <w:sz w:val="28"/>
          <w:szCs w:val="28"/>
        </w:rPr>
        <w:t>735,32</w:t>
      </w:r>
      <w:r w:rsidRPr="003879D6">
        <w:rPr>
          <w:rFonts w:ascii="Times New Roman" w:hAnsi="Times New Roman"/>
          <w:sz w:val="28"/>
          <w:szCs w:val="28"/>
        </w:rPr>
        <w:t xml:space="preserve"> га с общим объемом выбираемой древесины </w:t>
      </w:r>
      <w:r>
        <w:rPr>
          <w:rFonts w:ascii="Times New Roman" w:hAnsi="Times New Roman"/>
          <w:sz w:val="28"/>
          <w:szCs w:val="28"/>
        </w:rPr>
        <w:t>29 138</w:t>
      </w:r>
      <w:r w:rsidRPr="003879D6">
        <w:rPr>
          <w:rFonts w:ascii="Times New Roman" w:hAnsi="Times New Roman"/>
          <w:sz w:val="28"/>
          <w:szCs w:val="28"/>
        </w:rPr>
        <w:t xml:space="preserve"> м</w:t>
      </w:r>
      <w:r w:rsidRPr="003879D6">
        <w:rPr>
          <w:rFonts w:ascii="Times New Roman" w:hAnsi="Times New Roman"/>
          <w:sz w:val="28"/>
          <w:szCs w:val="28"/>
          <w:vertAlign w:val="superscript"/>
        </w:rPr>
        <w:t>3</w:t>
      </w:r>
      <w:r w:rsidRPr="003879D6">
        <w:rPr>
          <w:rFonts w:ascii="Times New Roman" w:hAnsi="Times New Roman"/>
          <w:sz w:val="28"/>
          <w:szCs w:val="28"/>
        </w:rPr>
        <w:t xml:space="preserve">, </w:t>
      </w:r>
      <w:r>
        <w:rPr>
          <w:rFonts w:ascii="Times New Roman" w:hAnsi="Times New Roman"/>
          <w:sz w:val="28"/>
          <w:szCs w:val="28"/>
        </w:rPr>
        <w:t>что превышает прошлогодний уровень на 18,0% и 75,5% соответственно.</w:t>
      </w:r>
    </w:p>
    <w:p w:rsidR="00DB7EBA" w:rsidRDefault="00DB7EBA" w:rsidP="00DB7EBA">
      <w:pPr>
        <w:autoSpaceDE w:val="0"/>
        <w:autoSpaceDN w:val="0"/>
        <w:adjustRightInd w:val="0"/>
        <w:spacing w:after="0" w:line="240" w:lineRule="auto"/>
        <w:ind w:firstLine="426"/>
        <w:jc w:val="both"/>
        <w:rPr>
          <w:rFonts w:ascii="Times New Roman" w:hAnsi="Times New Roman"/>
          <w:sz w:val="28"/>
          <w:szCs w:val="28"/>
        </w:rPr>
      </w:pPr>
      <w:r w:rsidRPr="009A2147">
        <w:rPr>
          <w:rFonts w:ascii="Times New Roman" w:hAnsi="Times New Roman"/>
          <w:sz w:val="28"/>
          <w:szCs w:val="28"/>
        </w:rPr>
        <w:t>Одной из основных задач стоящих перед лесной отраслью республики является лесовосстановление и лесоразведение, в связи с чем</w:t>
      </w:r>
      <w:r>
        <w:rPr>
          <w:rFonts w:ascii="Times New Roman" w:hAnsi="Times New Roman"/>
          <w:sz w:val="28"/>
          <w:szCs w:val="28"/>
        </w:rPr>
        <w:t>,</w:t>
      </w:r>
      <w:r w:rsidRPr="009A2147">
        <w:rPr>
          <w:rFonts w:ascii="Times New Roman" w:hAnsi="Times New Roman"/>
          <w:sz w:val="28"/>
          <w:szCs w:val="28"/>
        </w:rPr>
        <w:t xml:space="preserve"> в отчетном периоде в Гослесфонде проведены посев</w:t>
      </w:r>
      <w:r w:rsidRPr="003879D6">
        <w:rPr>
          <w:rFonts w:ascii="Times New Roman" w:hAnsi="Times New Roman"/>
          <w:sz w:val="28"/>
          <w:szCs w:val="28"/>
        </w:rPr>
        <w:t xml:space="preserve"> и посадка леса на площади </w:t>
      </w:r>
      <w:r>
        <w:rPr>
          <w:rFonts w:ascii="Times New Roman" w:hAnsi="Times New Roman"/>
          <w:sz w:val="28"/>
          <w:szCs w:val="28"/>
        </w:rPr>
        <w:t xml:space="preserve">130,4 </w:t>
      </w:r>
      <w:r w:rsidRPr="003879D6">
        <w:rPr>
          <w:rFonts w:ascii="Times New Roman" w:hAnsi="Times New Roman"/>
          <w:sz w:val="28"/>
          <w:szCs w:val="28"/>
        </w:rPr>
        <w:t xml:space="preserve">га, что на </w:t>
      </w:r>
      <w:r>
        <w:rPr>
          <w:rFonts w:ascii="Times New Roman" w:hAnsi="Times New Roman"/>
          <w:sz w:val="28"/>
          <w:szCs w:val="28"/>
        </w:rPr>
        <w:t>0,9</w:t>
      </w:r>
      <w:r w:rsidRPr="003879D6">
        <w:rPr>
          <w:rFonts w:ascii="Times New Roman" w:hAnsi="Times New Roman"/>
          <w:sz w:val="28"/>
          <w:szCs w:val="28"/>
        </w:rPr>
        <w:t xml:space="preserve"> га меньше чем в 201</w:t>
      </w:r>
      <w:r>
        <w:rPr>
          <w:rFonts w:ascii="Times New Roman" w:hAnsi="Times New Roman"/>
          <w:sz w:val="28"/>
          <w:szCs w:val="28"/>
        </w:rPr>
        <w:t>7</w:t>
      </w:r>
      <w:r w:rsidRPr="003879D6">
        <w:rPr>
          <w:rFonts w:ascii="Times New Roman" w:hAnsi="Times New Roman"/>
          <w:sz w:val="28"/>
          <w:szCs w:val="28"/>
        </w:rPr>
        <w:t xml:space="preserve"> году. </w:t>
      </w:r>
    </w:p>
    <w:p w:rsidR="00DB7EBA" w:rsidRDefault="00DB7EBA" w:rsidP="00DB7EBA">
      <w:pPr>
        <w:autoSpaceDE w:val="0"/>
        <w:autoSpaceDN w:val="0"/>
        <w:adjustRightInd w:val="0"/>
        <w:spacing w:after="0" w:line="240" w:lineRule="auto"/>
        <w:ind w:firstLine="426"/>
        <w:jc w:val="both"/>
        <w:rPr>
          <w:rFonts w:ascii="Times New Roman" w:hAnsi="Times New Roman"/>
          <w:sz w:val="28"/>
          <w:szCs w:val="28"/>
        </w:rPr>
      </w:pPr>
      <w:r>
        <w:rPr>
          <w:rFonts w:ascii="Times New Roman" w:hAnsi="Times New Roman"/>
          <w:sz w:val="28"/>
          <w:szCs w:val="28"/>
        </w:rPr>
        <w:t>По итогам года покрытая лесом площадь составила 23 795 га, против 23 774</w:t>
      </w:r>
      <w:r>
        <w:t> </w:t>
      </w:r>
      <w:r>
        <w:rPr>
          <w:rFonts w:ascii="Times New Roman" w:hAnsi="Times New Roman"/>
          <w:sz w:val="28"/>
          <w:szCs w:val="28"/>
        </w:rPr>
        <w:t xml:space="preserve">га в прошлом году, данное увеличение связано с переводом лесных культур (молодняков) в лесопокрытую площадь. </w:t>
      </w:r>
    </w:p>
    <w:p w:rsidR="00DB7EBA" w:rsidRPr="003879D6" w:rsidRDefault="00DB7EBA" w:rsidP="00DB7EBA">
      <w:pPr>
        <w:autoSpaceDE w:val="0"/>
        <w:autoSpaceDN w:val="0"/>
        <w:adjustRightInd w:val="0"/>
        <w:spacing w:after="0" w:line="240" w:lineRule="auto"/>
        <w:ind w:firstLine="426"/>
        <w:jc w:val="both"/>
        <w:rPr>
          <w:rFonts w:ascii="Times New Roman" w:hAnsi="Times New Roman"/>
          <w:sz w:val="28"/>
          <w:szCs w:val="28"/>
        </w:rPr>
      </w:pPr>
      <w:r w:rsidRPr="003879D6">
        <w:rPr>
          <w:rFonts w:ascii="Times New Roman" w:hAnsi="Times New Roman"/>
          <w:sz w:val="28"/>
          <w:szCs w:val="28"/>
        </w:rPr>
        <w:t>В целях</w:t>
      </w:r>
      <w:r>
        <w:rPr>
          <w:rFonts w:ascii="Times New Roman" w:hAnsi="Times New Roman"/>
          <w:sz w:val="28"/>
          <w:szCs w:val="28"/>
        </w:rPr>
        <w:t xml:space="preserve"> обеспечения</w:t>
      </w:r>
      <w:r w:rsidRPr="003879D6">
        <w:rPr>
          <w:rFonts w:ascii="Times New Roman" w:hAnsi="Times New Roman"/>
          <w:sz w:val="28"/>
          <w:szCs w:val="28"/>
        </w:rPr>
        <w:t xml:space="preserve"> противопожарной безопасности территории Гослесфонда </w:t>
      </w:r>
      <w:r>
        <w:rPr>
          <w:rFonts w:ascii="Times New Roman" w:hAnsi="Times New Roman"/>
          <w:sz w:val="28"/>
          <w:szCs w:val="28"/>
        </w:rPr>
        <w:t xml:space="preserve">выполнен </w:t>
      </w:r>
      <w:r w:rsidRPr="003879D6">
        <w:rPr>
          <w:rFonts w:ascii="Times New Roman" w:hAnsi="Times New Roman"/>
          <w:sz w:val="28"/>
          <w:szCs w:val="28"/>
        </w:rPr>
        <w:t xml:space="preserve">ремонт дорог противопожарного назначения в объеме </w:t>
      </w:r>
      <w:r>
        <w:rPr>
          <w:rFonts w:ascii="Times New Roman" w:hAnsi="Times New Roman"/>
          <w:sz w:val="28"/>
          <w:szCs w:val="28"/>
        </w:rPr>
        <w:t>8,5</w:t>
      </w:r>
      <w:r w:rsidRPr="003879D6">
        <w:rPr>
          <w:rFonts w:ascii="Times New Roman" w:hAnsi="Times New Roman"/>
          <w:sz w:val="28"/>
          <w:szCs w:val="28"/>
        </w:rPr>
        <w:t xml:space="preserve"> км</w:t>
      </w:r>
      <w:r>
        <w:rPr>
          <w:rFonts w:ascii="Times New Roman" w:hAnsi="Times New Roman"/>
          <w:sz w:val="28"/>
          <w:szCs w:val="28"/>
        </w:rPr>
        <w:t xml:space="preserve">, против 6,5 км в </w:t>
      </w:r>
      <w:r w:rsidRPr="003879D6">
        <w:rPr>
          <w:rFonts w:ascii="Times New Roman" w:hAnsi="Times New Roman"/>
          <w:sz w:val="28"/>
          <w:szCs w:val="28"/>
        </w:rPr>
        <w:t>201</w:t>
      </w:r>
      <w:r>
        <w:rPr>
          <w:rFonts w:ascii="Times New Roman" w:hAnsi="Times New Roman"/>
          <w:sz w:val="28"/>
          <w:szCs w:val="28"/>
        </w:rPr>
        <w:t>7</w:t>
      </w:r>
      <w:r w:rsidRPr="003879D6">
        <w:rPr>
          <w:rFonts w:ascii="Times New Roman" w:hAnsi="Times New Roman"/>
          <w:sz w:val="28"/>
          <w:szCs w:val="28"/>
        </w:rPr>
        <w:t> году</w:t>
      </w:r>
      <w:r>
        <w:rPr>
          <w:rFonts w:ascii="Times New Roman" w:hAnsi="Times New Roman"/>
          <w:sz w:val="28"/>
          <w:szCs w:val="28"/>
        </w:rPr>
        <w:t>.</w:t>
      </w:r>
      <w:r w:rsidRPr="003879D6">
        <w:rPr>
          <w:rFonts w:ascii="Times New Roman" w:hAnsi="Times New Roman"/>
          <w:sz w:val="28"/>
          <w:szCs w:val="28"/>
        </w:rPr>
        <w:t xml:space="preserve"> </w:t>
      </w:r>
      <w:r>
        <w:rPr>
          <w:rFonts w:ascii="Times New Roman" w:hAnsi="Times New Roman"/>
          <w:sz w:val="28"/>
          <w:szCs w:val="28"/>
        </w:rPr>
        <w:t>У</w:t>
      </w:r>
      <w:r w:rsidRPr="003879D6">
        <w:rPr>
          <w:rFonts w:ascii="Times New Roman" w:hAnsi="Times New Roman"/>
          <w:sz w:val="28"/>
          <w:szCs w:val="28"/>
        </w:rPr>
        <w:t xml:space="preserve">ход за минерализованными полосами </w:t>
      </w:r>
      <w:r>
        <w:rPr>
          <w:rFonts w:ascii="Times New Roman" w:hAnsi="Times New Roman"/>
          <w:sz w:val="28"/>
          <w:szCs w:val="28"/>
        </w:rPr>
        <w:t>выполнен в объеме 147</w:t>
      </w:r>
      <w:r w:rsidRPr="003879D6">
        <w:rPr>
          <w:rFonts w:ascii="Times New Roman" w:hAnsi="Times New Roman"/>
          <w:sz w:val="28"/>
          <w:szCs w:val="28"/>
        </w:rPr>
        <w:t> км</w:t>
      </w:r>
      <w:r>
        <w:rPr>
          <w:rFonts w:ascii="Times New Roman" w:hAnsi="Times New Roman"/>
          <w:sz w:val="28"/>
          <w:szCs w:val="28"/>
        </w:rPr>
        <w:t>,</w:t>
      </w:r>
      <w:r w:rsidRPr="003879D6">
        <w:rPr>
          <w:rFonts w:ascii="Times New Roman" w:hAnsi="Times New Roman"/>
          <w:sz w:val="28"/>
          <w:szCs w:val="28"/>
        </w:rPr>
        <w:t xml:space="preserve"> против </w:t>
      </w:r>
      <w:r>
        <w:rPr>
          <w:rFonts w:ascii="Times New Roman" w:hAnsi="Times New Roman"/>
          <w:sz w:val="28"/>
          <w:szCs w:val="28"/>
        </w:rPr>
        <w:t>162</w:t>
      </w:r>
      <w:r w:rsidRPr="003879D6">
        <w:rPr>
          <w:rFonts w:ascii="Times New Roman" w:hAnsi="Times New Roman"/>
          <w:sz w:val="28"/>
          <w:szCs w:val="28"/>
        </w:rPr>
        <w:t xml:space="preserve"> км в прошлом году. </w:t>
      </w:r>
    </w:p>
    <w:p w:rsidR="00DB7EBA" w:rsidRPr="003879D6" w:rsidRDefault="00DB7EBA" w:rsidP="00DB7EBA">
      <w:pPr>
        <w:spacing w:after="0" w:line="240" w:lineRule="auto"/>
        <w:ind w:firstLine="426"/>
        <w:jc w:val="both"/>
        <w:rPr>
          <w:rFonts w:ascii="Times New Roman" w:hAnsi="Times New Roman"/>
          <w:sz w:val="28"/>
          <w:szCs w:val="28"/>
        </w:rPr>
      </w:pPr>
      <w:r w:rsidRPr="006745C2">
        <w:rPr>
          <w:rFonts w:ascii="Times New Roman" w:hAnsi="Times New Roman"/>
          <w:sz w:val="28"/>
          <w:szCs w:val="28"/>
        </w:rPr>
        <w:t>В целях увеличения численности охотфауны республики, выполнены биотехнические мероприятия</w:t>
      </w:r>
      <w:r>
        <w:rPr>
          <w:rFonts w:ascii="Times New Roman" w:hAnsi="Times New Roman"/>
          <w:sz w:val="28"/>
          <w:szCs w:val="28"/>
        </w:rPr>
        <w:t xml:space="preserve"> в соответствии с утвержденным на</w:t>
      </w:r>
      <w:r w:rsidRPr="006745C2">
        <w:rPr>
          <w:rFonts w:ascii="Times New Roman" w:hAnsi="Times New Roman"/>
          <w:sz w:val="28"/>
          <w:szCs w:val="28"/>
        </w:rPr>
        <w:t xml:space="preserve"> 2018 год </w:t>
      </w:r>
      <w:r>
        <w:rPr>
          <w:rFonts w:ascii="Times New Roman" w:hAnsi="Times New Roman"/>
          <w:sz w:val="28"/>
          <w:szCs w:val="28"/>
        </w:rPr>
        <w:t>планом</w:t>
      </w:r>
      <w:r w:rsidRPr="006745C2">
        <w:rPr>
          <w:rFonts w:ascii="Times New Roman" w:hAnsi="Times New Roman"/>
          <w:sz w:val="28"/>
          <w:szCs w:val="28"/>
        </w:rPr>
        <w:t xml:space="preserve"> в следующих объемах:</w:t>
      </w:r>
      <w:r>
        <w:rPr>
          <w:rFonts w:ascii="Times New Roman" w:hAnsi="Times New Roman"/>
          <w:sz w:val="28"/>
          <w:szCs w:val="28"/>
        </w:rPr>
        <w:t xml:space="preserve"> з</w:t>
      </w:r>
      <w:r w:rsidRPr="006745C2">
        <w:rPr>
          <w:rFonts w:ascii="Times New Roman" w:hAnsi="Times New Roman"/>
          <w:sz w:val="28"/>
          <w:szCs w:val="28"/>
        </w:rPr>
        <w:t>акладка кормовых полей – 0,7 га</w:t>
      </w:r>
      <w:r>
        <w:rPr>
          <w:rFonts w:ascii="Times New Roman" w:hAnsi="Times New Roman"/>
          <w:sz w:val="28"/>
          <w:szCs w:val="28"/>
        </w:rPr>
        <w:t xml:space="preserve">, </w:t>
      </w:r>
      <w:r w:rsidRPr="006745C2">
        <w:rPr>
          <w:rFonts w:ascii="Times New Roman" w:hAnsi="Times New Roman"/>
          <w:sz w:val="28"/>
          <w:szCs w:val="28"/>
        </w:rPr>
        <w:t>заготовка сена – 3,7 тонн</w:t>
      </w:r>
      <w:r>
        <w:rPr>
          <w:rFonts w:ascii="Times New Roman" w:hAnsi="Times New Roman"/>
          <w:sz w:val="28"/>
          <w:szCs w:val="28"/>
        </w:rPr>
        <w:t>,</w:t>
      </w:r>
      <w:r w:rsidRPr="00A300B6">
        <w:rPr>
          <w:rFonts w:ascii="Times New Roman" w:hAnsi="Times New Roman"/>
          <w:sz w:val="28"/>
          <w:szCs w:val="28"/>
        </w:rPr>
        <w:t xml:space="preserve"> выкладка веткорма – 5,49</w:t>
      </w:r>
      <w:r>
        <w:rPr>
          <w:rFonts w:ascii="Times New Roman" w:hAnsi="Times New Roman"/>
          <w:sz w:val="28"/>
          <w:szCs w:val="28"/>
        </w:rPr>
        <w:t> </w:t>
      </w:r>
      <w:r w:rsidRPr="00A300B6">
        <w:rPr>
          <w:rFonts w:ascii="Times New Roman" w:hAnsi="Times New Roman"/>
          <w:sz w:val="28"/>
          <w:szCs w:val="28"/>
        </w:rPr>
        <w:t>тыс. шт., выкладка сена – 8,86 тонн, выкладк</w:t>
      </w:r>
      <w:r>
        <w:rPr>
          <w:rFonts w:ascii="Times New Roman" w:hAnsi="Times New Roman"/>
          <w:sz w:val="28"/>
          <w:szCs w:val="28"/>
        </w:rPr>
        <w:t>а</w:t>
      </w:r>
      <w:r w:rsidRPr="00A300B6">
        <w:rPr>
          <w:rFonts w:ascii="Times New Roman" w:hAnsi="Times New Roman"/>
          <w:sz w:val="28"/>
          <w:szCs w:val="28"/>
        </w:rPr>
        <w:t xml:space="preserve"> зерна и зерноотходов – 10</w:t>
      </w:r>
      <w:r>
        <w:rPr>
          <w:rFonts w:ascii="Times New Roman" w:hAnsi="Times New Roman"/>
          <w:sz w:val="28"/>
          <w:szCs w:val="28"/>
        </w:rPr>
        <w:t> </w:t>
      </w:r>
      <w:r w:rsidRPr="00A300B6">
        <w:rPr>
          <w:rFonts w:ascii="Times New Roman" w:hAnsi="Times New Roman"/>
          <w:sz w:val="28"/>
          <w:szCs w:val="28"/>
        </w:rPr>
        <w:t>487 кг.</w:t>
      </w:r>
    </w:p>
    <w:p w:rsidR="00DB7EBA" w:rsidRDefault="00DB7EBA" w:rsidP="00DB7EBA">
      <w:pPr>
        <w:spacing w:after="0" w:line="240" w:lineRule="auto"/>
        <w:ind w:firstLine="426"/>
        <w:jc w:val="both"/>
        <w:rPr>
          <w:rFonts w:ascii="Times New Roman" w:hAnsi="Times New Roman"/>
          <w:sz w:val="28"/>
          <w:szCs w:val="28"/>
        </w:rPr>
      </w:pPr>
      <w:r w:rsidRPr="00C975FF">
        <w:rPr>
          <w:rFonts w:ascii="Times New Roman" w:hAnsi="Times New Roman"/>
          <w:sz w:val="28"/>
          <w:szCs w:val="28"/>
        </w:rPr>
        <w:t>В 2018 году</w:t>
      </w:r>
      <w:r w:rsidRPr="00C975FF">
        <w:rPr>
          <w:rFonts w:ascii="Times New Roman" w:hAnsi="Times New Roman"/>
          <w:b/>
          <w:sz w:val="28"/>
          <w:szCs w:val="28"/>
        </w:rPr>
        <w:t xml:space="preserve"> в</w:t>
      </w:r>
      <w:r w:rsidRPr="00C975FF">
        <w:rPr>
          <w:rFonts w:ascii="Times New Roman" w:hAnsi="Times New Roman"/>
          <w:sz w:val="28"/>
          <w:szCs w:val="28"/>
        </w:rPr>
        <w:t xml:space="preserve"> </w:t>
      </w:r>
      <w:r w:rsidRPr="00C975FF">
        <w:rPr>
          <w:rFonts w:ascii="Times New Roman" w:hAnsi="Times New Roman"/>
          <w:b/>
          <w:sz w:val="28"/>
          <w:szCs w:val="28"/>
        </w:rPr>
        <w:t>области недропользования</w:t>
      </w:r>
      <w:r w:rsidRPr="00C975FF">
        <w:rPr>
          <w:rFonts w:ascii="Times New Roman" w:hAnsi="Times New Roman"/>
          <w:sz w:val="28"/>
          <w:szCs w:val="28"/>
        </w:rPr>
        <w:t xml:space="preserve"> и </w:t>
      </w:r>
      <w:r w:rsidRPr="00C975FF">
        <w:rPr>
          <w:rFonts w:ascii="Times New Roman" w:hAnsi="Times New Roman"/>
          <w:b/>
          <w:sz w:val="28"/>
          <w:szCs w:val="28"/>
        </w:rPr>
        <w:t>геологии</w:t>
      </w:r>
      <w:r>
        <w:rPr>
          <w:rFonts w:ascii="Times New Roman" w:hAnsi="Times New Roman"/>
          <w:b/>
          <w:sz w:val="28"/>
          <w:szCs w:val="28"/>
        </w:rPr>
        <w:t>,</w:t>
      </w:r>
      <w:r w:rsidRPr="00C975FF">
        <w:rPr>
          <w:rFonts w:ascii="Times New Roman" w:hAnsi="Times New Roman"/>
          <w:b/>
          <w:sz w:val="28"/>
          <w:szCs w:val="28"/>
        </w:rPr>
        <w:t xml:space="preserve"> </w:t>
      </w:r>
      <w:r>
        <w:rPr>
          <w:rFonts w:ascii="Times New Roman" w:hAnsi="Times New Roman"/>
          <w:sz w:val="28"/>
          <w:szCs w:val="28"/>
        </w:rPr>
        <w:t xml:space="preserve">согласно </w:t>
      </w:r>
      <w:r w:rsidRPr="003879D6">
        <w:rPr>
          <w:rFonts w:ascii="Times New Roman" w:hAnsi="Times New Roman"/>
          <w:sz w:val="28"/>
          <w:szCs w:val="28"/>
        </w:rPr>
        <w:t>данным сводного отчетного баланса запасов полезных ископаемых</w:t>
      </w:r>
      <w:r>
        <w:rPr>
          <w:rFonts w:ascii="Times New Roman" w:hAnsi="Times New Roman"/>
          <w:sz w:val="28"/>
          <w:szCs w:val="28"/>
        </w:rPr>
        <w:t>,</w:t>
      </w:r>
      <w:r w:rsidRPr="003879D6">
        <w:rPr>
          <w:rFonts w:ascii="Times New Roman" w:hAnsi="Times New Roman"/>
          <w:sz w:val="28"/>
          <w:szCs w:val="28"/>
        </w:rPr>
        <w:t xml:space="preserve"> в республике зарегистрировано 8</w:t>
      </w:r>
      <w:r>
        <w:rPr>
          <w:rFonts w:ascii="Times New Roman" w:hAnsi="Times New Roman"/>
          <w:sz w:val="28"/>
          <w:szCs w:val="28"/>
        </w:rPr>
        <w:t>8</w:t>
      </w:r>
      <w:r w:rsidRPr="003879D6">
        <w:rPr>
          <w:rFonts w:ascii="Times New Roman" w:hAnsi="Times New Roman"/>
          <w:sz w:val="28"/>
          <w:szCs w:val="28"/>
        </w:rPr>
        <w:t xml:space="preserve"> месторождений, из </w:t>
      </w:r>
      <w:r>
        <w:rPr>
          <w:rFonts w:ascii="Times New Roman" w:hAnsi="Times New Roman"/>
          <w:sz w:val="28"/>
          <w:szCs w:val="28"/>
        </w:rPr>
        <w:t>них</w:t>
      </w:r>
      <w:r w:rsidRPr="003879D6">
        <w:rPr>
          <w:rFonts w:ascii="Times New Roman" w:hAnsi="Times New Roman"/>
          <w:sz w:val="28"/>
          <w:szCs w:val="28"/>
        </w:rPr>
        <w:t>: 11 - пильного известняка, 6</w:t>
      </w:r>
      <w:r>
        <w:rPr>
          <w:rFonts w:ascii="Times New Roman" w:hAnsi="Times New Roman"/>
          <w:sz w:val="28"/>
          <w:szCs w:val="28"/>
        </w:rPr>
        <w:t xml:space="preserve"> </w:t>
      </w:r>
      <w:r w:rsidRPr="003879D6">
        <w:rPr>
          <w:rFonts w:ascii="Times New Roman" w:hAnsi="Times New Roman"/>
          <w:sz w:val="28"/>
          <w:szCs w:val="28"/>
        </w:rPr>
        <w:t>–</w:t>
      </w:r>
      <w:r>
        <w:rPr>
          <w:rFonts w:ascii="Times New Roman" w:hAnsi="Times New Roman"/>
          <w:sz w:val="28"/>
          <w:szCs w:val="28"/>
        </w:rPr>
        <w:t xml:space="preserve"> </w:t>
      </w:r>
      <w:r w:rsidRPr="003879D6">
        <w:rPr>
          <w:rFonts w:ascii="Times New Roman" w:hAnsi="Times New Roman"/>
          <w:sz w:val="28"/>
          <w:szCs w:val="28"/>
        </w:rPr>
        <w:t>известняка на бут и щебень, 1 – известняка для сахарного сырья и производства извести, 6 – цементного сырья, 6 – кремнеземистых пород, 4</w:t>
      </w:r>
      <w:r>
        <w:rPr>
          <w:rFonts w:ascii="Times New Roman" w:hAnsi="Times New Roman"/>
          <w:sz w:val="28"/>
          <w:szCs w:val="28"/>
        </w:rPr>
        <w:t>2</w:t>
      </w:r>
      <w:r w:rsidRPr="003879D6">
        <w:rPr>
          <w:rFonts w:ascii="Times New Roman" w:hAnsi="Times New Roman"/>
          <w:sz w:val="28"/>
          <w:szCs w:val="28"/>
        </w:rPr>
        <w:t xml:space="preserve"> – песчано-гравийных пород, 14 – кирпично-черепичного сырья, 1 – стекольных песков, 1 – песков-отощителей.</w:t>
      </w:r>
      <w:r>
        <w:rPr>
          <w:rFonts w:ascii="Times New Roman" w:hAnsi="Times New Roman"/>
          <w:sz w:val="28"/>
          <w:szCs w:val="28"/>
        </w:rPr>
        <w:t xml:space="preserve"> В отчетном периоде </w:t>
      </w:r>
      <w:r w:rsidRPr="00997DA9">
        <w:rPr>
          <w:rFonts w:ascii="Times New Roman" w:hAnsi="Times New Roman"/>
          <w:sz w:val="28"/>
          <w:szCs w:val="28"/>
        </w:rPr>
        <w:t>в разработку вовлечено 21 месторождение</w:t>
      </w:r>
      <w:r>
        <w:rPr>
          <w:rFonts w:ascii="Times New Roman" w:hAnsi="Times New Roman"/>
          <w:sz w:val="28"/>
          <w:szCs w:val="28"/>
        </w:rPr>
        <w:t xml:space="preserve"> нерудных полезных ископаемых и 5 месторождений минеральных вод. Разведано новое месторождение </w:t>
      </w:r>
      <w:r w:rsidRPr="003879D6">
        <w:rPr>
          <w:rFonts w:ascii="Times New Roman" w:hAnsi="Times New Roman"/>
          <w:sz w:val="28"/>
          <w:szCs w:val="28"/>
        </w:rPr>
        <w:t xml:space="preserve">песчано-гравийных </w:t>
      </w:r>
      <w:r>
        <w:rPr>
          <w:rFonts w:ascii="Times New Roman" w:hAnsi="Times New Roman"/>
          <w:sz w:val="28"/>
          <w:szCs w:val="28"/>
        </w:rPr>
        <w:t xml:space="preserve">пород в с. Парканы, Слободзейского района, </w:t>
      </w:r>
      <w:r w:rsidRPr="007C0345">
        <w:rPr>
          <w:rFonts w:ascii="Times New Roman" w:hAnsi="Times New Roman"/>
          <w:sz w:val="28"/>
          <w:szCs w:val="28"/>
        </w:rPr>
        <w:t>вв</w:t>
      </w:r>
      <w:r>
        <w:rPr>
          <w:rFonts w:ascii="Times New Roman" w:hAnsi="Times New Roman"/>
          <w:sz w:val="28"/>
          <w:szCs w:val="28"/>
        </w:rPr>
        <w:t>едено</w:t>
      </w:r>
      <w:r w:rsidRPr="007C0345">
        <w:rPr>
          <w:rFonts w:ascii="Times New Roman" w:hAnsi="Times New Roman"/>
          <w:sz w:val="28"/>
          <w:szCs w:val="28"/>
        </w:rPr>
        <w:t xml:space="preserve"> в эксплуатацию </w:t>
      </w:r>
      <w:r>
        <w:rPr>
          <w:rFonts w:ascii="Times New Roman" w:hAnsi="Times New Roman"/>
          <w:sz w:val="28"/>
          <w:szCs w:val="28"/>
        </w:rPr>
        <w:t>три</w:t>
      </w:r>
      <w:r w:rsidRPr="007C0345">
        <w:rPr>
          <w:rFonts w:ascii="Times New Roman" w:hAnsi="Times New Roman"/>
          <w:sz w:val="28"/>
          <w:szCs w:val="28"/>
        </w:rPr>
        <w:t xml:space="preserve"> новых месторождени</w:t>
      </w:r>
      <w:r>
        <w:rPr>
          <w:rFonts w:ascii="Times New Roman" w:hAnsi="Times New Roman"/>
          <w:sz w:val="28"/>
          <w:szCs w:val="28"/>
        </w:rPr>
        <w:t>я</w:t>
      </w:r>
      <w:r w:rsidRPr="007C0345">
        <w:rPr>
          <w:rFonts w:ascii="Times New Roman" w:hAnsi="Times New Roman"/>
          <w:sz w:val="28"/>
          <w:szCs w:val="28"/>
        </w:rPr>
        <w:t xml:space="preserve"> в Каменском и Дубоссарском районах.</w:t>
      </w:r>
    </w:p>
    <w:p w:rsidR="00DB7EBA" w:rsidRPr="000F535F" w:rsidRDefault="00DB7EBA" w:rsidP="00DB7EBA">
      <w:pPr>
        <w:spacing w:after="0" w:line="240" w:lineRule="auto"/>
        <w:ind w:firstLine="426"/>
        <w:jc w:val="both"/>
        <w:rPr>
          <w:rFonts w:ascii="Times New Roman" w:hAnsi="Times New Roman"/>
          <w:sz w:val="28"/>
          <w:szCs w:val="28"/>
        </w:rPr>
      </w:pPr>
      <w:r>
        <w:rPr>
          <w:rFonts w:ascii="Times New Roman" w:hAnsi="Times New Roman"/>
          <w:sz w:val="28"/>
          <w:szCs w:val="28"/>
        </w:rPr>
        <w:t>Так, по итогам</w:t>
      </w:r>
      <w:r w:rsidRPr="000F535F">
        <w:rPr>
          <w:rFonts w:ascii="Times New Roman" w:hAnsi="Times New Roman"/>
          <w:sz w:val="28"/>
          <w:szCs w:val="28"/>
        </w:rPr>
        <w:t xml:space="preserve"> 2018 года </w:t>
      </w:r>
      <w:r>
        <w:rPr>
          <w:rFonts w:ascii="Times New Roman" w:hAnsi="Times New Roman"/>
          <w:sz w:val="28"/>
          <w:szCs w:val="28"/>
        </w:rPr>
        <w:t>объемы д</w:t>
      </w:r>
      <w:r w:rsidRPr="000F535F">
        <w:rPr>
          <w:rFonts w:ascii="Times New Roman" w:hAnsi="Times New Roman"/>
          <w:sz w:val="28"/>
          <w:szCs w:val="28"/>
        </w:rPr>
        <w:t>обыч</w:t>
      </w:r>
      <w:r>
        <w:rPr>
          <w:rFonts w:ascii="Times New Roman" w:hAnsi="Times New Roman"/>
          <w:sz w:val="28"/>
          <w:szCs w:val="28"/>
        </w:rPr>
        <w:t>и</w:t>
      </w:r>
      <w:r w:rsidRPr="000F535F">
        <w:rPr>
          <w:rFonts w:ascii="Times New Roman" w:hAnsi="Times New Roman"/>
          <w:sz w:val="28"/>
          <w:szCs w:val="28"/>
        </w:rPr>
        <w:t xml:space="preserve"> и производств</w:t>
      </w:r>
      <w:r>
        <w:rPr>
          <w:rFonts w:ascii="Times New Roman" w:hAnsi="Times New Roman"/>
          <w:sz w:val="28"/>
          <w:szCs w:val="28"/>
        </w:rPr>
        <w:t>а</w:t>
      </w:r>
      <w:r w:rsidRPr="000F535F">
        <w:rPr>
          <w:rFonts w:ascii="Times New Roman" w:hAnsi="Times New Roman"/>
          <w:sz w:val="28"/>
          <w:szCs w:val="28"/>
        </w:rPr>
        <w:t xml:space="preserve"> нерудных строительных материалов в сравнении с показателями 2017</w:t>
      </w:r>
      <w:r>
        <w:rPr>
          <w:rFonts w:ascii="Times New Roman" w:hAnsi="Times New Roman"/>
          <w:sz w:val="28"/>
          <w:szCs w:val="28"/>
        </w:rPr>
        <w:t> </w:t>
      </w:r>
      <w:r w:rsidRPr="000F535F">
        <w:rPr>
          <w:rFonts w:ascii="Times New Roman" w:hAnsi="Times New Roman"/>
          <w:sz w:val="28"/>
          <w:szCs w:val="28"/>
        </w:rPr>
        <w:t>года составил</w:t>
      </w:r>
      <w:r w:rsidRPr="00E447FF">
        <w:rPr>
          <w:rFonts w:ascii="Times New Roman" w:hAnsi="Times New Roman"/>
          <w:sz w:val="28"/>
          <w:szCs w:val="28"/>
        </w:rPr>
        <w:t>и</w:t>
      </w:r>
      <w:r>
        <w:rPr>
          <w:rFonts w:ascii="Times New Roman" w:hAnsi="Times New Roman"/>
          <w:sz w:val="28"/>
          <w:szCs w:val="28"/>
        </w:rPr>
        <w:t xml:space="preserve"> (табл. 1</w:t>
      </w:r>
      <w:r w:rsidR="00914EB7">
        <w:rPr>
          <w:rFonts w:ascii="Times New Roman" w:hAnsi="Times New Roman"/>
          <w:sz w:val="28"/>
          <w:szCs w:val="28"/>
        </w:rPr>
        <w:t>4</w:t>
      </w:r>
      <w:r>
        <w:rPr>
          <w:rFonts w:ascii="Times New Roman" w:hAnsi="Times New Roman"/>
          <w:sz w:val="28"/>
          <w:szCs w:val="28"/>
        </w:rPr>
        <w:t>)</w:t>
      </w:r>
      <w:r w:rsidRPr="000F535F">
        <w:rPr>
          <w:rFonts w:ascii="Times New Roman" w:hAnsi="Times New Roman"/>
          <w:sz w:val="28"/>
          <w:szCs w:val="28"/>
        </w:rPr>
        <w:t xml:space="preserve">: </w:t>
      </w:r>
    </w:p>
    <w:p w:rsidR="00914EB7" w:rsidRDefault="00914EB7" w:rsidP="00DB7EBA">
      <w:pPr>
        <w:spacing w:after="0" w:line="240" w:lineRule="auto"/>
        <w:ind w:firstLine="709"/>
        <w:jc w:val="right"/>
        <w:rPr>
          <w:rFonts w:ascii="Times New Roman" w:hAnsi="Times New Roman"/>
          <w:sz w:val="28"/>
          <w:szCs w:val="28"/>
        </w:rPr>
      </w:pPr>
    </w:p>
    <w:p w:rsidR="00DB7EBA" w:rsidRPr="006A580E" w:rsidRDefault="00DB7EBA" w:rsidP="00DB7EBA">
      <w:pPr>
        <w:spacing w:after="0" w:line="240" w:lineRule="auto"/>
        <w:ind w:firstLine="709"/>
        <w:jc w:val="right"/>
        <w:rPr>
          <w:rFonts w:ascii="Times New Roman" w:hAnsi="Times New Roman"/>
          <w:sz w:val="28"/>
          <w:szCs w:val="28"/>
        </w:rPr>
      </w:pPr>
      <w:r w:rsidRPr="006A580E">
        <w:rPr>
          <w:rFonts w:ascii="Times New Roman" w:hAnsi="Times New Roman"/>
          <w:sz w:val="28"/>
          <w:szCs w:val="28"/>
        </w:rPr>
        <w:lastRenderedPageBreak/>
        <w:t>Таблица №</w:t>
      </w:r>
      <w:r w:rsidR="006A580E" w:rsidRPr="006A580E">
        <w:rPr>
          <w:rFonts w:ascii="Times New Roman" w:hAnsi="Times New Roman"/>
          <w:sz w:val="28"/>
          <w:szCs w:val="28"/>
        </w:rPr>
        <w:t>1</w:t>
      </w:r>
      <w:r w:rsidR="00914EB7">
        <w:rPr>
          <w:rFonts w:ascii="Times New Roman" w:hAnsi="Times New Roman"/>
          <w:sz w:val="28"/>
          <w:szCs w:val="28"/>
        </w:rPr>
        <w:t>4</w:t>
      </w:r>
    </w:p>
    <w:p w:rsidR="00DB7EBA" w:rsidRPr="000F535F" w:rsidRDefault="00DB7EBA" w:rsidP="00DB7EBA">
      <w:pPr>
        <w:spacing w:after="0" w:line="240" w:lineRule="auto"/>
        <w:ind w:firstLine="709"/>
        <w:jc w:val="center"/>
        <w:rPr>
          <w:rFonts w:ascii="Times New Roman" w:hAnsi="Times New Roman"/>
          <w:b/>
          <w:sz w:val="28"/>
          <w:szCs w:val="28"/>
        </w:rPr>
      </w:pPr>
      <w:r w:rsidRPr="000F535F">
        <w:rPr>
          <w:rFonts w:ascii="Times New Roman" w:hAnsi="Times New Roman"/>
          <w:b/>
          <w:sz w:val="28"/>
          <w:szCs w:val="28"/>
        </w:rPr>
        <w:t>Динамика добычи полезных ископаемых за 2017-2018 г.г.</w:t>
      </w:r>
    </w:p>
    <w:tbl>
      <w:tblPr>
        <w:tblW w:w="9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923"/>
        <w:gridCol w:w="1818"/>
        <w:gridCol w:w="1843"/>
        <w:gridCol w:w="1621"/>
      </w:tblGrid>
      <w:tr w:rsidR="00DB7EBA" w:rsidRPr="000F535F" w:rsidTr="0017561C">
        <w:tc>
          <w:tcPr>
            <w:tcW w:w="3261" w:type="dxa"/>
            <w:shd w:val="clear" w:color="auto" w:fill="D9D9D9" w:themeFill="background1" w:themeFillShade="D9"/>
            <w:vAlign w:val="center"/>
          </w:tcPr>
          <w:p w:rsidR="00DB7EBA" w:rsidRPr="000F535F" w:rsidRDefault="00DB7EBA" w:rsidP="00641CCA">
            <w:pPr>
              <w:spacing w:after="0" w:line="240" w:lineRule="auto"/>
              <w:ind w:left="-108"/>
              <w:jc w:val="center"/>
              <w:rPr>
                <w:rFonts w:ascii="Times New Roman" w:hAnsi="Times New Roman"/>
                <w:b/>
                <w:sz w:val="24"/>
                <w:szCs w:val="24"/>
              </w:rPr>
            </w:pPr>
            <w:r w:rsidRPr="000F535F">
              <w:rPr>
                <w:rFonts w:ascii="Times New Roman" w:hAnsi="Times New Roman"/>
                <w:b/>
                <w:sz w:val="24"/>
                <w:szCs w:val="24"/>
              </w:rPr>
              <w:t>Полезные ископаемые</w:t>
            </w:r>
          </w:p>
        </w:tc>
        <w:tc>
          <w:tcPr>
            <w:tcW w:w="923" w:type="dxa"/>
            <w:shd w:val="clear" w:color="auto" w:fill="D9D9D9" w:themeFill="background1" w:themeFillShade="D9"/>
            <w:vAlign w:val="center"/>
          </w:tcPr>
          <w:p w:rsidR="00DB7EBA" w:rsidRPr="000F535F" w:rsidRDefault="00DB7EBA" w:rsidP="00641CCA">
            <w:pPr>
              <w:spacing w:after="0" w:line="240" w:lineRule="auto"/>
              <w:ind w:left="-250" w:right="-177"/>
              <w:jc w:val="center"/>
              <w:rPr>
                <w:rFonts w:ascii="Times New Roman" w:hAnsi="Times New Roman"/>
                <w:b/>
                <w:sz w:val="24"/>
                <w:szCs w:val="24"/>
              </w:rPr>
            </w:pPr>
            <w:r w:rsidRPr="000F535F">
              <w:rPr>
                <w:rFonts w:ascii="Times New Roman" w:hAnsi="Times New Roman"/>
                <w:b/>
                <w:sz w:val="24"/>
                <w:szCs w:val="24"/>
              </w:rPr>
              <w:t>Ед. изм.</w:t>
            </w:r>
          </w:p>
        </w:tc>
        <w:tc>
          <w:tcPr>
            <w:tcW w:w="1818" w:type="dxa"/>
            <w:shd w:val="clear" w:color="auto" w:fill="D9D9D9" w:themeFill="background1" w:themeFillShade="D9"/>
            <w:vAlign w:val="center"/>
          </w:tcPr>
          <w:p w:rsidR="00DB7EBA" w:rsidRPr="000F535F" w:rsidRDefault="00DB7EBA" w:rsidP="00641CCA">
            <w:pPr>
              <w:spacing w:after="0" w:line="240" w:lineRule="auto"/>
              <w:jc w:val="center"/>
              <w:rPr>
                <w:rFonts w:ascii="Times New Roman" w:hAnsi="Times New Roman"/>
                <w:b/>
                <w:sz w:val="24"/>
                <w:szCs w:val="24"/>
              </w:rPr>
            </w:pPr>
            <w:r w:rsidRPr="000F535F">
              <w:rPr>
                <w:rFonts w:ascii="Times New Roman" w:hAnsi="Times New Roman"/>
                <w:b/>
                <w:sz w:val="24"/>
                <w:szCs w:val="24"/>
              </w:rPr>
              <w:t xml:space="preserve">2017 год </w:t>
            </w:r>
          </w:p>
        </w:tc>
        <w:tc>
          <w:tcPr>
            <w:tcW w:w="1843" w:type="dxa"/>
            <w:shd w:val="clear" w:color="auto" w:fill="D9D9D9" w:themeFill="background1" w:themeFillShade="D9"/>
            <w:vAlign w:val="center"/>
          </w:tcPr>
          <w:p w:rsidR="00DB7EBA" w:rsidRPr="000F535F" w:rsidRDefault="00DB7EBA" w:rsidP="00641CCA">
            <w:pPr>
              <w:spacing w:after="0" w:line="240" w:lineRule="auto"/>
              <w:ind w:firstLine="5"/>
              <w:jc w:val="center"/>
              <w:rPr>
                <w:rFonts w:ascii="Times New Roman" w:hAnsi="Times New Roman"/>
                <w:b/>
                <w:sz w:val="24"/>
                <w:szCs w:val="24"/>
              </w:rPr>
            </w:pPr>
            <w:r w:rsidRPr="000F535F">
              <w:rPr>
                <w:rFonts w:ascii="Times New Roman" w:hAnsi="Times New Roman"/>
                <w:b/>
                <w:sz w:val="24"/>
                <w:szCs w:val="24"/>
              </w:rPr>
              <w:t xml:space="preserve">2018 год </w:t>
            </w:r>
          </w:p>
        </w:tc>
        <w:tc>
          <w:tcPr>
            <w:tcW w:w="1621" w:type="dxa"/>
            <w:shd w:val="clear" w:color="auto" w:fill="D9D9D9" w:themeFill="background1" w:themeFillShade="D9"/>
          </w:tcPr>
          <w:p w:rsidR="00DB7EBA" w:rsidRPr="000F535F" w:rsidRDefault="00DB7EBA" w:rsidP="00641CCA">
            <w:pPr>
              <w:spacing w:after="0" w:line="240" w:lineRule="auto"/>
              <w:ind w:left="-156" w:right="-140"/>
              <w:jc w:val="center"/>
              <w:rPr>
                <w:rFonts w:ascii="Times New Roman" w:hAnsi="Times New Roman"/>
                <w:b/>
                <w:sz w:val="24"/>
                <w:szCs w:val="24"/>
              </w:rPr>
            </w:pPr>
            <w:r w:rsidRPr="000F535F">
              <w:rPr>
                <w:rFonts w:ascii="Times New Roman" w:hAnsi="Times New Roman"/>
                <w:b/>
                <w:sz w:val="24"/>
                <w:szCs w:val="24"/>
              </w:rPr>
              <w:t>Темп роста, %</w:t>
            </w:r>
          </w:p>
        </w:tc>
      </w:tr>
      <w:tr w:rsidR="0017561C" w:rsidRPr="000F535F" w:rsidTr="00641CCA">
        <w:trPr>
          <w:trHeight w:val="223"/>
        </w:trPr>
        <w:tc>
          <w:tcPr>
            <w:tcW w:w="3261" w:type="dxa"/>
            <w:vAlign w:val="center"/>
          </w:tcPr>
          <w:p w:rsidR="0017561C" w:rsidRPr="000F535F" w:rsidRDefault="0017561C" w:rsidP="00641CCA">
            <w:pPr>
              <w:spacing w:after="0" w:line="240" w:lineRule="auto"/>
              <w:ind w:right="-108"/>
              <w:rPr>
                <w:rFonts w:ascii="Times New Roman" w:hAnsi="Times New Roman"/>
                <w:sz w:val="24"/>
                <w:szCs w:val="24"/>
              </w:rPr>
            </w:pPr>
            <w:r w:rsidRPr="000F535F">
              <w:rPr>
                <w:rFonts w:ascii="Times New Roman" w:hAnsi="Times New Roman"/>
                <w:sz w:val="24"/>
                <w:szCs w:val="24"/>
              </w:rPr>
              <w:t>ПГС</w:t>
            </w:r>
          </w:p>
        </w:tc>
        <w:tc>
          <w:tcPr>
            <w:tcW w:w="923" w:type="dxa"/>
            <w:vAlign w:val="center"/>
          </w:tcPr>
          <w:p w:rsidR="0017561C" w:rsidRPr="000F535F" w:rsidRDefault="0017561C" w:rsidP="00641CCA">
            <w:pPr>
              <w:spacing w:after="0" w:line="240" w:lineRule="auto"/>
              <w:ind w:left="-85" w:right="-108"/>
              <w:jc w:val="center"/>
              <w:rPr>
                <w:sz w:val="24"/>
                <w:szCs w:val="24"/>
              </w:rPr>
            </w:pPr>
            <w:r w:rsidRPr="000F535F">
              <w:rPr>
                <w:rFonts w:ascii="Times New Roman" w:hAnsi="Times New Roman"/>
                <w:sz w:val="24"/>
                <w:szCs w:val="24"/>
              </w:rPr>
              <w:t>м</w:t>
            </w:r>
            <w:r w:rsidRPr="000F535F">
              <w:rPr>
                <w:rFonts w:ascii="Times New Roman" w:hAnsi="Times New Roman"/>
                <w:sz w:val="24"/>
                <w:szCs w:val="24"/>
                <w:vertAlign w:val="superscript"/>
              </w:rPr>
              <w:t>3</w:t>
            </w:r>
          </w:p>
        </w:tc>
        <w:tc>
          <w:tcPr>
            <w:tcW w:w="1818"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415 303,7</w:t>
            </w:r>
          </w:p>
        </w:tc>
        <w:tc>
          <w:tcPr>
            <w:tcW w:w="1843"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532 108,0</w:t>
            </w:r>
          </w:p>
        </w:tc>
        <w:tc>
          <w:tcPr>
            <w:tcW w:w="1621" w:type="dxa"/>
            <w:vAlign w:val="center"/>
          </w:tcPr>
          <w:p w:rsidR="0017561C" w:rsidRPr="00B4125E" w:rsidRDefault="0017561C" w:rsidP="00641C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128,1</w:t>
            </w:r>
          </w:p>
        </w:tc>
      </w:tr>
      <w:tr w:rsidR="0017561C" w:rsidRPr="000F535F" w:rsidTr="00641CCA">
        <w:tc>
          <w:tcPr>
            <w:tcW w:w="3261" w:type="dxa"/>
            <w:vAlign w:val="center"/>
          </w:tcPr>
          <w:p w:rsidR="0017561C" w:rsidRPr="000F535F" w:rsidRDefault="0017561C" w:rsidP="00641CCA">
            <w:pPr>
              <w:spacing w:after="0" w:line="240" w:lineRule="auto"/>
              <w:ind w:right="-108"/>
              <w:rPr>
                <w:rFonts w:ascii="Times New Roman" w:hAnsi="Times New Roman"/>
                <w:sz w:val="24"/>
                <w:szCs w:val="24"/>
              </w:rPr>
            </w:pPr>
            <w:r w:rsidRPr="000F535F">
              <w:rPr>
                <w:rFonts w:ascii="Times New Roman" w:hAnsi="Times New Roman"/>
                <w:sz w:val="24"/>
                <w:szCs w:val="24"/>
              </w:rPr>
              <w:t>Пильный известняк</w:t>
            </w:r>
          </w:p>
        </w:tc>
        <w:tc>
          <w:tcPr>
            <w:tcW w:w="923" w:type="dxa"/>
            <w:vAlign w:val="center"/>
          </w:tcPr>
          <w:p w:rsidR="0017561C" w:rsidRPr="000F535F" w:rsidRDefault="0017561C" w:rsidP="00641CCA">
            <w:pPr>
              <w:spacing w:after="0" w:line="240" w:lineRule="auto"/>
              <w:ind w:left="-85" w:right="-108"/>
              <w:jc w:val="center"/>
              <w:rPr>
                <w:sz w:val="24"/>
                <w:szCs w:val="24"/>
              </w:rPr>
            </w:pPr>
            <w:r w:rsidRPr="000F535F">
              <w:rPr>
                <w:rFonts w:ascii="Times New Roman" w:hAnsi="Times New Roman"/>
                <w:sz w:val="24"/>
                <w:szCs w:val="24"/>
              </w:rPr>
              <w:t>м</w:t>
            </w:r>
            <w:r w:rsidRPr="000F535F">
              <w:rPr>
                <w:rFonts w:ascii="Times New Roman" w:hAnsi="Times New Roman"/>
                <w:sz w:val="24"/>
                <w:szCs w:val="24"/>
                <w:vertAlign w:val="superscript"/>
              </w:rPr>
              <w:t>3</w:t>
            </w:r>
          </w:p>
        </w:tc>
        <w:tc>
          <w:tcPr>
            <w:tcW w:w="1818"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9702,5</w:t>
            </w:r>
          </w:p>
        </w:tc>
        <w:tc>
          <w:tcPr>
            <w:tcW w:w="1843"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9 000,0</w:t>
            </w:r>
          </w:p>
        </w:tc>
        <w:tc>
          <w:tcPr>
            <w:tcW w:w="1621" w:type="dxa"/>
            <w:vAlign w:val="center"/>
          </w:tcPr>
          <w:p w:rsidR="0017561C" w:rsidRPr="00B4125E" w:rsidRDefault="0017561C" w:rsidP="00641C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92,8</w:t>
            </w:r>
          </w:p>
        </w:tc>
      </w:tr>
      <w:tr w:rsidR="0017561C" w:rsidRPr="000F535F" w:rsidTr="00641CCA">
        <w:tc>
          <w:tcPr>
            <w:tcW w:w="3261" w:type="dxa"/>
            <w:vAlign w:val="center"/>
          </w:tcPr>
          <w:p w:rsidR="0017561C" w:rsidRPr="000F535F" w:rsidRDefault="0017561C" w:rsidP="00641CCA">
            <w:pPr>
              <w:spacing w:after="0" w:line="240" w:lineRule="auto"/>
              <w:ind w:right="-108"/>
              <w:rPr>
                <w:rFonts w:ascii="Times New Roman" w:hAnsi="Times New Roman"/>
                <w:sz w:val="24"/>
                <w:szCs w:val="24"/>
              </w:rPr>
            </w:pPr>
            <w:r w:rsidRPr="00705FF1">
              <w:rPr>
                <w:rFonts w:ascii="Times New Roman" w:hAnsi="Times New Roman"/>
                <w:sz w:val="24"/>
                <w:szCs w:val="24"/>
              </w:rPr>
              <w:t>Рифогенный известняк</w:t>
            </w:r>
          </w:p>
        </w:tc>
        <w:tc>
          <w:tcPr>
            <w:tcW w:w="923" w:type="dxa"/>
            <w:vAlign w:val="center"/>
          </w:tcPr>
          <w:p w:rsidR="0017561C" w:rsidRPr="000F535F" w:rsidRDefault="0017561C" w:rsidP="00641CCA">
            <w:pPr>
              <w:spacing w:after="0" w:line="240" w:lineRule="auto"/>
              <w:ind w:left="-85" w:right="-108"/>
              <w:jc w:val="center"/>
              <w:rPr>
                <w:sz w:val="24"/>
                <w:szCs w:val="24"/>
              </w:rPr>
            </w:pPr>
            <w:r w:rsidRPr="000F535F">
              <w:rPr>
                <w:rFonts w:ascii="Times New Roman" w:hAnsi="Times New Roman"/>
                <w:sz w:val="24"/>
                <w:szCs w:val="24"/>
              </w:rPr>
              <w:t>м</w:t>
            </w:r>
            <w:r w:rsidRPr="000F535F">
              <w:rPr>
                <w:rFonts w:ascii="Times New Roman" w:hAnsi="Times New Roman"/>
                <w:sz w:val="24"/>
                <w:szCs w:val="24"/>
                <w:vertAlign w:val="superscript"/>
              </w:rPr>
              <w:t>3</w:t>
            </w:r>
          </w:p>
        </w:tc>
        <w:tc>
          <w:tcPr>
            <w:tcW w:w="1818"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3 102,0</w:t>
            </w:r>
          </w:p>
        </w:tc>
        <w:tc>
          <w:tcPr>
            <w:tcW w:w="1843"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3 548,0</w:t>
            </w:r>
          </w:p>
        </w:tc>
        <w:tc>
          <w:tcPr>
            <w:tcW w:w="1621" w:type="dxa"/>
            <w:vAlign w:val="center"/>
          </w:tcPr>
          <w:p w:rsidR="0017561C" w:rsidRPr="00B4125E" w:rsidRDefault="0017561C" w:rsidP="00641C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114,4</w:t>
            </w:r>
          </w:p>
        </w:tc>
      </w:tr>
      <w:tr w:rsidR="0017561C" w:rsidRPr="000F535F" w:rsidTr="005E63BD">
        <w:tc>
          <w:tcPr>
            <w:tcW w:w="9466" w:type="dxa"/>
            <w:gridSpan w:val="5"/>
            <w:vAlign w:val="center"/>
          </w:tcPr>
          <w:p w:rsidR="0017561C" w:rsidRPr="00B4125E" w:rsidRDefault="0017561C" w:rsidP="0017561C">
            <w:pPr>
              <w:spacing w:after="0" w:line="240" w:lineRule="auto"/>
              <w:rPr>
                <w:rFonts w:ascii="Times New Roman" w:hAnsi="Times New Roman"/>
                <w:color w:val="000000"/>
                <w:sz w:val="24"/>
                <w:szCs w:val="24"/>
              </w:rPr>
            </w:pPr>
            <w:r w:rsidRPr="000F535F">
              <w:rPr>
                <w:rFonts w:ascii="Times New Roman" w:hAnsi="Times New Roman"/>
                <w:sz w:val="24"/>
                <w:szCs w:val="24"/>
              </w:rPr>
              <w:t>Цементное сырье:</w:t>
            </w:r>
          </w:p>
        </w:tc>
      </w:tr>
      <w:tr w:rsidR="0017561C" w:rsidRPr="000F535F" w:rsidTr="00641CCA">
        <w:trPr>
          <w:trHeight w:val="208"/>
        </w:trPr>
        <w:tc>
          <w:tcPr>
            <w:tcW w:w="3261" w:type="dxa"/>
            <w:vAlign w:val="center"/>
          </w:tcPr>
          <w:p w:rsidR="0017561C" w:rsidRPr="000F535F" w:rsidRDefault="0017561C" w:rsidP="00641CCA">
            <w:pPr>
              <w:spacing w:after="0" w:line="240" w:lineRule="auto"/>
              <w:ind w:right="-108"/>
              <w:rPr>
                <w:rFonts w:ascii="Times New Roman" w:hAnsi="Times New Roman"/>
                <w:sz w:val="24"/>
                <w:szCs w:val="24"/>
              </w:rPr>
            </w:pPr>
            <w:r w:rsidRPr="000F535F">
              <w:rPr>
                <w:rFonts w:ascii="Times New Roman" w:hAnsi="Times New Roman"/>
                <w:sz w:val="24"/>
                <w:szCs w:val="24"/>
              </w:rPr>
              <w:t xml:space="preserve">- глина </w:t>
            </w:r>
          </w:p>
        </w:tc>
        <w:tc>
          <w:tcPr>
            <w:tcW w:w="923" w:type="dxa"/>
            <w:vAlign w:val="center"/>
          </w:tcPr>
          <w:p w:rsidR="0017561C" w:rsidRPr="000F535F" w:rsidRDefault="0017561C" w:rsidP="00641CCA">
            <w:pPr>
              <w:spacing w:after="0" w:line="240" w:lineRule="auto"/>
              <w:ind w:left="-85" w:right="-108"/>
              <w:jc w:val="center"/>
              <w:rPr>
                <w:sz w:val="24"/>
                <w:szCs w:val="24"/>
              </w:rPr>
            </w:pPr>
            <w:r w:rsidRPr="000F535F">
              <w:rPr>
                <w:rFonts w:ascii="Times New Roman" w:hAnsi="Times New Roman"/>
                <w:sz w:val="24"/>
                <w:szCs w:val="24"/>
              </w:rPr>
              <w:t>т</w:t>
            </w:r>
          </w:p>
        </w:tc>
        <w:tc>
          <w:tcPr>
            <w:tcW w:w="1818"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105 349,0</w:t>
            </w:r>
          </w:p>
        </w:tc>
        <w:tc>
          <w:tcPr>
            <w:tcW w:w="1843"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155 234,8</w:t>
            </w:r>
          </w:p>
        </w:tc>
        <w:tc>
          <w:tcPr>
            <w:tcW w:w="1621" w:type="dxa"/>
            <w:vAlign w:val="center"/>
          </w:tcPr>
          <w:p w:rsidR="0017561C" w:rsidRPr="00B4125E" w:rsidRDefault="0017561C" w:rsidP="00641C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147,4</w:t>
            </w:r>
          </w:p>
        </w:tc>
      </w:tr>
      <w:tr w:rsidR="0017561C" w:rsidRPr="000F535F" w:rsidTr="00641CCA">
        <w:trPr>
          <w:trHeight w:val="240"/>
        </w:trPr>
        <w:tc>
          <w:tcPr>
            <w:tcW w:w="3261" w:type="dxa"/>
            <w:vAlign w:val="center"/>
          </w:tcPr>
          <w:p w:rsidR="0017561C" w:rsidRPr="000F535F" w:rsidRDefault="0017561C" w:rsidP="00641CCA">
            <w:pPr>
              <w:spacing w:after="0" w:line="240" w:lineRule="auto"/>
              <w:ind w:right="-108"/>
              <w:rPr>
                <w:rFonts w:ascii="Times New Roman" w:hAnsi="Times New Roman"/>
                <w:sz w:val="24"/>
                <w:szCs w:val="24"/>
              </w:rPr>
            </w:pPr>
            <w:r>
              <w:rPr>
                <w:rFonts w:ascii="Times New Roman" w:hAnsi="Times New Roman"/>
                <w:sz w:val="24"/>
                <w:szCs w:val="24"/>
              </w:rPr>
              <w:t>- цементное сырье (</w:t>
            </w:r>
            <w:r w:rsidRPr="000F535F">
              <w:rPr>
                <w:rFonts w:ascii="Times New Roman" w:hAnsi="Times New Roman"/>
                <w:sz w:val="24"/>
                <w:szCs w:val="24"/>
              </w:rPr>
              <w:t>известняк</w:t>
            </w:r>
            <w:r>
              <w:rPr>
                <w:rFonts w:ascii="Times New Roman" w:hAnsi="Times New Roman"/>
                <w:sz w:val="24"/>
                <w:szCs w:val="24"/>
              </w:rPr>
              <w:t>)</w:t>
            </w:r>
          </w:p>
        </w:tc>
        <w:tc>
          <w:tcPr>
            <w:tcW w:w="923" w:type="dxa"/>
            <w:vAlign w:val="center"/>
          </w:tcPr>
          <w:p w:rsidR="0017561C" w:rsidRPr="000F535F" w:rsidRDefault="0017561C" w:rsidP="00641CCA">
            <w:pPr>
              <w:spacing w:after="0" w:line="240" w:lineRule="auto"/>
              <w:ind w:left="-85" w:right="-108"/>
              <w:jc w:val="center"/>
              <w:rPr>
                <w:sz w:val="24"/>
                <w:szCs w:val="24"/>
              </w:rPr>
            </w:pPr>
            <w:r>
              <w:rPr>
                <w:rFonts w:ascii="Times New Roman" w:hAnsi="Times New Roman"/>
                <w:sz w:val="24"/>
                <w:szCs w:val="24"/>
              </w:rPr>
              <w:t>т</w:t>
            </w:r>
          </w:p>
        </w:tc>
        <w:tc>
          <w:tcPr>
            <w:tcW w:w="1818"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519 655,8</w:t>
            </w:r>
          </w:p>
        </w:tc>
        <w:tc>
          <w:tcPr>
            <w:tcW w:w="1843"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670 195,9</w:t>
            </w:r>
          </w:p>
        </w:tc>
        <w:tc>
          <w:tcPr>
            <w:tcW w:w="1621" w:type="dxa"/>
            <w:vAlign w:val="center"/>
          </w:tcPr>
          <w:p w:rsidR="0017561C" w:rsidRPr="00B4125E" w:rsidRDefault="0017561C" w:rsidP="00641C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129,0</w:t>
            </w:r>
          </w:p>
        </w:tc>
      </w:tr>
      <w:tr w:rsidR="0017561C" w:rsidRPr="000F535F" w:rsidTr="00641CCA">
        <w:tc>
          <w:tcPr>
            <w:tcW w:w="3261" w:type="dxa"/>
            <w:vAlign w:val="center"/>
          </w:tcPr>
          <w:p w:rsidR="0017561C" w:rsidRPr="000F535F" w:rsidRDefault="0017561C" w:rsidP="00641CCA">
            <w:pPr>
              <w:spacing w:after="0" w:line="240" w:lineRule="auto"/>
              <w:ind w:right="-108"/>
              <w:rPr>
                <w:rFonts w:ascii="Times New Roman" w:hAnsi="Times New Roman"/>
                <w:sz w:val="24"/>
                <w:szCs w:val="24"/>
              </w:rPr>
            </w:pPr>
            <w:r w:rsidRPr="000F535F">
              <w:rPr>
                <w:rFonts w:ascii="Times New Roman" w:hAnsi="Times New Roman"/>
                <w:sz w:val="24"/>
                <w:szCs w:val="24"/>
              </w:rPr>
              <w:t xml:space="preserve">- известняк для извести </w:t>
            </w:r>
          </w:p>
        </w:tc>
        <w:tc>
          <w:tcPr>
            <w:tcW w:w="923" w:type="dxa"/>
            <w:vAlign w:val="center"/>
          </w:tcPr>
          <w:p w:rsidR="0017561C" w:rsidRPr="000F535F" w:rsidRDefault="0017561C" w:rsidP="00641CCA">
            <w:pPr>
              <w:spacing w:after="0" w:line="240" w:lineRule="auto"/>
              <w:ind w:left="-85" w:right="-108"/>
              <w:jc w:val="center"/>
              <w:rPr>
                <w:sz w:val="24"/>
                <w:szCs w:val="24"/>
              </w:rPr>
            </w:pPr>
            <w:r w:rsidRPr="000F535F">
              <w:rPr>
                <w:rFonts w:ascii="Times New Roman" w:hAnsi="Times New Roman"/>
                <w:sz w:val="24"/>
                <w:szCs w:val="24"/>
              </w:rPr>
              <w:t>м</w:t>
            </w:r>
            <w:r w:rsidRPr="000F535F">
              <w:rPr>
                <w:rFonts w:ascii="Times New Roman" w:hAnsi="Times New Roman"/>
                <w:sz w:val="24"/>
                <w:szCs w:val="24"/>
                <w:vertAlign w:val="superscript"/>
              </w:rPr>
              <w:t>3</w:t>
            </w:r>
          </w:p>
        </w:tc>
        <w:tc>
          <w:tcPr>
            <w:tcW w:w="1818"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64 305,2</w:t>
            </w:r>
          </w:p>
        </w:tc>
        <w:tc>
          <w:tcPr>
            <w:tcW w:w="1843"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40 900,0</w:t>
            </w:r>
          </w:p>
        </w:tc>
        <w:tc>
          <w:tcPr>
            <w:tcW w:w="1621" w:type="dxa"/>
            <w:vAlign w:val="center"/>
          </w:tcPr>
          <w:p w:rsidR="0017561C" w:rsidRPr="00B4125E" w:rsidRDefault="0017561C" w:rsidP="00641C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63,6</w:t>
            </w:r>
          </w:p>
        </w:tc>
      </w:tr>
      <w:tr w:rsidR="0017561C" w:rsidRPr="000F535F" w:rsidTr="00641CCA">
        <w:tc>
          <w:tcPr>
            <w:tcW w:w="3261" w:type="dxa"/>
            <w:vAlign w:val="center"/>
          </w:tcPr>
          <w:p w:rsidR="0017561C" w:rsidRPr="000F535F" w:rsidRDefault="0017561C" w:rsidP="00641CCA">
            <w:pPr>
              <w:spacing w:after="0" w:line="240" w:lineRule="auto"/>
              <w:ind w:right="-108"/>
              <w:rPr>
                <w:rFonts w:ascii="Times New Roman" w:hAnsi="Times New Roman"/>
                <w:sz w:val="24"/>
                <w:szCs w:val="24"/>
              </w:rPr>
            </w:pPr>
            <w:r w:rsidRPr="000F535F">
              <w:rPr>
                <w:rFonts w:ascii="Times New Roman" w:hAnsi="Times New Roman"/>
                <w:sz w:val="24"/>
                <w:szCs w:val="24"/>
              </w:rPr>
              <w:t>- строительный известняк</w:t>
            </w:r>
          </w:p>
        </w:tc>
        <w:tc>
          <w:tcPr>
            <w:tcW w:w="923" w:type="dxa"/>
            <w:vAlign w:val="center"/>
          </w:tcPr>
          <w:p w:rsidR="0017561C" w:rsidRPr="000F535F" w:rsidRDefault="0017561C" w:rsidP="00641CCA">
            <w:pPr>
              <w:spacing w:after="0" w:line="240" w:lineRule="auto"/>
              <w:ind w:left="-85" w:right="-108"/>
              <w:jc w:val="center"/>
              <w:rPr>
                <w:rFonts w:ascii="Times New Roman" w:hAnsi="Times New Roman"/>
                <w:sz w:val="24"/>
                <w:szCs w:val="24"/>
              </w:rPr>
            </w:pPr>
            <w:r w:rsidRPr="000F535F">
              <w:rPr>
                <w:rFonts w:ascii="Times New Roman" w:hAnsi="Times New Roman"/>
                <w:sz w:val="24"/>
                <w:szCs w:val="24"/>
              </w:rPr>
              <w:t>м</w:t>
            </w:r>
            <w:r w:rsidRPr="000F535F">
              <w:rPr>
                <w:rFonts w:ascii="Times New Roman" w:hAnsi="Times New Roman"/>
                <w:sz w:val="24"/>
                <w:szCs w:val="24"/>
                <w:vertAlign w:val="superscript"/>
              </w:rPr>
              <w:t>3</w:t>
            </w:r>
          </w:p>
        </w:tc>
        <w:tc>
          <w:tcPr>
            <w:tcW w:w="1818"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113,1</w:t>
            </w:r>
          </w:p>
        </w:tc>
        <w:tc>
          <w:tcPr>
            <w:tcW w:w="1843"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3 315,2</w:t>
            </w:r>
          </w:p>
        </w:tc>
        <w:tc>
          <w:tcPr>
            <w:tcW w:w="1621" w:type="dxa"/>
            <w:vAlign w:val="center"/>
          </w:tcPr>
          <w:p w:rsidR="0017561C" w:rsidRPr="00B4125E" w:rsidRDefault="0017561C" w:rsidP="00641C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в 29,3 р.</w:t>
            </w:r>
          </w:p>
        </w:tc>
      </w:tr>
      <w:tr w:rsidR="0017561C" w:rsidRPr="000F535F" w:rsidTr="00641CCA">
        <w:tc>
          <w:tcPr>
            <w:tcW w:w="3261" w:type="dxa"/>
            <w:vAlign w:val="center"/>
          </w:tcPr>
          <w:p w:rsidR="0017561C" w:rsidRPr="000F535F" w:rsidRDefault="0017561C" w:rsidP="00641CCA">
            <w:pPr>
              <w:spacing w:after="0" w:line="240" w:lineRule="auto"/>
              <w:ind w:right="-108"/>
              <w:rPr>
                <w:rFonts w:ascii="Times New Roman" w:hAnsi="Times New Roman"/>
                <w:sz w:val="24"/>
                <w:szCs w:val="24"/>
              </w:rPr>
            </w:pPr>
            <w:r w:rsidRPr="000F535F">
              <w:rPr>
                <w:rFonts w:ascii="Times New Roman" w:hAnsi="Times New Roman"/>
                <w:sz w:val="24"/>
                <w:szCs w:val="24"/>
              </w:rPr>
              <w:t xml:space="preserve">Минеральная вода </w:t>
            </w:r>
          </w:p>
        </w:tc>
        <w:tc>
          <w:tcPr>
            <w:tcW w:w="923" w:type="dxa"/>
            <w:vAlign w:val="center"/>
          </w:tcPr>
          <w:p w:rsidR="0017561C" w:rsidRPr="000F535F" w:rsidRDefault="0017561C" w:rsidP="00641CCA">
            <w:pPr>
              <w:spacing w:after="0" w:line="240" w:lineRule="auto"/>
              <w:ind w:left="-85" w:right="-108"/>
              <w:jc w:val="center"/>
              <w:rPr>
                <w:rFonts w:ascii="Times New Roman" w:hAnsi="Times New Roman"/>
                <w:sz w:val="24"/>
                <w:szCs w:val="24"/>
              </w:rPr>
            </w:pPr>
            <w:r w:rsidRPr="000F535F">
              <w:rPr>
                <w:rFonts w:ascii="Times New Roman" w:hAnsi="Times New Roman"/>
                <w:sz w:val="24"/>
                <w:szCs w:val="24"/>
              </w:rPr>
              <w:t>м</w:t>
            </w:r>
            <w:r w:rsidRPr="000F535F">
              <w:rPr>
                <w:rFonts w:ascii="Times New Roman" w:hAnsi="Times New Roman"/>
                <w:sz w:val="24"/>
                <w:szCs w:val="24"/>
                <w:vertAlign w:val="superscript"/>
              </w:rPr>
              <w:t>3</w:t>
            </w:r>
          </w:p>
        </w:tc>
        <w:tc>
          <w:tcPr>
            <w:tcW w:w="1818"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5 360,2</w:t>
            </w:r>
          </w:p>
        </w:tc>
        <w:tc>
          <w:tcPr>
            <w:tcW w:w="1843" w:type="dxa"/>
            <w:vAlign w:val="center"/>
          </w:tcPr>
          <w:p w:rsidR="0017561C" w:rsidRPr="00B4125E" w:rsidRDefault="0017561C" w:rsidP="005E63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5 228,3</w:t>
            </w:r>
          </w:p>
        </w:tc>
        <w:tc>
          <w:tcPr>
            <w:tcW w:w="1621" w:type="dxa"/>
            <w:vAlign w:val="center"/>
          </w:tcPr>
          <w:p w:rsidR="0017561C" w:rsidRPr="00B4125E" w:rsidRDefault="0017561C" w:rsidP="00641C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97,5</w:t>
            </w:r>
          </w:p>
        </w:tc>
      </w:tr>
    </w:tbl>
    <w:p w:rsidR="00DB7EBA" w:rsidRDefault="00DB7EBA" w:rsidP="00DB7EBA">
      <w:pPr>
        <w:spacing w:after="0" w:line="240" w:lineRule="auto"/>
        <w:ind w:firstLine="426"/>
        <w:jc w:val="both"/>
        <w:rPr>
          <w:rFonts w:ascii="Times New Roman" w:hAnsi="Times New Roman"/>
          <w:sz w:val="28"/>
          <w:szCs w:val="28"/>
        </w:rPr>
      </w:pPr>
    </w:p>
    <w:p w:rsidR="00DB7EBA" w:rsidRPr="000545D5" w:rsidRDefault="00DB7EBA" w:rsidP="00DB7EBA">
      <w:pPr>
        <w:spacing w:after="0" w:line="240" w:lineRule="auto"/>
        <w:ind w:firstLine="426"/>
        <w:jc w:val="both"/>
        <w:rPr>
          <w:rFonts w:ascii="Times New Roman" w:hAnsi="Times New Roman"/>
          <w:sz w:val="28"/>
          <w:szCs w:val="28"/>
        </w:rPr>
      </w:pPr>
      <w:r w:rsidRPr="005F1A8B">
        <w:rPr>
          <w:rFonts w:ascii="Times New Roman" w:hAnsi="Times New Roman"/>
          <w:sz w:val="28"/>
          <w:szCs w:val="28"/>
        </w:rPr>
        <w:t xml:space="preserve">На фоне </w:t>
      </w:r>
      <w:r>
        <w:rPr>
          <w:rFonts w:ascii="Times New Roman" w:hAnsi="Times New Roman"/>
          <w:sz w:val="28"/>
          <w:szCs w:val="28"/>
        </w:rPr>
        <w:t xml:space="preserve">увеличения в отчетном периоде добычи цементного сырья, платежи за пользование недрами и отчисления на воспроизводство минерально-сырьевой базы возросли к уровню 2017 года до 12 803,0 тыс. руб. (+34,9%) и до 8 639,1 тыс. руб. (+43,0%) </w:t>
      </w:r>
      <w:r w:rsidRPr="000545D5">
        <w:rPr>
          <w:rFonts w:ascii="Times New Roman" w:hAnsi="Times New Roman"/>
          <w:sz w:val="28"/>
          <w:szCs w:val="28"/>
        </w:rPr>
        <w:t>соответственно.</w:t>
      </w:r>
    </w:p>
    <w:p w:rsidR="00DB7EBA" w:rsidRPr="00C975FF" w:rsidRDefault="00DB7EBA" w:rsidP="00DB7EBA">
      <w:pPr>
        <w:spacing w:after="0" w:line="240" w:lineRule="auto"/>
        <w:ind w:firstLine="425"/>
        <w:jc w:val="both"/>
        <w:rPr>
          <w:rFonts w:ascii="Times New Roman" w:hAnsi="Times New Roman"/>
          <w:sz w:val="28"/>
          <w:szCs w:val="28"/>
        </w:rPr>
      </w:pPr>
      <w:r w:rsidRPr="00C975FF">
        <w:rPr>
          <w:rFonts w:ascii="Times New Roman" w:hAnsi="Times New Roman"/>
          <w:sz w:val="28"/>
          <w:szCs w:val="28"/>
        </w:rPr>
        <w:t>В рамках реализации Постановления Правительства Приднестровской Молдавской Республики от 12 ноября 2013 года № 273 «Об утверждении Положения о порядке использования строительных материалов (песок, гравий, щебень, ПГС) для выполнения мероприятий по благоустройству сельских населенных пунктов и ремонту дорог, расположенных в сельских населенных пунктах городов и районов, а также обеспечения строительными материалами социально незащищенных категорий граждан сельских (поселковых) населенных пунктов Приднестровской Молдавской Республики», подготовлены и подписано 6 Соглашений о безвозмездном отпуске строительных материалов (песок, ПГС) горнодобывающими предприятиями для Государственных администраций Приднестровской Молдавской Республики</w:t>
      </w:r>
      <w:r>
        <w:rPr>
          <w:rFonts w:ascii="Times New Roman" w:hAnsi="Times New Roman"/>
          <w:sz w:val="28"/>
          <w:szCs w:val="28"/>
        </w:rPr>
        <w:t>:</w:t>
      </w:r>
    </w:p>
    <w:p w:rsidR="00DB7EBA" w:rsidRPr="00C975FF" w:rsidRDefault="00DB7EBA" w:rsidP="00DB7EBA">
      <w:pPr>
        <w:spacing w:after="0" w:line="240" w:lineRule="auto"/>
        <w:ind w:firstLine="425"/>
        <w:jc w:val="both"/>
        <w:rPr>
          <w:rFonts w:ascii="Times New Roman" w:hAnsi="Times New Roman"/>
          <w:sz w:val="28"/>
          <w:szCs w:val="28"/>
        </w:rPr>
      </w:pPr>
      <w:r w:rsidRPr="00C975FF">
        <w:rPr>
          <w:rFonts w:ascii="Times New Roman" w:hAnsi="Times New Roman"/>
          <w:sz w:val="28"/>
          <w:szCs w:val="28"/>
        </w:rPr>
        <w:t>- по Григориопольскому району заключено 2 соглашения (ООО «Лювена», СООО «Андорком»)</w:t>
      </w:r>
      <w:r>
        <w:rPr>
          <w:rFonts w:ascii="Times New Roman" w:hAnsi="Times New Roman"/>
          <w:sz w:val="28"/>
          <w:szCs w:val="28"/>
        </w:rPr>
        <w:t>.</w:t>
      </w:r>
      <w:r w:rsidRPr="00C975FF">
        <w:rPr>
          <w:rFonts w:ascii="Times New Roman" w:hAnsi="Times New Roman"/>
          <w:sz w:val="28"/>
          <w:szCs w:val="28"/>
        </w:rPr>
        <w:t xml:space="preserve"> </w:t>
      </w:r>
      <w:r w:rsidRPr="00F607BF">
        <w:rPr>
          <w:rFonts w:ascii="Times New Roman" w:hAnsi="Times New Roman"/>
          <w:sz w:val="28"/>
          <w:szCs w:val="28"/>
        </w:rPr>
        <w:t xml:space="preserve">Объем отпуска песчано-гравийной смеси </w:t>
      </w:r>
      <w:r w:rsidR="0017561C">
        <w:rPr>
          <w:rFonts w:ascii="Times New Roman" w:hAnsi="Times New Roman"/>
          <w:sz w:val="28"/>
          <w:szCs w:val="28"/>
        </w:rPr>
        <w:t xml:space="preserve">и песка </w:t>
      </w:r>
      <w:r w:rsidRPr="00F607BF">
        <w:rPr>
          <w:rFonts w:ascii="Times New Roman" w:hAnsi="Times New Roman"/>
          <w:sz w:val="28"/>
          <w:szCs w:val="28"/>
        </w:rPr>
        <w:t>составил</w:t>
      </w:r>
      <w:r w:rsidRPr="00C975FF">
        <w:rPr>
          <w:rFonts w:ascii="Times New Roman" w:hAnsi="Times New Roman"/>
          <w:sz w:val="28"/>
          <w:szCs w:val="28"/>
        </w:rPr>
        <w:t xml:space="preserve"> 1</w:t>
      </w:r>
      <w:r>
        <w:rPr>
          <w:rFonts w:ascii="Times New Roman" w:hAnsi="Times New Roman"/>
          <w:sz w:val="28"/>
          <w:szCs w:val="28"/>
        </w:rPr>
        <w:t> </w:t>
      </w:r>
      <w:r w:rsidRPr="00C975FF">
        <w:rPr>
          <w:rFonts w:ascii="Times New Roman" w:hAnsi="Times New Roman"/>
          <w:sz w:val="28"/>
          <w:szCs w:val="28"/>
        </w:rPr>
        <w:t>400,0</w:t>
      </w:r>
      <w:r>
        <w:rPr>
          <w:rFonts w:ascii="Times New Roman" w:hAnsi="Times New Roman"/>
          <w:sz w:val="28"/>
          <w:szCs w:val="28"/>
        </w:rPr>
        <w:t> </w:t>
      </w:r>
      <w:r w:rsidRPr="00C975FF">
        <w:rPr>
          <w:rFonts w:ascii="Times New Roman" w:hAnsi="Times New Roman"/>
          <w:sz w:val="28"/>
          <w:szCs w:val="28"/>
        </w:rPr>
        <w:t>м</w:t>
      </w:r>
      <w:r w:rsidRPr="006C64F4">
        <w:rPr>
          <w:rFonts w:ascii="Times New Roman" w:hAnsi="Times New Roman"/>
          <w:sz w:val="28"/>
          <w:szCs w:val="28"/>
          <w:vertAlign w:val="superscript"/>
        </w:rPr>
        <w:t>3</w:t>
      </w:r>
      <w:r w:rsidRPr="00C975FF">
        <w:rPr>
          <w:rFonts w:ascii="Times New Roman" w:hAnsi="Times New Roman"/>
          <w:sz w:val="28"/>
          <w:szCs w:val="28"/>
        </w:rPr>
        <w:t xml:space="preserve"> и 600,0 т</w:t>
      </w:r>
      <w:r>
        <w:rPr>
          <w:rFonts w:ascii="Times New Roman" w:hAnsi="Times New Roman"/>
          <w:sz w:val="28"/>
          <w:szCs w:val="28"/>
        </w:rPr>
        <w:t>онн</w:t>
      </w:r>
      <w:r w:rsidRPr="00C975FF">
        <w:rPr>
          <w:rFonts w:ascii="Times New Roman" w:hAnsi="Times New Roman"/>
          <w:sz w:val="28"/>
          <w:szCs w:val="28"/>
        </w:rPr>
        <w:t>;</w:t>
      </w:r>
    </w:p>
    <w:p w:rsidR="00DB7EBA" w:rsidRPr="00C975FF" w:rsidRDefault="00DB7EBA" w:rsidP="00DB7EBA">
      <w:pPr>
        <w:spacing w:after="0" w:line="240" w:lineRule="auto"/>
        <w:ind w:firstLine="425"/>
        <w:jc w:val="both"/>
        <w:rPr>
          <w:rFonts w:ascii="Times New Roman" w:hAnsi="Times New Roman"/>
          <w:sz w:val="28"/>
          <w:szCs w:val="28"/>
        </w:rPr>
      </w:pPr>
      <w:r w:rsidRPr="00C975FF">
        <w:rPr>
          <w:rFonts w:ascii="Times New Roman" w:hAnsi="Times New Roman"/>
          <w:sz w:val="28"/>
          <w:szCs w:val="28"/>
        </w:rPr>
        <w:t>- по Каменскому району заключено 1 соглашение (ГУП «Каменское ДСЭУ»)</w:t>
      </w:r>
      <w:r>
        <w:rPr>
          <w:rFonts w:ascii="Times New Roman" w:hAnsi="Times New Roman"/>
          <w:sz w:val="28"/>
          <w:szCs w:val="28"/>
        </w:rPr>
        <w:t>.</w:t>
      </w:r>
      <w:r w:rsidRPr="006C64F4">
        <w:rPr>
          <w:rFonts w:ascii="Times New Roman" w:hAnsi="Times New Roman"/>
          <w:sz w:val="28"/>
          <w:szCs w:val="28"/>
        </w:rPr>
        <w:t xml:space="preserve"> </w:t>
      </w:r>
      <w:r w:rsidRPr="00F607BF">
        <w:rPr>
          <w:rFonts w:ascii="Times New Roman" w:hAnsi="Times New Roman"/>
          <w:sz w:val="28"/>
          <w:szCs w:val="28"/>
        </w:rPr>
        <w:t xml:space="preserve">Объем отпуска песчано-гравийной смеси </w:t>
      </w:r>
      <w:r w:rsidR="0017561C">
        <w:rPr>
          <w:rFonts w:ascii="Times New Roman" w:hAnsi="Times New Roman"/>
          <w:sz w:val="28"/>
          <w:szCs w:val="28"/>
        </w:rPr>
        <w:t xml:space="preserve">и песка </w:t>
      </w:r>
      <w:r w:rsidRPr="00F607BF">
        <w:rPr>
          <w:rFonts w:ascii="Times New Roman" w:hAnsi="Times New Roman"/>
          <w:sz w:val="28"/>
          <w:szCs w:val="28"/>
        </w:rPr>
        <w:t>составил</w:t>
      </w:r>
      <w:r w:rsidRPr="00C975FF">
        <w:rPr>
          <w:rFonts w:ascii="Times New Roman" w:hAnsi="Times New Roman"/>
          <w:sz w:val="28"/>
          <w:szCs w:val="28"/>
        </w:rPr>
        <w:t xml:space="preserve"> на 1</w:t>
      </w:r>
      <w:r>
        <w:rPr>
          <w:rFonts w:ascii="Times New Roman" w:hAnsi="Times New Roman"/>
          <w:sz w:val="28"/>
          <w:szCs w:val="28"/>
        </w:rPr>
        <w:t> </w:t>
      </w:r>
      <w:r w:rsidRPr="00C975FF">
        <w:rPr>
          <w:rFonts w:ascii="Times New Roman" w:hAnsi="Times New Roman"/>
          <w:sz w:val="28"/>
          <w:szCs w:val="28"/>
        </w:rPr>
        <w:t>150,0 м</w:t>
      </w:r>
      <w:r w:rsidRPr="006C64F4">
        <w:rPr>
          <w:rFonts w:ascii="Times New Roman" w:hAnsi="Times New Roman"/>
          <w:sz w:val="28"/>
          <w:szCs w:val="28"/>
          <w:vertAlign w:val="superscript"/>
        </w:rPr>
        <w:t>3</w:t>
      </w:r>
      <w:r w:rsidRPr="00C975FF">
        <w:rPr>
          <w:rFonts w:ascii="Times New Roman" w:hAnsi="Times New Roman"/>
          <w:sz w:val="28"/>
          <w:szCs w:val="28"/>
        </w:rPr>
        <w:t>;</w:t>
      </w:r>
    </w:p>
    <w:p w:rsidR="00DB7EBA" w:rsidRDefault="00DB7EBA" w:rsidP="00DB7EBA">
      <w:pPr>
        <w:spacing w:after="0" w:line="240" w:lineRule="auto"/>
        <w:ind w:firstLine="425"/>
        <w:jc w:val="both"/>
        <w:rPr>
          <w:rFonts w:ascii="Times New Roman" w:hAnsi="Times New Roman"/>
          <w:sz w:val="28"/>
          <w:szCs w:val="28"/>
        </w:rPr>
      </w:pPr>
      <w:r w:rsidRPr="00C975FF">
        <w:rPr>
          <w:rFonts w:ascii="Times New Roman" w:hAnsi="Times New Roman"/>
          <w:sz w:val="28"/>
          <w:szCs w:val="28"/>
        </w:rPr>
        <w:t>- по Слободзейскому району заключено 3 соглашения (ООО «Известняк», ОАО «Тираспольский кирпичный завод», ОАО «Тирнистром») общи</w:t>
      </w:r>
      <w:r>
        <w:rPr>
          <w:rFonts w:ascii="Times New Roman" w:hAnsi="Times New Roman"/>
          <w:sz w:val="28"/>
          <w:szCs w:val="28"/>
        </w:rPr>
        <w:t>м</w:t>
      </w:r>
      <w:r w:rsidRPr="00C975FF">
        <w:rPr>
          <w:rFonts w:ascii="Times New Roman" w:hAnsi="Times New Roman"/>
          <w:sz w:val="28"/>
          <w:szCs w:val="28"/>
        </w:rPr>
        <w:t xml:space="preserve"> объем</w:t>
      </w:r>
      <w:r>
        <w:rPr>
          <w:rFonts w:ascii="Times New Roman" w:hAnsi="Times New Roman"/>
          <w:sz w:val="28"/>
          <w:szCs w:val="28"/>
        </w:rPr>
        <w:t xml:space="preserve">ом </w:t>
      </w:r>
      <w:r w:rsidRPr="00F607BF">
        <w:rPr>
          <w:rFonts w:ascii="Times New Roman" w:hAnsi="Times New Roman"/>
          <w:sz w:val="28"/>
          <w:szCs w:val="28"/>
        </w:rPr>
        <w:t>отпуска песчано-гравийной смеси</w:t>
      </w:r>
      <w:r w:rsidR="0017561C">
        <w:rPr>
          <w:rFonts w:ascii="Times New Roman" w:hAnsi="Times New Roman"/>
          <w:sz w:val="28"/>
          <w:szCs w:val="28"/>
        </w:rPr>
        <w:t xml:space="preserve"> и песка</w:t>
      </w:r>
      <w:r>
        <w:rPr>
          <w:rFonts w:ascii="Times New Roman" w:hAnsi="Times New Roman"/>
          <w:sz w:val="28"/>
          <w:szCs w:val="28"/>
        </w:rPr>
        <w:t xml:space="preserve"> </w:t>
      </w:r>
      <w:r w:rsidRPr="00C975FF">
        <w:rPr>
          <w:rFonts w:ascii="Times New Roman" w:hAnsi="Times New Roman"/>
          <w:sz w:val="28"/>
          <w:szCs w:val="28"/>
        </w:rPr>
        <w:t>– 800 м</w:t>
      </w:r>
      <w:r w:rsidRPr="006C64F4">
        <w:rPr>
          <w:rFonts w:ascii="Times New Roman" w:hAnsi="Times New Roman"/>
          <w:sz w:val="28"/>
          <w:szCs w:val="28"/>
          <w:vertAlign w:val="superscript"/>
        </w:rPr>
        <w:t>3</w:t>
      </w:r>
      <w:r w:rsidRPr="00C975FF">
        <w:rPr>
          <w:rFonts w:ascii="Times New Roman" w:hAnsi="Times New Roman"/>
          <w:sz w:val="28"/>
          <w:szCs w:val="28"/>
        </w:rPr>
        <w:t>.</w:t>
      </w:r>
    </w:p>
    <w:p w:rsidR="00335844" w:rsidRPr="0080737A" w:rsidRDefault="00335844" w:rsidP="007D3AA7">
      <w:pPr>
        <w:spacing w:after="0" w:line="240" w:lineRule="auto"/>
        <w:ind w:firstLine="709"/>
        <w:jc w:val="both"/>
        <w:rPr>
          <w:rFonts w:ascii="Times New Roman" w:hAnsi="Times New Roman"/>
          <w:sz w:val="24"/>
          <w:szCs w:val="24"/>
          <w:shd w:val="clear" w:color="auto" w:fill="FFFFFF"/>
        </w:rPr>
      </w:pPr>
    </w:p>
    <w:p w:rsidR="00335844" w:rsidRPr="0080737A" w:rsidRDefault="00335844" w:rsidP="007D3AA7">
      <w:pPr>
        <w:spacing w:after="0" w:line="240" w:lineRule="auto"/>
        <w:jc w:val="both"/>
        <w:rPr>
          <w:rFonts w:ascii="Times New Roman" w:hAnsi="Times New Roman"/>
          <w:sz w:val="24"/>
          <w:szCs w:val="24"/>
        </w:rPr>
        <w:sectPr w:rsidR="00335844" w:rsidRPr="0080737A" w:rsidSect="006E6307">
          <w:pgSz w:w="11906" w:h="16838" w:code="9"/>
          <w:pgMar w:top="567" w:right="567" w:bottom="1134" w:left="1701" w:header="709" w:footer="709" w:gutter="0"/>
          <w:cols w:space="708"/>
          <w:docGrid w:linePitch="360"/>
        </w:sectPr>
      </w:pPr>
    </w:p>
    <w:tbl>
      <w:tblPr>
        <w:tblpPr w:leftFromText="180" w:rightFromText="180" w:vertAnchor="page" w:horzAnchor="margin" w:tblpXSpec="center" w:tblpY="451"/>
        <w:tblW w:w="9790" w:type="dxa"/>
        <w:tblLayout w:type="fixed"/>
        <w:tblLook w:val="00A0" w:firstRow="1" w:lastRow="0" w:firstColumn="1" w:lastColumn="0" w:noHBand="0" w:noVBand="0"/>
      </w:tblPr>
      <w:tblGrid>
        <w:gridCol w:w="4219"/>
        <w:gridCol w:w="567"/>
        <w:gridCol w:w="142"/>
        <w:gridCol w:w="709"/>
        <w:gridCol w:w="260"/>
        <w:gridCol w:w="165"/>
        <w:gridCol w:w="236"/>
        <w:gridCol w:w="308"/>
        <w:gridCol w:w="377"/>
        <w:gridCol w:w="213"/>
        <w:gridCol w:w="184"/>
        <w:gridCol w:w="242"/>
        <w:gridCol w:w="844"/>
        <w:gridCol w:w="6"/>
        <w:gridCol w:w="232"/>
        <w:gridCol w:w="1043"/>
        <w:gridCol w:w="43"/>
      </w:tblGrid>
      <w:tr w:rsidR="00CB462C" w:rsidRPr="00CB462C" w:rsidTr="00F96094">
        <w:trPr>
          <w:gridAfter w:val="1"/>
          <w:wAfter w:w="43" w:type="dxa"/>
          <w:trHeight w:val="80"/>
        </w:trPr>
        <w:tc>
          <w:tcPr>
            <w:tcW w:w="4786" w:type="dxa"/>
            <w:gridSpan w:val="2"/>
            <w:tcBorders>
              <w:top w:val="nil"/>
              <w:left w:val="nil"/>
              <w:right w:val="nil"/>
            </w:tcBorders>
            <w:noWrap/>
            <w:vAlign w:val="bottom"/>
          </w:tcPr>
          <w:p w:rsidR="00CB462C" w:rsidRPr="00CB462C" w:rsidRDefault="00CB462C" w:rsidP="00CB462C">
            <w:pPr>
              <w:spacing w:after="0" w:line="240" w:lineRule="auto"/>
              <w:ind w:left="-142" w:firstLine="142"/>
              <w:rPr>
                <w:color w:val="000000"/>
              </w:rPr>
            </w:pPr>
          </w:p>
        </w:tc>
        <w:tc>
          <w:tcPr>
            <w:tcW w:w="1276" w:type="dxa"/>
            <w:gridSpan w:val="4"/>
            <w:tcBorders>
              <w:top w:val="nil"/>
              <w:left w:val="nil"/>
              <w:right w:val="nil"/>
            </w:tcBorders>
            <w:noWrap/>
            <w:vAlign w:val="bottom"/>
          </w:tcPr>
          <w:p w:rsidR="00CB462C" w:rsidRPr="00CB462C" w:rsidRDefault="00CB462C" w:rsidP="00CB462C">
            <w:pPr>
              <w:spacing w:after="0" w:line="240" w:lineRule="auto"/>
              <w:ind w:left="-142" w:firstLine="142"/>
              <w:rPr>
                <w:color w:val="000000"/>
              </w:rPr>
            </w:pPr>
          </w:p>
        </w:tc>
        <w:tc>
          <w:tcPr>
            <w:tcW w:w="236" w:type="dxa"/>
            <w:tcBorders>
              <w:top w:val="nil"/>
              <w:left w:val="nil"/>
              <w:right w:val="nil"/>
            </w:tcBorders>
            <w:noWrap/>
            <w:vAlign w:val="bottom"/>
          </w:tcPr>
          <w:p w:rsidR="00CB462C" w:rsidRPr="00CB462C" w:rsidRDefault="00CB462C" w:rsidP="00CB462C">
            <w:pPr>
              <w:spacing w:after="0" w:line="240" w:lineRule="auto"/>
              <w:ind w:left="-142" w:firstLine="142"/>
              <w:rPr>
                <w:color w:val="000000"/>
              </w:rPr>
            </w:pPr>
          </w:p>
        </w:tc>
        <w:tc>
          <w:tcPr>
            <w:tcW w:w="1082" w:type="dxa"/>
            <w:gridSpan w:val="4"/>
            <w:tcBorders>
              <w:top w:val="nil"/>
              <w:left w:val="nil"/>
              <w:right w:val="nil"/>
            </w:tcBorders>
          </w:tcPr>
          <w:p w:rsidR="00CB462C" w:rsidRPr="00CB462C" w:rsidRDefault="00CB462C" w:rsidP="00CB462C">
            <w:pPr>
              <w:spacing w:after="0" w:line="240" w:lineRule="auto"/>
              <w:ind w:left="-142" w:firstLine="142"/>
              <w:rPr>
                <w:color w:val="000000"/>
              </w:rPr>
            </w:pPr>
          </w:p>
        </w:tc>
        <w:tc>
          <w:tcPr>
            <w:tcW w:w="2367" w:type="dxa"/>
            <w:gridSpan w:val="5"/>
            <w:tcBorders>
              <w:top w:val="nil"/>
              <w:left w:val="nil"/>
            </w:tcBorders>
            <w:noWrap/>
            <w:vAlign w:val="bottom"/>
          </w:tcPr>
          <w:p w:rsidR="00CB462C" w:rsidRPr="00CB462C" w:rsidRDefault="00CB462C" w:rsidP="00CB462C">
            <w:pPr>
              <w:tabs>
                <w:tab w:val="left" w:pos="7122"/>
              </w:tabs>
              <w:spacing w:after="0" w:line="240" w:lineRule="auto"/>
              <w:ind w:left="-142" w:right="1167" w:firstLine="142"/>
              <w:rPr>
                <w:color w:val="000000"/>
              </w:rPr>
            </w:pPr>
          </w:p>
        </w:tc>
      </w:tr>
      <w:tr w:rsidR="00CB462C" w:rsidRPr="00CB462C" w:rsidTr="00F96094">
        <w:trPr>
          <w:gridAfter w:val="1"/>
          <w:wAfter w:w="43" w:type="dxa"/>
          <w:trHeight w:val="80"/>
        </w:trPr>
        <w:tc>
          <w:tcPr>
            <w:tcW w:w="9747" w:type="dxa"/>
            <w:gridSpan w:val="16"/>
            <w:tcBorders>
              <w:left w:val="nil"/>
              <w:bottom w:val="single" w:sz="4" w:space="0" w:color="auto"/>
            </w:tcBorders>
            <w:noWrap/>
            <w:vAlign w:val="bottom"/>
          </w:tcPr>
          <w:p w:rsidR="00CB462C" w:rsidRPr="00CB462C" w:rsidRDefault="00CB462C" w:rsidP="00CB462C">
            <w:pPr>
              <w:tabs>
                <w:tab w:val="left" w:pos="8931"/>
              </w:tabs>
              <w:spacing w:after="0" w:line="240" w:lineRule="auto"/>
              <w:ind w:left="-142" w:firstLine="142"/>
              <w:jc w:val="right"/>
              <w:rPr>
                <w:rFonts w:ascii="Times New Roman" w:hAnsi="Times New Roman"/>
                <w:b/>
                <w:bCs/>
                <w:color w:val="000000"/>
                <w:sz w:val="28"/>
                <w:szCs w:val="28"/>
              </w:rPr>
            </w:pPr>
            <w:r w:rsidRPr="00CB462C">
              <w:rPr>
                <w:rFonts w:ascii="Times New Roman" w:hAnsi="Times New Roman"/>
                <w:b/>
                <w:bCs/>
                <w:color w:val="000000"/>
                <w:sz w:val="28"/>
                <w:szCs w:val="28"/>
              </w:rPr>
              <w:t>Приложение №1</w:t>
            </w:r>
          </w:p>
          <w:p w:rsidR="00CB462C" w:rsidRPr="00CB462C" w:rsidRDefault="00CB462C" w:rsidP="00CB462C">
            <w:pPr>
              <w:spacing w:after="0" w:line="240" w:lineRule="auto"/>
              <w:ind w:left="-108"/>
              <w:jc w:val="center"/>
              <w:rPr>
                <w:rFonts w:ascii="Times New Roman" w:hAnsi="Times New Roman"/>
                <w:b/>
                <w:bCs/>
                <w:color w:val="000000"/>
                <w:sz w:val="28"/>
                <w:szCs w:val="28"/>
              </w:rPr>
            </w:pPr>
            <w:r w:rsidRPr="00CB462C">
              <w:rPr>
                <w:rFonts w:ascii="Times New Roman" w:hAnsi="Times New Roman"/>
                <w:b/>
                <w:bCs/>
                <w:color w:val="000000"/>
                <w:sz w:val="28"/>
                <w:szCs w:val="28"/>
              </w:rPr>
              <w:t>Основные макроэкономические показатели</w:t>
            </w:r>
          </w:p>
          <w:p w:rsidR="00CB462C" w:rsidRPr="00CB462C" w:rsidRDefault="00CB462C" w:rsidP="00CB462C">
            <w:pPr>
              <w:tabs>
                <w:tab w:val="left" w:pos="8931"/>
              </w:tabs>
              <w:spacing w:after="0" w:line="240" w:lineRule="auto"/>
              <w:ind w:left="-142" w:firstLine="142"/>
              <w:jc w:val="center"/>
              <w:rPr>
                <w:rFonts w:ascii="Times New Roman" w:hAnsi="Times New Roman"/>
                <w:b/>
                <w:bCs/>
                <w:color w:val="000000"/>
                <w:sz w:val="28"/>
                <w:szCs w:val="28"/>
              </w:rPr>
            </w:pPr>
            <w:r w:rsidRPr="00CB462C">
              <w:rPr>
                <w:rFonts w:ascii="Times New Roman" w:hAnsi="Times New Roman"/>
                <w:b/>
                <w:bCs/>
                <w:color w:val="000000"/>
                <w:sz w:val="28"/>
                <w:szCs w:val="28"/>
              </w:rPr>
              <w:t>Приднестровской Молдавской Республики в 2018 году</w:t>
            </w:r>
          </w:p>
          <w:p w:rsidR="00CB462C" w:rsidRPr="00CB462C" w:rsidRDefault="00CB462C" w:rsidP="00CB462C">
            <w:pPr>
              <w:spacing w:after="0" w:line="240" w:lineRule="auto"/>
              <w:ind w:left="-142" w:firstLine="142"/>
              <w:jc w:val="right"/>
              <w:rPr>
                <w:color w:val="000000"/>
              </w:rPr>
            </w:pPr>
          </w:p>
        </w:tc>
      </w:tr>
      <w:tr w:rsidR="00CB462C" w:rsidRPr="00CB462C" w:rsidTr="00F96094">
        <w:trPr>
          <w:gridAfter w:val="1"/>
          <w:wAfter w:w="43" w:type="dxa"/>
          <w:trHeight w:val="759"/>
        </w:trPr>
        <w:tc>
          <w:tcPr>
            <w:tcW w:w="4786" w:type="dxa"/>
            <w:gridSpan w:val="2"/>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firstLine="142"/>
              <w:jc w:val="center"/>
              <w:rPr>
                <w:rFonts w:ascii="Times New Roman" w:hAnsi="Times New Roman"/>
                <w:b/>
                <w:bCs/>
                <w:color w:val="000000"/>
                <w:sz w:val="21"/>
                <w:szCs w:val="21"/>
              </w:rPr>
            </w:pPr>
            <w:r w:rsidRPr="00F96094">
              <w:rPr>
                <w:rFonts w:ascii="Times New Roman" w:hAnsi="Times New Roman"/>
                <w:b/>
                <w:bCs/>
                <w:color w:val="000000"/>
                <w:sz w:val="21"/>
                <w:szCs w:val="21"/>
              </w:rPr>
              <w:t>Показатели</w:t>
            </w:r>
          </w:p>
        </w:tc>
        <w:tc>
          <w:tcPr>
            <w:tcW w:w="1276" w:type="dxa"/>
            <w:gridSpan w:val="4"/>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left="-142" w:firstLine="142"/>
              <w:jc w:val="center"/>
              <w:rPr>
                <w:rFonts w:ascii="Times New Roman" w:hAnsi="Times New Roman"/>
                <w:b/>
                <w:bCs/>
                <w:color w:val="000000"/>
                <w:sz w:val="21"/>
                <w:szCs w:val="21"/>
              </w:rPr>
            </w:pPr>
            <w:r w:rsidRPr="00F96094">
              <w:rPr>
                <w:rFonts w:ascii="Times New Roman" w:hAnsi="Times New Roman"/>
                <w:b/>
                <w:bCs/>
                <w:color w:val="000000"/>
                <w:sz w:val="21"/>
                <w:szCs w:val="21"/>
              </w:rPr>
              <w:t>Ед. изм.</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tabs>
                <w:tab w:val="left" w:pos="918"/>
              </w:tabs>
              <w:spacing w:after="0" w:line="240" w:lineRule="auto"/>
              <w:ind w:left="-142" w:firstLine="34"/>
              <w:jc w:val="center"/>
              <w:rPr>
                <w:rFonts w:ascii="Times New Roman" w:hAnsi="Times New Roman"/>
                <w:b/>
                <w:bCs/>
                <w:color w:val="000000"/>
                <w:sz w:val="21"/>
                <w:szCs w:val="21"/>
              </w:rPr>
            </w:pPr>
            <w:r w:rsidRPr="00F96094">
              <w:rPr>
                <w:rFonts w:ascii="Times New Roman" w:hAnsi="Times New Roman"/>
                <w:b/>
                <w:bCs/>
                <w:color w:val="000000"/>
                <w:sz w:val="21"/>
                <w:szCs w:val="21"/>
              </w:rPr>
              <w:t>Факт за</w:t>
            </w:r>
          </w:p>
          <w:p w:rsidR="00CB462C" w:rsidRPr="00F96094" w:rsidRDefault="00CB462C" w:rsidP="00CB462C">
            <w:pPr>
              <w:tabs>
                <w:tab w:val="left" w:pos="918"/>
              </w:tabs>
              <w:spacing w:after="0" w:line="240" w:lineRule="auto"/>
              <w:ind w:left="-142" w:firstLine="34"/>
              <w:jc w:val="center"/>
              <w:rPr>
                <w:rFonts w:ascii="Times New Roman" w:hAnsi="Times New Roman"/>
                <w:b/>
                <w:bCs/>
                <w:color w:val="000000"/>
                <w:sz w:val="21"/>
                <w:szCs w:val="21"/>
              </w:rPr>
            </w:pPr>
            <w:r w:rsidRPr="00F96094">
              <w:rPr>
                <w:rFonts w:ascii="Times New Roman" w:hAnsi="Times New Roman"/>
                <w:b/>
                <w:bCs/>
                <w:color w:val="000000"/>
                <w:sz w:val="21"/>
                <w:szCs w:val="21"/>
              </w:rPr>
              <w:t>2017 г.</w:t>
            </w:r>
          </w:p>
        </w:tc>
        <w:tc>
          <w:tcPr>
            <w:tcW w:w="1276" w:type="dxa"/>
            <w:gridSpan w:val="4"/>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left="-142" w:firstLine="34"/>
              <w:jc w:val="center"/>
              <w:rPr>
                <w:rFonts w:ascii="Times New Roman" w:hAnsi="Times New Roman"/>
                <w:b/>
                <w:bCs/>
                <w:color w:val="000000"/>
                <w:sz w:val="21"/>
                <w:szCs w:val="21"/>
              </w:rPr>
            </w:pPr>
            <w:r w:rsidRPr="00F96094">
              <w:rPr>
                <w:rFonts w:ascii="Times New Roman" w:hAnsi="Times New Roman"/>
                <w:b/>
                <w:bCs/>
                <w:color w:val="000000"/>
                <w:sz w:val="21"/>
                <w:szCs w:val="21"/>
              </w:rPr>
              <w:t xml:space="preserve">Факт за </w:t>
            </w:r>
          </w:p>
          <w:p w:rsidR="00CB462C" w:rsidRPr="00F96094" w:rsidRDefault="00CB462C" w:rsidP="00CB462C">
            <w:pPr>
              <w:spacing w:after="0" w:line="240" w:lineRule="auto"/>
              <w:ind w:left="-142" w:firstLine="34"/>
              <w:jc w:val="center"/>
              <w:rPr>
                <w:rFonts w:ascii="Times New Roman" w:hAnsi="Times New Roman"/>
                <w:b/>
                <w:bCs/>
                <w:color w:val="000000"/>
                <w:sz w:val="21"/>
                <w:szCs w:val="21"/>
              </w:rPr>
            </w:pPr>
            <w:r w:rsidRPr="00F96094">
              <w:rPr>
                <w:rFonts w:ascii="Times New Roman" w:hAnsi="Times New Roman"/>
                <w:b/>
                <w:bCs/>
                <w:color w:val="000000"/>
                <w:sz w:val="21"/>
                <w:szCs w:val="21"/>
              </w:rPr>
              <w:t>2018 г.</w:t>
            </w:r>
          </w:p>
        </w:tc>
        <w:tc>
          <w:tcPr>
            <w:tcW w:w="1275" w:type="dxa"/>
            <w:gridSpan w:val="2"/>
            <w:tcBorders>
              <w:top w:val="single" w:sz="4" w:space="0" w:color="auto"/>
              <w:left w:val="single" w:sz="4" w:space="0" w:color="auto"/>
              <w:bottom w:val="single" w:sz="4" w:space="0" w:color="auto"/>
              <w:right w:val="single" w:sz="4" w:space="0" w:color="auto"/>
            </w:tcBorders>
          </w:tcPr>
          <w:p w:rsidR="00CB462C" w:rsidRPr="00F96094" w:rsidRDefault="00CB462C" w:rsidP="00CB462C">
            <w:pPr>
              <w:spacing w:after="0" w:line="240" w:lineRule="auto"/>
              <w:ind w:left="-108" w:right="-108"/>
              <w:jc w:val="center"/>
              <w:rPr>
                <w:rFonts w:ascii="Times New Roman" w:hAnsi="Times New Roman"/>
                <w:b/>
                <w:bCs/>
                <w:color w:val="000000"/>
                <w:sz w:val="21"/>
                <w:szCs w:val="21"/>
              </w:rPr>
            </w:pPr>
            <w:r w:rsidRPr="00F96094">
              <w:rPr>
                <w:rFonts w:ascii="Times New Roman" w:hAnsi="Times New Roman"/>
                <w:b/>
                <w:bCs/>
                <w:color w:val="000000"/>
                <w:sz w:val="21"/>
                <w:szCs w:val="21"/>
              </w:rPr>
              <w:t>Темп роста* 2018 г. к 2017 г., %</w:t>
            </w:r>
          </w:p>
        </w:tc>
      </w:tr>
      <w:tr w:rsidR="00CB462C" w:rsidRPr="00CB462C" w:rsidTr="00F96094">
        <w:trPr>
          <w:gridAfter w:val="1"/>
          <w:wAfter w:w="43" w:type="dxa"/>
          <w:trHeight w:val="97"/>
        </w:trPr>
        <w:tc>
          <w:tcPr>
            <w:tcW w:w="4786" w:type="dxa"/>
            <w:gridSpan w:val="2"/>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firstLine="142"/>
              <w:jc w:val="center"/>
              <w:rPr>
                <w:rFonts w:ascii="Times New Roman" w:hAnsi="Times New Roman"/>
                <w:b/>
                <w:bCs/>
                <w:color w:val="000000"/>
                <w:sz w:val="21"/>
                <w:szCs w:val="21"/>
              </w:rPr>
            </w:pPr>
            <w:r w:rsidRPr="00F96094">
              <w:rPr>
                <w:rFonts w:ascii="Times New Roman" w:hAnsi="Times New Roman"/>
                <w:b/>
                <w:bCs/>
                <w:color w:val="000000"/>
                <w:sz w:val="21"/>
                <w:szCs w:val="21"/>
              </w:rPr>
              <w:t>1</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firstLine="142"/>
              <w:jc w:val="center"/>
              <w:rPr>
                <w:rFonts w:ascii="Times New Roman" w:hAnsi="Times New Roman"/>
                <w:b/>
                <w:bCs/>
                <w:color w:val="000000"/>
                <w:sz w:val="21"/>
                <w:szCs w:val="21"/>
              </w:rPr>
            </w:pPr>
            <w:r w:rsidRPr="00F96094">
              <w:rPr>
                <w:rFonts w:ascii="Times New Roman" w:hAnsi="Times New Roman"/>
                <w:b/>
                <w:bCs/>
                <w:color w:val="000000"/>
                <w:sz w:val="21"/>
                <w:szCs w:val="21"/>
              </w:rPr>
              <w:t>2</w:t>
            </w:r>
          </w:p>
        </w:tc>
        <w:tc>
          <w:tcPr>
            <w:tcW w:w="1134"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firstLine="142"/>
              <w:jc w:val="center"/>
              <w:rPr>
                <w:rFonts w:ascii="Times New Roman" w:hAnsi="Times New Roman"/>
                <w:b/>
                <w:bCs/>
                <w:color w:val="000000"/>
                <w:sz w:val="21"/>
                <w:szCs w:val="21"/>
              </w:rPr>
            </w:pPr>
            <w:r w:rsidRPr="00F96094">
              <w:rPr>
                <w:rFonts w:ascii="Times New Roman" w:hAnsi="Times New Roman"/>
                <w:b/>
                <w:bCs/>
                <w:color w:val="000000"/>
                <w:sz w:val="21"/>
                <w:szCs w:val="21"/>
              </w:rPr>
              <w:t>3</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firstLine="142"/>
              <w:jc w:val="center"/>
              <w:rPr>
                <w:rFonts w:ascii="Times New Roman" w:hAnsi="Times New Roman"/>
                <w:b/>
                <w:bCs/>
                <w:color w:val="000000"/>
                <w:sz w:val="21"/>
                <w:szCs w:val="21"/>
              </w:rPr>
            </w:pPr>
            <w:r w:rsidRPr="00F96094">
              <w:rPr>
                <w:rFonts w:ascii="Times New Roman" w:hAnsi="Times New Roman"/>
                <w:b/>
                <w:bCs/>
                <w:color w:val="000000"/>
                <w:sz w:val="21"/>
                <w:szCs w:val="21"/>
              </w:rPr>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B462C" w:rsidRPr="00F96094" w:rsidRDefault="00CB462C" w:rsidP="00CB462C">
            <w:pPr>
              <w:spacing w:after="0" w:line="240" w:lineRule="auto"/>
              <w:ind w:left="-142" w:firstLine="142"/>
              <w:jc w:val="center"/>
              <w:rPr>
                <w:rFonts w:ascii="Times New Roman" w:hAnsi="Times New Roman"/>
                <w:b/>
                <w:bCs/>
                <w:color w:val="000000"/>
                <w:sz w:val="21"/>
                <w:szCs w:val="21"/>
              </w:rPr>
            </w:pPr>
            <w:r w:rsidRPr="00F96094">
              <w:rPr>
                <w:rFonts w:ascii="Times New Roman" w:hAnsi="Times New Roman"/>
                <w:b/>
                <w:bCs/>
                <w:color w:val="000000"/>
                <w:sz w:val="21"/>
                <w:szCs w:val="21"/>
              </w:rPr>
              <w:t>5</w:t>
            </w:r>
          </w:p>
        </w:tc>
      </w:tr>
      <w:tr w:rsidR="00CB462C" w:rsidRPr="00CB462C" w:rsidTr="00F96094">
        <w:trPr>
          <w:gridAfter w:val="1"/>
          <w:wAfter w:w="43" w:type="dxa"/>
          <w:trHeight w:val="225"/>
        </w:trPr>
        <w:tc>
          <w:tcPr>
            <w:tcW w:w="478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Валовой внутренний продукт</w:t>
            </w:r>
          </w:p>
        </w:tc>
        <w:tc>
          <w:tcPr>
            <w:tcW w:w="1276"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12 298,8</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13 800,1</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112,5</w:t>
            </w:r>
          </w:p>
        </w:tc>
      </w:tr>
      <w:tr w:rsidR="00CB462C" w:rsidRPr="00CB462C" w:rsidTr="00F96094">
        <w:trPr>
          <w:gridAfter w:val="1"/>
          <w:wAfter w:w="43" w:type="dxa"/>
          <w:trHeight w:val="272"/>
        </w:trPr>
        <w:tc>
          <w:tcPr>
            <w:tcW w:w="478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Валовой внутренний продукт</w:t>
            </w:r>
          </w:p>
        </w:tc>
        <w:tc>
          <w:tcPr>
            <w:tcW w:w="1276"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919,2</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859,3</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93,8</w:t>
            </w:r>
          </w:p>
        </w:tc>
      </w:tr>
      <w:tr w:rsidR="00CB462C" w:rsidRPr="00CB462C" w:rsidTr="00F96094">
        <w:trPr>
          <w:gridAfter w:val="1"/>
          <w:wAfter w:w="43" w:type="dxa"/>
          <w:trHeight w:val="409"/>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Объем промышленного производства (оценка)</w:t>
            </w:r>
            <w:r w:rsidRPr="00F96094">
              <w:rPr>
                <w:rFonts w:ascii="Times New Roman" w:hAnsi="Times New Roman"/>
                <w:color w:val="000000"/>
                <w:sz w:val="21"/>
                <w:szCs w:val="21"/>
                <w:vertAlign w:val="superscript"/>
              </w:rPr>
              <w:t>1</w:t>
            </w:r>
            <w:r w:rsidRPr="00F96094">
              <w:rPr>
                <w:rFonts w:ascii="Times New Roman" w:hAnsi="Times New Roman"/>
                <w:color w:val="000000"/>
                <w:sz w:val="21"/>
                <w:szCs w:val="21"/>
              </w:rPr>
              <w:t xml:space="preserve"> (в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10 582,4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13 848,0</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136,6</w:t>
            </w:r>
          </w:p>
        </w:tc>
      </w:tr>
      <w:tr w:rsidR="00CB462C" w:rsidRPr="00CB462C" w:rsidTr="00F96094">
        <w:trPr>
          <w:gridAfter w:val="1"/>
          <w:wAfter w:w="43" w:type="dxa"/>
          <w:trHeight w:val="359"/>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 том числе по предприятия промышленности (в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9 971,5</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13 043,3</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136,4</w:t>
            </w:r>
          </w:p>
        </w:tc>
      </w:tr>
      <w:tr w:rsidR="00CB462C" w:rsidRPr="00CB462C" w:rsidTr="00F96094">
        <w:trPr>
          <w:gridAfter w:val="1"/>
          <w:wAfter w:w="43" w:type="dxa"/>
          <w:trHeight w:val="324"/>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 xml:space="preserve">Объем промышленного производства по полному кругу предприятий </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790,9</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862,3</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113,8</w:t>
            </w:r>
          </w:p>
        </w:tc>
      </w:tr>
      <w:tr w:rsidR="00CB462C" w:rsidRPr="00CB462C" w:rsidTr="00F96094">
        <w:trPr>
          <w:gridAfter w:val="1"/>
          <w:wAfter w:w="43" w:type="dxa"/>
          <w:trHeight w:val="274"/>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 xml:space="preserve">в том числе по предприятия промышленности </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746,9</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812,3</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114,3</w:t>
            </w:r>
          </w:p>
        </w:tc>
      </w:tr>
      <w:tr w:rsidR="00CB462C" w:rsidRPr="00CB462C" w:rsidTr="00F96094">
        <w:trPr>
          <w:gridAfter w:val="1"/>
          <w:wAfter w:w="43" w:type="dxa"/>
          <w:trHeight w:val="419"/>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vertAlign w:val="superscript"/>
              </w:rPr>
            </w:pPr>
            <w:r w:rsidRPr="00F96094">
              <w:rPr>
                <w:rFonts w:ascii="Times New Roman" w:hAnsi="Times New Roman"/>
                <w:color w:val="000000"/>
                <w:sz w:val="21"/>
                <w:szCs w:val="21"/>
              </w:rPr>
              <w:t>Объем сельскохозяйственного производства (в текущих ценах)</w:t>
            </w:r>
            <w:r w:rsidRPr="00F96094">
              <w:rPr>
                <w:rFonts w:ascii="Times New Roman" w:hAnsi="Times New Roman"/>
                <w:color w:val="000000"/>
                <w:sz w:val="21"/>
                <w:szCs w:val="21"/>
                <w:vertAlign w:val="superscript"/>
              </w:rPr>
              <w:t>2</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highlight w:val="yellow"/>
              </w:rPr>
            </w:pPr>
            <w:r w:rsidRPr="00F96094">
              <w:rPr>
                <w:rFonts w:ascii="Times New Roman" w:hAnsi="Times New Roman"/>
                <w:color w:val="000000"/>
                <w:sz w:val="21"/>
                <w:szCs w:val="21"/>
              </w:rPr>
              <w:t>2 783,7</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3 365,0</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121,6</w:t>
            </w:r>
          </w:p>
        </w:tc>
      </w:tr>
      <w:tr w:rsidR="00CB462C" w:rsidRPr="00CB462C" w:rsidTr="00F96094">
        <w:trPr>
          <w:gridAfter w:val="1"/>
          <w:wAfter w:w="43" w:type="dxa"/>
          <w:trHeight w:val="376"/>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Объем сельскохозяйственного производства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208,1</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209,5</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101,3</w:t>
            </w:r>
          </w:p>
        </w:tc>
      </w:tr>
      <w:tr w:rsidR="00CB462C" w:rsidRPr="00CB462C" w:rsidTr="00F96094">
        <w:trPr>
          <w:gridAfter w:val="1"/>
          <w:wAfter w:w="43" w:type="dxa"/>
          <w:trHeight w:val="750"/>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Инвестиции в основной капитал, с учетом оценки субъектов малого предпринимательства и индивидуальных застройщиков (в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1 023,9</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1 742,3</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167,4</w:t>
            </w:r>
          </w:p>
        </w:tc>
      </w:tr>
      <w:tr w:rsidR="00CB462C" w:rsidRPr="00CB462C" w:rsidTr="00F96094">
        <w:trPr>
          <w:gridAfter w:val="1"/>
          <w:wAfter w:w="43" w:type="dxa"/>
          <w:trHeight w:val="476"/>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Ввод в действие жилых домов</w:t>
            </w:r>
          </w:p>
        </w:tc>
        <w:tc>
          <w:tcPr>
            <w:tcW w:w="1276" w:type="dxa"/>
            <w:gridSpan w:val="4"/>
            <w:tcBorders>
              <w:top w:val="single" w:sz="4" w:space="0" w:color="auto"/>
              <w:left w:val="single" w:sz="4" w:space="0" w:color="auto"/>
              <w:bottom w:val="single" w:sz="4" w:space="0" w:color="auto"/>
              <w:right w:val="single" w:sz="4" w:space="0" w:color="auto"/>
            </w:tcBorders>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кв. м. общей площади</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highlight w:val="yellow"/>
              </w:rPr>
            </w:pPr>
            <w:r w:rsidRPr="00F96094">
              <w:rPr>
                <w:rFonts w:ascii="Times New Roman" w:hAnsi="Times New Roman"/>
                <w:color w:val="000000"/>
                <w:sz w:val="21"/>
                <w:szCs w:val="21"/>
              </w:rPr>
              <w:t>52 400,1</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48 460,6</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92,5</w:t>
            </w:r>
          </w:p>
        </w:tc>
      </w:tr>
      <w:tr w:rsidR="00CB462C" w:rsidRPr="00CB462C" w:rsidTr="00F96094">
        <w:trPr>
          <w:gridAfter w:val="1"/>
          <w:wAfter w:w="43" w:type="dxa"/>
          <w:trHeight w:val="647"/>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Общий объем розничного товарооборота + общественное питание и платные услуги населению</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highlight w:val="yellow"/>
              </w:rPr>
            </w:pPr>
            <w:r w:rsidRPr="00F96094">
              <w:rPr>
                <w:rFonts w:ascii="Times New Roman" w:hAnsi="Times New Roman"/>
                <w:color w:val="000000"/>
                <w:sz w:val="21"/>
                <w:szCs w:val="21"/>
              </w:rPr>
              <w:t>9 092,9</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bCs/>
                <w:sz w:val="21"/>
                <w:szCs w:val="21"/>
              </w:rPr>
              <w:t>9 879,6</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bCs/>
                <w:sz w:val="21"/>
                <w:szCs w:val="21"/>
              </w:rPr>
              <w:t>118,2</w:t>
            </w:r>
          </w:p>
        </w:tc>
      </w:tr>
      <w:tr w:rsidR="00CB462C" w:rsidRPr="00CB462C" w:rsidTr="00F96094">
        <w:trPr>
          <w:gridAfter w:val="1"/>
          <w:wAfter w:w="43" w:type="dxa"/>
          <w:trHeight w:val="407"/>
        </w:trPr>
        <w:tc>
          <w:tcPr>
            <w:tcW w:w="47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Оборот розничной торговли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p>
        </w:tc>
      </w:tr>
      <w:tr w:rsidR="00CB462C" w:rsidRPr="00CB462C" w:rsidTr="00F96094">
        <w:trPr>
          <w:gridAfter w:val="1"/>
          <w:wAfter w:w="43" w:type="dxa"/>
          <w:trHeight w:val="284"/>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6 690,3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7 377,2</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123,7</w:t>
            </w:r>
          </w:p>
        </w:tc>
      </w:tr>
      <w:tr w:rsidR="00CB462C" w:rsidRPr="00CB462C" w:rsidTr="00F96094">
        <w:trPr>
          <w:gridAfter w:val="1"/>
          <w:wAfter w:w="43" w:type="dxa"/>
          <w:trHeight w:val="101"/>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 сопоставимых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113,4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110,4</w:t>
            </w:r>
          </w:p>
        </w:tc>
        <w:tc>
          <w:tcPr>
            <w:tcW w:w="1275" w:type="dxa"/>
            <w:gridSpan w:val="2"/>
            <w:tcBorders>
              <w:top w:val="single" w:sz="4" w:space="0" w:color="auto"/>
              <w:left w:val="single" w:sz="4" w:space="0" w:color="auto"/>
              <w:bottom w:val="single" w:sz="4" w:space="0" w:color="auto"/>
              <w:right w:val="single" w:sz="4" w:space="0" w:color="auto"/>
            </w:tcBorders>
          </w:tcPr>
          <w:p w:rsidR="00CB462C" w:rsidRPr="00F96094" w:rsidRDefault="00CB462C" w:rsidP="00CB462C">
            <w:pPr>
              <w:spacing w:after="0" w:line="240" w:lineRule="auto"/>
              <w:ind w:left="-142" w:firstLine="142"/>
              <w:jc w:val="center"/>
              <w:rPr>
                <w:rFonts w:ascii="Times New Roman" w:hAnsi="Times New Roman"/>
                <w:sz w:val="21"/>
                <w:szCs w:val="21"/>
              </w:rPr>
            </w:pPr>
            <w:r w:rsidRPr="00F96094">
              <w:rPr>
                <w:rFonts w:ascii="Times New Roman" w:hAnsi="Times New Roman"/>
                <w:sz w:val="21"/>
                <w:szCs w:val="21"/>
              </w:rPr>
              <w:t>х</w:t>
            </w:r>
          </w:p>
        </w:tc>
      </w:tr>
      <w:tr w:rsidR="00CB462C" w:rsidRPr="00CB462C" w:rsidTr="00F96094">
        <w:trPr>
          <w:gridAfter w:val="1"/>
          <w:wAfter w:w="43" w:type="dxa"/>
          <w:trHeight w:val="321"/>
        </w:trPr>
        <w:tc>
          <w:tcPr>
            <w:tcW w:w="47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B462C" w:rsidRPr="00F96094" w:rsidRDefault="00CB462C" w:rsidP="00CB462C">
            <w:pPr>
              <w:tabs>
                <w:tab w:val="left" w:pos="708"/>
                <w:tab w:val="center" w:pos="4153"/>
                <w:tab w:val="right" w:pos="8306"/>
              </w:tabs>
              <w:spacing w:after="0" w:line="240" w:lineRule="auto"/>
              <w:rPr>
                <w:rFonts w:ascii="Times New Roman" w:hAnsi="Times New Roman"/>
                <w:sz w:val="21"/>
                <w:szCs w:val="21"/>
              </w:rPr>
            </w:pPr>
            <w:r w:rsidRPr="00F96094">
              <w:rPr>
                <w:rFonts w:ascii="Times New Roman" w:hAnsi="Times New Roman"/>
                <w:sz w:val="21"/>
                <w:szCs w:val="21"/>
              </w:rPr>
              <w:t>Оборот общественного питания</w:t>
            </w: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B462C" w:rsidRPr="00F96094" w:rsidRDefault="00CB462C" w:rsidP="00CB462C">
            <w:pPr>
              <w:spacing w:after="0" w:line="240" w:lineRule="auto"/>
              <w:ind w:left="-142" w:firstLine="142"/>
              <w:jc w:val="center"/>
              <w:rPr>
                <w:rFonts w:ascii="Times New Roman" w:hAnsi="Times New Roman"/>
                <w:sz w:val="21"/>
                <w:szCs w:val="21"/>
                <w:highlight w:val="yellow"/>
              </w:rPr>
            </w:pPr>
          </w:p>
        </w:tc>
      </w:tr>
      <w:tr w:rsidR="00CB462C" w:rsidRPr="00CB462C" w:rsidTr="00F96094">
        <w:trPr>
          <w:gridAfter w:val="1"/>
          <w:wAfter w:w="43" w:type="dxa"/>
          <w:trHeight w:val="101"/>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sz w:val="21"/>
                <w:szCs w:val="21"/>
              </w:rPr>
              <w:t>202,2</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249,9</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124,2</w:t>
            </w:r>
          </w:p>
        </w:tc>
      </w:tr>
      <w:tr w:rsidR="00CB462C" w:rsidRPr="00CB462C" w:rsidTr="00F96094">
        <w:trPr>
          <w:gridAfter w:val="1"/>
          <w:wAfter w:w="43" w:type="dxa"/>
          <w:trHeight w:val="101"/>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 сопоставимых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105,9</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104,1</w:t>
            </w:r>
          </w:p>
        </w:tc>
        <w:tc>
          <w:tcPr>
            <w:tcW w:w="1275" w:type="dxa"/>
            <w:gridSpan w:val="2"/>
            <w:tcBorders>
              <w:top w:val="single" w:sz="4" w:space="0" w:color="auto"/>
              <w:left w:val="single" w:sz="4" w:space="0" w:color="auto"/>
              <w:bottom w:val="single" w:sz="4" w:space="0" w:color="auto"/>
              <w:right w:val="single" w:sz="4" w:space="0" w:color="auto"/>
            </w:tcBorders>
          </w:tcPr>
          <w:p w:rsidR="00CB462C" w:rsidRPr="00F96094" w:rsidRDefault="00CB462C" w:rsidP="00CB462C">
            <w:pPr>
              <w:spacing w:after="0" w:line="240" w:lineRule="auto"/>
              <w:ind w:left="-142" w:firstLine="142"/>
              <w:jc w:val="center"/>
              <w:rPr>
                <w:rFonts w:ascii="Times New Roman" w:hAnsi="Times New Roman"/>
                <w:sz w:val="21"/>
                <w:szCs w:val="21"/>
              </w:rPr>
            </w:pPr>
            <w:r w:rsidRPr="00F96094">
              <w:rPr>
                <w:rFonts w:ascii="Times New Roman" w:hAnsi="Times New Roman"/>
                <w:sz w:val="21"/>
                <w:szCs w:val="21"/>
              </w:rPr>
              <w:t>х</w:t>
            </w:r>
          </w:p>
        </w:tc>
      </w:tr>
      <w:tr w:rsidR="00CB462C" w:rsidRPr="00CB462C" w:rsidTr="00F96094">
        <w:trPr>
          <w:gridAfter w:val="1"/>
          <w:wAfter w:w="43" w:type="dxa"/>
          <w:trHeight w:val="360"/>
        </w:trPr>
        <w:tc>
          <w:tcPr>
            <w:tcW w:w="47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Объем платных услуг</w:t>
            </w: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p>
        </w:tc>
      </w:tr>
      <w:tr w:rsidR="00CB462C" w:rsidRPr="00CB462C" w:rsidTr="00F96094">
        <w:trPr>
          <w:gridAfter w:val="1"/>
          <w:wAfter w:w="43" w:type="dxa"/>
          <w:trHeight w:val="225"/>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2 200,4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2 252,5</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102,7</w:t>
            </w:r>
          </w:p>
        </w:tc>
      </w:tr>
      <w:tr w:rsidR="00CB462C" w:rsidRPr="00CB462C" w:rsidTr="00F96094">
        <w:trPr>
          <w:gridAfter w:val="1"/>
          <w:wAfter w:w="43" w:type="dxa"/>
          <w:trHeight w:val="270"/>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 сопоставимых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99,0</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99,6</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center"/>
              <w:rPr>
                <w:rFonts w:ascii="Times New Roman" w:hAnsi="Times New Roman"/>
                <w:sz w:val="21"/>
                <w:szCs w:val="21"/>
              </w:rPr>
            </w:pPr>
            <w:r w:rsidRPr="00F96094">
              <w:rPr>
                <w:rFonts w:ascii="Times New Roman" w:hAnsi="Times New Roman"/>
                <w:sz w:val="21"/>
                <w:szCs w:val="21"/>
              </w:rPr>
              <w:t>х</w:t>
            </w:r>
          </w:p>
        </w:tc>
      </w:tr>
      <w:tr w:rsidR="00CB462C" w:rsidRPr="00CB462C" w:rsidTr="00F96094">
        <w:trPr>
          <w:gridAfter w:val="1"/>
          <w:wAfter w:w="43" w:type="dxa"/>
          <w:trHeight w:val="283"/>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Внешнеторговый оборот</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1 519,1</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1 913,2</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126,0</w:t>
            </w:r>
          </w:p>
        </w:tc>
      </w:tr>
      <w:tr w:rsidR="00CB462C" w:rsidRPr="00CB462C" w:rsidTr="00F96094">
        <w:trPr>
          <w:gridAfter w:val="1"/>
          <w:wAfter w:w="43" w:type="dxa"/>
          <w:trHeight w:val="285"/>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Экспорт товаров</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535,1</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697,0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130,3</w:t>
            </w:r>
          </w:p>
        </w:tc>
      </w:tr>
      <w:tr w:rsidR="00CB462C" w:rsidRPr="00CB462C" w:rsidTr="00F96094">
        <w:trPr>
          <w:gridAfter w:val="1"/>
          <w:wAfter w:w="43" w:type="dxa"/>
          <w:trHeight w:val="255"/>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Импорт товаров</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984,0</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1 216,2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123,6</w:t>
            </w:r>
          </w:p>
        </w:tc>
      </w:tr>
      <w:tr w:rsidR="00CB462C" w:rsidRPr="00CB462C" w:rsidTr="00F96094">
        <w:trPr>
          <w:gridAfter w:val="1"/>
          <w:wAfter w:w="43" w:type="dxa"/>
          <w:trHeight w:val="157"/>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Сальдо внешнеторгового оборота (+;-)</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-448,9</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-519,2</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center"/>
              <w:rPr>
                <w:rFonts w:ascii="Times New Roman" w:hAnsi="Times New Roman"/>
                <w:sz w:val="21"/>
                <w:szCs w:val="21"/>
              </w:rPr>
            </w:pPr>
            <w:r w:rsidRPr="00F96094">
              <w:rPr>
                <w:rFonts w:ascii="Times New Roman" w:hAnsi="Times New Roman"/>
                <w:sz w:val="21"/>
                <w:szCs w:val="21"/>
              </w:rPr>
              <w:t>х</w:t>
            </w:r>
          </w:p>
        </w:tc>
      </w:tr>
      <w:tr w:rsidR="00CB462C" w:rsidRPr="00CB462C" w:rsidTr="00F96094">
        <w:trPr>
          <w:gridAfter w:val="1"/>
          <w:wAfter w:w="43" w:type="dxa"/>
          <w:trHeight w:val="322"/>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Фонд заработной платы, включая субъекты предпринимательства (оценка)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highlight w:val="yellow"/>
              </w:rPr>
            </w:pPr>
            <w:r w:rsidRPr="00F96094">
              <w:rPr>
                <w:rFonts w:ascii="Times New Roman" w:hAnsi="Times New Roman"/>
                <w:color w:val="000000"/>
                <w:sz w:val="21"/>
                <w:szCs w:val="21"/>
              </w:rPr>
              <w:t>4 681,2</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5 079,8</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109,2</w:t>
            </w:r>
          </w:p>
        </w:tc>
      </w:tr>
      <w:tr w:rsidR="00CB462C" w:rsidRPr="00CB462C" w:rsidTr="00F96094">
        <w:trPr>
          <w:gridAfter w:val="1"/>
          <w:wAfter w:w="43" w:type="dxa"/>
          <w:trHeight w:val="369"/>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Фонд заработной платы</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4 185,5</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4 517,9</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108,6</w:t>
            </w:r>
          </w:p>
        </w:tc>
      </w:tr>
      <w:tr w:rsidR="00CB462C" w:rsidRPr="00CB462C" w:rsidTr="00F96094">
        <w:trPr>
          <w:gridAfter w:val="1"/>
          <w:wAfter w:w="43" w:type="dxa"/>
          <w:trHeight w:val="606"/>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Среднесписочная численность работающих, включая субъекты предпринимательства (оценка)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center"/>
              <w:rPr>
                <w:rFonts w:ascii="Times New Roman" w:hAnsi="Times New Roman"/>
                <w:color w:val="000000"/>
                <w:sz w:val="21"/>
                <w:szCs w:val="21"/>
              </w:rPr>
            </w:pPr>
            <w:r w:rsidRPr="00F96094">
              <w:rPr>
                <w:rFonts w:ascii="Times New Roman" w:hAnsi="Times New Roman"/>
                <w:color w:val="000000"/>
                <w:sz w:val="21"/>
                <w:szCs w:val="21"/>
              </w:rPr>
              <w:t>тыс. чел.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highlight w:val="yellow"/>
              </w:rPr>
            </w:pPr>
            <w:r w:rsidRPr="00F96094">
              <w:rPr>
                <w:rFonts w:ascii="Times New Roman" w:hAnsi="Times New Roman"/>
                <w:color w:val="000000"/>
                <w:sz w:val="21"/>
                <w:szCs w:val="21"/>
              </w:rPr>
              <w:t>113,9</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112,8</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99,8</w:t>
            </w:r>
          </w:p>
        </w:tc>
      </w:tr>
      <w:tr w:rsidR="00CB462C" w:rsidRPr="00CB462C" w:rsidTr="00F96094">
        <w:trPr>
          <w:gridAfter w:val="1"/>
          <w:wAfter w:w="43" w:type="dxa"/>
          <w:trHeight w:val="309"/>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Среднемесячная заработная плата, включая субъекты предпринимательства (оценка)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center"/>
              <w:rPr>
                <w:rFonts w:ascii="Times New Roman" w:hAnsi="Times New Roman"/>
                <w:color w:val="000000"/>
                <w:sz w:val="21"/>
                <w:szCs w:val="21"/>
              </w:rPr>
            </w:pPr>
            <w:r w:rsidRPr="00F96094">
              <w:rPr>
                <w:rFonts w:ascii="Times New Roman" w:hAnsi="Times New Roman"/>
                <w:color w:val="000000"/>
                <w:sz w:val="21"/>
                <w:szCs w:val="21"/>
              </w:rPr>
              <w:t>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highlight w:val="yellow"/>
              </w:rPr>
            </w:pPr>
            <w:r w:rsidRPr="00F96094">
              <w:rPr>
                <w:rFonts w:ascii="Times New Roman" w:hAnsi="Times New Roman"/>
                <w:color w:val="000000"/>
                <w:sz w:val="21"/>
                <w:szCs w:val="21"/>
              </w:rPr>
              <w:t>3 912</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4 211</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107,8</w:t>
            </w:r>
          </w:p>
        </w:tc>
      </w:tr>
      <w:tr w:rsidR="00CB462C" w:rsidRPr="00CB462C" w:rsidTr="00F96094">
        <w:trPr>
          <w:gridAfter w:val="1"/>
          <w:wAfter w:w="43" w:type="dxa"/>
          <w:trHeight w:val="574"/>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vertAlign w:val="superscript"/>
              </w:rPr>
            </w:pPr>
            <w:r w:rsidRPr="00F96094">
              <w:rPr>
                <w:rFonts w:ascii="Times New Roman" w:hAnsi="Times New Roman"/>
                <w:color w:val="000000"/>
                <w:sz w:val="21"/>
                <w:szCs w:val="21"/>
              </w:rPr>
              <w:t>Среднемесячная заработная плата одного работника</w:t>
            </w:r>
            <w:r w:rsidRPr="00F96094">
              <w:rPr>
                <w:rFonts w:ascii="Times New Roman" w:hAnsi="Times New Roman"/>
                <w:color w:val="000000"/>
                <w:sz w:val="21"/>
                <w:szCs w:val="21"/>
                <w:vertAlign w:val="superscript"/>
              </w:rPr>
              <w:t>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center"/>
              <w:rPr>
                <w:rFonts w:ascii="Times New Roman" w:hAnsi="Times New Roman"/>
                <w:color w:val="000000"/>
                <w:sz w:val="21"/>
                <w:szCs w:val="21"/>
              </w:rPr>
            </w:pPr>
            <w:r w:rsidRPr="00F96094">
              <w:rPr>
                <w:rFonts w:ascii="Times New Roman" w:hAnsi="Times New Roman"/>
                <w:color w:val="000000"/>
                <w:sz w:val="21"/>
                <w:szCs w:val="21"/>
              </w:rPr>
              <w:t>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3 977</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4 328</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108,9</w:t>
            </w:r>
          </w:p>
        </w:tc>
      </w:tr>
      <w:tr w:rsidR="00CB462C" w:rsidRPr="00CB462C" w:rsidTr="00F96094">
        <w:trPr>
          <w:gridAfter w:val="1"/>
          <w:wAfter w:w="43" w:type="dxa"/>
          <w:trHeight w:val="440"/>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Среднемесячная заработная плата одного работника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center"/>
              <w:rPr>
                <w:rFonts w:ascii="Times New Roman" w:hAnsi="Times New Roman"/>
                <w:color w:val="000000"/>
                <w:sz w:val="21"/>
                <w:szCs w:val="21"/>
              </w:rPr>
            </w:pPr>
            <w:r w:rsidRPr="00F96094">
              <w:rPr>
                <w:rFonts w:ascii="Times New Roman" w:hAnsi="Times New Roman"/>
                <w:color w:val="000000"/>
                <w:sz w:val="21"/>
                <w:szCs w:val="21"/>
              </w:rPr>
              <w:t>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297</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rPr>
            </w:pPr>
            <w:r w:rsidRPr="00F96094">
              <w:rPr>
                <w:rFonts w:ascii="Times New Roman" w:hAnsi="Times New Roman"/>
                <w:sz w:val="21"/>
                <w:szCs w:val="21"/>
              </w:rPr>
              <w:t>269</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bCs/>
                <w:sz w:val="21"/>
                <w:szCs w:val="21"/>
              </w:rPr>
            </w:pPr>
            <w:r w:rsidRPr="00F96094">
              <w:rPr>
                <w:rFonts w:ascii="Times New Roman" w:hAnsi="Times New Roman"/>
                <w:bCs/>
                <w:sz w:val="21"/>
                <w:szCs w:val="21"/>
              </w:rPr>
              <w:t>90,6</w:t>
            </w:r>
          </w:p>
        </w:tc>
      </w:tr>
      <w:tr w:rsidR="00CB462C" w:rsidRPr="00CB462C" w:rsidTr="00F96094">
        <w:trPr>
          <w:gridAfter w:val="1"/>
          <w:wAfter w:w="43" w:type="dxa"/>
          <w:trHeight w:val="320"/>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left="-142" w:firstLine="142"/>
              <w:jc w:val="center"/>
              <w:rPr>
                <w:rFonts w:ascii="Times New Roman" w:hAnsi="Times New Roman"/>
                <w:b/>
                <w:bCs/>
                <w:color w:val="000000"/>
                <w:sz w:val="21"/>
                <w:szCs w:val="21"/>
              </w:rPr>
            </w:pPr>
            <w:r w:rsidRPr="00F96094">
              <w:rPr>
                <w:rFonts w:ascii="Times New Roman" w:hAnsi="Times New Roman"/>
                <w:b/>
                <w:bCs/>
                <w:color w:val="000000"/>
                <w:sz w:val="21"/>
                <w:szCs w:val="21"/>
              </w:rPr>
              <w:lastRenderedPageBreak/>
              <w:t>1</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firstLine="142"/>
              <w:jc w:val="center"/>
              <w:rPr>
                <w:rFonts w:ascii="Times New Roman" w:hAnsi="Times New Roman"/>
                <w:b/>
                <w:bCs/>
                <w:color w:val="000000"/>
                <w:sz w:val="21"/>
                <w:szCs w:val="21"/>
              </w:rPr>
            </w:pPr>
            <w:r w:rsidRPr="00F96094">
              <w:rPr>
                <w:rFonts w:ascii="Times New Roman" w:hAnsi="Times New Roman"/>
                <w:b/>
                <w:bCs/>
                <w:color w:val="000000"/>
                <w:sz w:val="21"/>
                <w:szCs w:val="21"/>
              </w:rPr>
              <w:t>2</w:t>
            </w:r>
          </w:p>
        </w:tc>
        <w:tc>
          <w:tcPr>
            <w:tcW w:w="1134"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firstLine="142"/>
              <w:jc w:val="center"/>
              <w:rPr>
                <w:rFonts w:ascii="Times New Roman" w:hAnsi="Times New Roman"/>
                <w:b/>
                <w:bCs/>
                <w:sz w:val="21"/>
                <w:szCs w:val="21"/>
              </w:rPr>
            </w:pPr>
            <w:r w:rsidRPr="00F96094">
              <w:rPr>
                <w:rFonts w:ascii="Times New Roman" w:hAnsi="Times New Roman"/>
                <w:b/>
                <w:bCs/>
                <w:sz w:val="21"/>
                <w:szCs w:val="21"/>
              </w:rPr>
              <w:t>3</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CB462C" w:rsidRPr="00F96094" w:rsidRDefault="00CB462C" w:rsidP="00CB462C">
            <w:pPr>
              <w:spacing w:after="0" w:line="240" w:lineRule="auto"/>
              <w:ind w:left="-142" w:firstLine="142"/>
              <w:jc w:val="center"/>
              <w:rPr>
                <w:rFonts w:ascii="Times New Roman" w:hAnsi="Times New Roman"/>
                <w:b/>
                <w:bCs/>
                <w:sz w:val="21"/>
                <w:szCs w:val="21"/>
              </w:rPr>
            </w:pPr>
            <w:r w:rsidRPr="00F96094">
              <w:rPr>
                <w:rFonts w:ascii="Times New Roman" w:hAnsi="Times New Roman"/>
                <w:b/>
                <w:bCs/>
                <w:sz w:val="21"/>
                <w:szCs w:val="21"/>
              </w:rPr>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B462C" w:rsidRPr="00F96094" w:rsidRDefault="00CB462C" w:rsidP="00CB462C">
            <w:pPr>
              <w:spacing w:after="0" w:line="240" w:lineRule="auto"/>
              <w:ind w:left="-142" w:firstLine="142"/>
              <w:jc w:val="center"/>
              <w:rPr>
                <w:rFonts w:ascii="Times New Roman" w:hAnsi="Times New Roman"/>
                <w:b/>
                <w:bCs/>
                <w:sz w:val="21"/>
                <w:szCs w:val="21"/>
              </w:rPr>
            </w:pPr>
            <w:r w:rsidRPr="00F96094">
              <w:rPr>
                <w:rFonts w:ascii="Times New Roman" w:hAnsi="Times New Roman"/>
                <w:b/>
                <w:bCs/>
                <w:sz w:val="21"/>
                <w:szCs w:val="21"/>
              </w:rPr>
              <w:t>5</w:t>
            </w:r>
          </w:p>
        </w:tc>
      </w:tr>
      <w:tr w:rsidR="00CB462C" w:rsidRPr="00CB462C" w:rsidTr="00F96094">
        <w:trPr>
          <w:gridAfter w:val="1"/>
          <w:wAfter w:w="43" w:type="dxa"/>
          <w:trHeight w:val="320"/>
        </w:trPr>
        <w:tc>
          <w:tcPr>
            <w:tcW w:w="4786" w:type="dxa"/>
            <w:gridSpan w:val="2"/>
            <w:tcBorders>
              <w:top w:val="single" w:sz="4" w:space="0" w:color="auto"/>
              <w:left w:val="single" w:sz="4" w:space="0" w:color="auto"/>
              <w:bottom w:val="single" w:sz="4" w:space="0" w:color="auto"/>
              <w:right w:val="single" w:sz="4" w:space="0" w:color="auto"/>
            </w:tcBorders>
            <w:vAlign w:val="bottom"/>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Сводный индекс потребительских цен (инфляция)</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center"/>
              <w:rPr>
                <w:rFonts w:ascii="Times New Roman" w:hAnsi="Times New Roman"/>
                <w:color w:val="000000"/>
                <w:sz w:val="21"/>
                <w:szCs w:val="21"/>
              </w:rPr>
            </w:pPr>
            <w:r w:rsidRPr="00F96094">
              <w:rPr>
                <w:rFonts w:ascii="Times New Roman" w:hAnsi="Times New Roman"/>
                <w:color w:val="000000"/>
                <w:sz w:val="21"/>
                <w:szCs w:val="21"/>
              </w:rPr>
              <w:t>%</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vertAlign w:val="superscript"/>
              </w:rPr>
            </w:pPr>
            <w:r w:rsidRPr="00F96094">
              <w:rPr>
                <w:rFonts w:ascii="Times New Roman" w:hAnsi="Times New Roman"/>
                <w:color w:val="000000"/>
                <w:sz w:val="21"/>
                <w:szCs w:val="21"/>
              </w:rPr>
              <w:t>111,82</w:t>
            </w:r>
            <w:r w:rsidRPr="00F96094">
              <w:rPr>
                <w:rFonts w:ascii="Times New Roman" w:hAnsi="Times New Roman"/>
                <w:color w:val="000000"/>
                <w:sz w:val="21"/>
                <w:szCs w:val="21"/>
                <w:vertAlign w:val="superscript"/>
              </w:rPr>
              <w:t>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vertAlign w:val="superscript"/>
              </w:rPr>
            </w:pPr>
            <w:r w:rsidRPr="00F96094">
              <w:rPr>
                <w:rFonts w:ascii="Times New Roman" w:hAnsi="Times New Roman"/>
                <w:sz w:val="21"/>
                <w:szCs w:val="21"/>
              </w:rPr>
              <w:t>106,97</w:t>
            </w:r>
            <w:r w:rsidRPr="00F96094">
              <w:rPr>
                <w:rFonts w:ascii="Times New Roman" w:hAnsi="Times New Roman"/>
                <w:sz w:val="21"/>
                <w:szCs w:val="21"/>
                <w:vertAlign w:val="superscript"/>
              </w:rPr>
              <w:t>4</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right"/>
              <w:rPr>
                <w:rFonts w:ascii="Times New Roman" w:hAnsi="Times New Roman"/>
                <w:sz w:val="21"/>
                <w:szCs w:val="21"/>
                <w:highlight w:val="yellow"/>
              </w:rPr>
            </w:pPr>
            <w:r w:rsidRPr="00F96094">
              <w:rPr>
                <w:rFonts w:ascii="Times New Roman" w:hAnsi="Times New Roman"/>
                <w:sz w:val="21"/>
                <w:szCs w:val="21"/>
              </w:rPr>
              <w:t>111,09</w:t>
            </w:r>
          </w:p>
        </w:tc>
      </w:tr>
      <w:tr w:rsidR="00CB462C" w:rsidRPr="00CB462C" w:rsidTr="00F96094">
        <w:trPr>
          <w:gridAfter w:val="1"/>
          <w:wAfter w:w="43" w:type="dxa"/>
          <w:trHeight w:val="602"/>
        </w:trPr>
        <w:tc>
          <w:tcPr>
            <w:tcW w:w="4786" w:type="dxa"/>
            <w:gridSpan w:val="2"/>
            <w:tcBorders>
              <w:top w:val="single" w:sz="4" w:space="0" w:color="auto"/>
              <w:left w:val="single" w:sz="4" w:space="0" w:color="auto"/>
              <w:bottom w:val="single" w:sz="4" w:space="0" w:color="auto"/>
              <w:right w:val="single" w:sz="4" w:space="0" w:color="auto"/>
            </w:tcBorders>
            <w:vAlign w:val="bottom"/>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Индекс цен производителей на промышленную продукцию</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center"/>
              <w:rPr>
                <w:rFonts w:ascii="Times New Roman" w:hAnsi="Times New Roman"/>
                <w:color w:val="000000"/>
                <w:sz w:val="21"/>
                <w:szCs w:val="21"/>
              </w:rPr>
            </w:pPr>
            <w:r w:rsidRPr="00F96094">
              <w:rPr>
                <w:rFonts w:ascii="Times New Roman" w:hAnsi="Times New Roman"/>
                <w:color w:val="000000"/>
                <w:sz w:val="21"/>
                <w:szCs w:val="21"/>
              </w:rPr>
              <w:t>%</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vertAlign w:val="superscript"/>
              </w:rPr>
            </w:pPr>
            <w:r w:rsidRPr="00F96094">
              <w:rPr>
                <w:rFonts w:ascii="Times New Roman" w:hAnsi="Times New Roman"/>
                <w:color w:val="000000"/>
                <w:sz w:val="21"/>
                <w:szCs w:val="21"/>
              </w:rPr>
              <w:t>118,5</w:t>
            </w:r>
            <w:r w:rsidRPr="00F96094">
              <w:rPr>
                <w:rFonts w:ascii="Times New Roman" w:hAnsi="Times New Roman"/>
                <w:color w:val="000000"/>
                <w:sz w:val="21"/>
                <w:szCs w:val="21"/>
                <w:vertAlign w:val="superscript"/>
              </w:rPr>
              <w:t>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sz w:val="21"/>
                <w:szCs w:val="21"/>
                <w:vertAlign w:val="superscript"/>
              </w:rPr>
            </w:pPr>
            <w:r w:rsidRPr="00F96094">
              <w:rPr>
                <w:rFonts w:ascii="Times New Roman" w:hAnsi="Times New Roman"/>
                <w:sz w:val="21"/>
                <w:szCs w:val="21"/>
              </w:rPr>
              <w:t>93,0</w:t>
            </w:r>
            <w:r w:rsidRPr="00F96094">
              <w:rPr>
                <w:rFonts w:ascii="Times New Roman" w:hAnsi="Times New Roman"/>
                <w:sz w:val="21"/>
                <w:szCs w:val="21"/>
                <w:vertAlign w:val="superscript"/>
              </w:rPr>
              <w:t>4</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ind w:left="-142" w:firstLine="142"/>
              <w:jc w:val="center"/>
              <w:rPr>
                <w:rFonts w:ascii="Times New Roman" w:hAnsi="Times New Roman"/>
                <w:sz w:val="21"/>
                <w:szCs w:val="21"/>
              </w:rPr>
            </w:pPr>
            <w:r w:rsidRPr="00F96094">
              <w:rPr>
                <w:rFonts w:ascii="Times New Roman" w:hAnsi="Times New Roman"/>
                <w:sz w:val="21"/>
                <w:szCs w:val="21"/>
              </w:rPr>
              <w:t>х</w:t>
            </w:r>
          </w:p>
        </w:tc>
      </w:tr>
      <w:tr w:rsidR="00CB462C" w:rsidRPr="00CB462C" w:rsidTr="00F96094">
        <w:trPr>
          <w:gridAfter w:val="1"/>
          <w:wAfter w:w="43"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Доходы Консолидированного бюджета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highlight w:val="yellow"/>
              </w:rPr>
            </w:pPr>
            <w:r w:rsidRPr="00F96094">
              <w:rPr>
                <w:rFonts w:ascii="Times New Roman" w:hAnsi="Times New Roman"/>
                <w:color w:val="000000"/>
                <w:sz w:val="21"/>
                <w:szCs w:val="21"/>
              </w:rPr>
              <w:t>3 136,6</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2 981,6</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95,1</w:t>
            </w:r>
          </w:p>
        </w:tc>
      </w:tr>
      <w:tr w:rsidR="00CB462C" w:rsidRPr="00CB462C" w:rsidTr="00F96094">
        <w:trPr>
          <w:gridAfter w:val="1"/>
          <w:wAfter w:w="43"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rPr>
                <w:rFonts w:ascii="Times New Roman" w:hAnsi="Times New Roman"/>
                <w:color w:val="000000"/>
                <w:sz w:val="21"/>
                <w:szCs w:val="21"/>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234,4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185,7</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79,2</w:t>
            </w:r>
          </w:p>
        </w:tc>
      </w:tr>
      <w:tr w:rsidR="00CB462C" w:rsidRPr="00CB462C" w:rsidTr="00F96094">
        <w:trPr>
          <w:gridAfter w:val="1"/>
          <w:wAfter w:w="43"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Доходы Республиканского бюджета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2 284,8</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1 997,2</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87,4</w:t>
            </w:r>
          </w:p>
        </w:tc>
      </w:tr>
      <w:tr w:rsidR="00CB462C" w:rsidRPr="00CB462C" w:rsidTr="00F96094">
        <w:trPr>
          <w:gridAfter w:val="1"/>
          <w:wAfter w:w="43"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rPr>
                <w:rFonts w:ascii="Times New Roman" w:hAnsi="Times New Roman"/>
                <w:color w:val="000000"/>
                <w:sz w:val="21"/>
                <w:szCs w:val="21"/>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170,8</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124,4</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72,8</w:t>
            </w:r>
          </w:p>
        </w:tc>
      </w:tr>
      <w:tr w:rsidR="00CB462C" w:rsidRPr="00CB462C" w:rsidTr="00F96094">
        <w:trPr>
          <w:gridAfter w:val="1"/>
          <w:wAfter w:w="43"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Доходы местных бюджетов</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851,8</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984,4</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115,6</w:t>
            </w:r>
          </w:p>
        </w:tc>
      </w:tr>
      <w:tr w:rsidR="00CB462C" w:rsidRPr="00CB462C" w:rsidTr="00F96094">
        <w:trPr>
          <w:gridAfter w:val="1"/>
          <w:wAfter w:w="43"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rPr>
                <w:rFonts w:ascii="Times New Roman" w:hAnsi="Times New Roman"/>
                <w:color w:val="000000"/>
                <w:sz w:val="21"/>
                <w:szCs w:val="21"/>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63,7</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61,3</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96,2</w:t>
            </w:r>
          </w:p>
        </w:tc>
      </w:tr>
      <w:tr w:rsidR="00CB462C" w:rsidRPr="00CB462C" w:rsidTr="00F96094">
        <w:trPr>
          <w:gridAfter w:val="1"/>
          <w:wAfter w:w="43"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Расходы Консолидированного бюджета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4 331,1</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4 185,5</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96,6</w:t>
            </w:r>
          </w:p>
        </w:tc>
      </w:tr>
      <w:tr w:rsidR="00CB462C" w:rsidRPr="00CB462C" w:rsidTr="00F96094">
        <w:trPr>
          <w:gridAfter w:val="1"/>
          <w:wAfter w:w="43"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rPr>
                <w:rFonts w:ascii="Times New Roman" w:hAnsi="Times New Roman"/>
                <w:color w:val="000000"/>
                <w:sz w:val="21"/>
                <w:szCs w:val="21"/>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323,7</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260,6</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80,5</w:t>
            </w:r>
          </w:p>
        </w:tc>
      </w:tr>
      <w:tr w:rsidR="00CB462C" w:rsidRPr="00CB462C" w:rsidTr="00F96094">
        <w:trPr>
          <w:gridAfter w:val="1"/>
          <w:wAfter w:w="43"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Расходы Республиканского бюджета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3 134,5</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2 923,9</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93,3</w:t>
            </w:r>
          </w:p>
        </w:tc>
      </w:tr>
      <w:tr w:rsidR="00CB462C" w:rsidRPr="00CB462C" w:rsidTr="00F96094">
        <w:trPr>
          <w:gridAfter w:val="1"/>
          <w:wAfter w:w="43"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rPr>
                <w:rFonts w:ascii="Times New Roman" w:hAnsi="Times New Roman"/>
                <w:color w:val="000000"/>
                <w:sz w:val="21"/>
                <w:szCs w:val="21"/>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234,3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182,1</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77,7</w:t>
            </w:r>
          </w:p>
        </w:tc>
      </w:tr>
      <w:tr w:rsidR="00CB462C" w:rsidRPr="00CB462C" w:rsidTr="00F96094">
        <w:trPr>
          <w:gridAfter w:val="1"/>
          <w:wAfter w:w="43"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ind w:right="-108"/>
              <w:rPr>
                <w:rFonts w:ascii="Times New Roman" w:hAnsi="Times New Roman"/>
                <w:color w:val="000000"/>
                <w:sz w:val="21"/>
                <w:szCs w:val="21"/>
              </w:rPr>
            </w:pPr>
            <w:r w:rsidRPr="00F96094">
              <w:rPr>
                <w:rFonts w:ascii="Times New Roman" w:hAnsi="Times New Roman"/>
                <w:color w:val="000000"/>
                <w:sz w:val="21"/>
                <w:szCs w:val="21"/>
              </w:rPr>
              <w:t>Расходы местных бюджетов</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1 196,6</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1 261,5</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105,4</w:t>
            </w:r>
          </w:p>
        </w:tc>
      </w:tr>
      <w:tr w:rsidR="00CB462C" w:rsidRPr="00CB462C" w:rsidTr="00F96094">
        <w:trPr>
          <w:gridAfter w:val="1"/>
          <w:wAfter w:w="43"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CB462C" w:rsidRPr="00F96094" w:rsidRDefault="00CB462C" w:rsidP="00CB462C">
            <w:pPr>
              <w:spacing w:after="0" w:line="240" w:lineRule="auto"/>
              <w:rPr>
                <w:rFonts w:ascii="Times New Roman" w:hAnsi="Times New Roman"/>
                <w:color w:val="000000"/>
                <w:sz w:val="21"/>
                <w:szCs w:val="21"/>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right="-108" w:firstLine="34"/>
              <w:jc w:val="center"/>
              <w:rPr>
                <w:rFonts w:ascii="Times New Roman" w:hAnsi="Times New Roman"/>
                <w:color w:val="000000"/>
                <w:sz w:val="21"/>
                <w:szCs w:val="21"/>
              </w:rPr>
            </w:pPr>
            <w:r w:rsidRPr="00F96094">
              <w:rPr>
                <w:rFonts w:ascii="Times New Roman" w:hAnsi="Times New Roman"/>
                <w:color w:val="000000"/>
                <w:sz w:val="21"/>
                <w:szCs w:val="21"/>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ind w:left="-142" w:firstLine="142"/>
              <w:jc w:val="right"/>
              <w:rPr>
                <w:rFonts w:ascii="Times New Roman" w:hAnsi="Times New Roman"/>
                <w:color w:val="000000"/>
                <w:sz w:val="21"/>
                <w:szCs w:val="21"/>
              </w:rPr>
            </w:pPr>
            <w:r w:rsidRPr="00F96094">
              <w:rPr>
                <w:rFonts w:ascii="Times New Roman" w:hAnsi="Times New Roman"/>
                <w:color w:val="000000"/>
                <w:sz w:val="21"/>
                <w:szCs w:val="21"/>
              </w:rPr>
              <w:t>89,4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78,6</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CB462C" w:rsidRPr="00F96094" w:rsidRDefault="00CB462C" w:rsidP="00CB462C">
            <w:pPr>
              <w:spacing w:after="0" w:line="240" w:lineRule="auto"/>
              <w:jc w:val="right"/>
              <w:rPr>
                <w:rFonts w:ascii="Times New Roman" w:hAnsi="Times New Roman"/>
                <w:sz w:val="21"/>
                <w:szCs w:val="21"/>
              </w:rPr>
            </w:pPr>
            <w:r w:rsidRPr="00F96094">
              <w:rPr>
                <w:rFonts w:ascii="Times New Roman" w:hAnsi="Times New Roman"/>
                <w:sz w:val="21"/>
                <w:szCs w:val="21"/>
              </w:rPr>
              <w:t>87,9</w:t>
            </w:r>
          </w:p>
        </w:tc>
      </w:tr>
      <w:tr w:rsidR="00CB462C" w:rsidRPr="00CB462C" w:rsidTr="00653B80">
        <w:trPr>
          <w:gridAfter w:val="4"/>
          <w:wAfter w:w="1324" w:type="dxa"/>
          <w:trHeight w:val="300"/>
        </w:trPr>
        <w:tc>
          <w:tcPr>
            <w:tcW w:w="6062" w:type="dxa"/>
            <w:gridSpan w:val="6"/>
            <w:tcBorders>
              <w:top w:val="single" w:sz="4" w:space="0" w:color="auto"/>
              <w:left w:val="nil"/>
              <w:bottom w:val="nil"/>
              <w:right w:val="nil"/>
            </w:tcBorders>
            <w:noWrap/>
            <w:vAlign w:val="bottom"/>
            <w:hideMark/>
          </w:tcPr>
          <w:p w:rsidR="00CB462C" w:rsidRPr="00CB462C" w:rsidRDefault="00CB462C" w:rsidP="00CB462C">
            <w:pPr>
              <w:spacing w:after="0" w:line="240" w:lineRule="auto"/>
              <w:ind w:left="-142" w:firstLine="142"/>
              <w:rPr>
                <w:rFonts w:ascii="Times New Roman" w:hAnsi="Times New Roman"/>
                <w:color w:val="000000"/>
                <w:sz w:val="20"/>
                <w:szCs w:val="20"/>
              </w:rPr>
            </w:pPr>
            <w:r w:rsidRPr="00CB462C">
              <w:rPr>
                <w:rFonts w:ascii="Times New Roman" w:hAnsi="Times New Roman"/>
                <w:color w:val="000000"/>
                <w:sz w:val="20"/>
                <w:szCs w:val="20"/>
              </w:rPr>
              <w:t>* - темпы пересчитаны к уточненным данным ГСС;</w:t>
            </w:r>
          </w:p>
        </w:tc>
        <w:tc>
          <w:tcPr>
            <w:tcW w:w="236" w:type="dxa"/>
            <w:tcBorders>
              <w:top w:val="single" w:sz="4" w:space="0" w:color="auto"/>
              <w:left w:val="nil"/>
              <w:bottom w:val="nil"/>
              <w:right w:val="nil"/>
            </w:tcBorders>
            <w:noWrap/>
            <w:vAlign w:val="bottom"/>
          </w:tcPr>
          <w:p w:rsidR="00CB462C" w:rsidRPr="00CB462C" w:rsidRDefault="00CB462C" w:rsidP="00CB462C">
            <w:pPr>
              <w:spacing w:after="0" w:line="240" w:lineRule="auto"/>
              <w:ind w:left="-142" w:firstLine="142"/>
              <w:rPr>
                <w:color w:val="000000"/>
              </w:rPr>
            </w:pPr>
          </w:p>
        </w:tc>
        <w:tc>
          <w:tcPr>
            <w:tcW w:w="1082" w:type="dxa"/>
            <w:gridSpan w:val="4"/>
            <w:tcBorders>
              <w:top w:val="single" w:sz="4" w:space="0" w:color="auto"/>
              <w:left w:val="nil"/>
              <w:bottom w:val="nil"/>
              <w:right w:val="nil"/>
            </w:tcBorders>
          </w:tcPr>
          <w:p w:rsidR="00CB462C" w:rsidRPr="00CB462C" w:rsidRDefault="00CB462C" w:rsidP="00CB462C">
            <w:pPr>
              <w:spacing w:after="0" w:line="240" w:lineRule="auto"/>
              <w:ind w:left="-142" w:firstLine="142"/>
              <w:rPr>
                <w:color w:val="000000"/>
              </w:rPr>
            </w:pPr>
          </w:p>
        </w:tc>
        <w:tc>
          <w:tcPr>
            <w:tcW w:w="1086" w:type="dxa"/>
            <w:gridSpan w:val="2"/>
            <w:tcBorders>
              <w:top w:val="single" w:sz="4" w:space="0" w:color="auto"/>
              <w:left w:val="nil"/>
              <w:bottom w:val="nil"/>
              <w:right w:val="nil"/>
            </w:tcBorders>
            <w:noWrap/>
            <w:vAlign w:val="bottom"/>
          </w:tcPr>
          <w:p w:rsidR="00CB462C" w:rsidRPr="00CB462C" w:rsidRDefault="00CB462C" w:rsidP="00CB462C">
            <w:pPr>
              <w:spacing w:after="0" w:line="240" w:lineRule="auto"/>
              <w:ind w:left="-142" w:firstLine="142"/>
              <w:rPr>
                <w:color w:val="000000"/>
              </w:rPr>
            </w:pPr>
          </w:p>
        </w:tc>
      </w:tr>
      <w:tr w:rsidR="00CB462C" w:rsidRPr="00CB462C" w:rsidTr="00653B80">
        <w:trPr>
          <w:trHeight w:val="300"/>
        </w:trPr>
        <w:tc>
          <w:tcPr>
            <w:tcW w:w="5637" w:type="dxa"/>
            <w:gridSpan w:val="4"/>
            <w:noWrap/>
            <w:vAlign w:val="bottom"/>
          </w:tcPr>
          <w:p w:rsidR="00CB462C" w:rsidRPr="00CB462C" w:rsidRDefault="00CB462C" w:rsidP="00CB462C">
            <w:pPr>
              <w:spacing w:after="0" w:line="240" w:lineRule="auto"/>
              <w:ind w:left="-142" w:right="-4752" w:firstLine="142"/>
              <w:rPr>
                <w:rFonts w:ascii="Times New Roman" w:hAnsi="Times New Roman"/>
                <w:color w:val="000000"/>
                <w:sz w:val="20"/>
                <w:szCs w:val="20"/>
                <w:vertAlign w:val="superscript"/>
              </w:rPr>
            </w:pPr>
          </w:p>
          <w:p w:rsidR="00CB462C" w:rsidRPr="00CB462C" w:rsidRDefault="00CB462C" w:rsidP="00CB462C">
            <w:pPr>
              <w:spacing w:after="0" w:line="240" w:lineRule="auto"/>
              <w:ind w:left="-142" w:right="-4752" w:firstLine="142"/>
              <w:rPr>
                <w:rFonts w:ascii="Times New Roman" w:hAnsi="Times New Roman"/>
                <w:color w:val="000000"/>
                <w:sz w:val="20"/>
                <w:szCs w:val="20"/>
              </w:rPr>
            </w:pPr>
            <w:r w:rsidRPr="00CB462C">
              <w:rPr>
                <w:rFonts w:ascii="Times New Roman" w:hAnsi="Times New Roman"/>
                <w:color w:val="000000"/>
                <w:sz w:val="20"/>
                <w:szCs w:val="20"/>
                <w:vertAlign w:val="superscript"/>
              </w:rPr>
              <w:t>1</w:t>
            </w:r>
            <w:r w:rsidRPr="00CB462C">
              <w:rPr>
                <w:rFonts w:ascii="Times New Roman" w:hAnsi="Times New Roman"/>
                <w:color w:val="000000"/>
                <w:sz w:val="20"/>
                <w:szCs w:val="20"/>
              </w:rPr>
              <w:t xml:space="preserve"> - с учетом объемов субъектов малого предпринимательства;</w:t>
            </w:r>
          </w:p>
          <w:p w:rsidR="00CB462C" w:rsidRPr="00CB462C" w:rsidRDefault="00CB462C" w:rsidP="00CB462C">
            <w:pPr>
              <w:spacing w:after="0" w:line="240" w:lineRule="auto"/>
              <w:ind w:left="-142" w:right="-4752" w:firstLine="142"/>
              <w:rPr>
                <w:rFonts w:ascii="Times New Roman" w:hAnsi="Times New Roman"/>
                <w:color w:val="000000"/>
                <w:sz w:val="20"/>
                <w:szCs w:val="20"/>
              </w:rPr>
            </w:pPr>
            <w:r w:rsidRPr="00CB462C">
              <w:rPr>
                <w:rFonts w:ascii="Times New Roman" w:hAnsi="Times New Roman"/>
                <w:color w:val="000000"/>
                <w:sz w:val="20"/>
                <w:szCs w:val="20"/>
                <w:vertAlign w:val="superscript"/>
              </w:rPr>
              <w:t>2</w:t>
            </w:r>
            <w:r w:rsidRPr="00CB462C">
              <w:rPr>
                <w:rFonts w:ascii="Times New Roman" w:hAnsi="Times New Roman"/>
                <w:color w:val="000000"/>
                <w:sz w:val="20"/>
                <w:szCs w:val="20"/>
              </w:rPr>
              <w:t xml:space="preserve"> - </w:t>
            </w:r>
            <w:r w:rsidRPr="00CB462C">
              <w:rPr>
                <w:rFonts w:ascii="Times New Roman" w:hAnsi="Times New Roman"/>
                <w:color w:val="000000"/>
                <w:sz w:val="20"/>
                <w:szCs w:val="20"/>
                <w:vertAlign w:val="superscript"/>
              </w:rPr>
              <w:t xml:space="preserve"> </w:t>
            </w:r>
            <w:r w:rsidRPr="00CB462C">
              <w:rPr>
                <w:rFonts w:ascii="Times New Roman" w:hAnsi="Times New Roman"/>
                <w:color w:val="000000"/>
                <w:sz w:val="20"/>
                <w:szCs w:val="20"/>
              </w:rPr>
              <w:t>во всех категориях хозяйств;</w:t>
            </w:r>
          </w:p>
          <w:p w:rsidR="00CB462C" w:rsidRPr="00CB462C" w:rsidRDefault="00CB462C" w:rsidP="00CB462C">
            <w:pPr>
              <w:spacing w:after="0" w:line="240" w:lineRule="auto"/>
              <w:ind w:left="-142" w:right="-4752" w:firstLine="142"/>
              <w:rPr>
                <w:color w:val="000000"/>
              </w:rPr>
            </w:pPr>
            <w:r w:rsidRPr="00CB462C">
              <w:rPr>
                <w:rFonts w:ascii="Times New Roman" w:hAnsi="Times New Roman"/>
                <w:color w:val="000000"/>
                <w:sz w:val="20"/>
                <w:szCs w:val="20"/>
                <w:vertAlign w:val="superscript"/>
              </w:rPr>
              <w:t xml:space="preserve">3 – </w:t>
            </w:r>
            <w:r w:rsidRPr="00CB462C">
              <w:rPr>
                <w:rFonts w:ascii="Times New Roman" w:hAnsi="Times New Roman"/>
                <w:color w:val="000000"/>
                <w:sz w:val="20"/>
                <w:szCs w:val="20"/>
              </w:rPr>
              <w:t>без силовых структур и таможенных органов;</w:t>
            </w:r>
          </w:p>
        </w:tc>
        <w:tc>
          <w:tcPr>
            <w:tcW w:w="969" w:type="dxa"/>
            <w:gridSpan w:val="4"/>
            <w:noWrap/>
            <w:vAlign w:val="bottom"/>
          </w:tcPr>
          <w:p w:rsidR="00CB462C" w:rsidRPr="00CB462C" w:rsidRDefault="00CB462C" w:rsidP="00CB462C">
            <w:pPr>
              <w:spacing w:after="0" w:line="240" w:lineRule="auto"/>
              <w:ind w:left="-142" w:firstLine="142"/>
              <w:rPr>
                <w:color w:val="000000"/>
              </w:rPr>
            </w:pPr>
          </w:p>
        </w:tc>
        <w:tc>
          <w:tcPr>
            <w:tcW w:w="1016" w:type="dxa"/>
            <w:gridSpan w:val="4"/>
            <w:noWrap/>
            <w:vAlign w:val="bottom"/>
          </w:tcPr>
          <w:p w:rsidR="00CB462C" w:rsidRPr="00CB462C" w:rsidRDefault="00CB462C" w:rsidP="00CB462C">
            <w:pPr>
              <w:spacing w:after="0" w:line="240" w:lineRule="auto"/>
              <w:ind w:left="-142" w:firstLine="142"/>
              <w:rPr>
                <w:color w:val="000000"/>
              </w:rPr>
            </w:pPr>
          </w:p>
        </w:tc>
        <w:tc>
          <w:tcPr>
            <w:tcW w:w="1082" w:type="dxa"/>
            <w:gridSpan w:val="3"/>
          </w:tcPr>
          <w:p w:rsidR="00CB462C" w:rsidRPr="00CB462C" w:rsidRDefault="00CB462C" w:rsidP="00CB462C">
            <w:pPr>
              <w:spacing w:after="0" w:line="240" w:lineRule="auto"/>
              <w:ind w:left="-142" w:firstLine="142"/>
              <w:rPr>
                <w:color w:val="000000"/>
              </w:rPr>
            </w:pPr>
          </w:p>
        </w:tc>
        <w:tc>
          <w:tcPr>
            <w:tcW w:w="1086" w:type="dxa"/>
            <w:gridSpan w:val="2"/>
            <w:noWrap/>
            <w:vAlign w:val="bottom"/>
          </w:tcPr>
          <w:p w:rsidR="00CB462C" w:rsidRPr="00CB462C" w:rsidRDefault="00CB462C" w:rsidP="00CB462C">
            <w:pPr>
              <w:spacing w:after="0" w:line="240" w:lineRule="auto"/>
              <w:ind w:left="-142" w:firstLine="142"/>
              <w:rPr>
                <w:color w:val="000000"/>
              </w:rPr>
            </w:pPr>
          </w:p>
        </w:tc>
      </w:tr>
      <w:tr w:rsidR="00CB462C" w:rsidRPr="00CB462C" w:rsidTr="00653B80">
        <w:trPr>
          <w:gridAfter w:val="8"/>
          <w:wAfter w:w="2807" w:type="dxa"/>
          <w:trHeight w:val="300"/>
        </w:trPr>
        <w:tc>
          <w:tcPr>
            <w:tcW w:w="4219" w:type="dxa"/>
            <w:noWrap/>
            <w:vAlign w:val="bottom"/>
            <w:hideMark/>
          </w:tcPr>
          <w:p w:rsidR="00CB462C" w:rsidRPr="00CB462C" w:rsidRDefault="00CB462C" w:rsidP="00CB462C">
            <w:pPr>
              <w:spacing w:after="0" w:line="240" w:lineRule="auto"/>
              <w:ind w:left="-142" w:firstLine="142"/>
              <w:rPr>
                <w:rFonts w:ascii="Times New Roman" w:hAnsi="Times New Roman"/>
                <w:color w:val="000000"/>
                <w:sz w:val="20"/>
                <w:szCs w:val="20"/>
              </w:rPr>
            </w:pPr>
            <w:r w:rsidRPr="00CB462C">
              <w:rPr>
                <w:rFonts w:ascii="Times New Roman" w:hAnsi="Times New Roman"/>
                <w:color w:val="000000"/>
                <w:sz w:val="20"/>
                <w:szCs w:val="20"/>
                <w:vertAlign w:val="superscript"/>
              </w:rPr>
              <w:t>4</w:t>
            </w:r>
            <w:r w:rsidRPr="00CB462C">
              <w:rPr>
                <w:rFonts w:ascii="Times New Roman" w:hAnsi="Times New Roman"/>
                <w:color w:val="000000"/>
                <w:sz w:val="20"/>
                <w:szCs w:val="20"/>
              </w:rPr>
              <w:t xml:space="preserve"> - к декабрю предыдущего года</w:t>
            </w:r>
          </w:p>
        </w:tc>
        <w:tc>
          <w:tcPr>
            <w:tcW w:w="709" w:type="dxa"/>
            <w:gridSpan w:val="2"/>
            <w:noWrap/>
            <w:vAlign w:val="bottom"/>
          </w:tcPr>
          <w:p w:rsidR="00CB462C" w:rsidRPr="00CB462C" w:rsidRDefault="00CB462C" w:rsidP="00CB462C">
            <w:pPr>
              <w:spacing w:after="0" w:line="240" w:lineRule="auto"/>
              <w:ind w:left="-142" w:firstLine="142"/>
              <w:rPr>
                <w:color w:val="000000"/>
              </w:rPr>
            </w:pPr>
          </w:p>
        </w:tc>
        <w:tc>
          <w:tcPr>
            <w:tcW w:w="969" w:type="dxa"/>
            <w:gridSpan w:val="2"/>
            <w:noWrap/>
            <w:vAlign w:val="bottom"/>
          </w:tcPr>
          <w:p w:rsidR="00CB462C" w:rsidRPr="00CB462C" w:rsidRDefault="00CB462C" w:rsidP="00CB462C">
            <w:pPr>
              <w:spacing w:after="0" w:line="240" w:lineRule="auto"/>
              <w:ind w:left="-142" w:firstLine="142"/>
              <w:rPr>
                <w:color w:val="000000"/>
              </w:rPr>
            </w:pPr>
          </w:p>
        </w:tc>
        <w:tc>
          <w:tcPr>
            <w:tcW w:w="1086" w:type="dxa"/>
            <w:gridSpan w:val="4"/>
            <w:noWrap/>
            <w:vAlign w:val="bottom"/>
          </w:tcPr>
          <w:p w:rsidR="00CB462C" w:rsidRPr="00CB462C" w:rsidRDefault="00CB462C" w:rsidP="00CB462C">
            <w:pPr>
              <w:spacing w:after="0" w:line="240" w:lineRule="auto"/>
              <w:ind w:left="-142" w:firstLine="142"/>
              <w:rPr>
                <w:color w:val="000000"/>
              </w:rPr>
            </w:pPr>
          </w:p>
        </w:tc>
      </w:tr>
    </w:tbl>
    <w:p w:rsidR="00CB462C" w:rsidRPr="00CB462C" w:rsidRDefault="00CB462C" w:rsidP="00CB462C"/>
    <w:p w:rsidR="009A7FAB" w:rsidRPr="001A1E70" w:rsidRDefault="009A7FAB" w:rsidP="007D3AA7">
      <w:pPr>
        <w:spacing w:after="0"/>
      </w:pPr>
    </w:p>
    <w:p w:rsidR="002148BB" w:rsidRPr="001A1E70" w:rsidRDefault="002148BB" w:rsidP="007D3AA7">
      <w:pPr>
        <w:spacing w:after="0"/>
      </w:pPr>
    </w:p>
    <w:p w:rsidR="00C40A42" w:rsidRPr="0080737A" w:rsidRDefault="00C40A42" w:rsidP="007D3AA7">
      <w:pPr>
        <w:spacing w:after="0"/>
      </w:pPr>
    </w:p>
    <w:p w:rsidR="00335844" w:rsidRPr="0080737A" w:rsidRDefault="00335844" w:rsidP="007D3AA7">
      <w:pPr>
        <w:spacing w:after="0" w:line="240" w:lineRule="auto"/>
        <w:ind w:firstLine="709"/>
        <w:jc w:val="center"/>
        <w:rPr>
          <w:rFonts w:ascii="Times New Roman" w:hAnsi="Times New Roman"/>
          <w:sz w:val="24"/>
          <w:szCs w:val="24"/>
        </w:rPr>
        <w:sectPr w:rsidR="00335844" w:rsidRPr="0080737A" w:rsidSect="003F67B2">
          <w:pgSz w:w="11906" w:h="16838" w:code="9"/>
          <w:pgMar w:top="1134" w:right="851" w:bottom="1134" w:left="1701" w:header="709" w:footer="709" w:gutter="0"/>
          <w:cols w:space="708"/>
          <w:titlePg/>
          <w:docGrid w:linePitch="360"/>
        </w:sectPr>
      </w:pPr>
    </w:p>
    <w:p w:rsidR="00CB462C" w:rsidRPr="00F14252" w:rsidRDefault="00CB462C" w:rsidP="00CB462C">
      <w:pPr>
        <w:keepNext/>
        <w:spacing w:after="0" w:line="240" w:lineRule="auto"/>
        <w:jc w:val="right"/>
        <w:rPr>
          <w:rFonts w:ascii="Times New Roman" w:hAnsi="Times New Roman"/>
          <w:b/>
          <w:bCs/>
          <w:sz w:val="28"/>
          <w:szCs w:val="28"/>
        </w:rPr>
      </w:pPr>
      <w:r w:rsidRPr="00F14252">
        <w:rPr>
          <w:rFonts w:ascii="Times New Roman" w:hAnsi="Times New Roman"/>
          <w:b/>
          <w:bCs/>
          <w:sz w:val="28"/>
          <w:szCs w:val="28"/>
        </w:rPr>
        <w:lastRenderedPageBreak/>
        <w:t>Приложение №2</w:t>
      </w:r>
    </w:p>
    <w:p w:rsidR="00CB462C" w:rsidRDefault="00CB462C" w:rsidP="00CB462C">
      <w:pPr>
        <w:spacing w:after="0" w:line="240" w:lineRule="auto"/>
        <w:jc w:val="center"/>
        <w:rPr>
          <w:rFonts w:ascii="Times New Roman" w:hAnsi="Times New Roman"/>
          <w:b/>
          <w:sz w:val="28"/>
          <w:szCs w:val="28"/>
        </w:rPr>
      </w:pPr>
      <w:r w:rsidRPr="004C49D8">
        <w:rPr>
          <w:rFonts w:ascii="Times New Roman" w:hAnsi="Times New Roman"/>
          <w:b/>
          <w:sz w:val="28"/>
          <w:szCs w:val="28"/>
        </w:rPr>
        <w:t>Динамика и структура промышленного производства и реализации продукции по отраслям промышленности</w:t>
      </w:r>
      <w:r w:rsidR="00F96094">
        <w:rPr>
          <w:rFonts w:ascii="Times New Roman" w:hAnsi="Times New Roman"/>
          <w:b/>
          <w:sz w:val="28"/>
          <w:szCs w:val="28"/>
        </w:rPr>
        <w:t xml:space="preserve"> за 2018 год</w:t>
      </w:r>
    </w:p>
    <w:p w:rsidR="00CB462C" w:rsidRPr="004C49D8" w:rsidRDefault="00CB462C" w:rsidP="00CB462C">
      <w:pPr>
        <w:spacing w:after="0" w:line="240" w:lineRule="auto"/>
        <w:jc w:val="center"/>
        <w:rPr>
          <w:rFonts w:ascii="Times New Roman" w:hAnsi="Times New Roman"/>
          <w:b/>
          <w:sz w:val="28"/>
          <w:szCs w:val="28"/>
        </w:rPr>
      </w:pPr>
    </w:p>
    <w:tbl>
      <w:tblPr>
        <w:tblW w:w="9622" w:type="dxa"/>
        <w:tblInd w:w="-72" w:type="dxa"/>
        <w:tblLayout w:type="fixed"/>
        <w:tblLook w:val="0000" w:firstRow="0" w:lastRow="0" w:firstColumn="0" w:lastColumn="0" w:noHBand="0" w:noVBand="0"/>
      </w:tblPr>
      <w:tblGrid>
        <w:gridCol w:w="3183"/>
        <w:gridCol w:w="933"/>
        <w:gridCol w:w="884"/>
        <w:gridCol w:w="1040"/>
        <w:gridCol w:w="862"/>
        <w:gridCol w:w="791"/>
        <w:gridCol w:w="934"/>
        <w:gridCol w:w="995"/>
      </w:tblGrid>
      <w:tr w:rsidR="00CB462C" w:rsidRPr="004C49D8" w:rsidTr="00653B80">
        <w:trPr>
          <w:cantSplit/>
          <w:trHeight w:val="366"/>
        </w:trPr>
        <w:tc>
          <w:tcPr>
            <w:tcW w:w="3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462C" w:rsidRPr="004C49D8" w:rsidRDefault="00CB462C" w:rsidP="00653B80">
            <w:pPr>
              <w:spacing w:after="0" w:line="240" w:lineRule="auto"/>
              <w:ind w:left="-108" w:right="-108"/>
              <w:jc w:val="center"/>
              <w:rPr>
                <w:rFonts w:ascii="Times New Roman" w:hAnsi="Times New Roman"/>
                <w:sz w:val="24"/>
                <w:szCs w:val="24"/>
              </w:rPr>
            </w:pPr>
            <w:r w:rsidRPr="004C49D8">
              <w:rPr>
                <w:rFonts w:ascii="Times New Roman" w:hAnsi="Times New Roman"/>
                <w:sz w:val="24"/>
                <w:szCs w:val="24"/>
              </w:rPr>
              <w:t>Название отраслей промышленности</w:t>
            </w:r>
          </w:p>
        </w:tc>
        <w:tc>
          <w:tcPr>
            <w:tcW w:w="3719" w:type="dxa"/>
            <w:gridSpan w:val="4"/>
            <w:tcBorders>
              <w:top w:val="single" w:sz="4" w:space="0" w:color="auto"/>
              <w:left w:val="nil"/>
              <w:bottom w:val="single" w:sz="4" w:space="0" w:color="auto"/>
              <w:right w:val="single" w:sz="4" w:space="0" w:color="auto"/>
            </w:tcBorders>
            <w:shd w:val="clear" w:color="auto" w:fill="auto"/>
            <w:noWrap/>
            <w:vAlign w:val="center"/>
          </w:tcPr>
          <w:p w:rsidR="00CB462C" w:rsidRPr="004C49D8" w:rsidRDefault="00CB462C" w:rsidP="00653B80">
            <w:pPr>
              <w:spacing w:after="0" w:line="240" w:lineRule="auto"/>
              <w:jc w:val="center"/>
              <w:rPr>
                <w:rFonts w:ascii="Times New Roman" w:hAnsi="Times New Roman"/>
                <w:sz w:val="24"/>
                <w:szCs w:val="24"/>
              </w:rPr>
            </w:pPr>
            <w:r w:rsidRPr="004C49D8">
              <w:rPr>
                <w:rFonts w:ascii="Times New Roman" w:hAnsi="Times New Roman"/>
                <w:sz w:val="24"/>
                <w:szCs w:val="24"/>
              </w:rPr>
              <w:t>Объем промышленного производства</w:t>
            </w:r>
          </w:p>
        </w:tc>
        <w:tc>
          <w:tcPr>
            <w:tcW w:w="7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462C" w:rsidRPr="004C49D8" w:rsidRDefault="00CB462C" w:rsidP="00653B80">
            <w:pPr>
              <w:spacing w:after="0" w:line="240" w:lineRule="auto"/>
              <w:jc w:val="center"/>
              <w:rPr>
                <w:rFonts w:ascii="Times New Roman" w:hAnsi="Times New Roman"/>
                <w:sz w:val="24"/>
                <w:szCs w:val="24"/>
              </w:rPr>
            </w:pPr>
            <w:r w:rsidRPr="004C49D8">
              <w:rPr>
                <w:rFonts w:ascii="Times New Roman" w:hAnsi="Times New Roman"/>
                <w:sz w:val="24"/>
                <w:szCs w:val="24"/>
              </w:rPr>
              <w:t>Удельный вес отрасли в общем объеме производства, %</w:t>
            </w:r>
          </w:p>
        </w:tc>
        <w:tc>
          <w:tcPr>
            <w:tcW w:w="1929" w:type="dxa"/>
            <w:gridSpan w:val="2"/>
            <w:tcBorders>
              <w:top w:val="single" w:sz="4" w:space="0" w:color="auto"/>
              <w:left w:val="nil"/>
              <w:bottom w:val="single" w:sz="4" w:space="0" w:color="auto"/>
              <w:right w:val="single" w:sz="4" w:space="0" w:color="auto"/>
            </w:tcBorders>
            <w:shd w:val="clear" w:color="auto" w:fill="auto"/>
          </w:tcPr>
          <w:p w:rsidR="00CB462C" w:rsidRPr="004C49D8" w:rsidRDefault="00CB462C" w:rsidP="00653B80">
            <w:pPr>
              <w:spacing w:after="0" w:line="240" w:lineRule="auto"/>
              <w:ind w:left="-169"/>
              <w:jc w:val="center"/>
              <w:rPr>
                <w:rFonts w:ascii="Times New Roman" w:hAnsi="Times New Roman"/>
                <w:sz w:val="24"/>
                <w:szCs w:val="24"/>
              </w:rPr>
            </w:pPr>
            <w:r w:rsidRPr="004C49D8">
              <w:rPr>
                <w:rFonts w:ascii="Times New Roman" w:hAnsi="Times New Roman"/>
                <w:sz w:val="24"/>
                <w:szCs w:val="24"/>
              </w:rPr>
              <w:t>Объем реализованной продукции</w:t>
            </w:r>
          </w:p>
        </w:tc>
      </w:tr>
      <w:tr w:rsidR="00CB462C" w:rsidRPr="004C49D8" w:rsidTr="00653B80">
        <w:trPr>
          <w:cantSplit/>
          <w:trHeight w:val="2587"/>
        </w:trPr>
        <w:tc>
          <w:tcPr>
            <w:tcW w:w="31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462C" w:rsidRPr="004C49D8" w:rsidRDefault="00CB462C" w:rsidP="00653B80">
            <w:pPr>
              <w:spacing w:after="0" w:line="240" w:lineRule="auto"/>
              <w:ind w:left="-108" w:right="-108"/>
              <w:rPr>
                <w:rFonts w:ascii="Times New Roman" w:hAnsi="Times New Roman"/>
                <w:sz w:val="24"/>
                <w:szCs w:val="24"/>
              </w:rPr>
            </w:pP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CB462C" w:rsidRPr="004C49D8" w:rsidRDefault="00CB462C" w:rsidP="00653B80">
            <w:pPr>
              <w:suppressAutoHyphens/>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20</w:t>
            </w:r>
            <w:r>
              <w:rPr>
                <w:rFonts w:ascii="Times New Roman" w:hAnsi="Times New Roman"/>
                <w:snapToGrid w:val="0"/>
                <w:sz w:val="24"/>
                <w:szCs w:val="24"/>
              </w:rPr>
              <w:t xml:space="preserve">18 </w:t>
            </w:r>
            <w:r w:rsidRPr="004C49D8">
              <w:rPr>
                <w:rFonts w:ascii="Times New Roman" w:hAnsi="Times New Roman"/>
                <w:snapToGrid w:val="0"/>
                <w:sz w:val="24"/>
                <w:szCs w:val="24"/>
              </w:rPr>
              <w:t>г</w:t>
            </w:r>
            <w:r>
              <w:rPr>
                <w:rFonts w:ascii="Times New Roman" w:hAnsi="Times New Roman"/>
                <w:snapToGrid w:val="0"/>
                <w:sz w:val="24"/>
                <w:szCs w:val="24"/>
              </w:rPr>
              <w:t>од</w:t>
            </w:r>
            <w:r w:rsidRPr="004C49D8">
              <w:rPr>
                <w:rFonts w:ascii="Times New Roman" w:hAnsi="Times New Roman"/>
                <w:snapToGrid w:val="0"/>
                <w:sz w:val="24"/>
                <w:szCs w:val="24"/>
              </w:rPr>
              <w:t>,</w:t>
            </w:r>
          </w:p>
          <w:p w:rsidR="00CB462C" w:rsidRPr="004C49D8" w:rsidRDefault="00CB462C" w:rsidP="00653B80">
            <w:pPr>
              <w:suppressAutoHyphens/>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млн дол</w:t>
            </w:r>
            <w:r>
              <w:rPr>
                <w:rFonts w:ascii="Times New Roman" w:hAnsi="Times New Roman"/>
                <w:snapToGrid w:val="0"/>
                <w:sz w:val="24"/>
                <w:szCs w:val="24"/>
              </w:rPr>
              <w:t>л</w:t>
            </w:r>
            <w:r w:rsidRPr="004C49D8">
              <w:rPr>
                <w:rFonts w:ascii="Times New Roman" w:hAnsi="Times New Roman"/>
                <w:snapToGrid w:val="0"/>
                <w:sz w:val="24"/>
                <w:szCs w:val="24"/>
              </w:rPr>
              <w:t>.</w:t>
            </w:r>
          </w:p>
        </w:tc>
        <w:tc>
          <w:tcPr>
            <w:tcW w:w="884" w:type="dxa"/>
            <w:tcBorders>
              <w:top w:val="single" w:sz="4" w:space="0" w:color="auto"/>
              <w:left w:val="nil"/>
              <w:bottom w:val="single" w:sz="4" w:space="0" w:color="auto"/>
              <w:right w:val="single" w:sz="4" w:space="0" w:color="auto"/>
            </w:tcBorders>
            <w:shd w:val="clear" w:color="auto" w:fill="auto"/>
            <w:textDirection w:val="btLr"/>
            <w:vAlign w:val="center"/>
          </w:tcPr>
          <w:p w:rsidR="00CB462C" w:rsidRDefault="00CB462C" w:rsidP="00653B80">
            <w:pPr>
              <w:pStyle w:val="afc"/>
              <w:ind w:left="0" w:right="0"/>
              <w:rPr>
                <w:b w:val="0"/>
                <w:snapToGrid w:val="0"/>
                <w:sz w:val="24"/>
                <w:szCs w:val="24"/>
              </w:rPr>
            </w:pPr>
            <w:r w:rsidRPr="00FE5CAF">
              <w:rPr>
                <w:b w:val="0"/>
                <w:sz w:val="24"/>
                <w:szCs w:val="24"/>
              </w:rPr>
              <w:t>Темп роста</w:t>
            </w:r>
            <w:r w:rsidRPr="005A0EFC">
              <w:rPr>
                <w:b w:val="0"/>
                <w:snapToGrid w:val="0"/>
                <w:sz w:val="24"/>
                <w:szCs w:val="24"/>
              </w:rPr>
              <w:t xml:space="preserve"> </w:t>
            </w:r>
          </w:p>
          <w:p w:rsidR="00CB462C" w:rsidRDefault="00CB462C" w:rsidP="00653B80">
            <w:pPr>
              <w:pStyle w:val="afc"/>
              <w:ind w:left="0" w:right="0"/>
              <w:rPr>
                <w:b w:val="0"/>
                <w:sz w:val="24"/>
                <w:szCs w:val="24"/>
              </w:rPr>
            </w:pPr>
            <w:r w:rsidRPr="00FE5CAF">
              <w:rPr>
                <w:b w:val="0"/>
                <w:snapToGrid w:val="0"/>
                <w:sz w:val="24"/>
                <w:szCs w:val="24"/>
              </w:rPr>
              <w:t>201</w:t>
            </w:r>
            <w:r>
              <w:rPr>
                <w:b w:val="0"/>
                <w:snapToGrid w:val="0"/>
                <w:sz w:val="24"/>
                <w:szCs w:val="24"/>
              </w:rPr>
              <w:t>8</w:t>
            </w:r>
            <w:r w:rsidRPr="00FE5CAF">
              <w:rPr>
                <w:b w:val="0"/>
                <w:snapToGrid w:val="0"/>
                <w:sz w:val="24"/>
                <w:szCs w:val="24"/>
              </w:rPr>
              <w:t xml:space="preserve"> г.</w:t>
            </w:r>
            <w:r>
              <w:rPr>
                <w:b w:val="0"/>
                <w:snapToGrid w:val="0"/>
                <w:sz w:val="24"/>
                <w:szCs w:val="24"/>
              </w:rPr>
              <w:t xml:space="preserve"> </w:t>
            </w:r>
            <w:r w:rsidRPr="005A0EFC">
              <w:rPr>
                <w:b w:val="0"/>
                <w:snapToGrid w:val="0"/>
                <w:sz w:val="24"/>
                <w:szCs w:val="24"/>
              </w:rPr>
              <w:t>к 201</w:t>
            </w:r>
            <w:r>
              <w:rPr>
                <w:b w:val="0"/>
                <w:snapToGrid w:val="0"/>
                <w:sz w:val="24"/>
                <w:szCs w:val="24"/>
              </w:rPr>
              <w:t>7</w:t>
            </w:r>
            <w:r w:rsidRPr="005A0EFC">
              <w:rPr>
                <w:b w:val="0"/>
                <w:snapToGrid w:val="0"/>
                <w:sz w:val="24"/>
                <w:szCs w:val="24"/>
              </w:rPr>
              <w:t xml:space="preserve"> г.</w:t>
            </w:r>
            <w:r w:rsidRPr="002943D5">
              <w:rPr>
                <w:b w:val="0"/>
                <w:sz w:val="24"/>
                <w:szCs w:val="24"/>
              </w:rPr>
              <w:t>,</w:t>
            </w:r>
          </w:p>
          <w:p w:rsidR="00CB462C" w:rsidRPr="004C49D8" w:rsidRDefault="00CB462C" w:rsidP="00653B80">
            <w:pPr>
              <w:pStyle w:val="afc"/>
              <w:ind w:left="0" w:right="0"/>
              <w:rPr>
                <w:snapToGrid w:val="0"/>
                <w:sz w:val="24"/>
                <w:szCs w:val="24"/>
              </w:rPr>
            </w:pPr>
            <w:r w:rsidRPr="002943D5">
              <w:rPr>
                <w:b w:val="0"/>
                <w:sz w:val="24"/>
                <w:szCs w:val="24"/>
              </w:rPr>
              <w:t>%</w:t>
            </w:r>
          </w:p>
        </w:tc>
        <w:tc>
          <w:tcPr>
            <w:tcW w:w="1040" w:type="dxa"/>
            <w:tcBorders>
              <w:top w:val="single" w:sz="4" w:space="0" w:color="auto"/>
              <w:left w:val="nil"/>
              <w:bottom w:val="single" w:sz="4" w:space="0" w:color="auto"/>
              <w:right w:val="single" w:sz="4" w:space="0" w:color="auto"/>
            </w:tcBorders>
            <w:shd w:val="clear" w:color="auto" w:fill="auto"/>
            <w:textDirection w:val="btLr"/>
            <w:vAlign w:val="center"/>
          </w:tcPr>
          <w:p w:rsidR="00CB462C" w:rsidRDefault="00CB462C" w:rsidP="00653B80">
            <w:pPr>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20</w:t>
            </w:r>
            <w:r>
              <w:rPr>
                <w:rFonts w:ascii="Times New Roman" w:hAnsi="Times New Roman"/>
                <w:snapToGrid w:val="0"/>
                <w:sz w:val="24"/>
                <w:szCs w:val="24"/>
              </w:rPr>
              <w:t xml:space="preserve">18 </w:t>
            </w:r>
            <w:r w:rsidRPr="004C49D8">
              <w:rPr>
                <w:rFonts w:ascii="Times New Roman" w:hAnsi="Times New Roman"/>
                <w:snapToGrid w:val="0"/>
                <w:sz w:val="24"/>
                <w:szCs w:val="24"/>
              </w:rPr>
              <w:t>г</w:t>
            </w:r>
            <w:r>
              <w:rPr>
                <w:rFonts w:ascii="Times New Roman" w:hAnsi="Times New Roman"/>
                <w:snapToGrid w:val="0"/>
                <w:sz w:val="24"/>
                <w:szCs w:val="24"/>
              </w:rPr>
              <w:t>од</w:t>
            </w:r>
            <w:r w:rsidRPr="004C49D8">
              <w:rPr>
                <w:rFonts w:ascii="Times New Roman" w:hAnsi="Times New Roman"/>
                <w:snapToGrid w:val="0"/>
                <w:sz w:val="24"/>
                <w:szCs w:val="24"/>
              </w:rPr>
              <w:t>,</w:t>
            </w:r>
            <w:r>
              <w:rPr>
                <w:rFonts w:ascii="Times New Roman" w:hAnsi="Times New Roman"/>
                <w:snapToGrid w:val="0"/>
                <w:sz w:val="24"/>
                <w:szCs w:val="24"/>
              </w:rPr>
              <w:t xml:space="preserve"> </w:t>
            </w:r>
          </w:p>
          <w:p w:rsidR="00CB462C" w:rsidRPr="004C49D8" w:rsidRDefault="00CB462C" w:rsidP="00653B80">
            <w:pPr>
              <w:spacing w:after="0" w:line="240" w:lineRule="auto"/>
              <w:jc w:val="center"/>
              <w:rPr>
                <w:rFonts w:ascii="Times New Roman" w:hAnsi="Times New Roman"/>
                <w:sz w:val="24"/>
                <w:szCs w:val="24"/>
              </w:rPr>
            </w:pPr>
            <w:r w:rsidRPr="004C49D8">
              <w:rPr>
                <w:rFonts w:ascii="Times New Roman" w:hAnsi="Times New Roman"/>
                <w:sz w:val="24"/>
                <w:szCs w:val="24"/>
              </w:rPr>
              <w:t>в текущих ценах</w:t>
            </w:r>
            <w:r>
              <w:rPr>
                <w:rFonts w:ascii="Times New Roman" w:hAnsi="Times New Roman"/>
                <w:sz w:val="24"/>
                <w:szCs w:val="24"/>
              </w:rPr>
              <w:t>,</w:t>
            </w:r>
          </w:p>
          <w:p w:rsidR="00CB462C" w:rsidRPr="004C49D8" w:rsidRDefault="00CB462C" w:rsidP="00653B80">
            <w:pPr>
              <w:spacing w:after="0" w:line="240" w:lineRule="auto"/>
              <w:jc w:val="center"/>
              <w:rPr>
                <w:rFonts w:ascii="Times New Roman" w:hAnsi="Times New Roman"/>
                <w:sz w:val="24"/>
                <w:szCs w:val="24"/>
              </w:rPr>
            </w:pPr>
            <w:r w:rsidRPr="004C49D8">
              <w:rPr>
                <w:rFonts w:ascii="Times New Roman" w:hAnsi="Times New Roman"/>
                <w:sz w:val="24"/>
                <w:szCs w:val="24"/>
              </w:rPr>
              <w:t>млн руб.</w:t>
            </w:r>
          </w:p>
        </w:tc>
        <w:tc>
          <w:tcPr>
            <w:tcW w:w="862" w:type="dxa"/>
            <w:tcBorders>
              <w:top w:val="single" w:sz="4" w:space="0" w:color="auto"/>
              <w:left w:val="nil"/>
              <w:bottom w:val="single" w:sz="4" w:space="0" w:color="auto"/>
              <w:right w:val="single" w:sz="4" w:space="0" w:color="auto"/>
            </w:tcBorders>
            <w:shd w:val="clear" w:color="auto" w:fill="auto"/>
            <w:textDirection w:val="btLr"/>
            <w:vAlign w:val="center"/>
          </w:tcPr>
          <w:p w:rsidR="00CB462C" w:rsidRDefault="00CB462C" w:rsidP="00653B80">
            <w:pPr>
              <w:pStyle w:val="afc"/>
              <w:ind w:left="0" w:right="0"/>
              <w:rPr>
                <w:b w:val="0"/>
                <w:snapToGrid w:val="0"/>
                <w:sz w:val="24"/>
                <w:szCs w:val="24"/>
              </w:rPr>
            </w:pPr>
            <w:r w:rsidRPr="00FE5CAF">
              <w:rPr>
                <w:b w:val="0"/>
                <w:sz w:val="24"/>
                <w:szCs w:val="24"/>
              </w:rPr>
              <w:t>Темп роста</w:t>
            </w:r>
            <w:r w:rsidRPr="005A0EFC">
              <w:rPr>
                <w:b w:val="0"/>
                <w:snapToGrid w:val="0"/>
                <w:sz w:val="24"/>
                <w:szCs w:val="24"/>
              </w:rPr>
              <w:t xml:space="preserve"> </w:t>
            </w:r>
          </w:p>
          <w:p w:rsidR="00CB462C" w:rsidRDefault="00CB462C" w:rsidP="00653B80">
            <w:pPr>
              <w:pStyle w:val="afc"/>
              <w:ind w:left="0" w:right="0"/>
              <w:rPr>
                <w:b w:val="0"/>
                <w:sz w:val="24"/>
                <w:szCs w:val="24"/>
              </w:rPr>
            </w:pPr>
            <w:r>
              <w:rPr>
                <w:b w:val="0"/>
                <w:snapToGrid w:val="0"/>
                <w:sz w:val="24"/>
                <w:szCs w:val="24"/>
              </w:rPr>
              <w:t>2</w:t>
            </w:r>
            <w:r w:rsidRPr="00FE5CAF">
              <w:rPr>
                <w:b w:val="0"/>
                <w:snapToGrid w:val="0"/>
                <w:sz w:val="24"/>
                <w:szCs w:val="24"/>
              </w:rPr>
              <w:t>01</w:t>
            </w:r>
            <w:r>
              <w:rPr>
                <w:b w:val="0"/>
                <w:snapToGrid w:val="0"/>
                <w:sz w:val="24"/>
                <w:szCs w:val="24"/>
              </w:rPr>
              <w:t>8</w:t>
            </w:r>
            <w:r w:rsidRPr="00FE5CAF">
              <w:rPr>
                <w:b w:val="0"/>
                <w:snapToGrid w:val="0"/>
                <w:sz w:val="24"/>
                <w:szCs w:val="24"/>
              </w:rPr>
              <w:t xml:space="preserve"> г.</w:t>
            </w:r>
            <w:r>
              <w:rPr>
                <w:b w:val="0"/>
                <w:snapToGrid w:val="0"/>
                <w:sz w:val="24"/>
                <w:szCs w:val="24"/>
              </w:rPr>
              <w:t xml:space="preserve"> </w:t>
            </w:r>
            <w:r w:rsidRPr="005A0EFC">
              <w:rPr>
                <w:b w:val="0"/>
                <w:snapToGrid w:val="0"/>
                <w:sz w:val="24"/>
                <w:szCs w:val="24"/>
              </w:rPr>
              <w:t>к 201</w:t>
            </w:r>
            <w:r>
              <w:rPr>
                <w:b w:val="0"/>
                <w:snapToGrid w:val="0"/>
                <w:sz w:val="24"/>
                <w:szCs w:val="24"/>
              </w:rPr>
              <w:t>7</w:t>
            </w:r>
            <w:r w:rsidRPr="005A0EFC">
              <w:rPr>
                <w:b w:val="0"/>
                <w:snapToGrid w:val="0"/>
                <w:sz w:val="24"/>
                <w:szCs w:val="24"/>
              </w:rPr>
              <w:t xml:space="preserve"> г.</w:t>
            </w:r>
            <w:r w:rsidRPr="002943D5">
              <w:rPr>
                <w:b w:val="0"/>
                <w:sz w:val="24"/>
                <w:szCs w:val="24"/>
              </w:rPr>
              <w:t>,</w:t>
            </w:r>
          </w:p>
          <w:p w:rsidR="00CB462C" w:rsidRPr="004C49D8" w:rsidRDefault="00CB462C" w:rsidP="00653B80">
            <w:pPr>
              <w:pStyle w:val="afc"/>
              <w:ind w:left="0" w:right="0"/>
              <w:rPr>
                <w:snapToGrid w:val="0"/>
                <w:sz w:val="24"/>
                <w:szCs w:val="24"/>
              </w:rPr>
            </w:pPr>
            <w:r w:rsidRPr="002943D5">
              <w:rPr>
                <w:b w:val="0"/>
                <w:sz w:val="24"/>
                <w:szCs w:val="24"/>
              </w:rPr>
              <w:t>%</w:t>
            </w:r>
          </w:p>
        </w:tc>
        <w:tc>
          <w:tcPr>
            <w:tcW w:w="7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462C" w:rsidRPr="004C49D8" w:rsidRDefault="00CB462C" w:rsidP="00653B80">
            <w:pPr>
              <w:spacing w:after="0" w:line="240" w:lineRule="auto"/>
              <w:jc w:val="center"/>
              <w:rPr>
                <w:rFonts w:ascii="Times New Roman" w:hAnsi="Times New Roman"/>
                <w:sz w:val="24"/>
                <w:szCs w:val="24"/>
              </w:rPr>
            </w:pPr>
          </w:p>
        </w:tc>
        <w:tc>
          <w:tcPr>
            <w:tcW w:w="934" w:type="dxa"/>
            <w:tcBorders>
              <w:top w:val="nil"/>
              <w:left w:val="nil"/>
              <w:bottom w:val="single" w:sz="4" w:space="0" w:color="auto"/>
              <w:right w:val="single" w:sz="4" w:space="0" w:color="auto"/>
            </w:tcBorders>
            <w:shd w:val="clear" w:color="auto" w:fill="auto"/>
            <w:textDirection w:val="btLr"/>
            <w:vAlign w:val="center"/>
          </w:tcPr>
          <w:p w:rsidR="00CB462C" w:rsidRPr="003A38B4" w:rsidRDefault="00CB462C" w:rsidP="00653B80">
            <w:pPr>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20</w:t>
            </w:r>
            <w:r>
              <w:rPr>
                <w:rFonts w:ascii="Times New Roman" w:hAnsi="Times New Roman"/>
                <w:snapToGrid w:val="0"/>
                <w:sz w:val="24"/>
                <w:szCs w:val="24"/>
              </w:rPr>
              <w:t xml:space="preserve">18 </w:t>
            </w:r>
            <w:r w:rsidRPr="004C49D8">
              <w:rPr>
                <w:rFonts w:ascii="Times New Roman" w:hAnsi="Times New Roman"/>
                <w:snapToGrid w:val="0"/>
                <w:sz w:val="24"/>
                <w:szCs w:val="24"/>
              </w:rPr>
              <w:t>г</w:t>
            </w:r>
            <w:r>
              <w:rPr>
                <w:rFonts w:ascii="Times New Roman" w:hAnsi="Times New Roman"/>
                <w:snapToGrid w:val="0"/>
                <w:sz w:val="24"/>
                <w:szCs w:val="24"/>
              </w:rPr>
              <w:t>од,</w:t>
            </w:r>
          </w:p>
          <w:p w:rsidR="00CB462C" w:rsidRPr="004C49D8" w:rsidRDefault="00CB462C" w:rsidP="00653B80">
            <w:pPr>
              <w:spacing w:after="0" w:line="240" w:lineRule="auto"/>
              <w:jc w:val="center"/>
              <w:rPr>
                <w:rFonts w:ascii="Times New Roman" w:hAnsi="Times New Roman"/>
                <w:sz w:val="24"/>
                <w:szCs w:val="24"/>
              </w:rPr>
            </w:pPr>
            <w:r w:rsidRPr="004C49D8">
              <w:rPr>
                <w:rFonts w:ascii="Times New Roman" w:hAnsi="Times New Roman"/>
                <w:sz w:val="24"/>
                <w:szCs w:val="24"/>
              </w:rPr>
              <w:t>млн руб.</w:t>
            </w:r>
          </w:p>
        </w:tc>
        <w:tc>
          <w:tcPr>
            <w:tcW w:w="995" w:type="dxa"/>
            <w:tcBorders>
              <w:top w:val="nil"/>
              <w:left w:val="nil"/>
              <w:bottom w:val="single" w:sz="4" w:space="0" w:color="auto"/>
              <w:right w:val="single" w:sz="4" w:space="0" w:color="auto"/>
            </w:tcBorders>
            <w:shd w:val="clear" w:color="auto" w:fill="auto"/>
            <w:textDirection w:val="btLr"/>
            <w:vAlign w:val="center"/>
          </w:tcPr>
          <w:p w:rsidR="00CB462C" w:rsidRDefault="00CB462C" w:rsidP="00653B80">
            <w:pPr>
              <w:pStyle w:val="afc"/>
              <w:ind w:left="0" w:right="0"/>
              <w:rPr>
                <w:b w:val="0"/>
                <w:snapToGrid w:val="0"/>
                <w:sz w:val="24"/>
                <w:szCs w:val="24"/>
              </w:rPr>
            </w:pPr>
            <w:r w:rsidRPr="00FE5CAF">
              <w:rPr>
                <w:b w:val="0"/>
                <w:sz w:val="24"/>
                <w:szCs w:val="24"/>
              </w:rPr>
              <w:t>Темп роста</w:t>
            </w:r>
            <w:r w:rsidRPr="005A0EFC">
              <w:rPr>
                <w:b w:val="0"/>
                <w:snapToGrid w:val="0"/>
                <w:sz w:val="24"/>
                <w:szCs w:val="24"/>
              </w:rPr>
              <w:t xml:space="preserve"> </w:t>
            </w:r>
          </w:p>
          <w:p w:rsidR="00CB462C" w:rsidRDefault="00CB462C" w:rsidP="00653B80">
            <w:pPr>
              <w:pStyle w:val="afc"/>
              <w:ind w:left="0" w:right="0"/>
              <w:rPr>
                <w:b w:val="0"/>
                <w:sz w:val="24"/>
                <w:szCs w:val="24"/>
              </w:rPr>
            </w:pPr>
            <w:r w:rsidRPr="00FE5CAF">
              <w:rPr>
                <w:b w:val="0"/>
                <w:snapToGrid w:val="0"/>
                <w:sz w:val="24"/>
                <w:szCs w:val="24"/>
              </w:rPr>
              <w:t>201</w:t>
            </w:r>
            <w:r>
              <w:rPr>
                <w:b w:val="0"/>
                <w:snapToGrid w:val="0"/>
                <w:sz w:val="24"/>
                <w:szCs w:val="24"/>
              </w:rPr>
              <w:t>8</w:t>
            </w:r>
            <w:r w:rsidRPr="00FE5CAF">
              <w:rPr>
                <w:b w:val="0"/>
                <w:snapToGrid w:val="0"/>
                <w:sz w:val="24"/>
                <w:szCs w:val="24"/>
              </w:rPr>
              <w:t xml:space="preserve"> г.</w:t>
            </w:r>
            <w:r>
              <w:rPr>
                <w:b w:val="0"/>
                <w:snapToGrid w:val="0"/>
                <w:sz w:val="24"/>
                <w:szCs w:val="24"/>
              </w:rPr>
              <w:t xml:space="preserve"> </w:t>
            </w:r>
            <w:r w:rsidRPr="005A0EFC">
              <w:rPr>
                <w:b w:val="0"/>
                <w:snapToGrid w:val="0"/>
                <w:sz w:val="24"/>
                <w:szCs w:val="24"/>
              </w:rPr>
              <w:t>к 201</w:t>
            </w:r>
            <w:r>
              <w:rPr>
                <w:b w:val="0"/>
                <w:snapToGrid w:val="0"/>
                <w:sz w:val="24"/>
                <w:szCs w:val="24"/>
              </w:rPr>
              <w:t>7</w:t>
            </w:r>
            <w:r w:rsidRPr="005A0EFC">
              <w:rPr>
                <w:b w:val="0"/>
                <w:snapToGrid w:val="0"/>
                <w:sz w:val="24"/>
                <w:szCs w:val="24"/>
              </w:rPr>
              <w:t xml:space="preserve"> г.</w:t>
            </w:r>
            <w:r w:rsidRPr="002943D5">
              <w:rPr>
                <w:b w:val="0"/>
                <w:sz w:val="24"/>
                <w:szCs w:val="24"/>
              </w:rPr>
              <w:t>,</w:t>
            </w:r>
          </w:p>
          <w:p w:rsidR="00CB462C" w:rsidRPr="008B73DA" w:rsidRDefault="00CB462C" w:rsidP="00653B80">
            <w:pPr>
              <w:pStyle w:val="afc"/>
              <w:ind w:left="0" w:right="0"/>
              <w:rPr>
                <w:b w:val="0"/>
                <w:snapToGrid w:val="0"/>
                <w:sz w:val="24"/>
                <w:szCs w:val="24"/>
              </w:rPr>
            </w:pPr>
            <w:r w:rsidRPr="002943D5">
              <w:rPr>
                <w:b w:val="0"/>
                <w:sz w:val="24"/>
                <w:szCs w:val="24"/>
              </w:rPr>
              <w:t>%</w:t>
            </w:r>
          </w:p>
        </w:tc>
      </w:tr>
      <w:tr w:rsidR="00CB462C" w:rsidRPr="007074C7" w:rsidTr="00653B80">
        <w:trPr>
          <w:trHeight w:val="332"/>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Электроэнергетика</w:t>
            </w:r>
          </w:p>
        </w:tc>
        <w:tc>
          <w:tcPr>
            <w:tcW w:w="933" w:type="dxa"/>
            <w:tcBorders>
              <w:top w:val="single" w:sz="4" w:space="0" w:color="auto"/>
              <w:left w:val="nil"/>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34" w:right="-108"/>
              <w:jc w:val="center"/>
              <w:rPr>
                <w:rFonts w:ascii="Times New Roman" w:hAnsi="Times New Roman"/>
                <w:sz w:val="24"/>
                <w:szCs w:val="24"/>
              </w:rPr>
            </w:pPr>
            <w:r>
              <w:rPr>
                <w:rFonts w:ascii="Times New Roman" w:hAnsi="Times New Roman"/>
                <w:sz w:val="24"/>
                <w:szCs w:val="24"/>
              </w:rPr>
              <w:t>224,7</w:t>
            </w:r>
          </w:p>
        </w:tc>
        <w:tc>
          <w:tcPr>
            <w:tcW w:w="884" w:type="dxa"/>
            <w:tcBorders>
              <w:top w:val="single" w:sz="4"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113,9</w:t>
            </w:r>
          </w:p>
        </w:tc>
        <w:tc>
          <w:tcPr>
            <w:tcW w:w="1040" w:type="dxa"/>
            <w:tcBorders>
              <w:top w:val="single" w:sz="4"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08" w:right="-108"/>
              <w:jc w:val="center"/>
              <w:rPr>
                <w:rFonts w:ascii="Times New Roman" w:hAnsi="Times New Roman"/>
                <w:sz w:val="24"/>
                <w:szCs w:val="24"/>
              </w:rPr>
            </w:pPr>
            <w:r>
              <w:rPr>
                <w:rFonts w:ascii="Times New Roman" w:hAnsi="Times New Roman"/>
                <w:sz w:val="24"/>
                <w:szCs w:val="24"/>
              </w:rPr>
              <w:t>3 603,8</w:t>
            </w:r>
          </w:p>
        </w:tc>
        <w:tc>
          <w:tcPr>
            <w:tcW w:w="862" w:type="dxa"/>
            <w:tcBorders>
              <w:top w:val="single" w:sz="4"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135,3</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sidRPr="007E4130">
              <w:rPr>
                <w:rFonts w:ascii="Times New Roman" w:hAnsi="Times New Roman"/>
                <w:color w:val="000000"/>
                <w:sz w:val="24"/>
                <w:szCs w:val="24"/>
              </w:rPr>
              <w:t>2</w:t>
            </w:r>
            <w:r>
              <w:rPr>
                <w:rFonts w:ascii="Times New Roman" w:hAnsi="Times New Roman"/>
                <w:color w:val="000000"/>
                <w:sz w:val="24"/>
                <w:szCs w:val="24"/>
              </w:rPr>
              <w:t>7</w:t>
            </w:r>
            <w:r w:rsidRPr="007E4130">
              <w:rPr>
                <w:rFonts w:ascii="Times New Roman" w:hAnsi="Times New Roman"/>
                <w:color w:val="000000"/>
                <w:sz w:val="24"/>
                <w:szCs w:val="24"/>
              </w:rPr>
              <w:t>,</w:t>
            </w:r>
            <w:r>
              <w:rPr>
                <w:rFonts w:ascii="Times New Roman" w:hAnsi="Times New Roman"/>
                <w:color w:val="000000"/>
                <w:sz w:val="24"/>
                <w:szCs w:val="24"/>
              </w:rPr>
              <w:t>6</w:t>
            </w:r>
          </w:p>
        </w:tc>
        <w:tc>
          <w:tcPr>
            <w:tcW w:w="934" w:type="dxa"/>
            <w:tcBorders>
              <w:top w:val="nil"/>
              <w:left w:val="nil"/>
              <w:bottom w:val="single" w:sz="4" w:space="0" w:color="auto"/>
              <w:right w:val="single" w:sz="4" w:space="0" w:color="auto"/>
            </w:tcBorders>
            <w:shd w:val="clear" w:color="auto" w:fill="auto"/>
            <w:noWrap/>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3 575,4</w:t>
            </w:r>
          </w:p>
        </w:tc>
        <w:tc>
          <w:tcPr>
            <w:tcW w:w="995" w:type="dxa"/>
            <w:tcBorders>
              <w:top w:val="nil"/>
              <w:left w:val="nil"/>
              <w:bottom w:val="single" w:sz="4" w:space="0" w:color="auto"/>
              <w:right w:val="single" w:sz="4" w:space="0" w:color="auto"/>
            </w:tcBorders>
            <w:shd w:val="clear" w:color="auto" w:fill="auto"/>
            <w:noWrap/>
            <w:vAlign w:val="bottom"/>
          </w:tcPr>
          <w:p w:rsidR="00CB462C" w:rsidRPr="00DF08D7" w:rsidRDefault="00CB462C" w:rsidP="00653B80">
            <w:pPr>
              <w:spacing w:after="0" w:line="240" w:lineRule="auto"/>
              <w:ind w:left="-65"/>
              <w:jc w:val="center"/>
              <w:rPr>
                <w:rFonts w:ascii="Times New Roman" w:hAnsi="Times New Roman"/>
                <w:sz w:val="24"/>
                <w:szCs w:val="24"/>
              </w:rPr>
            </w:pPr>
            <w:r w:rsidRPr="00DF08D7">
              <w:rPr>
                <w:rFonts w:ascii="Times New Roman" w:hAnsi="Times New Roman"/>
                <w:sz w:val="24"/>
                <w:szCs w:val="24"/>
              </w:rPr>
              <w:t>134,1</w:t>
            </w:r>
          </w:p>
        </w:tc>
      </w:tr>
      <w:tr w:rsidR="00CB462C" w:rsidRPr="004C49D8" w:rsidTr="00653B80">
        <w:trPr>
          <w:trHeight w:val="302"/>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Черная металлургия</w:t>
            </w:r>
          </w:p>
        </w:tc>
        <w:tc>
          <w:tcPr>
            <w:tcW w:w="933" w:type="dxa"/>
            <w:tcBorders>
              <w:top w:val="single" w:sz="6" w:space="0" w:color="auto"/>
              <w:left w:val="nil"/>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34" w:right="-108"/>
              <w:jc w:val="center"/>
              <w:rPr>
                <w:rFonts w:ascii="Times New Roman" w:hAnsi="Times New Roman"/>
                <w:sz w:val="24"/>
                <w:szCs w:val="24"/>
              </w:rPr>
            </w:pPr>
            <w:r>
              <w:rPr>
                <w:rFonts w:ascii="Times New Roman" w:hAnsi="Times New Roman"/>
                <w:sz w:val="24"/>
                <w:szCs w:val="24"/>
              </w:rPr>
              <w:t>288,4</w:t>
            </w:r>
          </w:p>
        </w:tc>
        <w:tc>
          <w:tcPr>
            <w:tcW w:w="884"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131,9</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08" w:right="-141"/>
              <w:jc w:val="center"/>
              <w:rPr>
                <w:rFonts w:ascii="Times New Roman" w:hAnsi="Times New Roman"/>
                <w:sz w:val="24"/>
                <w:szCs w:val="24"/>
              </w:rPr>
            </w:pPr>
            <w:r>
              <w:rPr>
                <w:rFonts w:ascii="Times New Roman" w:hAnsi="Times New Roman"/>
                <w:sz w:val="24"/>
                <w:szCs w:val="24"/>
              </w:rPr>
              <w:t>4 632,3</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158,3</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r w:rsidRPr="007E4130">
              <w:rPr>
                <w:rFonts w:ascii="Times New Roman" w:hAnsi="Times New Roman"/>
                <w:color w:val="000000"/>
                <w:sz w:val="24"/>
                <w:szCs w:val="24"/>
              </w:rPr>
              <w:t>5</w:t>
            </w:r>
          </w:p>
        </w:tc>
        <w:tc>
          <w:tcPr>
            <w:tcW w:w="934" w:type="dxa"/>
            <w:tcBorders>
              <w:top w:val="nil"/>
              <w:left w:val="nil"/>
              <w:bottom w:val="single" w:sz="4" w:space="0" w:color="auto"/>
              <w:right w:val="single" w:sz="4" w:space="0" w:color="auto"/>
            </w:tcBorders>
            <w:shd w:val="clear" w:color="auto" w:fill="auto"/>
            <w:noWrap/>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4 632,3</w:t>
            </w:r>
          </w:p>
        </w:tc>
        <w:tc>
          <w:tcPr>
            <w:tcW w:w="995" w:type="dxa"/>
            <w:tcBorders>
              <w:top w:val="nil"/>
              <w:left w:val="nil"/>
              <w:bottom w:val="single" w:sz="4" w:space="0" w:color="auto"/>
              <w:right w:val="single" w:sz="4" w:space="0" w:color="auto"/>
            </w:tcBorders>
            <w:shd w:val="clear" w:color="auto" w:fill="auto"/>
            <w:noWrap/>
            <w:vAlign w:val="bottom"/>
          </w:tcPr>
          <w:p w:rsidR="00CB462C" w:rsidRPr="00DF08D7" w:rsidRDefault="00CB462C" w:rsidP="00653B80">
            <w:pPr>
              <w:spacing w:after="0" w:line="240" w:lineRule="auto"/>
              <w:ind w:left="-95"/>
              <w:jc w:val="center"/>
              <w:rPr>
                <w:rFonts w:ascii="Times New Roman" w:hAnsi="Times New Roman"/>
                <w:sz w:val="24"/>
                <w:szCs w:val="24"/>
              </w:rPr>
            </w:pPr>
            <w:r w:rsidRPr="00DF08D7">
              <w:rPr>
                <w:rFonts w:ascii="Times New Roman" w:hAnsi="Times New Roman"/>
                <w:sz w:val="24"/>
                <w:szCs w:val="24"/>
              </w:rPr>
              <w:t>158,3</w:t>
            </w:r>
          </w:p>
        </w:tc>
      </w:tr>
      <w:tr w:rsidR="00CB462C" w:rsidRPr="00DE750C" w:rsidTr="00653B80">
        <w:trPr>
          <w:trHeight w:val="235"/>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Химическая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34" w:right="-108"/>
              <w:jc w:val="center"/>
              <w:rPr>
                <w:rFonts w:ascii="Times New Roman" w:hAnsi="Times New Roman"/>
                <w:sz w:val="24"/>
                <w:szCs w:val="24"/>
              </w:rPr>
            </w:pPr>
            <w:r>
              <w:rPr>
                <w:rFonts w:ascii="Times New Roman" w:hAnsi="Times New Roman"/>
                <w:sz w:val="24"/>
                <w:szCs w:val="24"/>
              </w:rPr>
              <w:t>17,8</w:t>
            </w:r>
          </w:p>
        </w:tc>
        <w:tc>
          <w:tcPr>
            <w:tcW w:w="884"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123,8</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FE2D58">
            <w:pPr>
              <w:spacing w:after="0" w:line="240" w:lineRule="auto"/>
              <w:jc w:val="center"/>
              <w:rPr>
                <w:rFonts w:ascii="Times New Roman" w:hAnsi="Times New Roman"/>
                <w:sz w:val="24"/>
                <w:szCs w:val="24"/>
              </w:rPr>
            </w:pPr>
            <w:r>
              <w:rPr>
                <w:rFonts w:ascii="Times New Roman" w:hAnsi="Times New Roman"/>
                <w:sz w:val="24"/>
                <w:szCs w:val="24"/>
              </w:rPr>
              <w:t>285,</w:t>
            </w:r>
            <w:r w:rsidR="00FE2D58">
              <w:rPr>
                <w:rFonts w:ascii="Times New Roman" w:hAnsi="Times New Roman"/>
                <w:sz w:val="24"/>
                <w:szCs w:val="24"/>
              </w:rPr>
              <w:t>1</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149,0</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sidRPr="007E4130">
              <w:rPr>
                <w:rFonts w:ascii="Times New Roman" w:hAnsi="Times New Roman"/>
                <w:color w:val="000000"/>
                <w:sz w:val="24"/>
                <w:szCs w:val="24"/>
              </w:rPr>
              <w:t>2,2</w:t>
            </w:r>
          </w:p>
        </w:tc>
        <w:tc>
          <w:tcPr>
            <w:tcW w:w="934"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218,5</w:t>
            </w:r>
          </w:p>
        </w:tc>
        <w:tc>
          <w:tcPr>
            <w:tcW w:w="995"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right="-108" w:hanging="191"/>
              <w:jc w:val="center"/>
              <w:rPr>
                <w:rFonts w:ascii="Times New Roman" w:hAnsi="Times New Roman"/>
                <w:sz w:val="24"/>
                <w:szCs w:val="24"/>
              </w:rPr>
            </w:pPr>
            <w:r w:rsidRPr="00DF08D7">
              <w:rPr>
                <w:rFonts w:ascii="Times New Roman" w:hAnsi="Times New Roman"/>
                <w:sz w:val="24"/>
                <w:szCs w:val="24"/>
              </w:rPr>
              <w:t>98,2</w:t>
            </w:r>
          </w:p>
        </w:tc>
      </w:tr>
      <w:tr w:rsidR="00CB462C" w:rsidRPr="004C49D8" w:rsidTr="00653B80">
        <w:trPr>
          <w:trHeight w:val="335"/>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Машиностроение</w:t>
            </w:r>
            <w:r>
              <w:rPr>
                <w:rFonts w:ascii="Times New Roman" w:hAnsi="Times New Roman"/>
                <w:sz w:val="24"/>
                <w:szCs w:val="24"/>
              </w:rPr>
              <w:t xml:space="preserve"> и </w:t>
            </w:r>
            <w:r w:rsidRPr="004C49D8">
              <w:rPr>
                <w:rFonts w:ascii="Times New Roman" w:hAnsi="Times New Roman"/>
                <w:sz w:val="24"/>
                <w:szCs w:val="24"/>
              </w:rPr>
              <w:t>металлообработка</w:t>
            </w:r>
          </w:p>
        </w:tc>
        <w:tc>
          <w:tcPr>
            <w:tcW w:w="933" w:type="dxa"/>
            <w:tcBorders>
              <w:top w:val="single" w:sz="6" w:space="0" w:color="auto"/>
              <w:left w:val="nil"/>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34" w:right="-108"/>
              <w:jc w:val="center"/>
              <w:rPr>
                <w:rFonts w:ascii="Times New Roman" w:hAnsi="Times New Roman"/>
                <w:sz w:val="24"/>
                <w:szCs w:val="24"/>
              </w:rPr>
            </w:pPr>
            <w:r>
              <w:rPr>
                <w:rFonts w:ascii="Times New Roman" w:hAnsi="Times New Roman"/>
                <w:sz w:val="24"/>
                <w:szCs w:val="24"/>
              </w:rPr>
              <w:t>23,4</w:t>
            </w:r>
          </w:p>
        </w:tc>
        <w:tc>
          <w:tcPr>
            <w:tcW w:w="884"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105,6</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jc w:val="center"/>
              <w:rPr>
                <w:rFonts w:ascii="Times New Roman" w:hAnsi="Times New Roman"/>
                <w:sz w:val="24"/>
                <w:szCs w:val="24"/>
              </w:rPr>
            </w:pPr>
            <w:r>
              <w:rPr>
                <w:rFonts w:ascii="Times New Roman" w:hAnsi="Times New Roman"/>
                <w:sz w:val="24"/>
                <w:szCs w:val="24"/>
              </w:rPr>
              <w:t>375,1</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127,5</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sidRPr="007E4130">
              <w:rPr>
                <w:rFonts w:ascii="Times New Roman" w:hAnsi="Times New Roman"/>
                <w:color w:val="000000"/>
                <w:sz w:val="24"/>
                <w:szCs w:val="24"/>
              </w:rPr>
              <w:t>2,</w:t>
            </w:r>
            <w:r>
              <w:rPr>
                <w:rFonts w:ascii="Times New Roman" w:hAnsi="Times New Roman"/>
                <w:color w:val="000000"/>
                <w:sz w:val="24"/>
                <w:szCs w:val="24"/>
              </w:rPr>
              <w:t>9</w:t>
            </w:r>
          </w:p>
        </w:tc>
        <w:tc>
          <w:tcPr>
            <w:tcW w:w="934"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367,9</w:t>
            </w:r>
          </w:p>
        </w:tc>
        <w:tc>
          <w:tcPr>
            <w:tcW w:w="995"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jc w:val="center"/>
              <w:rPr>
                <w:rFonts w:ascii="Times New Roman" w:hAnsi="Times New Roman"/>
                <w:sz w:val="24"/>
                <w:szCs w:val="24"/>
              </w:rPr>
            </w:pPr>
            <w:r w:rsidRPr="00DF08D7">
              <w:rPr>
                <w:rFonts w:ascii="Times New Roman" w:hAnsi="Times New Roman"/>
                <w:sz w:val="24"/>
                <w:szCs w:val="24"/>
              </w:rPr>
              <w:t>125,4</w:t>
            </w:r>
          </w:p>
        </w:tc>
      </w:tr>
      <w:tr w:rsidR="00CB462C" w:rsidRPr="004C49D8" w:rsidTr="00653B80">
        <w:trPr>
          <w:trHeight w:val="414"/>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Электротехническая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B462C" w:rsidRPr="00DE5227" w:rsidRDefault="00CB462C" w:rsidP="007B5BCE">
            <w:pPr>
              <w:spacing w:after="0" w:line="240" w:lineRule="auto"/>
              <w:ind w:left="-134" w:right="-108"/>
              <w:jc w:val="center"/>
              <w:rPr>
                <w:rFonts w:ascii="Times New Roman" w:hAnsi="Times New Roman"/>
                <w:sz w:val="24"/>
                <w:szCs w:val="24"/>
              </w:rPr>
            </w:pPr>
            <w:r>
              <w:rPr>
                <w:rFonts w:ascii="Times New Roman" w:hAnsi="Times New Roman"/>
                <w:sz w:val="24"/>
                <w:szCs w:val="24"/>
              </w:rPr>
              <w:t>14,</w:t>
            </w:r>
            <w:r w:rsidR="007B5BCE">
              <w:rPr>
                <w:rFonts w:ascii="Times New Roman" w:hAnsi="Times New Roman"/>
                <w:sz w:val="24"/>
                <w:szCs w:val="24"/>
              </w:rPr>
              <w:t>8</w:t>
            </w:r>
          </w:p>
        </w:tc>
        <w:tc>
          <w:tcPr>
            <w:tcW w:w="884"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110,8</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jc w:val="center"/>
              <w:rPr>
                <w:rFonts w:ascii="Times New Roman" w:hAnsi="Times New Roman"/>
                <w:sz w:val="24"/>
                <w:szCs w:val="24"/>
              </w:rPr>
            </w:pPr>
            <w:r>
              <w:rPr>
                <w:rFonts w:ascii="Times New Roman" w:hAnsi="Times New Roman"/>
                <w:sz w:val="24"/>
                <w:szCs w:val="24"/>
              </w:rPr>
              <w:t>239,5</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130,5</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sidRPr="007E4130">
              <w:rPr>
                <w:rFonts w:ascii="Times New Roman" w:hAnsi="Times New Roman"/>
                <w:color w:val="000000"/>
                <w:sz w:val="24"/>
                <w:szCs w:val="24"/>
              </w:rPr>
              <w:t>1,8</w:t>
            </w:r>
          </w:p>
        </w:tc>
        <w:tc>
          <w:tcPr>
            <w:tcW w:w="934"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254,7</w:t>
            </w:r>
          </w:p>
        </w:tc>
        <w:tc>
          <w:tcPr>
            <w:tcW w:w="995"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jc w:val="center"/>
              <w:rPr>
                <w:rFonts w:ascii="Times New Roman" w:hAnsi="Times New Roman"/>
                <w:sz w:val="24"/>
                <w:szCs w:val="24"/>
              </w:rPr>
            </w:pPr>
            <w:r w:rsidRPr="00DF08D7">
              <w:rPr>
                <w:rFonts w:ascii="Times New Roman" w:hAnsi="Times New Roman"/>
                <w:sz w:val="24"/>
                <w:szCs w:val="24"/>
              </w:rPr>
              <w:t>134,6</w:t>
            </w:r>
          </w:p>
        </w:tc>
      </w:tr>
      <w:tr w:rsidR="00CB462C" w:rsidRPr="004C49D8" w:rsidTr="00653B80">
        <w:trPr>
          <w:trHeight w:val="492"/>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Pr>
                <w:rFonts w:ascii="Times New Roman" w:hAnsi="Times New Roman"/>
                <w:sz w:val="24"/>
                <w:szCs w:val="24"/>
              </w:rPr>
              <w:t>Лесная и д</w:t>
            </w:r>
            <w:r w:rsidRPr="004C49D8">
              <w:rPr>
                <w:rFonts w:ascii="Times New Roman" w:hAnsi="Times New Roman"/>
                <w:sz w:val="24"/>
                <w:szCs w:val="24"/>
              </w:rPr>
              <w:t>еревообрабатывающая</w:t>
            </w:r>
            <w:r>
              <w:rPr>
                <w:rFonts w:ascii="Times New Roman" w:hAnsi="Times New Roman"/>
                <w:sz w:val="24"/>
                <w:szCs w:val="24"/>
              </w:rPr>
              <w:t xml:space="preserve">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34" w:right="-108"/>
              <w:jc w:val="center"/>
              <w:rPr>
                <w:rFonts w:ascii="Times New Roman" w:hAnsi="Times New Roman"/>
                <w:sz w:val="24"/>
                <w:szCs w:val="24"/>
              </w:rPr>
            </w:pPr>
            <w:r>
              <w:rPr>
                <w:rFonts w:ascii="Times New Roman" w:hAnsi="Times New Roman"/>
                <w:sz w:val="24"/>
                <w:szCs w:val="24"/>
              </w:rPr>
              <w:t>0,5</w:t>
            </w:r>
          </w:p>
        </w:tc>
        <w:tc>
          <w:tcPr>
            <w:tcW w:w="884"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147,3</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jc w:val="center"/>
              <w:rPr>
                <w:rFonts w:ascii="Times New Roman" w:hAnsi="Times New Roman"/>
                <w:sz w:val="24"/>
                <w:szCs w:val="24"/>
              </w:rPr>
            </w:pPr>
            <w:r>
              <w:rPr>
                <w:rFonts w:ascii="Times New Roman" w:hAnsi="Times New Roman"/>
                <w:sz w:val="24"/>
                <w:szCs w:val="24"/>
              </w:rPr>
              <w:t>8,2</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173,9.</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sidRPr="007E4130">
              <w:rPr>
                <w:rFonts w:ascii="Times New Roman" w:hAnsi="Times New Roman"/>
                <w:color w:val="000000"/>
                <w:sz w:val="24"/>
                <w:szCs w:val="24"/>
              </w:rPr>
              <w:t>0,</w:t>
            </w:r>
            <w:r>
              <w:rPr>
                <w:rFonts w:ascii="Times New Roman" w:hAnsi="Times New Roman"/>
                <w:color w:val="000000"/>
                <w:sz w:val="24"/>
                <w:szCs w:val="24"/>
              </w:rPr>
              <w:t>1</w:t>
            </w:r>
          </w:p>
        </w:tc>
        <w:tc>
          <w:tcPr>
            <w:tcW w:w="934"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8,2</w:t>
            </w:r>
          </w:p>
        </w:tc>
        <w:tc>
          <w:tcPr>
            <w:tcW w:w="995"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jc w:val="center"/>
              <w:rPr>
                <w:rFonts w:ascii="Times New Roman" w:hAnsi="Times New Roman"/>
                <w:sz w:val="24"/>
                <w:szCs w:val="24"/>
              </w:rPr>
            </w:pPr>
            <w:r w:rsidRPr="00DF08D7">
              <w:rPr>
                <w:rFonts w:ascii="Times New Roman" w:hAnsi="Times New Roman"/>
                <w:sz w:val="24"/>
                <w:szCs w:val="24"/>
              </w:rPr>
              <w:t>176,5</w:t>
            </w:r>
          </w:p>
        </w:tc>
      </w:tr>
      <w:tr w:rsidR="00CB462C" w:rsidRPr="004C49D8" w:rsidTr="00653B80">
        <w:trPr>
          <w:trHeight w:val="514"/>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Промышленность стройматериалов</w:t>
            </w:r>
          </w:p>
        </w:tc>
        <w:tc>
          <w:tcPr>
            <w:tcW w:w="933" w:type="dxa"/>
            <w:tcBorders>
              <w:top w:val="single" w:sz="6" w:space="0" w:color="auto"/>
              <w:left w:val="nil"/>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34" w:right="-108"/>
              <w:jc w:val="center"/>
              <w:rPr>
                <w:rFonts w:ascii="Times New Roman" w:hAnsi="Times New Roman"/>
                <w:sz w:val="24"/>
                <w:szCs w:val="24"/>
              </w:rPr>
            </w:pPr>
            <w:r>
              <w:rPr>
                <w:rFonts w:ascii="Times New Roman" w:hAnsi="Times New Roman"/>
                <w:sz w:val="24"/>
                <w:szCs w:val="24"/>
              </w:rPr>
              <w:t>37,9</w:t>
            </w:r>
          </w:p>
        </w:tc>
        <w:tc>
          <w:tcPr>
            <w:tcW w:w="884"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110,5</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jc w:val="center"/>
              <w:rPr>
                <w:rFonts w:ascii="Times New Roman" w:hAnsi="Times New Roman"/>
                <w:sz w:val="24"/>
                <w:szCs w:val="24"/>
              </w:rPr>
            </w:pPr>
            <w:r>
              <w:rPr>
                <w:rFonts w:ascii="Times New Roman" w:hAnsi="Times New Roman"/>
                <w:sz w:val="24"/>
                <w:szCs w:val="24"/>
              </w:rPr>
              <w:t>609,5</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128,7</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w:t>
            </w:r>
          </w:p>
        </w:tc>
        <w:tc>
          <w:tcPr>
            <w:tcW w:w="934"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612,8</w:t>
            </w:r>
          </w:p>
        </w:tc>
        <w:tc>
          <w:tcPr>
            <w:tcW w:w="995"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jc w:val="center"/>
              <w:rPr>
                <w:rFonts w:ascii="Times New Roman" w:hAnsi="Times New Roman"/>
                <w:sz w:val="24"/>
                <w:szCs w:val="24"/>
              </w:rPr>
            </w:pPr>
            <w:r w:rsidRPr="00DF08D7">
              <w:rPr>
                <w:rFonts w:ascii="Times New Roman" w:hAnsi="Times New Roman"/>
                <w:sz w:val="24"/>
                <w:szCs w:val="24"/>
              </w:rPr>
              <w:t>132,1</w:t>
            </w:r>
          </w:p>
        </w:tc>
      </w:tr>
      <w:tr w:rsidR="00CB462C" w:rsidRPr="004C49D8" w:rsidTr="00653B80">
        <w:trPr>
          <w:trHeight w:val="233"/>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Легкая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34" w:right="-108"/>
              <w:jc w:val="center"/>
              <w:rPr>
                <w:rFonts w:ascii="Times New Roman" w:hAnsi="Times New Roman"/>
                <w:sz w:val="24"/>
                <w:szCs w:val="24"/>
              </w:rPr>
            </w:pPr>
            <w:r>
              <w:rPr>
                <w:rFonts w:ascii="Times New Roman" w:hAnsi="Times New Roman"/>
                <w:sz w:val="24"/>
                <w:szCs w:val="24"/>
              </w:rPr>
              <w:t>96,5</w:t>
            </w:r>
          </w:p>
        </w:tc>
        <w:tc>
          <w:tcPr>
            <w:tcW w:w="884"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95,2</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41"/>
              <w:jc w:val="center"/>
              <w:rPr>
                <w:rFonts w:ascii="Times New Roman" w:hAnsi="Times New Roman"/>
                <w:sz w:val="24"/>
                <w:szCs w:val="24"/>
              </w:rPr>
            </w:pPr>
            <w:r>
              <w:rPr>
                <w:rFonts w:ascii="Times New Roman" w:hAnsi="Times New Roman"/>
                <w:sz w:val="24"/>
                <w:szCs w:val="24"/>
              </w:rPr>
              <w:t>1 549,8</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114,3</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sidRPr="007E4130">
              <w:rPr>
                <w:rFonts w:ascii="Times New Roman" w:hAnsi="Times New Roman"/>
                <w:color w:val="000000"/>
                <w:sz w:val="24"/>
                <w:szCs w:val="24"/>
              </w:rPr>
              <w:t>11,</w:t>
            </w:r>
            <w:r>
              <w:rPr>
                <w:rFonts w:ascii="Times New Roman" w:hAnsi="Times New Roman"/>
                <w:color w:val="000000"/>
                <w:sz w:val="24"/>
                <w:szCs w:val="24"/>
              </w:rPr>
              <w:t>9</w:t>
            </w:r>
          </w:p>
        </w:tc>
        <w:tc>
          <w:tcPr>
            <w:tcW w:w="934"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1 640,8</w:t>
            </w:r>
          </w:p>
        </w:tc>
        <w:tc>
          <w:tcPr>
            <w:tcW w:w="995"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jc w:val="center"/>
              <w:rPr>
                <w:rFonts w:ascii="Times New Roman" w:hAnsi="Times New Roman"/>
                <w:sz w:val="24"/>
                <w:szCs w:val="24"/>
              </w:rPr>
            </w:pPr>
            <w:r w:rsidRPr="00DF08D7">
              <w:rPr>
                <w:rFonts w:ascii="Times New Roman" w:hAnsi="Times New Roman"/>
                <w:sz w:val="24"/>
                <w:szCs w:val="24"/>
              </w:rPr>
              <w:t>121,1</w:t>
            </w:r>
          </w:p>
        </w:tc>
      </w:tr>
      <w:tr w:rsidR="00CB462C" w:rsidRPr="004C49D8" w:rsidTr="00653B80">
        <w:trPr>
          <w:trHeight w:val="239"/>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Пищевая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34" w:right="-108"/>
              <w:jc w:val="center"/>
              <w:rPr>
                <w:rFonts w:ascii="Times New Roman" w:hAnsi="Times New Roman"/>
                <w:sz w:val="24"/>
                <w:szCs w:val="24"/>
              </w:rPr>
            </w:pPr>
            <w:r>
              <w:rPr>
                <w:rFonts w:ascii="Times New Roman" w:hAnsi="Times New Roman"/>
                <w:sz w:val="24"/>
                <w:szCs w:val="24"/>
              </w:rPr>
              <w:t>98,1</w:t>
            </w:r>
          </w:p>
        </w:tc>
        <w:tc>
          <w:tcPr>
            <w:tcW w:w="884"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99,7</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41"/>
              <w:jc w:val="center"/>
              <w:rPr>
                <w:rFonts w:ascii="Times New Roman" w:hAnsi="Times New Roman"/>
                <w:sz w:val="24"/>
                <w:szCs w:val="24"/>
              </w:rPr>
            </w:pPr>
            <w:r>
              <w:rPr>
                <w:rFonts w:ascii="Times New Roman" w:hAnsi="Times New Roman"/>
                <w:sz w:val="24"/>
                <w:szCs w:val="24"/>
              </w:rPr>
              <w:t>1 575,8</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118,6</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12,1</w:t>
            </w:r>
          </w:p>
        </w:tc>
        <w:tc>
          <w:tcPr>
            <w:tcW w:w="934"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1 524,0</w:t>
            </w:r>
          </w:p>
        </w:tc>
        <w:tc>
          <w:tcPr>
            <w:tcW w:w="995"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jc w:val="center"/>
              <w:rPr>
                <w:rFonts w:ascii="Times New Roman" w:hAnsi="Times New Roman"/>
                <w:sz w:val="24"/>
                <w:szCs w:val="24"/>
              </w:rPr>
            </w:pPr>
            <w:r w:rsidRPr="00DF08D7">
              <w:rPr>
                <w:rFonts w:ascii="Times New Roman" w:hAnsi="Times New Roman"/>
                <w:sz w:val="24"/>
                <w:szCs w:val="24"/>
              </w:rPr>
              <w:t>121,8</w:t>
            </w:r>
          </w:p>
        </w:tc>
      </w:tr>
      <w:tr w:rsidR="00CB462C" w:rsidRPr="004C49D8" w:rsidTr="00653B80">
        <w:trPr>
          <w:trHeight w:val="362"/>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Мукомольно-крупяная</w:t>
            </w:r>
            <w:r>
              <w:rPr>
                <w:rFonts w:ascii="Times New Roman" w:hAnsi="Times New Roman"/>
                <w:sz w:val="24"/>
                <w:szCs w:val="24"/>
              </w:rPr>
              <w:t xml:space="preserve"> и комбикормовая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34" w:right="-108"/>
              <w:jc w:val="center"/>
              <w:rPr>
                <w:rFonts w:ascii="Times New Roman" w:hAnsi="Times New Roman"/>
                <w:sz w:val="24"/>
                <w:szCs w:val="24"/>
              </w:rPr>
            </w:pPr>
            <w:r>
              <w:rPr>
                <w:rFonts w:ascii="Times New Roman" w:hAnsi="Times New Roman"/>
                <w:sz w:val="24"/>
                <w:szCs w:val="24"/>
              </w:rPr>
              <w:t>8,8</w:t>
            </w:r>
          </w:p>
        </w:tc>
        <w:tc>
          <w:tcPr>
            <w:tcW w:w="884"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95,8</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jc w:val="center"/>
              <w:rPr>
                <w:rFonts w:ascii="Times New Roman" w:hAnsi="Times New Roman"/>
                <w:sz w:val="24"/>
                <w:szCs w:val="24"/>
              </w:rPr>
            </w:pPr>
            <w:r>
              <w:rPr>
                <w:rFonts w:ascii="Times New Roman" w:hAnsi="Times New Roman"/>
                <w:sz w:val="24"/>
                <w:szCs w:val="24"/>
              </w:rPr>
              <w:t>141,0</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115,5</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934"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141,6</w:t>
            </w:r>
          </w:p>
        </w:tc>
        <w:tc>
          <w:tcPr>
            <w:tcW w:w="995"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right="-33"/>
              <w:jc w:val="center"/>
              <w:rPr>
                <w:rFonts w:ascii="Times New Roman" w:hAnsi="Times New Roman"/>
                <w:sz w:val="24"/>
                <w:szCs w:val="24"/>
              </w:rPr>
            </w:pPr>
            <w:r w:rsidRPr="00DF08D7">
              <w:rPr>
                <w:rFonts w:ascii="Times New Roman" w:hAnsi="Times New Roman"/>
                <w:sz w:val="24"/>
                <w:szCs w:val="24"/>
              </w:rPr>
              <w:t>117,0</w:t>
            </w:r>
          </w:p>
        </w:tc>
      </w:tr>
      <w:tr w:rsidR="00CB462C" w:rsidRPr="004C49D8" w:rsidTr="00653B80">
        <w:trPr>
          <w:trHeight w:val="129"/>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Полиграфическая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left="-134" w:right="-108"/>
              <w:jc w:val="center"/>
              <w:rPr>
                <w:rFonts w:ascii="Times New Roman" w:hAnsi="Times New Roman"/>
                <w:sz w:val="24"/>
                <w:szCs w:val="24"/>
              </w:rPr>
            </w:pPr>
            <w:r>
              <w:rPr>
                <w:rFonts w:ascii="Times New Roman" w:hAnsi="Times New Roman"/>
                <w:sz w:val="24"/>
                <w:szCs w:val="24"/>
              </w:rPr>
              <w:t>1,4</w:t>
            </w:r>
          </w:p>
        </w:tc>
        <w:tc>
          <w:tcPr>
            <w:tcW w:w="884"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92,6</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bottom"/>
          </w:tcPr>
          <w:p w:rsidR="00CB462C" w:rsidRPr="00DE5227" w:rsidRDefault="00CB462C" w:rsidP="00653B80">
            <w:pPr>
              <w:spacing w:after="0" w:line="240" w:lineRule="auto"/>
              <w:jc w:val="center"/>
              <w:rPr>
                <w:rFonts w:ascii="Times New Roman" w:hAnsi="Times New Roman"/>
                <w:sz w:val="24"/>
                <w:szCs w:val="24"/>
              </w:rPr>
            </w:pPr>
            <w:r>
              <w:rPr>
                <w:rFonts w:ascii="Times New Roman" w:hAnsi="Times New Roman"/>
                <w:sz w:val="24"/>
                <w:szCs w:val="24"/>
              </w:rPr>
              <w:t>23,1</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110,7</w:t>
            </w:r>
          </w:p>
        </w:tc>
        <w:tc>
          <w:tcPr>
            <w:tcW w:w="791" w:type="dxa"/>
            <w:tcBorders>
              <w:top w:val="nil"/>
              <w:left w:val="nil"/>
              <w:bottom w:val="single" w:sz="4" w:space="0" w:color="auto"/>
              <w:right w:val="single" w:sz="4" w:space="0" w:color="auto"/>
            </w:tcBorders>
            <w:shd w:val="clear" w:color="auto" w:fill="auto"/>
            <w:vAlign w:val="bottom"/>
          </w:tcPr>
          <w:p w:rsidR="00CB462C" w:rsidRPr="007E4130" w:rsidRDefault="00CB462C" w:rsidP="00653B80">
            <w:pPr>
              <w:spacing w:after="0" w:line="240" w:lineRule="auto"/>
              <w:jc w:val="center"/>
              <w:rPr>
                <w:rFonts w:ascii="Times New Roman" w:hAnsi="Times New Roman"/>
                <w:color w:val="000000"/>
                <w:sz w:val="24"/>
                <w:szCs w:val="24"/>
              </w:rPr>
            </w:pPr>
            <w:r w:rsidRPr="007E4130">
              <w:rPr>
                <w:rFonts w:ascii="Times New Roman" w:hAnsi="Times New Roman"/>
                <w:color w:val="000000"/>
                <w:sz w:val="24"/>
                <w:szCs w:val="24"/>
              </w:rPr>
              <w:t>0,</w:t>
            </w:r>
            <w:r>
              <w:rPr>
                <w:rFonts w:ascii="Times New Roman" w:hAnsi="Times New Roman"/>
                <w:color w:val="000000"/>
                <w:sz w:val="24"/>
                <w:szCs w:val="24"/>
              </w:rPr>
              <w:t>2</w:t>
            </w:r>
          </w:p>
        </w:tc>
        <w:tc>
          <w:tcPr>
            <w:tcW w:w="934"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24,0</w:t>
            </w:r>
          </w:p>
        </w:tc>
        <w:tc>
          <w:tcPr>
            <w:tcW w:w="995"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jc w:val="center"/>
              <w:rPr>
                <w:rFonts w:ascii="Times New Roman" w:hAnsi="Times New Roman"/>
                <w:sz w:val="24"/>
                <w:szCs w:val="24"/>
              </w:rPr>
            </w:pPr>
            <w:r w:rsidRPr="00DF08D7">
              <w:rPr>
                <w:rFonts w:ascii="Times New Roman" w:hAnsi="Times New Roman"/>
                <w:sz w:val="24"/>
                <w:szCs w:val="24"/>
              </w:rPr>
              <w:t>112,3</w:t>
            </w:r>
          </w:p>
        </w:tc>
      </w:tr>
      <w:tr w:rsidR="00CB462C" w:rsidRPr="00C47E4E" w:rsidTr="00653B80">
        <w:trPr>
          <w:trHeight w:val="227"/>
        </w:trPr>
        <w:tc>
          <w:tcPr>
            <w:tcW w:w="3183" w:type="dxa"/>
            <w:tcBorders>
              <w:top w:val="nil"/>
              <w:left w:val="single" w:sz="4" w:space="0" w:color="auto"/>
              <w:bottom w:val="single" w:sz="4" w:space="0" w:color="auto"/>
              <w:right w:val="single" w:sz="4" w:space="0" w:color="auto"/>
            </w:tcBorders>
            <w:shd w:val="clear" w:color="auto" w:fill="auto"/>
            <w:vAlign w:val="bottom"/>
          </w:tcPr>
          <w:p w:rsidR="00CB462C" w:rsidRPr="004C49D8" w:rsidRDefault="00CB462C" w:rsidP="00653B80">
            <w:pPr>
              <w:spacing w:after="0" w:line="240" w:lineRule="auto"/>
              <w:ind w:left="-108" w:right="-108"/>
              <w:rPr>
                <w:rFonts w:ascii="Times New Roman" w:hAnsi="Times New Roman"/>
                <w:sz w:val="24"/>
                <w:szCs w:val="24"/>
              </w:rPr>
            </w:pPr>
            <w:r w:rsidRPr="004C49D8">
              <w:rPr>
                <w:rFonts w:ascii="Times New Roman" w:hAnsi="Times New Roman"/>
                <w:sz w:val="24"/>
                <w:szCs w:val="24"/>
              </w:rPr>
              <w:t>ИТОГО по ПМР</w:t>
            </w:r>
          </w:p>
        </w:tc>
        <w:tc>
          <w:tcPr>
            <w:tcW w:w="933" w:type="dxa"/>
            <w:tcBorders>
              <w:top w:val="single" w:sz="6" w:space="0" w:color="auto"/>
              <w:left w:val="nil"/>
              <w:bottom w:val="single" w:sz="4" w:space="0" w:color="auto"/>
              <w:right w:val="single" w:sz="6" w:space="0" w:color="auto"/>
            </w:tcBorders>
            <w:shd w:val="clear" w:color="auto" w:fill="auto"/>
            <w:vAlign w:val="bottom"/>
          </w:tcPr>
          <w:p w:rsidR="00CB462C" w:rsidRPr="00DE5227" w:rsidRDefault="00CB462C" w:rsidP="00653B80">
            <w:pPr>
              <w:spacing w:after="0" w:line="240" w:lineRule="auto"/>
              <w:ind w:left="-74" w:right="-94"/>
              <w:jc w:val="center"/>
              <w:rPr>
                <w:rFonts w:ascii="Times New Roman" w:hAnsi="Times New Roman"/>
                <w:sz w:val="24"/>
                <w:szCs w:val="24"/>
              </w:rPr>
            </w:pPr>
            <w:r>
              <w:rPr>
                <w:rFonts w:ascii="Times New Roman" w:hAnsi="Times New Roman"/>
                <w:sz w:val="24"/>
                <w:szCs w:val="24"/>
              </w:rPr>
              <w:t>812,3</w:t>
            </w:r>
          </w:p>
        </w:tc>
        <w:tc>
          <w:tcPr>
            <w:tcW w:w="884" w:type="dxa"/>
            <w:tcBorders>
              <w:top w:val="single" w:sz="6" w:space="0" w:color="auto"/>
              <w:left w:val="single" w:sz="6" w:space="0" w:color="auto"/>
              <w:bottom w:val="single" w:sz="4" w:space="0" w:color="auto"/>
              <w:right w:val="single" w:sz="6"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114,3</w:t>
            </w:r>
          </w:p>
        </w:tc>
        <w:tc>
          <w:tcPr>
            <w:tcW w:w="1040" w:type="dxa"/>
            <w:tcBorders>
              <w:top w:val="single" w:sz="6" w:space="0" w:color="auto"/>
              <w:left w:val="single" w:sz="6" w:space="0" w:color="auto"/>
              <w:bottom w:val="single" w:sz="4" w:space="0" w:color="auto"/>
              <w:right w:val="single" w:sz="6" w:space="0" w:color="auto"/>
            </w:tcBorders>
            <w:shd w:val="clear" w:color="auto" w:fill="auto"/>
            <w:vAlign w:val="bottom"/>
          </w:tcPr>
          <w:p w:rsidR="00CB462C" w:rsidRPr="00DE5227" w:rsidRDefault="00CB462C" w:rsidP="00653B80">
            <w:pPr>
              <w:spacing w:after="0" w:line="240" w:lineRule="auto"/>
              <w:ind w:left="-74" w:right="-94"/>
              <w:jc w:val="center"/>
              <w:rPr>
                <w:rFonts w:ascii="Times New Roman" w:hAnsi="Times New Roman"/>
                <w:sz w:val="24"/>
                <w:szCs w:val="24"/>
              </w:rPr>
            </w:pPr>
            <w:r>
              <w:rPr>
                <w:rFonts w:ascii="Times New Roman" w:hAnsi="Times New Roman"/>
                <w:sz w:val="24"/>
                <w:szCs w:val="24"/>
              </w:rPr>
              <w:t>13 043,3</w:t>
            </w:r>
          </w:p>
        </w:tc>
        <w:tc>
          <w:tcPr>
            <w:tcW w:w="862" w:type="dxa"/>
            <w:tcBorders>
              <w:top w:val="single" w:sz="6" w:space="0" w:color="auto"/>
              <w:left w:val="single" w:sz="6" w:space="0" w:color="auto"/>
              <w:bottom w:val="single" w:sz="4" w:space="0" w:color="auto"/>
              <w:right w:val="single" w:sz="4" w:space="0" w:color="auto"/>
            </w:tcBorders>
            <w:shd w:val="clear" w:color="auto" w:fill="auto"/>
            <w:vAlign w:val="bottom"/>
          </w:tcPr>
          <w:p w:rsidR="00CB462C" w:rsidRPr="00DE5227" w:rsidRDefault="00CB462C" w:rsidP="00653B80">
            <w:pPr>
              <w:spacing w:after="0" w:line="240" w:lineRule="auto"/>
              <w:ind w:right="-108"/>
              <w:jc w:val="center"/>
              <w:rPr>
                <w:rFonts w:ascii="Times New Roman" w:hAnsi="Times New Roman"/>
                <w:sz w:val="24"/>
                <w:szCs w:val="24"/>
              </w:rPr>
            </w:pPr>
            <w:r>
              <w:rPr>
                <w:rFonts w:ascii="Times New Roman" w:hAnsi="Times New Roman"/>
                <w:sz w:val="24"/>
                <w:szCs w:val="24"/>
              </w:rPr>
              <w:t>136,4</w:t>
            </w:r>
          </w:p>
        </w:tc>
        <w:tc>
          <w:tcPr>
            <w:tcW w:w="791" w:type="dxa"/>
            <w:tcBorders>
              <w:top w:val="nil"/>
              <w:left w:val="nil"/>
              <w:bottom w:val="single" w:sz="4" w:space="0" w:color="auto"/>
              <w:right w:val="single" w:sz="4" w:space="0" w:color="auto"/>
            </w:tcBorders>
            <w:shd w:val="clear" w:color="auto" w:fill="auto"/>
            <w:vAlign w:val="bottom"/>
          </w:tcPr>
          <w:p w:rsidR="00CB462C" w:rsidRPr="002943D5" w:rsidRDefault="00CB462C" w:rsidP="00653B80">
            <w:pPr>
              <w:spacing w:after="0" w:line="20" w:lineRule="atLeast"/>
              <w:ind w:right="-108"/>
              <w:jc w:val="center"/>
              <w:rPr>
                <w:rFonts w:ascii="Times New Roman" w:hAnsi="Times New Roman"/>
                <w:sz w:val="24"/>
                <w:szCs w:val="24"/>
              </w:rPr>
            </w:pPr>
            <w:r>
              <w:rPr>
                <w:rFonts w:ascii="Times New Roman" w:hAnsi="Times New Roman"/>
                <w:sz w:val="24"/>
                <w:szCs w:val="24"/>
              </w:rPr>
              <w:t>100,0</w:t>
            </w:r>
          </w:p>
        </w:tc>
        <w:tc>
          <w:tcPr>
            <w:tcW w:w="934"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ind w:left="-108" w:right="-66"/>
              <w:jc w:val="center"/>
              <w:rPr>
                <w:rFonts w:ascii="Times New Roman" w:hAnsi="Times New Roman"/>
                <w:sz w:val="24"/>
                <w:szCs w:val="24"/>
              </w:rPr>
            </w:pPr>
            <w:r w:rsidRPr="00DF08D7">
              <w:rPr>
                <w:rFonts w:ascii="Times New Roman" w:hAnsi="Times New Roman"/>
                <w:sz w:val="24"/>
                <w:szCs w:val="24"/>
              </w:rPr>
              <w:t>13 000,2</w:t>
            </w:r>
          </w:p>
        </w:tc>
        <w:tc>
          <w:tcPr>
            <w:tcW w:w="995" w:type="dxa"/>
            <w:tcBorders>
              <w:top w:val="nil"/>
              <w:left w:val="nil"/>
              <w:bottom w:val="single" w:sz="4" w:space="0" w:color="auto"/>
              <w:right w:val="single" w:sz="4" w:space="0" w:color="auto"/>
            </w:tcBorders>
            <w:shd w:val="clear" w:color="auto" w:fill="auto"/>
            <w:vAlign w:val="bottom"/>
          </w:tcPr>
          <w:p w:rsidR="00CB462C" w:rsidRPr="00DF08D7" w:rsidRDefault="00CB462C" w:rsidP="00653B80">
            <w:pPr>
              <w:spacing w:after="0" w:line="240" w:lineRule="auto"/>
              <w:jc w:val="center"/>
              <w:rPr>
                <w:rFonts w:ascii="Times New Roman" w:hAnsi="Times New Roman"/>
                <w:sz w:val="24"/>
                <w:szCs w:val="24"/>
              </w:rPr>
            </w:pPr>
            <w:r w:rsidRPr="00DF08D7">
              <w:rPr>
                <w:rFonts w:ascii="Times New Roman" w:hAnsi="Times New Roman"/>
                <w:sz w:val="24"/>
                <w:szCs w:val="24"/>
              </w:rPr>
              <w:t>136,6</w:t>
            </w:r>
          </w:p>
        </w:tc>
      </w:tr>
    </w:tbl>
    <w:p w:rsidR="00CB462C" w:rsidRDefault="00CB462C" w:rsidP="00CB462C">
      <w:pPr>
        <w:tabs>
          <w:tab w:val="left" w:pos="5655"/>
          <w:tab w:val="left" w:pos="7905"/>
        </w:tabs>
      </w:pPr>
    </w:p>
    <w:p w:rsidR="000A69A0" w:rsidRDefault="000A69A0" w:rsidP="007D3AA7">
      <w:pPr>
        <w:spacing w:after="0" w:line="240" w:lineRule="auto"/>
        <w:ind w:firstLine="709"/>
        <w:jc w:val="right"/>
        <w:rPr>
          <w:rFonts w:ascii="Times New Roman" w:hAnsi="Times New Roman"/>
          <w:b/>
          <w:sz w:val="28"/>
          <w:szCs w:val="28"/>
        </w:rPr>
      </w:pPr>
    </w:p>
    <w:p w:rsidR="00CB462C" w:rsidRDefault="00CB462C" w:rsidP="007D3AA7">
      <w:pPr>
        <w:spacing w:after="0" w:line="240" w:lineRule="auto"/>
        <w:ind w:firstLine="709"/>
        <w:jc w:val="right"/>
        <w:rPr>
          <w:rFonts w:ascii="Times New Roman" w:hAnsi="Times New Roman"/>
          <w:b/>
          <w:sz w:val="28"/>
          <w:szCs w:val="28"/>
        </w:rPr>
      </w:pPr>
    </w:p>
    <w:p w:rsidR="00CB462C" w:rsidRDefault="00CB462C" w:rsidP="007D3AA7">
      <w:pPr>
        <w:spacing w:after="0" w:line="240" w:lineRule="auto"/>
        <w:ind w:firstLine="709"/>
        <w:jc w:val="right"/>
        <w:rPr>
          <w:rFonts w:ascii="Times New Roman" w:hAnsi="Times New Roman"/>
          <w:b/>
          <w:sz w:val="28"/>
          <w:szCs w:val="28"/>
        </w:rPr>
      </w:pPr>
    </w:p>
    <w:p w:rsidR="00CB462C" w:rsidRDefault="00CB462C" w:rsidP="007D3AA7">
      <w:pPr>
        <w:spacing w:after="0" w:line="240" w:lineRule="auto"/>
        <w:ind w:firstLine="709"/>
        <w:jc w:val="right"/>
        <w:rPr>
          <w:rFonts w:ascii="Times New Roman" w:hAnsi="Times New Roman"/>
          <w:b/>
          <w:sz w:val="28"/>
          <w:szCs w:val="28"/>
        </w:rPr>
      </w:pPr>
    </w:p>
    <w:p w:rsidR="00CB462C" w:rsidRDefault="00CB462C" w:rsidP="007D3AA7">
      <w:pPr>
        <w:spacing w:after="0" w:line="240" w:lineRule="auto"/>
        <w:ind w:firstLine="709"/>
        <w:jc w:val="right"/>
        <w:rPr>
          <w:rFonts w:ascii="Times New Roman" w:hAnsi="Times New Roman"/>
          <w:b/>
          <w:sz w:val="28"/>
          <w:szCs w:val="28"/>
        </w:rPr>
      </w:pPr>
    </w:p>
    <w:p w:rsidR="00CB462C" w:rsidRDefault="00CB462C" w:rsidP="007D3AA7">
      <w:pPr>
        <w:spacing w:after="0" w:line="240" w:lineRule="auto"/>
        <w:ind w:firstLine="709"/>
        <w:jc w:val="right"/>
        <w:rPr>
          <w:rFonts w:ascii="Times New Roman" w:hAnsi="Times New Roman"/>
          <w:b/>
          <w:sz w:val="28"/>
          <w:szCs w:val="28"/>
        </w:rPr>
      </w:pPr>
    </w:p>
    <w:p w:rsidR="00CB462C" w:rsidRDefault="00CB462C" w:rsidP="007D3AA7">
      <w:pPr>
        <w:spacing w:after="0" w:line="240" w:lineRule="auto"/>
        <w:ind w:firstLine="709"/>
        <w:jc w:val="right"/>
        <w:rPr>
          <w:rFonts w:ascii="Times New Roman" w:hAnsi="Times New Roman"/>
          <w:b/>
          <w:sz w:val="28"/>
          <w:szCs w:val="28"/>
        </w:rPr>
      </w:pPr>
    </w:p>
    <w:p w:rsidR="00CB462C" w:rsidRDefault="00CB462C" w:rsidP="007D3AA7">
      <w:pPr>
        <w:spacing w:after="0" w:line="240" w:lineRule="auto"/>
        <w:ind w:firstLine="709"/>
        <w:jc w:val="right"/>
        <w:rPr>
          <w:rFonts w:ascii="Times New Roman" w:hAnsi="Times New Roman"/>
          <w:b/>
          <w:sz w:val="28"/>
          <w:szCs w:val="28"/>
        </w:rPr>
      </w:pPr>
    </w:p>
    <w:p w:rsidR="00CB462C" w:rsidRDefault="00CB462C" w:rsidP="007D3AA7">
      <w:pPr>
        <w:spacing w:after="0" w:line="240" w:lineRule="auto"/>
        <w:ind w:firstLine="709"/>
        <w:jc w:val="right"/>
        <w:rPr>
          <w:rFonts w:ascii="Times New Roman" w:hAnsi="Times New Roman"/>
          <w:b/>
          <w:sz w:val="28"/>
          <w:szCs w:val="28"/>
        </w:rPr>
      </w:pPr>
    </w:p>
    <w:p w:rsidR="00CB462C" w:rsidRDefault="00CB462C" w:rsidP="007D3AA7">
      <w:pPr>
        <w:spacing w:after="0" w:line="240" w:lineRule="auto"/>
        <w:ind w:firstLine="709"/>
        <w:jc w:val="right"/>
        <w:rPr>
          <w:rFonts w:ascii="Times New Roman" w:hAnsi="Times New Roman"/>
          <w:b/>
          <w:sz w:val="28"/>
          <w:szCs w:val="28"/>
        </w:rPr>
      </w:pPr>
    </w:p>
    <w:p w:rsidR="00CB462C" w:rsidRDefault="00CB462C" w:rsidP="007D3AA7">
      <w:pPr>
        <w:spacing w:after="0" w:line="240" w:lineRule="auto"/>
        <w:ind w:firstLine="709"/>
        <w:jc w:val="right"/>
        <w:rPr>
          <w:rFonts w:ascii="Times New Roman" w:hAnsi="Times New Roman"/>
          <w:b/>
          <w:sz w:val="28"/>
          <w:szCs w:val="28"/>
        </w:rPr>
      </w:pPr>
    </w:p>
    <w:p w:rsidR="00CB462C" w:rsidRPr="00785E7E" w:rsidRDefault="00CB462C" w:rsidP="00CB462C">
      <w:pPr>
        <w:spacing w:after="0" w:line="240" w:lineRule="auto"/>
        <w:ind w:firstLine="709"/>
        <w:jc w:val="right"/>
        <w:rPr>
          <w:rFonts w:ascii="Times New Roman" w:hAnsi="Times New Roman"/>
          <w:b/>
          <w:sz w:val="28"/>
          <w:szCs w:val="28"/>
        </w:rPr>
      </w:pPr>
      <w:r w:rsidRPr="00785E7E">
        <w:rPr>
          <w:rFonts w:ascii="Times New Roman" w:hAnsi="Times New Roman"/>
          <w:b/>
          <w:sz w:val="28"/>
          <w:szCs w:val="28"/>
        </w:rPr>
        <w:lastRenderedPageBreak/>
        <w:t>Приложение№3</w:t>
      </w:r>
    </w:p>
    <w:p w:rsidR="00CB462C" w:rsidRPr="00785E7E" w:rsidRDefault="00CB462C" w:rsidP="00CB462C">
      <w:pPr>
        <w:spacing w:after="0" w:line="240" w:lineRule="auto"/>
        <w:jc w:val="center"/>
        <w:rPr>
          <w:rFonts w:ascii="Times New Roman" w:hAnsi="Times New Roman"/>
          <w:b/>
          <w:sz w:val="28"/>
          <w:szCs w:val="28"/>
        </w:rPr>
      </w:pPr>
      <w:r w:rsidRPr="00785E7E">
        <w:rPr>
          <w:rFonts w:ascii="Times New Roman" w:hAnsi="Times New Roman"/>
          <w:b/>
          <w:sz w:val="28"/>
          <w:szCs w:val="28"/>
        </w:rPr>
        <w:t>Основные показатели развития малого предпринимательства</w:t>
      </w:r>
    </w:p>
    <w:p w:rsidR="00CB462C" w:rsidRPr="00785E7E" w:rsidRDefault="00CB462C" w:rsidP="00CB462C">
      <w:pPr>
        <w:spacing w:after="0" w:line="240" w:lineRule="auto"/>
        <w:jc w:val="center"/>
        <w:rPr>
          <w:rFonts w:ascii="Times New Roman" w:hAnsi="Times New Roman"/>
          <w:b/>
          <w:sz w:val="28"/>
          <w:szCs w:val="28"/>
        </w:rPr>
      </w:pPr>
      <w:r w:rsidRPr="00785E7E">
        <w:rPr>
          <w:rFonts w:ascii="Times New Roman" w:hAnsi="Times New Roman"/>
          <w:b/>
          <w:sz w:val="28"/>
          <w:szCs w:val="28"/>
        </w:rPr>
        <w:t>за 2018 год</w:t>
      </w:r>
    </w:p>
    <w:p w:rsidR="00CB462C" w:rsidRPr="00D469F5" w:rsidRDefault="00CB462C" w:rsidP="00CB462C">
      <w:pPr>
        <w:spacing w:after="0" w:line="240" w:lineRule="auto"/>
        <w:jc w:val="center"/>
        <w:rPr>
          <w:rFonts w:ascii="Times New Roman" w:hAnsi="Times New Roman"/>
          <w:b/>
          <w:sz w:val="20"/>
          <w:szCs w:val="20"/>
        </w:rPr>
      </w:pPr>
    </w:p>
    <w:tbl>
      <w:tblPr>
        <w:tblW w:w="9930" w:type="dxa"/>
        <w:tblInd w:w="-318" w:type="dxa"/>
        <w:tblLayout w:type="fixed"/>
        <w:tblLook w:val="04A0" w:firstRow="1" w:lastRow="0" w:firstColumn="1" w:lastColumn="0" w:noHBand="0" w:noVBand="1"/>
      </w:tblPr>
      <w:tblGrid>
        <w:gridCol w:w="4821"/>
        <w:gridCol w:w="1134"/>
        <w:gridCol w:w="1417"/>
        <w:gridCol w:w="1423"/>
        <w:gridCol w:w="1135"/>
      </w:tblGrid>
      <w:tr w:rsidR="00CB462C" w:rsidRPr="00CB462C" w:rsidTr="00653B80">
        <w:trPr>
          <w:trHeight w:val="257"/>
        </w:trPr>
        <w:tc>
          <w:tcPr>
            <w:tcW w:w="4821" w:type="dxa"/>
            <w:vMerge w:val="restart"/>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jc w:val="center"/>
              <w:rPr>
                <w:rFonts w:ascii="Times New Roman" w:hAnsi="Times New Roman"/>
                <w:b/>
                <w:bCs/>
                <w:color w:val="000000"/>
                <w:sz w:val="26"/>
                <w:szCs w:val="26"/>
              </w:rPr>
            </w:pPr>
            <w:r w:rsidRPr="00CB462C">
              <w:rPr>
                <w:rFonts w:ascii="Times New Roman" w:hAnsi="Times New Roman"/>
                <w:b/>
                <w:bCs/>
                <w:color w:val="000000"/>
                <w:sz w:val="26"/>
                <w:szCs w:val="26"/>
              </w:rPr>
              <w:t>Показатели</w:t>
            </w:r>
          </w:p>
        </w:tc>
        <w:tc>
          <w:tcPr>
            <w:tcW w:w="1134" w:type="dxa"/>
            <w:vMerge w:val="restart"/>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84"/>
              <w:jc w:val="center"/>
              <w:rPr>
                <w:rFonts w:ascii="Times New Roman" w:hAnsi="Times New Roman"/>
                <w:b/>
                <w:bCs/>
                <w:color w:val="000000"/>
                <w:sz w:val="26"/>
                <w:szCs w:val="26"/>
              </w:rPr>
            </w:pPr>
            <w:r w:rsidRPr="00CB462C">
              <w:rPr>
                <w:rFonts w:ascii="Times New Roman" w:hAnsi="Times New Roman"/>
                <w:b/>
                <w:bCs/>
                <w:color w:val="000000"/>
                <w:sz w:val="26"/>
                <w:szCs w:val="26"/>
              </w:rPr>
              <w:t>Ед. изм.</w:t>
            </w:r>
          </w:p>
        </w:tc>
        <w:tc>
          <w:tcPr>
            <w:tcW w:w="2840" w:type="dxa"/>
            <w:gridSpan w:val="2"/>
            <w:tcBorders>
              <w:top w:val="single" w:sz="8" w:space="0" w:color="auto"/>
              <w:left w:val="nil"/>
              <w:bottom w:val="single" w:sz="4" w:space="0" w:color="auto"/>
              <w:right w:val="single" w:sz="8" w:space="0" w:color="000000"/>
            </w:tcBorders>
            <w:vAlign w:val="center"/>
            <w:hideMark/>
          </w:tcPr>
          <w:p w:rsidR="00CB462C" w:rsidRPr="00CB462C" w:rsidRDefault="00CB462C" w:rsidP="00653B80">
            <w:pPr>
              <w:spacing w:after="0" w:line="240" w:lineRule="auto"/>
              <w:jc w:val="center"/>
              <w:rPr>
                <w:rFonts w:ascii="Times New Roman" w:hAnsi="Times New Roman"/>
                <w:b/>
                <w:bCs/>
                <w:color w:val="000000"/>
                <w:sz w:val="26"/>
                <w:szCs w:val="26"/>
              </w:rPr>
            </w:pPr>
            <w:r w:rsidRPr="00CB462C">
              <w:rPr>
                <w:rFonts w:ascii="Times New Roman" w:hAnsi="Times New Roman"/>
                <w:b/>
                <w:bCs/>
                <w:color w:val="000000"/>
                <w:sz w:val="26"/>
                <w:szCs w:val="26"/>
              </w:rPr>
              <w:t>Факт</w:t>
            </w:r>
          </w:p>
        </w:tc>
        <w:tc>
          <w:tcPr>
            <w:tcW w:w="1135" w:type="dxa"/>
            <w:vMerge w:val="restart"/>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b/>
                <w:bCs/>
                <w:color w:val="000000"/>
                <w:sz w:val="26"/>
                <w:szCs w:val="26"/>
              </w:rPr>
            </w:pPr>
            <w:r w:rsidRPr="00CB462C">
              <w:rPr>
                <w:rFonts w:ascii="Times New Roman" w:hAnsi="Times New Roman"/>
                <w:b/>
                <w:bCs/>
                <w:color w:val="000000"/>
                <w:sz w:val="26"/>
                <w:szCs w:val="26"/>
              </w:rPr>
              <w:t>Темп роста  2018 г. к       2017 г., %</w:t>
            </w:r>
          </w:p>
        </w:tc>
      </w:tr>
      <w:tr w:rsidR="00CB462C" w:rsidRPr="00CB462C" w:rsidTr="00653B80">
        <w:trPr>
          <w:trHeight w:val="529"/>
        </w:trPr>
        <w:tc>
          <w:tcPr>
            <w:tcW w:w="4821" w:type="dxa"/>
            <w:vMerge/>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rPr>
                <w:rFonts w:ascii="Times New Roman" w:hAnsi="Times New Roman"/>
                <w:b/>
                <w:bCs/>
                <w:color w:val="000000"/>
                <w:sz w:val="26"/>
                <w:szCs w:val="26"/>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rPr>
                <w:rFonts w:ascii="Times New Roman" w:hAnsi="Times New Roman"/>
                <w:b/>
                <w:bCs/>
                <w:color w:val="000000"/>
                <w:sz w:val="26"/>
                <w:szCs w:val="26"/>
              </w:rPr>
            </w:pPr>
          </w:p>
        </w:tc>
        <w:tc>
          <w:tcPr>
            <w:tcW w:w="1417" w:type="dxa"/>
            <w:tcBorders>
              <w:top w:val="nil"/>
              <w:left w:val="nil"/>
              <w:bottom w:val="single" w:sz="8" w:space="0" w:color="auto"/>
              <w:right w:val="single" w:sz="8" w:space="0" w:color="auto"/>
            </w:tcBorders>
            <w:vAlign w:val="center"/>
            <w:hideMark/>
          </w:tcPr>
          <w:p w:rsidR="00CB462C" w:rsidRPr="00CB462C" w:rsidRDefault="00CB462C" w:rsidP="00653B80">
            <w:pPr>
              <w:spacing w:after="0" w:line="240" w:lineRule="auto"/>
              <w:ind w:left="-62" w:right="-103"/>
              <w:jc w:val="center"/>
              <w:rPr>
                <w:rFonts w:ascii="Times New Roman" w:hAnsi="Times New Roman"/>
                <w:b/>
                <w:bCs/>
                <w:color w:val="000000"/>
                <w:sz w:val="26"/>
                <w:szCs w:val="26"/>
              </w:rPr>
            </w:pPr>
            <w:r w:rsidRPr="00CB462C">
              <w:rPr>
                <w:rFonts w:ascii="Times New Roman" w:hAnsi="Times New Roman"/>
                <w:b/>
                <w:bCs/>
                <w:color w:val="000000"/>
                <w:sz w:val="26"/>
                <w:szCs w:val="26"/>
              </w:rPr>
              <w:t>2017 год</w:t>
            </w:r>
          </w:p>
        </w:tc>
        <w:tc>
          <w:tcPr>
            <w:tcW w:w="1423" w:type="dxa"/>
            <w:tcBorders>
              <w:top w:val="nil"/>
              <w:left w:val="nil"/>
              <w:bottom w:val="single" w:sz="8" w:space="0" w:color="auto"/>
              <w:right w:val="single" w:sz="8" w:space="0" w:color="auto"/>
            </w:tcBorders>
            <w:vAlign w:val="center"/>
            <w:hideMark/>
          </w:tcPr>
          <w:p w:rsidR="00CB462C" w:rsidRPr="00CB462C" w:rsidRDefault="00CB462C" w:rsidP="00653B80">
            <w:pPr>
              <w:spacing w:after="0" w:line="240" w:lineRule="auto"/>
              <w:ind w:left="-62" w:right="-103"/>
              <w:jc w:val="center"/>
              <w:rPr>
                <w:rFonts w:ascii="Times New Roman" w:hAnsi="Times New Roman"/>
                <w:b/>
                <w:bCs/>
                <w:color w:val="000000"/>
                <w:sz w:val="26"/>
                <w:szCs w:val="26"/>
              </w:rPr>
            </w:pPr>
            <w:r w:rsidRPr="00CB462C">
              <w:rPr>
                <w:rFonts w:ascii="Times New Roman" w:hAnsi="Times New Roman"/>
                <w:b/>
                <w:bCs/>
                <w:color w:val="000000"/>
                <w:sz w:val="26"/>
                <w:szCs w:val="26"/>
              </w:rPr>
              <w:t>2018 год</w:t>
            </w:r>
          </w:p>
        </w:tc>
        <w:tc>
          <w:tcPr>
            <w:tcW w:w="1135" w:type="dxa"/>
            <w:vMerge/>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rPr>
                <w:rFonts w:ascii="Times New Roman" w:hAnsi="Times New Roman"/>
                <w:b/>
                <w:bCs/>
                <w:color w:val="000000"/>
                <w:sz w:val="26"/>
                <w:szCs w:val="26"/>
              </w:rPr>
            </w:pPr>
          </w:p>
        </w:tc>
      </w:tr>
      <w:tr w:rsidR="00CB462C" w:rsidRPr="00CB462C" w:rsidTr="00653B80">
        <w:trPr>
          <w:trHeight w:val="30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Количество отчитавшихся предприятий</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единиц</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color w:val="000000"/>
                <w:sz w:val="26"/>
                <w:szCs w:val="26"/>
              </w:rPr>
            </w:pPr>
            <w:r w:rsidRPr="00CB462C">
              <w:rPr>
                <w:rFonts w:ascii="Times New Roman" w:hAnsi="Times New Roman"/>
                <w:color w:val="000000"/>
                <w:sz w:val="26"/>
                <w:szCs w:val="26"/>
              </w:rPr>
              <w:t xml:space="preserve">4 188  </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color w:val="000000"/>
                <w:sz w:val="26"/>
                <w:szCs w:val="26"/>
              </w:rPr>
            </w:pPr>
            <w:r w:rsidRPr="00CB462C">
              <w:rPr>
                <w:rFonts w:ascii="Times New Roman" w:hAnsi="Times New Roman"/>
                <w:color w:val="000000"/>
                <w:sz w:val="26"/>
                <w:szCs w:val="26"/>
              </w:rPr>
              <w:t>4 201</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color w:val="000000"/>
                <w:sz w:val="26"/>
                <w:szCs w:val="26"/>
              </w:rPr>
            </w:pPr>
            <w:r w:rsidRPr="00CB462C">
              <w:rPr>
                <w:rFonts w:ascii="Times New Roman" w:hAnsi="Times New Roman"/>
                <w:color w:val="000000"/>
                <w:sz w:val="26"/>
                <w:szCs w:val="26"/>
              </w:rPr>
              <w:t>100,3</w:t>
            </w:r>
          </w:p>
        </w:tc>
      </w:tr>
      <w:tr w:rsidR="00CB462C" w:rsidRPr="00CB462C" w:rsidTr="00653B80">
        <w:trPr>
          <w:trHeight w:val="262"/>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xml:space="preserve">Среднесписочная численность работников </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чел.</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color w:val="000000"/>
                <w:sz w:val="26"/>
                <w:szCs w:val="26"/>
              </w:rPr>
            </w:pPr>
            <w:r w:rsidRPr="00CB462C">
              <w:rPr>
                <w:rFonts w:ascii="Times New Roman" w:hAnsi="Times New Roman"/>
                <w:color w:val="000000"/>
                <w:sz w:val="26"/>
                <w:szCs w:val="26"/>
              </w:rPr>
              <w:t xml:space="preserve">15 165 </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color w:val="000000"/>
                <w:sz w:val="26"/>
                <w:szCs w:val="26"/>
              </w:rPr>
            </w:pPr>
            <w:r w:rsidRPr="00CB462C">
              <w:rPr>
                <w:rFonts w:ascii="Times New Roman" w:hAnsi="Times New Roman"/>
                <w:color w:val="000000"/>
                <w:sz w:val="26"/>
                <w:szCs w:val="26"/>
              </w:rPr>
              <w:t xml:space="preserve">15 483 </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color w:val="000000"/>
                <w:sz w:val="26"/>
                <w:szCs w:val="26"/>
              </w:rPr>
            </w:pPr>
            <w:r w:rsidRPr="00CB462C">
              <w:rPr>
                <w:rFonts w:ascii="Times New Roman" w:hAnsi="Times New Roman"/>
                <w:color w:val="000000"/>
                <w:sz w:val="26"/>
                <w:szCs w:val="26"/>
              </w:rPr>
              <w:t>102,1</w:t>
            </w:r>
          </w:p>
        </w:tc>
      </w:tr>
      <w:tr w:rsidR="00CB462C" w:rsidRPr="00CB462C" w:rsidTr="00653B80">
        <w:trPr>
          <w:trHeight w:val="272"/>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Фонд начисленной заработной платы</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445 445,0</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511 951,1</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114,9</w:t>
            </w:r>
          </w:p>
        </w:tc>
      </w:tr>
      <w:tr w:rsidR="00CB462C" w:rsidRPr="00CB462C" w:rsidTr="00653B80">
        <w:trPr>
          <w:trHeight w:val="426"/>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Среднемесячная номинальная начисленная заработная плата одного работника</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3 439,6</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3 478,7</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101,1</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Доход от продаж (выручка)</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4 864 706,5</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6 671 273,1</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137,1</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из него по основным видам деятельности:</w:t>
            </w:r>
          </w:p>
        </w:tc>
        <w:tc>
          <w:tcPr>
            <w:tcW w:w="1134" w:type="dxa"/>
            <w:tcBorders>
              <w:top w:val="single" w:sz="8" w:space="0" w:color="auto"/>
              <w:left w:val="single" w:sz="8" w:space="0" w:color="auto"/>
              <w:bottom w:val="single" w:sz="8" w:space="0" w:color="auto"/>
              <w:right w:val="single" w:sz="8" w:space="0" w:color="auto"/>
            </w:tcBorders>
            <w:vAlign w:val="center"/>
          </w:tcPr>
          <w:p w:rsidR="00CB462C" w:rsidRPr="00CB462C" w:rsidRDefault="00CB462C" w:rsidP="00653B80">
            <w:pPr>
              <w:spacing w:after="0" w:line="240" w:lineRule="auto"/>
              <w:ind w:left="-108" w:right="-108"/>
              <w:jc w:val="center"/>
              <w:rPr>
                <w:rFonts w:ascii="Times New Roman" w:hAnsi="Times New Roman"/>
                <w:color w:val="000000"/>
                <w:sz w:val="26"/>
                <w:szCs w:val="26"/>
              </w:rPr>
            </w:pPr>
          </w:p>
        </w:tc>
        <w:tc>
          <w:tcPr>
            <w:tcW w:w="1417" w:type="dxa"/>
            <w:tcBorders>
              <w:top w:val="single" w:sz="8" w:space="0" w:color="auto"/>
              <w:left w:val="single" w:sz="8" w:space="0" w:color="auto"/>
              <w:bottom w:val="single" w:sz="8" w:space="0" w:color="auto"/>
              <w:right w:val="single" w:sz="8" w:space="0" w:color="auto"/>
            </w:tcBorders>
            <w:vAlign w:val="center"/>
          </w:tcPr>
          <w:p w:rsidR="00CB462C" w:rsidRPr="00CB462C" w:rsidRDefault="00CB462C" w:rsidP="00653B80">
            <w:pPr>
              <w:spacing w:after="0" w:line="240" w:lineRule="auto"/>
              <w:ind w:left="-111" w:right="-104"/>
              <w:jc w:val="center"/>
              <w:rPr>
                <w:rFonts w:ascii="Times New Roman" w:hAnsi="Times New Roman"/>
                <w:color w:val="808080"/>
                <w:sz w:val="26"/>
                <w:szCs w:val="26"/>
              </w:rPr>
            </w:pPr>
          </w:p>
        </w:tc>
        <w:tc>
          <w:tcPr>
            <w:tcW w:w="1423" w:type="dxa"/>
            <w:tcBorders>
              <w:top w:val="single" w:sz="8" w:space="0" w:color="auto"/>
              <w:left w:val="single" w:sz="8" w:space="0" w:color="auto"/>
              <w:bottom w:val="single" w:sz="8" w:space="0" w:color="auto"/>
              <w:right w:val="single" w:sz="8" w:space="0" w:color="auto"/>
            </w:tcBorders>
            <w:vAlign w:val="center"/>
          </w:tcPr>
          <w:p w:rsidR="00CB462C" w:rsidRPr="00CB462C" w:rsidRDefault="00CB462C" w:rsidP="00653B80">
            <w:pPr>
              <w:spacing w:after="0" w:line="240" w:lineRule="auto"/>
              <w:ind w:left="-111" w:right="-104"/>
              <w:jc w:val="center"/>
              <w:rPr>
                <w:rFonts w:ascii="Times New Roman" w:hAnsi="Times New Roman"/>
                <w:color w:val="808080"/>
                <w:sz w:val="26"/>
                <w:szCs w:val="26"/>
              </w:rPr>
            </w:pPr>
          </w:p>
        </w:tc>
        <w:tc>
          <w:tcPr>
            <w:tcW w:w="1135" w:type="dxa"/>
            <w:tcBorders>
              <w:top w:val="single" w:sz="8" w:space="0" w:color="auto"/>
              <w:left w:val="single" w:sz="8" w:space="0" w:color="auto"/>
              <w:bottom w:val="single" w:sz="8" w:space="0" w:color="auto"/>
              <w:right w:val="single" w:sz="8" w:space="0" w:color="auto"/>
            </w:tcBorders>
            <w:vAlign w:val="center"/>
          </w:tcPr>
          <w:p w:rsidR="00CB462C" w:rsidRPr="00CB462C" w:rsidRDefault="00CB462C" w:rsidP="00653B80">
            <w:pPr>
              <w:spacing w:after="0" w:line="240" w:lineRule="auto"/>
              <w:ind w:right="-108"/>
              <w:jc w:val="center"/>
              <w:rPr>
                <w:rFonts w:ascii="Times New Roman" w:hAnsi="Times New Roman"/>
                <w:color w:val="808080"/>
                <w:sz w:val="26"/>
                <w:szCs w:val="26"/>
              </w:rPr>
            </w:pP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промышленность</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left="-111" w:right="-104"/>
              <w:jc w:val="right"/>
              <w:rPr>
                <w:rFonts w:ascii="Times New Roman" w:hAnsi="Times New Roman"/>
                <w:color w:val="000000"/>
                <w:sz w:val="26"/>
                <w:szCs w:val="26"/>
              </w:rPr>
            </w:pPr>
            <w:r w:rsidRPr="00CB462C">
              <w:rPr>
                <w:rFonts w:ascii="Times New Roman" w:hAnsi="Times New Roman"/>
                <w:color w:val="000000"/>
                <w:sz w:val="26"/>
                <w:szCs w:val="26"/>
              </w:rPr>
              <w:t>442 448,5</w:t>
            </w:r>
          </w:p>
        </w:tc>
        <w:tc>
          <w:tcPr>
            <w:tcW w:w="1423"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left="-111" w:right="-104"/>
              <w:jc w:val="right"/>
              <w:rPr>
                <w:rFonts w:ascii="Times New Roman" w:hAnsi="Times New Roman"/>
                <w:color w:val="000000"/>
                <w:sz w:val="26"/>
                <w:szCs w:val="26"/>
              </w:rPr>
            </w:pPr>
            <w:r w:rsidRPr="00CB462C">
              <w:rPr>
                <w:rFonts w:ascii="Times New Roman" w:hAnsi="Times New Roman"/>
                <w:color w:val="000000"/>
                <w:sz w:val="26"/>
                <w:szCs w:val="26"/>
              </w:rPr>
              <w:t>623 772,7</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141,0</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сельское хозяйство</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left="-111" w:right="-104"/>
              <w:jc w:val="right"/>
              <w:rPr>
                <w:rFonts w:ascii="Times New Roman" w:hAnsi="Times New Roman"/>
                <w:color w:val="000000"/>
                <w:sz w:val="26"/>
                <w:szCs w:val="26"/>
              </w:rPr>
            </w:pPr>
            <w:r w:rsidRPr="00CB462C">
              <w:rPr>
                <w:rFonts w:ascii="Times New Roman" w:hAnsi="Times New Roman"/>
                <w:color w:val="000000"/>
                <w:sz w:val="26"/>
                <w:szCs w:val="26"/>
              </w:rPr>
              <w:t>715 746,3</w:t>
            </w:r>
          </w:p>
        </w:tc>
        <w:tc>
          <w:tcPr>
            <w:tcW w:w="1423"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left="-111" w:right="-104"/>
              <w:jc w:val="right"/>
              <w:rPr>
                <w:rFonts w:ascii="Times New Roman" w:hAnsi="Times New Roman"/>
                <w:color w:val="000000"/>
                <w:sz w:val="26"/>
                <w:szCs w:val="26"/>
              </w:rPr>
            </w:pPr>
            <w:r w:rsidRPr="00CB462C">
              <w:rPr>
                <w:rFonts w:ascii="Times New Roman" w:hAnsi="Times New Roman"/>
                <w:color w:val="000000"/>
                <w:sz w:val="26"/>
                <w:szCs w:val="26"/>
              </w:rPr>
              <w:t>896 666,4</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119,3</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транспорт</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left="-111" w:right="-104"/>
              <w:jc w:val="right"/>
              <w:rPr>
                <w:rFonts w:ascii="Times New Roman" w:hAnsi="Times New Roman"/>
                <w:color w:val="000000"/>
                <w:sz w:val="26"/>
                <w:szCs w:val="26"/>
              </w:rPr>
            </w:pPr>
            <w:r w:rsidRPr="00CB462C">
              <w:rPr>
                <w:rFonts w:ascii="Times New Roman" w:hAnsi="Times New Roman"/>
                <w:color w:val="000000"/>
                <w:sz w:val="26"/>
                <w:szCs w:val="26"/>
              </w:rPr>
              <w:t>87 489,1</w:t>
            </w:r>
          </w:p>
        </w:tc>
        <w:tc>
          <w:tcPr>
            <w:tcW w:w="1423"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left="-111" w:right="-104"/>
              <w:jc w:val="right"/>
              <w:rPr>
                <w:rFonts w:ascii="Times New Roman" w:hAnsi="Times New Roman"/>
                <w:color w:val="000000"/>
                <w:sz w:val="26"/>
                <w:szCs w:val="26"/>
              </w:rPr>
            </w:pPr>
            <w:r w:rsidRPr="00CB462C">
              <w:rPr>
                <w:rFonts w:ascii="Times New Roman" w:hAnsi="Times New Roman"/>
                <w:color w:val="000000"/>
                <w:sz w:val="26"/>
                <w:szCs w:val="26"/>
              </w:rPr>
              <w:t>119 531,5</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136,6</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строительство</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left="-111" w:right="-104"/>
              <w:jc w:val="right"/>
              <w:rPr>
                <w:rFonts w:ascii="Times New Roman" w:hAnsi="Times New Roman"/>
                <w:color w:val="000000"/>
                <w:sz w:val="26"/>
                <w:szCs w:val="26"/>
              </w:rPr>
            </w:pPr>
            <w:r w:rsidRPr="00CB462C">
              <w:rPr>
                <w:rFonts w:ascii="Times New Roman" w:hAnsi="Times New Roman"/>
                <w:color w:val="000000"/>
                <w:sz w:val="26"/>
                <w:szCs w:val="26"/>
              </w:rPr>
              <w:t>214 979,5</w:t>
            </w:r>
          </w:p>
        </w:tc>
        <w:tc>
          <w:tcPr>
            <w:tcW w:w="1423"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left="-111" w:right="-104"/>
              <w:jc w:val="right"/>
              <w:rPr>
                <w:rFonts w:ascii="Times New Roman" w:hAnsi="Times New Roman"/>
                <w:color w:val="000000"/>
                <w:sz w:val="26"/>
                <w:szCs w:val="26"/>
              </w:rPr>
            </w:pPr>
            <w:r w:rsidRPr="00CB462C">
              <w:rPr>
                <w:rFonts w:ascii="Times New Roman" w:hAnsi="Times New Roman"/>
                <w:color w:val="000000"/>
                <w:sz w:val="26"/>
                <w:szCs w:val="26"/>
              </w:rPr>
              <w:t>300 086,2</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139,6</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торговля и общепит</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left="-111" w:right="-104"/>
              <w:jc w:val="right"/>
              <w:rPr>
                <w:rFonts w:ascii="Times New Roman" w:hAnsi="Times New Roman"/>
                <w:color w:val="000000"/>
                <w:sz w:val="26"/>
                <w:szCs w:val="26"/>
              </w:rPr>
            </w:pPr>
            <w:r w:rsidRPr="00CB462C">
              <w:rPr>
                <w:rFonts w:ascii="Times New Roman" w:hAnsi="Times New Roman"/>
                <w:color w:val="000000"/>
                <w:sz w:val="26"/>
                <w:szCs w:val="26"/>
              </w:rPr>
              <w:t>2 878 074,9</w:t>
            </w:r>
          </w:p>
        </w:tc>
        <w:tc>
          <w:tcPr>
            <w:tcW w:w="1423"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left="-111" w:right="-104"/>
              <w:jc w:val="right"/>
              <w:rPr>
                <w:rFonts w:ascii="Times New Roman" w:hAnsi="Times New Roman"/>
                <w:color w:val="000000"/>
                <w:sz w:val="26"/>
                <w:szCs w:val="26"/>
              </w:rPr>
            </w:pPr>
            <w:r w:rsidRPr="00CB462C">
              <w:rPr>
                <w:rFonts w:ascii="Times New Roman" w:hAnsi="Times New Roman"/>
                <w:color w:val="000000"/>
                <w:sz w:val="26"/>
                <w:szCs w:val="26"/>
              </w:rPr>
              <w:t>4 056 844,3</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141,0</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общая коммерческая деятельность</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37 564,8</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50 901,7</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135,5</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отдых и туризм</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69 864,9</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99 382,2</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142,2</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Объем розничного товарооборота</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1 155 125,2</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1 467 082,0</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127,0</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Объем платных услуг</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200 306,3</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229 758,7</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114,7</w:t>
            </w:r>
          </w:p>
        </w:tc>
      </w:tr>
      <w:tr w:rsidR="00CB462C" w:rsidRPr="00CB462C" w:rsidTr="00653B80">
        <w:trPr>
          <w:trHeight w:val="283"/>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Инвестиции в основной капитал</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164 895,4</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285 621,6</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173,2</w:t>
            </w:r>
          </w:p>
        </w:tc>
      </w:tr>
      <w:tr w:rsidR="00CB462C" w:rsidRPr="00CB462C" w:rsidTr="00653B80">
        <w:trPr>
          <w:trHeight w:val="157"/>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Платежи в бюджет и внебюджетные фонды (фактически внесено), в том числе:</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369 646,9</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489 050,3</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132,3</w:t>
            </w:r>
          </w:p>
        </w:tc>
      </w:tr>
      <w:tr w:rsidR="00CB462C" w:rsidRPr="00CB462C" w:rsidTr="00653B80">
        <w:trPr>
          <w:trHeight w:val="157"/>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налог на доходы организаций</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115 933,6</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150 128,7</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129,5</w:t>
            </w:r>
          </w:p>
        </w:tc>
      </w:tr>
      <w:tr w:rsidR="00CB462C" w:rsidRPr="00CB462C" w:rsidTr="00653B80">
        <w:trPr>
          <w:trHeight w:val="157"/>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единый социальный налог</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84 438,5</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96 421,5</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114,2</w:t>
            </w:r>
          </w:p>
        </w:tc>
      </w:tr>
      <w:tr w:rsidR="00CB462C" w:rsidRPr="00CB462C" w:rsidTr="00653B80">
        <w:trPr>
          <w:trHeight w:val="157"/>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подоходный налог с физических лиц</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29 655,3</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38 582,4</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130,1</w:t>
            </w:r>
          </w:p>
        </w:tc>
      </w:tr>
      <w:tr w:rsidR="00CB462C" w:rsidRPr="00CB462C" w:rsidTr="00653B80">
        <w:trPr>
          <w:trHeight w:val="157"/>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земельный налог</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34 027,6</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32 113,2</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94,4</w:t>
            </w:r>
          </w:p>
        </w:tc>
      </w:tr>
      <w:tr w:rsidR="00CB462C" w:rsidRPr="00CB462C" w:rsidTr="00653B80">
        <w:trPr>
          <w:trHeight w:val="157"/>
        </w:trPr>
        <w:tc>
          <w:tcPr>
            <w:tcW w:w="4821" w:type="dxa"/>
            <w:tcBorders>
              <w:top w:val="single" w:sz="8" w:space="0" w:color="auto"/>
              <w:left w:val="single" w:sz="8" w:space="0" w:color="auto"/>
              <w:bottom w:val="single" w:sz="8" w:space="0" w:color="auto"/>
              <w:right w:val="single" w:sz="8" w:space="0" w:color="auto"/>
            </w:tcBorders>
            <w:hideMark/>
          </w:tcPr>
          <w:p w:rsidR="00CB462C" w:rsidRPr="00CB462C" w:rsidRDefault="00CB462C" w:rsidP="00653B80">
            <w:pPr>
              <w:spacing w:after="0" w:line="240" w:lineRule="auto"/>
              <w:ind w:right="-108"/>
              <w:rPr>
                <w:rFonts w:ascii="Times New Roman" w:hAnsi="Times New Roman"/>
                <w:color w:val="000000"/>
                <w:sz w:val="26"/>
                <w:szCs w:val="26"/>
              </w:rPr>
            </w:pPr>
            <w:r w:rsidRPr="00CB462C">
              <w:rPr>
                <w:rFonts w:ascii="Times New Roman" w:hAnsi="Times New Roman"/>
                <w:color w:val="000000"/>
                <w:sz w:val="26"/>
                <w:szCs w:val="26"/>
              </w:rPr>
              <w:t>- акцизы</w:t>
            </w:r>
          </w:p>
        </w:tc>
        <w:tc>
          <w:tcPr>
            <w:tcW w:w="1134"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08" w:right="-108"/>
              <w:jc w:val="center"/>
              <w:rPr>
                <w:rFonts w:ascii="Times New Roman" w:hAnsi="Times New Roman"/>
                <w:color w:val="000000"/>
                <w:sz w:val="26"/>
                <w:szCs w:val="26"/>
              </w:rPr>
            </w:pPr>
            <w:r w:rsidRPr="00CB462C">
              <w:rPr>
                <w:rFonts w:ascii="Times New Roman" w:hAnsi="Times New Roman"/>
                <w:color w:val="000000"/>
                <w:sz w:val="26"/>
                <w:szCs w:val="26"/>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4 608,1</w:t>
            </w:r>
          </w:p>
        </w:tc>
        <w:tc>
          <w:tcPr>
            <w:tcW w:w="1423"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left="-111" w:right="-104"/>
              <w:jc w:val="center"/>
              <w:rPr>
                <w:rFonts w:ascii="Times New Roman" w:hAnsi="Times New Roman"/>
                <w:sz w:val="26"/>
                <w:szCs w:val="26"/>
              </w:rPr>
            </w:pPr>
            <w:r w:rsidRPr="00CB462C">
              <w:rPr>
                <w:rFonts w:ascii="Times New Roman" w:hAnsi="Times New Roman"/>
                <w:sz w:val="26"/>
                <w:szCs w:val="26"/>
              </w:rPr>
              <w:t>3 052,9</w:t>
            </w:r>
          </w:p>
        </w:tc>
        <w:tc>
          <w:tcPr>
            <w:tcW w:w="1135" w:type="dxa"/>
            <w:tcBorders>
              <w:top w:val="single" w:sz="8" w:space="0" w:color="auto"/>
              <w:left w:val="single" w:sz="8" w:space="0" w:color="auto"/>
              <w:bottom w:val="single" w:sz="8" w:space="0" w:color="auto"/>
              <w:right w:val="single" w:sz="8" w:space="0" w:color="auto"/>
            </w:tcBorders>
            <w:vAlign w:val="center"/>
            <w:hideMark/>
          </w:tcPr>
          <w:p w:rsidR="00CB462C" w:rsidRPr="00CB462C" w:rsidRDefault="00CB462C" w:rsidP="00653B80">
            <w:pPr>
              <w:spacing w:after="0" w:line="240" w:lineRule="auto"/>
              <w:ind w:right="-108"/>
              <w:jc w:val="center"/>
              <w:rPr>
                <w:rFonts w:ascii="Times New Roman" w:hAnsi="Times New Roman"/>
                <w:sz w:val="26"/>
                <w:szCs w:val="26"/>
              </w:rPr>
            </w:pPr>
            <w:r w:rsidRPr="00CB462C">
              <w:rPr>
                <w:rFonts w:ascii="Times New Roman" w:hAnsi="Times New Roman"/>
                <w:sz w:val="26"/>
                <w:szCs w:val="26"/>
              </w:rPr>
              <w:t>66,3</w:t>
            </w:r>
          </w:p>
        </w:tc>
      </w:tr>
    </w:tbl>
    <w:p w:rsidR="00CB462C" w:rsidRDefault="00CB462C" w:rsidP="00CB462C"/>
    <w:p w:rsidR="00CB462C" w:rsidRPr="00CB462C" w:rsidRDefault="00CB462C" w:rsidP="00CB462C">
      <w:pPr>
        <w:tabs>
          <w:tab w:val="left" w:pos="8565"/>
        </w:tabs>
      </w:pPr>
    </w:p>
    <w:sectPr w:rsidR="00CB462C" w:rsidRPr="00CB462C" w:rsidSect="00653B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D25" w:rsidRDefault="00292D25" w:rsidP="0009759B">
      <w:pPr>
        <w:spacing w:after="0" w:line="240" w:lineRule="auto"/>
      </w:pPr>
      <w:r>
        <w:separator/>
      </w:r>
    </w:p>
  </w:endnote>
  <w:endnote w:type="continuationSeparator" w:id="0">
    <w:p w:rsidR="00292D25" w:rsidRDefault="00292D25" w:rsidP="00097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D25" w:rsidRDefault="001B50A6" w:rsidP="003F67B2">
    <w:pPr>
      <w:pStyle w:val="af2"/>
      <w:framePr w:wrap="around" w:vAnchor="text" w:hAnchor="margin" w:xAlign="right" w:y="1"/>
      <w:rPr>
        <w:rStyle w:val="af7"/>
      </w:rPr>
    </w:pPr>
    <w:r>
      <w:rPr>
        <w:rStyle w:val="af7"/>
      </w:rPr>
      <w:fldChar w:fldCharType="begin"/>
    </w:r>
    <w:r w:rsidR="00292D25">
      <w:rPr>
        <w:rStyle w:val="af7"/>
      </w:rPr>
      <w:instrText xml:space="preserve">PAGE  </w:instrText>
    </w:r>
    <w:r>
      <w:rPr>
        <w:rStyle w:val="af7"/>
      </w:rPr>
      <w:fldChar w:fldCharType="end"/>
    </w:r>
  </w:p>
  <w:p w:rsidR="00292D25" w:rsidRDefault="00292D25" w:rsidP="003F67B2">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D25" w:rsidRDefault="001B50A6" w:rsidP="006E6307">
    <w:pPr>
      <w:pStyle w:val="af2"/>
      <w:framePr w:wrap="around" w:vAnchor="text" w:hAnchor="page" w:x="10936" w:y="2"/>
      <w:rPr>
        <w:rStyle w:val="af7"/>
      </w:rPr>
    </w:pPr>
    <w:r>
      <w:rPr>
        <w:rStyle w:val="af7"/>
      </w:rPr>
      <w:fldChar w:fldCharType="begin"/>
    </w:r>
    <w:r w:rsidR="00292D25">
      <w:rPr>
        <w:rStyle w:val="af7"/>
      </w:rPr>
      <w:instrText xml:space="preserve">PAGE  </w:instrText>
    </w:r>
    <w:r>
      <w:rPr>
        <w:rStyle w:val="af7"/>
      </w:rPr>
      <w:fldChar w:fldCharType="separate"/>
    </w:r>
    <w:r w:rsidR="00AF7A8D">
      <w:rPr>
        <w:rStyle w:val="af7"/>
        <w:noProof/>
      </w:rPr>
      <w:t>68</w:t>
    </w:r>
    <w:r>
      <w:rPr>
        <w:rStyle w:val="af7"/>
      </w:rPr>
      <w:fldChar w:fldCharType="end"/>
    </w:r>
  </w:p>
  <w:p w:rsidR="00292D25" w:rsidRDefault="00292D25" w:rsidP="006E6307">
    <w:pPr>
      <w:pStyle w:val="af2"/>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D25" w:rsidRDefault="00292D25" w:rsidP="0009759B">
      <w:pPr>
        <w:spacing w:after="0" w:line="240" w:lineRule="auto"/>
      </w:pPr>
      <w:r>
        <w:separator/>
      </w:r>
    </w:p>
  </w:footnote>
  <w:footnote w:type="continuationSeparator" w:id="0">
    <w:p w:rsidR="00292D25" w:rsidRDefault="00292D25" w:rsidP="0009759B">
      <w:pPr>
        <w:spacing w:after="0" w:line="240" w:lineRule="auto"/>
      </w:pPr>
      <w:r>
        <w:continuationSeparator/>
      </w:r>
    </w:p>
  </w:footnote>
  <w:footnote w:id="1">
    <w:p w:rsidR="00292D25" w:rsidRDefault="00292D25" w:rsidP="008C182C">
      <w:pPr>
        <w:pStyle w:val="afd"/>
        <w:jc w:val="both"/>
      </w:pPr>
      <w:r>
        <w:rPr>
          <w:rStyle w:val="aff"/>
        </w:rPr>
        <w:footnoteRef/>
      </w:r>
      <w:r>
        <w:rPr>
          <w:rFonts w:ascii="Times New Roman" w:hAnsi="Times New Roman"/>
        </w:rPr>
        <w:t xml:space="preserve"> Информация представлена в соответствии с данными Государственного таможенного комитета ПМР, с учетом вступления в силу новой редакции Таможенного кодекса ПМР с 01.01.2018 года, в части изменений методологии таможенной статистики внешней торговли ПМР</w:t>
      </w:r>
      <w:r>
        <w:t>.</w:t>
      </w:r>
    </w:p>
  </w:footnote>
  <w:footnote w:id="2">
    <w:p w:rsidR="00292D25" w:rsidRPr="003379A7" w:rsidRDefault="00292D25" w:rsidP="00CB462C">
      <w:pPr>
        <w:pStyle w:val="afd"/>
        <w:spacing w:line="235" w:lineRule="auto"/>
        <w:jc w:val="both"/>
        <w:rPr>
          <w:rFonts w:ascii="Sylfaen" w:hAnsi="Sylfaen"/>
          <w:sz w:val="18"/>
        </w:rPr>
      </w:pPr>
      <w:r w:rsidRPr="00663D1B">
        <w:rPr>
          <w:rStyle w:val="aff"/>
          <w:sz w:val="22"/>
          <w:szCs w:val="22"/>
        </w:rPr>
        <w:footnoteRef/>
      </w:r>
      <w:r w:rsidRPr="00663D1B">
        <w:rPr>
          <w:sz w:val="22"/>
          <w:szCs w:val="22"/>
        </w:rPr>
        <w:t xml:space="preserve"> </w:t>
      </w:r>
      <w:r w:rsidRPr="00CB462C">
        <w:rPr>
          <w:rFonts w:ascii="Times New Roman" w:hAnsi="Times New Roman"/>
          <w:sz w:val="22"/>
          <w:szCs w:val="22"/>
        </w:rPr>
        <w:t>(задолженность по кредитам юридическим и физическим лицам – просроченная задолженность по</w:t>
      </w:r>
      <w:r w:rsidRPr="00CB462C">
        <w:rPr>
          <w:rFonts w:ascii="Times New Roman" w:hAnsi="Times New Roman"/>
          <w:sz w:val="22"/>
        </w:rPr>
        <w:t xml:space="preserve"> кредитам) / задолженность по кредитам юридическим и физическим лицам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2E61"/>
    <w:multiLevelType w:val="hybridMultilevel"/>
    <w:tmpl w:val="B2F02A5C"/>
    <w:lvl w:ilvl="0" w:tplc="335825B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42401C"/>
    <w:multiLevelType w:val="hybridMultilevel"/>
    <w:tmpl w:val="5EFC5908"/>
    <w:lvl w:ilvl="0" w:tplc="AE6878D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82B1BF3"/>
    <w:multiLevelType w:val="hybridMultilevel"/>
    <w:tmpl w:val="F3744C5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966F4F"/>
    <w:multiLevelType w:val="hybridMultilevel"/>
    <w:tmpl w:val="CE308408"/>
    <w:lvl w:ilvl="0" w:tplc="0994AFCC">
      <w:start w:val="1"/>
      <w:numFmt w:val="bullet"/>
      <w:lvlText w:val=""/>
      <w:lvlJc w:val="left"/>
      <w:pPr>
        <w:ind w:left="2422"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E2A23E0"/>
    <w:multiLevelType w:val="hybridMultilevel"/>
    <w:tmpl w:val="50D43840"/>
    <w:lvl w:ilvl="0" w:tplc="430C75D6">
      <w:start w:val="1"/>
      <w:numFmt w:val="decimal"/>
      <w:lvlText w:val="%1)"/>
      <w:lvlJc w:val="left"/>
      <w:pPr>
        <w:ind w:left="1350" w:hanging="360"/>
      </w:pPr>
      <w:rPr>
        <w:rFonts w:hint="default"/>
        <w:b w:val="0"/>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
    <w:nsid w:val="1CEB1EE1"/>
    <w:multiLevelType w:val="hybridMultilevel"/>
    <w:tmpl w:val="A5A2C5EC"/>
    <w:lvl w:ilvl="0" w:tplc="0994A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04753F"/>
    <w:multiLevelType w:val="hybridMultilevel"/>
    <w:tmpl w:val="9FAAD1C4"/>
    <w:lvl w:ilvl="0" w:tplc="0C1CCE76">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1531EB2"/>
    <w:multiLevelType w:val="hybridMultilevel"/>
    <w:tmpl w:val="7AA225A2"/>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8">
    <w:nsid w:val="24FB6EEF"/>
    <w:multiLevelType w:val="hybridMultilevel"/>
    <w:tmpl w:val="A3C8D568"/>
    <w:lvl w:ilvl="0" w:tplc="9B0236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DE02E56"/>
    <w:multiLevelType w:val="hybridMultilevel"/>
    <w:tmpl w:val="734817E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2F772D7"/>
    <w:multiLevelType w:val="hybridMultilevel"/>
    <w:tmpl w:val="DA185ED4"/>
    <w:lvl w:ilvl="0" w:tplc="9654B282">
      <w:start w:val="1"/>
      <w:numFmt w:val="decimal"/>
      <w:lvlText w:val="%1."/>
      <w:lvlJc w:val="left"/>
      <w:pPr>
        <w:ind w:left="360" w:hanging="360"/>
      </w:pPr>
      <w:rPr>
        <w:rFonts w:hint="default"/>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11">
    <w:nsid w:val="34C63B03"/>
    <w:multiLevelType w:val="hybridMultilevel"/>
    <w:tmpl w:val="663EDC82"/>
    <w:lvl w:ilvl="0" w:tplc="7BA49E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FC037DF"/>
    <w:multiLevelType w:val="hybridMultilevel"/>
    <w:tmpl w:val="80A0131C"/>
    <w:lvl w:ilvl="0" w:tplc="809EB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DC35656"/>
    <w:multiLevelType w:val="hybridMultilevel"/>
    <w:tmpl w:val="C7CEB3D4"/>
    <w:lvl w:ilvl="0" w:tplc="6010CF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5772350"/>
    <w:multiLevelType w:val="hybridMultilevel"/>
    <w:tmpl w:val="B93479BC"/>
    <w:lvl w:ilvl="0" w:tplc="0994AFCC">
      <w:start w:val="1"/>
      <w:numFmt w:val="bullet"/>
      <w:lvlText w:val=""/>
      <w:lvlJc w:val="left"/>
      <w:pPr>
        <w:ind w:left="1211" w:hanging="360"/>
      </w:pPr>
      <w:rPr>
        <w:rFonts w:ascii="Symbol" w:hAnsi="Symbol"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75DC5D64"/>
    <w:multiLevelType w:val="hybridMultilevel"/>
    <w:tmpl w:val="1F48670A"/>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15"/>
  </w:num>
  <w:num w:numId="2">
    <w:abstractNumId w:val="7"/>
  </w:num>
  <w:num w:numId="3">
    <w:abstractNumId w:val="0"/>
  </w:num>
  <w:num w:numId="4">
    <w:abstractNumId w:val="13"/>
  </w:num>
  <w:num w:numId="5">
    <w:abstractNumId w:val="8"/>
  </w:num>
  <w:num w:numId="6">
    <w:abstractNumId w:val="12"/>
  </w:num>
  <w:num w:numId="7">
    <w:abstractNumId w:val="4"/>
  </w:num>
  <w:num w:numId="8">
    <w:abstractNumId w:val="2"/>
  </w:num>
  <w:num w:numId="9">
    <w:abstractNumId w:val="5"/>
  </w:num>
  <w:num w:numId="10">
    <w:abstractNumId w:val="6"/>
  </w:num>
  <w:num w:numId="11">
    <w:abstractNumId w:val="9"/>
  </w:num>
  <w:num w:numId="12">
    <w:abstractNumId w:val="14"/>
  </w:num>
  <w:num w:numId="13">
    <w:abstractNumId w:val="3"/>
  </w:num>
  <w:num w:numId="14">
    <w:abstractNumId w:val="11"/>
  </w:num>
  <w:num w:numId="15">
    <w:abstractNumId w:val="1"/>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35844"/>
    <w:rsid w:val="0000177F"/>
    <w:rsid w:val="00003EF6"/>
    <w:rsid w:val="000043C4"/>
    <w:rsid w:val="00005D3C"/>
    <w:rsid w:val="000101AF"/>
    <w:rsid w:val="00010286"/>
    <w:rsid w:val="00011FFD"/>
    <w:rsid w:val="00012F78"/>
    <w:rsid w:val="00030391"/>
    <w:rsid w:val="00030BFD"/>
    <w:rsid w:val="00034BEF"/>
    <w:rsid w:val="000436F6"/>
    <w:rsid w:val="00043C38"/>
    <w:rsid w:val="0004520F"/>
    <w:rsid w:val="00047DAA"/>
    <w:rsid w:val="00052138"/>
    <w:rsid w:val="000545AB"/>
    <w:rsid w:val="00057CA6"/>
    <w:rsid w:val="000600A0"/>
    <w:rsid w:val="00067B57"/>
    <w:rsid w:val="000703D1"/>
    <w:rsid w:val="00071E07"/>
    <w:rsid w:val="00073345"/>
    <w:rsid w:val="0007541F"/>
    <w:rsid w:val="000806BE"/>
    <w:rsid w:val="00082F35"/>
    <w:rsid w:val="00085DBD"/>
    <w:rsid w:val="00090A9B"/>
    <w:rsid w:val="00091304"/>
    <w:rsid w:val="000936AC"/>
    <w:rsid w:val="0009396E"/>
    <w:rsid w:val="000943F5"/>
    <w:rsid w:val="0009759B"/>
    <w:rsid w:val="000A1502"/>
    <w:rsid w:val="000A3FF8"/>
    <w:rsid w:val="000A69A0"/>
    <w:rsid w:val="000A7EA5"/>
    <w:rsid w:val="000C23CB"/>
    <w:rsid w:val="000C350F"/>
    <w:rsid w:val="000C7A80"/>
    <w:rsid w:val="000D047C"/>
    <w:rsid w:val="000D4F46"/>
    <w:rsid w:val="000D5F36"/>
    <w:rsid w:val="000D61DA"/>
    <w:rsid w:val="000D7FA4"/>
    <w:rsid w:val="000E22E2"/>
    <w:rsid w:val="000E4AEA"/>
    <w:rsid w:val="000F16E9"/>
    <w:rsid w:val="000F48CB"/>
    <w:rsid w:val="000F5DEE"/>
    <w:rsid w:val="000F6312"/>
    <w:rsid w:val="0010352C"/>
    <w:rsid w:val="00105378"/>
    <w:rsid w:val="00105A22"/>
    <w:rsid w:val="00111091"/>
    <w:rsid w:val="00113A25"/>
    <w:rsid w:val="00117687"/>
    <w:rsid w:val="0012122B"/>
    <w:rsid w:val="00125776"/>
    <w:rsid w:val="00126DD0"/>
    <w:rsid w:val="00132C09"/>
    <w:rsid w:val="001354B7"/>
    <w:rsid w:val="00143836"/>
    <w:rsid w:val="00146BB8"/>
    <w:rsid w:val="00151D44"/>
    <w:rsid w:val="00152465"/>
    <w:rsid w:val="0015380A"/>
    <w:rsid w:val="00157EFB"/>
    <w:rsid w:val="00166B49"/>
    <w:rsid w:val="00167F16"/>
    <w:rsid w:val="001705AC"/>
    <w:rsid w:val="001741EE"/>
    <w:rsid w:val="00174F6B"/>
    <w:rsid w:val="0017561C"/>
    <w:rsid w:val="00185C09"/>
    <w:rsid w:val="00196C8F"/>
    <w:rsid w:val="00197F89"/>
    <w:rsid w:val="001B20A6"/>
    <w:rsid w:val="001B2D1B"/>
    <w:rsid w:val="001B363E"/>
    <w:rsid w:val="001B50A6"/>
    <w:rsid w:val="001B60F5"/>
    <w:rsid w:val="001C054B"/>
    <w:rsid w:val="001C1BD2"/>
    <w:rsid w:val="001C56FC"/>
    <w:rsid w:val="001C6BA9"/>
    <w:rsid w:val="001D296A"/>
    <w:rsid w:val="001E2887"/>
    <w:rsid w:val="001E54D9"/>
    <w:rsid w:val="001E5DBC"/>
    <w:rsid w:val="001F3093"/>
    <w:rsid w:val="001F3D44"/>
    <w:rsid w:val="001F561F"/>
    <w:rsid w:val="001F7366"/>
    <w:rsid w:val="00205E3B"/>
    <w:rsid w:val="002148BB"/>
    <w:rsid w:val="002153BA"/>
    <w:rsid w:val="0021620E"/>
    <w:rsid w:val="00216DAB"/>
    <w:rsid w:val="002220CA"/>
    <w:rsid w:val="002230CC"/>
    <w:rsid w:val="00230BFA"/>
    <w:rsid w:val="0023357F"/>
    <w:rsid w:val="00235954"/>
    <w:rsid w:val="002361A2"/>
    <w:rsid w:val="00236C0A"/>
    <w:rsid w:val="00245F0A"/>
    <w:rsid w:val="00246640"/>
    <w:rsid w:val="0025232B"/>
    <w:rsid w:val="002524A9"/>
    <w:rsid w:val="00254DDD"/>
    <w:rsid w:val="00255116"/>
    <w:rsid w:val="002558DB"/>
    <w:rsid w:val="002610C6"/>
    <w:rsid w:val="00261469"/>
    <w:rsid w:val="002619F6"/>
    <w:rsid w:val="00265613"/>
    <w:rsid w:val="00267EBB"/>
    <w:rsid w:val="00270B24"/>
    <w:rsid w:val="0027422F"/>
    <w:rsid w:val="002750DA"/>
    <w:rsid w:val="00275B28"/>
    <w:rsid w:val="00281307"/>
    <w:rsid w:val="00281CC6"/>
    <w:rsid w:val="00282C86"/>
    <w:rsid w:val="00285C9F"/>
    <w:rsid w:val="00292D25"/>
    <w:rsid w:val="0029694B"/>
    <w:rsid w:val="002A03A2"/>
    <w:rsid w:val="002A1BB6"/>
    <w:rsid w:val="002A1E26"/>
    <w:rsid w:val="002A20E2"/>
    <w:rsid w:val="002A2E3C"/>
    <w:rsid w:val="002A4E80"/>
    <w:rsid w:val="002A56B5"/>
    <w:rsid w:val="002A6944"/>
    <w:rsid w:val="002B1C01"/>
    <w:rsid w:val="002B39BB"/>
    <w:rsid w:val="002B3FE7"/>
    <w:rsid w:val="002B7296"/>
    <w:rsid w:val="002C617F"/>
    <w:rsid w:val="002D2B89"/>
    <w:rsid w:val="002D4AAD"/>
    <w:rsid w:val="002D76FB"/>
    <w:rsid w:val="002E4163"/>
    <w:rsid w:val="002F572E"/>
    <w:rsid w:val="003028B7"/>
    <w:rsid w:val="00310DA6"/>
    <w:rsid w:val="0032086A"/>
    <w:rsid w:val="00330B7E"/>
    <w:rsid w:val="00330BD2"/>
    <w:rsid w:val="00332F65"/>
    <w:rsid w:val="003355AA"/>
    <w:rsid w:val="00335844"/>
    <w:rsid w:val="00340923"/>
    <w:rsid w:val="00350199"/>
    <w:rsid w:val="0035600F"/>
    <w:rsid w:val="003613E3"/>
    <w:rsid w:val="003644BB"/>
    <w:rsid w:val="00364663"/>
    <w:rsid w:val="00364F8A"/>
    <w:rsid w:val="003668DB"/>
    <w:rsid w:val="00372A15"/>
    <w:rsid w:val="003733BF"/>
    <w:rsid w:val="00373F6B"/>
    <w:rsid w:val="00374268"/>
    <w:rsid w:val="00374673"/>
    <w:rsid w:val="00387D3D"/>
    <w:rsid w:val="003910AF"/>
    <w:rsid w:val="00394449"/>
    <w:rsid w:val="003A0B6A"/>
    <w:rsid w:val="003A6DA1"/>
    <w:rsid w:val="003B2D64"/>
    <w:rsid w:val="003B6CF7"/>
    <w:rsid w:val="003C0782"/>
    <w:rsid w:val="003C2E99"/>
    <w:rsid w:val="003C45EC"/>
    <w:rsid w:val="003D2173"/>
    <w:rsid w:val="003D29EE"/>
    <w:rsid w:val="003D7204"/>
    <w:rsid w:val="003E15A2"/>
    <w:rsid w:val="003E200D"/>
    <w:rsid w:val="003E2650"/>
    <w:rsid w:val="003E4487"/>
    <w:rsid w:val="003F1E7D"/>
    <w:rsid w:val="003F227B"/>
    <w:rsid w:val="003F5257"/>
    <w:rsid w:val="003F67B2"/>
    <w:rsid w:val="00400095"/>
    <w:rsid w:val="00406BFA"/>
    <w:rsid w:val="00407509"/>
    <w:rsid w:val="004124AD"/>
    <w:rsid w:val="00414A33"/>
    <w:rsid w:val="00415F99"/>
    <w:rsid w:val="004165C8"/>
    <w:rsid w:val="0041685A"/>
    <w:rsid w:val="00423E77"/>
    <w:rsid w:val="00434F04"/>
    <w:rsid w:val="004352BD"/>
    <w:rsid w:val="00437C5E"/>
    <w:rsid w:val="0044462C"/>
    <w:rsid w:val="00445605"/>
    <w:rsid w:val="00460A09"/>
    <w:rsid w:val="004642A8"/>
    <w:rsid w:val="00475A52"/>
    <w:rsid w:val="004839A0"/>
    <w:rsid w:val="00487FC0"/>
    <w:rsid w:val="004905EE"/>
    <w:rsid w:val="0049074B"/>
    <w:rsid w:val="00494A9C"/>
    <w:rsid w:val="0049581A"/>
    <w:rsid w:val="00495861"/>
    <w:rsid w:val="0049772A"/>
    <w:rsid w:val="0049782C"/>
    <w:rsid w:val="004A339A"/>
    <w:rsid w:val="004A34E5"/>
    <w:rsid w:val="004B2745"/>
    <w:rsid w:val="004B6788"/>
    <w:rsid w:val="004B6D4D"/>
    <w:rsid w:val="004C5F3F"/>
    <w:rsid w:val="004C78D6"/>
    <w:rsid w:val="004D0A90"/>
    <w:rsid w:val="004D494D"/>
    <w:rsid w:val="004D59A4"/>
    <w:rsid w:val="004E5859"/>
    <w:rsid w:val="004E7B18"/>
    <w:rsid w:val="005018DA"/>
    <w:rsid w:val="00504B0B"/>
    <w:rsid w:val="005074C0"/>
    <w:rsid w:val="00513069"/>
    <w:rsid w:val="005139AE"/>
    <w:rsid w:val="005154BE"/>
    <w:rsid w:val="005212CB"/>
    <w:rsid w:val="00527F9C"/>
    <w:rsid w:val="00534209"/>
    <w:rsid w:val="00545B49"/>
    <w:rsid w:val="00546808"/>
    <w:rsid w:val="0054776A"/>
    <w:rsid w:val="0055204D"/>
    <w:rsid w:val="00552560"/>
    <w:rsid w:val="0055279C"/>
    <w:rsid w:val="00557D3D"/>
    <w:rsid w:val="0056035A"/>
    <w:rsid w:val="00572688"/>
    <w:rsid w:val="00573765"/>
    <w:rsid w:val="00574AB2"/>
    <w:rsid w:val="0057663D"/>
    <w:rsid w:val="0058161E"/>
    <w:rsid w:val="005816F4"/>
    <w:rsid w:val="00583CE8"/>
    <w:rsid w:val="005844A5"/>
    <w:rsid w:val="00584D3B"/>
    <w:rsid w:val="00590F6F"/>
    <w:rsid w:val="00592679"/>
    <w:rsid w:val="00593FEB"/>
    <w:rsid w:val="00594EEA"/>
    <w:rsid w:val="005A09E4"/>
    <w:rsid w:val="005A6FFC"/>
    <w:rsid w:val="005B1766"/>
    <w:rsid w:val="005B2F7C"/>
    <w:rsid w:val="005B5A6A"/>
    <w:rsid w:val="005B7810"/>
    <w:rsid w:val="005C0F1D"/>
    <w:rsid w:val="005C20B9"/>
    <w:rsid w:val="005C2655"/>
    <w:rsid w:val="005D227B"/>
    <w:rsid w:val="005D3D6D"/>
    <w:rsid w:val="005E63BD"/>
    <w:rsid w:val="005F1F0E"/>
    <w:rsid w:val="005F519F"/>
    <w:rsid w:val="005F7704"/>
    <w:rsid w:val="00604DAD"/>
    <w:rsid w:val="00610771"/>
    <w:rsid w:val="00620F16"/>
    <w:rsid w:val="00623CD1"/>
    <w:rsid w:val="00624FED"/>
    <w:rsid w:val="00625C12"/>
    <w:rsid w:val="0063092C"/>
    <w:rsid w:val="00634772"/>
    <w:rsid w:val="006356FA"/>
    <w:rsid w:val="00641CCA"/>
    <w:rsid w:val="00641EB5"/>
    <w:rsid w:val="0064222A"/>
    <w:rsid w:val="0064354E"/>
    <w:rsid w:val="00650BD6"/>
    <w:rsid w:val="0065240D"/>
    <w:rsid w:val="00652529"/>
    <w:rsid w:val="0065345D"/>
    <w:rsid w:val="00653B80"/>
    <w:rsid w:val="00660694"/>
    <w:rsid w:val="0066430B"/>
    <w:rsid w:val="006645AD"/>
    <w:rsid w:val="00667003"/>
    <w:rsid w:val="00671C48"/>
    <w:rsid w:val="006808A1"/>
    <w:rsid w:val="00682EED"/>
    <w:rsid w:val="00685306"/>
    <w:rsid w:val="006902BA"/>
    <w:rsid w:val="00690DBF"/>
    <w:rsid w:val="00691124"/>
    <w:rsid w:val="00693289"/>
    <w:rsid w:val="00694DCE"/>
    <w:rsid w:val="006A0343"/>
    <w:rsid w:val="006A29F1"/>
    <w:rsid w:val="006A3BB6"/>
    <w:rsid w:val="006A3EF7"/>
    <w:rsid w:val="006A580E"/>
    <w:rsid w:val="006B5D2C"/>
    <w:rsid w:val="006B78FA"/>
    <w:rsid w:val="006C1B6A"/>
    <w:rsid w:val="006C3634"/>
    <w:rsid w:val="006C5665"/>
    <w:rsid w:val="006C7592"/>
    <w:rsid w:val="006D01C7"/>
    <w:rsid w:val="006D1DEF"/>
    <w:rsid w:val="006D561B"/>
    <w:rsid w:val="006D627A"/>
    <w:rsid w:val="006D713A"/>
    <w:rsid w:val="006E0619"/>
    <w:rsid w:val="006E284D"/>
    <w:rsid w:val="006E2BBC"/>
    <w:rsid w:val="006E6307"/>
    <w:rsid w:val="006F4E1E"/>
    <w:rsid w:val="006F6442"/>
    <w:rsid w:val="006F6F6F"/>
    <w:rsid w:val="00702326"/>
    <w:rsid w:val="00703FA6"/>
    <w:rsid w:val="007047F3"/>
    <w:rsid w:val="0070610E"/>
    <w:rsid w:val="00713422"/>
    <w:rsid w:val="00716471"/>
    <w:rsid w:val="00722024"/>
    <w:rsid w:val="00722D9C"/>
    <w:rsid w:val="0072665A"/>
    <w:rsid w:val="0072732C"/>
    <w:rsid w:val="007316BD"/>
    <w:rsid w:val="00732E96"/>
    <w:rsid w:val="0073305E"/>
    <w:rsid w:val="00735F13"/>
    <w:rsid w:val="00747D66"/>
    <w:rsid w:val="00761279"/>
    <w:rsid w:val="007626AB"/>
    <w:rsid w:val="0077354D"/>
    <w:rsid w:val="007745D9"/>
    <w:rsid w:val="00780B1C"/>
    <w:rsid w:val="00780C81"/>
    <w:rsid w:val="0078535F"/>
    <w:rsid w:val="00787577"/>
    <w:rsid w:val="00793E36"/>
    <w:rsid w:val="00797085"/>
    <w:rsid w:val="007A2EE2"/>
    <w:rsid w:val="007A58B9"/>
    <w:rsid w:val="007A72E1"/>
    <w:rsid w:val="007A7538"/>
    <w:rsid w:val="007A78C2"/>
    <w:rsid w:val="007B14B0"/>
    <w:rsid w:val="007B5BCE"/>
    <w:rsid w:val="007C0951"/>
    <w:rsid w:val="007D15BD"/>
    <w:rsid w:val="007D2D89"/>
    <w:rsid w:val="007D3AA7"/>
    <w:rsid w:val="007D4B87"/>
    <w:rsid w:val="007D50AD"/>
    <w:rsid w:val="007E324B"/>
    <w:rsid w:val="007E352A"/>
    <w:rsid w:val="007E3799"/>
    <w:rsid w:val="007E3D2F"/>
    <w:rsid w:val="007E3E40"/>
    <w:rsid w:val="007F0199"/>
    <w:rsid w:val="007F5E2C"/>
    <w:rsid w:val="00801378"/>
    <w:rsid w:val="008022A1"/>
    <w:rsid w:val="00804C13"/>
    <w:rsid w:val="00805A58"/>
    <w:rsid w:val="00805FBA"/>
    <w:rsid w:val="0080737A"/>
    <w:rsid w:val="00813FDD"/>
    <w:rsid w:val="00814BB0"/>
    <w:rsid w:val="00816056"/>
    <w:rsid w:val="00822F11"/>
    <w:rsid w:val="00825344"/>
    <w:rsid w:val="00825523"/>
    <w:rsid w:val="00830EBC"/>
    <w:rsid w:val="0083212B"/>
    <w:rsid w:val="00832D29"/>
    <w:rsid w:val="00834CD9"/>
    <w:rsid w:val="008423D7"/>
    <w:rsid w:val="0084469B"/>
    <w:rsid w:val="0085000E"/>
    <w:rsid w:val="00851087"/>
    <w:rsid w:val="00857C3C"/>
    <w:rsid w:val="00860F21"/>
    <w:rsid w:val="008623ED"/>
    <w:rsid w:val="00862B36"/>
    <w:rsid w:val="00863F3C"/>
    <w:rsid w:val="00864AD0"/>
    <w:rsid w:val="00872ACE"/>
    <w:rsid w:val="008736A0"/>
    <w:rsid w:val="00875D3B"/>
    <w:rsid w:val="00880C80"/>
    <w:rsid w:val="008817A8"/>
    <w:rsid w:val="00882C8B"/>
    <w:rsid w:val="00885F05"/>
    <w:rsid w:val="008A0916"/>
    <w:rsid w:val="008A3486"/>
    <w:rsid w:val="008A462E"/>
    <w:rsid w:val="008A7A73"/>
    <w:rsid w:val="008B4A6C"/>
    <w:rsid w:val="008B5D6A"/>
    <w:rsid w:val="008B5F4B"/>
    <w:rsid w:val="008B783B"/>
    <w:rsid w:val="008C1797"/>
    <w:rsid w:val="008C182C"/>
    <w:rsid w:val="008C68B8"/>
    <w:rsid w:val="008C68CD"/>
    <w:rsid w:val="008C7AFF"/>
    <w:rsid w:val="008D2B92"/>
    <w:rsid w:val="008D41F7"/>
    <w:rsid w:val="008D6744"/>
    <w:rsid w:val="008D7EE7"/>
    <w:rsid w:val="008E524B"/>
    <w:rsid w:val="008E6A1A"/>
    <w:rsid w:val="008E7244"/>
    <w:rsid w:val="008F3D90"/>
    <w:rsid w:val="008F70F5"/>
    <w:rsid w:val="009003DA"/>
    <w:rsid w:val="00901829"/>
    <w:rsid w:val="00901C6D"/>
    <w:rsid w:val="00902BB0"/>
    <w:rsid w:val="009053D3"/>
    <w:rsid w:val="00905FE6"/>
    <w:rsid w:val="00906C90"/>
    <w:rsid w:val="00914EB7"/>
    <w:rsid w:val="00930B41"/>
    <w:rsid w:val="009313FC"/>
    <w:rsid w:val="00932EF0"/>
    <w:rsid w:val="009363B5"/>
    <w:rsid w:val="00937826"/>
    <w:rsid w:val="00940B2E"/>
    <w:rsid w:val="0094333A"/>
    <w:rsid w:val="0094410B"/>
    <w:rsid w:val="00950524"/>
    <w:rsid w:val="00955CD9"/>
    <w:rsid w:val="00956488"/>
    <w:rsid w:val="009566AB"/>
    <w:rsid w:val="0096398B"/>
    <w:rsid w:val="009717AC"/>
    <w:rsid w:val="0097216C"/>
    <w:rsid w:val="0097231B"/>
    <w:rsid w:val="00973DF1"/>
    <w:rsid w:val="00980D6F"/>
    <w:rsid w:val="00982B2E"/>
    <w:rsid w:val="009832EC"/>
    <w:rsid w:val="00983A3F"/>
    <w:rsid w:val="00984054"/>
    <w:rsid w:val="009843C8"/>
    <w:rsid w:val="009848DD"/>
    <w:rsid w:val="009854EB"/>
    <w:rsid w:val="0098695D"/>
    <w:rsid w:val="00987A94"/>
    <w:rsid w:val="0099377B"/>
    <w:rsid w:val="0099517C"/>
    <w:rsid w:val="00997A71"/>
    <w:rsid w:val="009A2013"/>
    <w:rsid w:val="009A4AB2"/>
    <w:rsid w:val="009A50F2"/>
    <w:rsid w:val="009A729D"/>
    <w:rsid w:val="009A7FAB"/>
    <w:rsid w:val="009B748A"/>
    <w:rsid w:val="009B7F4A"/>
    <w:rsid w:val="009C1568"/>
    <w:rsid w:val="009C4CB5"/>
    <w:rsid w:val="009C762B"/>
    <w:rsid w:val="009E1383"/>
    <w:rsid w:val="009E24F5"/>
    <w:rsid w:val="009E463D"/>
    <w:rsid w:val="00A019F2"/>
    <w:rsid w:val="00A06803"/>
    <w:rsid w:val="00A11B16"/>
    <w:rsid w:val="00A20606"/>
    <w:rsid w:val="00A218A6"/>
    <w:rsid w:val="00A218CA"/>
    <w:rsid w:val="00A22BDD"/>
    <w:rsid w:val="00A23F62"/>
    <w:rsid w:val="00A24882"/>
    <w:rsid w:val="00A25C88"/>
    <w:rsid w:val="00A278C2"/>
    <w:rsid w:val="00A314B8"/>
    <w:rsid w:val="00A3335A"/>
    <w:rsid w:val="00A36CB0"/>
    <w:rsid w:val="00A4091C"/>
    <w:rsid w:val="00A42CB5"/>
    <w:rsid w:val="00A45596"/>
    <w:rsid w:val="00A45833"/>
    <w:rsid w:val="00A465A7"/>
    <w:rsid w:val="00A471FD"/>
    <w:rsid w:val="00A502A8"/>
    <w:rsid w:val="00A57742"/>
    <w:rsid w:val="00A61992"/>
    <w:rsid w:val="00A6315E"/>
    <w:rsid w:val="00A64290"/>
    <w:rsid w:val="00A75860"/>
    <w:rsid w:val="00A82107"/>
    <w:rsid w:val="00A85EB3"/>
    <w:rsid w:val="00A923D4"/>
    <w:rsid w:val="00A9779C"/>
    <w:rsid w:val="00AA1D0F"/>
    <w:rsid w:val="00AA3974"/>
    <w:rsid w:val="00AA6C61"/>
    <w:rsid w:val="00AB04A9"/>
    <w:rsid w:val="00AB52EF"/>
    <w:rsid w:val="00AB5C6E"/>
    <w:rsid w:val="00AB64C4"/>
    <w:rsid w:val="00AC1166"/>
    <w:rsid w:val="00AC2729"/>
    <w:rsid w:val="00AC3F77"/>
    <w:rsid w:val="00AC7A0B"/>
    <w:rsid w:val="00AD364E"/>
    <w:rsid w:val="00AD50BA"/>
    <w:rsid w:val="00AD6A1A"/>
    <w:rsid w:val="00AD6E11"/>
    <w:rsid w:val="00AE6187"/>
    <w:rsid w:val="00AF2A6E"/>
    <w:rsid w:val="00AF42F2"/>
    <w:rsid w:val="00AF7A8D"/>
    <w:rsid w:val="00B0566B"/>
    <w:rsid w:val="00B125A6"/>
    <w:rsid w:val="00B202D2"/>
    <w:rsid w:val="00B2311D"/>
    <w:rsid w:val="00B24C6D"/>
    <w:rsid w:val="00B2670F"/>
    <w:rsid w:val="00B3408A"/>
    <w:rsid w:val="00B34F82"/>
    <w:rsid w:val="00B35B19"/>
    <w:rsid w:val="00B35E08"/>
    <w:rsid w:val="00B432C5"/>
    <w:rsid w:val="00B44748"/>
    <w:rsid w:val="00B47A79"/>
    <w:rsid w:val="00B5001E"/>
    <w:rsid w:val="00B531A1"/>
    <w:rsid w:val="00B54282"/>
    <w:rsid w:val="00B5582B"/>
    <w:rsid w:val="00B62B2E"/>
    <w:rsid w:val="00B638E6"/>
    <w:rsid w:val="00B666AE"/>
    <w:rsid w:val="00B7427F"/>
    <w:rsid w:val="00B752FC"/>
    <w:rsid w:val="00B82901"/>
    <w:rsid w:val="00B82B00"/>
    <w:rsid w:val="00B830EB"/>
    <w:rsid w:val="00B860E6"/>
    <w:rsid w:val="00B90605"/>
    <w:rsid w:val="00B91258"/>
    <w:rsid w:val="00B9157B"/>
    <w:rsid w:val="00B953F1"/>
    <w:rsid w:val="00B96ECC"/>
    <w:rsid w:val="00B97A6D"/>
    <w:rsid w:val="00BA4E68"/>
    <w:rsid w:val="00BA4E82"/>
    <w:rsid w:val="00BA765C"/>
    <w:rsid w:val="00BA7788"/>
    <w:rsid w:val="00BB1C15"/>
    <w:rsid w:val="00BB3679"/>
    <w:rsid w:val="00BB4B8A"/>
    <w:rsid w:val="00BB569E"/>
    <w:rsid w:val="00BB7F27"/>
    <w:rsid w:val="00BC044C"/>
    <w:rsid w:val="00BC7E62"/>
    <w:rsid w:val="00BD2320"/>
    <w:rsid w:val="00BD60BB"/>
    <w:rsid w:val="00BE10AA"/>
    <w:rsid w:val="00BE10EB"/>
    <w:rsid w:val="00BE24B2"/>
    <w:rsid w:val="00BE3886"/>
    <w:rsid w:val="00C06CDF"/>
    <w:rsid w:val="00C07388"/>
    <w:rsid w:val="00C14EB0"/>
    <w:rsid w:val="00C20B6F"/>
    <w:rsid w:val="00C237A8"/>
    <w:rsid w:val="00C242D8"/>
    <w:rsid w:val="00C258D4"/>
    <w:rsid w:val="00C27E68"/>
    <w:rsid w:val="00C33F95"/>
    <w:rsid w:val="00C34F7A"/>
    <w:rsid w:val="00C40A42"/>
    <w:rsid w:val="00C40BC4"/>
    <w:rsid w:val="00C412CD"/>
    <w:rsid w:val="00C5001B"/>
    <w:rsid w:val="00C614A1"/>
    <w:rsid w:val="00C61F2E"/>
    <w:rsid w:val="00C64367"/>
    <w:rsid w:val="00C671AD"/>
    <w:rsid w:val="00C70D03"/>
    <w:rsid w:val="00C77628"/>
    <w:rsid w:val="00C8410D"/>
    <w:rsid w:val="00C84F2A"/>
    <w:rsid w:val="00C85BAC"/>
    <w:rsid w:val="00C87E32"/>
    <w:rsid w:val="00C92DA9"/>
    <w:rsid w:val="00C94C0B"/>
    <w:rsid w:val="00CA1A34"/>
    <w:rsid w:val="00CB3639"/>
    <w:rsid w:val="00CB4025"/>
    <w:rsid w:val="00CB462C"/>
    <w:rsid w:val="00CC2D9B"/>
    <w:rsid w:val="00CC73E2"/>
    <w:rsid w:val="00CD1894"/>
    <w:rsid w:val="00CD1B97"/>
    <w:rsid w:val="00CE11FA"/>
    <w:rsid w:val="00CE1DEA"/>
    <w:rsid w:val="00CE326F"/>
    <w:rsid w:val="00CF6691"/>
    <w:rsid w:val="00D13B24"/>
    <w:rsid w:val="00D1641D"/>
    <w:rsid w:val="00D16741"/>
    <w:rsid w:val="00D16D39"/>
    <w:rsid w:val="00D177C1"/>
    <w:rsid w:val="00D212FF"/>
    <w:rsid w:val="00D21D3A"/>
    <w:rsid w:val="00D25279"/>
    <w:rsid w:val="00D25694"/>
    <w:rsid w:val="00D316FB"/>
    <w:rsid w:val="00D32012"/>
    <w:rsid w:val="00D3205E"/>
    <w:rsid w:val="00D34FAD"/>
    <w:rsid w:val="00D54854"/>
    <w:rsid w:val="00D57ABD"/>
    <w:rsid w:val="00D60739"/>
    <w:rsid w:val="00D61E6C"/>
    <w:rsid w:val="00D63A11"/>
    <w:rsid w:val="00D63C57"/>
    <w:rsid w:val="00D66B51"/>
    <w:rsid w:val="00D72E22"/>
    <w:rsid w:val="00D73CB3"/>
    <w:rsid w:val="00D73ED0"/>
    <w:rsid w:val="00D75287"/>
    <w:rsid w:val="00D80677"/>
    <w:rsid w:val="00D80FCA"/>
    <w:rsid w:val="00D8336A"/>
    <w:rsid w:val="00D84445"/>
    <w:rsid w:val="00D8452C"/>
    <w:rsid w:val="00D91717"/>
    <w:rsid w:val="00D95EC3"/>
    <w:rsid w:val="00DA3514"/>
    <w:rsid w:val="00DA5448"/>
    <w:rsid w:val="00DB00FD"/>
    <w:rsid w:val="00DB2613"/>
    <w:rsid w:val="00DB7EBA"/>
    <w:rsid w:val="00DB7F60"/>
    <w:rsid w:val="00DC6DB7"/>
    <w:rsid w:val="00DC788F"/>
    <w:rsid w:val="00DD057F"/>
    <w:rsid w:val="00DD0B3F"/>
    <w:rsid w:val="00DD6A98"/>
    <w:rsid w:val="00DE06AD"/>
    <w:rsid w:val="00DE0C53"/>
    <w:rsid w:val="00E11A98"/>
    <w:rsid w:val="00E13C30"/>
    <w:rsid w:val="00E20379"/>
    <w:rsid w:val="00E22893"/>
    <w:rsid w:val="00E24F70"/>
    <w:rsid w:val="00E25E74"/>
    <w:rsid w:val="00E26FAD"/>
    <w:rsid w:val="00E27A44"/>
    <w:rsid w:val="00E32407"/>
    <w:rsid w:val="00E32AAA"/>
    <w:rsid w:val="00E3589F"/>
    <w:rsid w:val="00E546EE"/>
    <w:rsid w:val="00E57013"/>
    <w:rsid w:val="00E66F58"/>
    <w:rsid w:val="00E72730"/>
    <w:rsid w:val="00E72984"/>
    <w:rsid w:val="00E7353B"/>
    <w:rsid w:val="00E81427"/>
    <w:rsid w:val="00E82FED"/>
    <w:rsid w:val="00E8473C"/>
    <w:rsid w:val="00E848EA"/>
    <w:rsid w:val="00E84918"/>
    <w:rsid w:val="00E875F8"/>
    <w:rsid w:val="00E93A60"/>
    <w:rsid w:val="00E94050"/>
    <w:rsid w:val="00E96746"/>
    <w:rsid w:val="00E96CDC"/>
    <w:rsid w:val="00E96EA1"/>
    <w:rsid w:val="00E96F77"/>
    <w:rsid w:val="00EA4BE3"/>
    <w:rsid w:val="00EC0994"/>
    <w:rsid w:val="00EC1FD4"/>
    <w:rsid w:val="00ED47CF"/>
    <w:rsid w:val="00EE2F18"/>
    <w:rsid w:val="00EF1960"/>
    <w:rsid w:val="00EF2659"/>
    <w:rsid w:val="00EF6C4F"/>
    <w:rsid w:val="00EF7D3C"/>
    <w:rsid w:val="00F0250D"/>
    <w:rsid w:val="00F05AE5"/>
    <w:rsid w:val="00F15B2A"/>
    <w:rsid w:val="00F167DC"/>
    <w:rsid w:val="00F16D29"/>
    <w:rsid w:val="00F1795B"/>
    <w:rsid w:val="00F25AB0"/>
    <w:rsid w:val="00F30D06"/>
    <w:rsid w:val="00F34FEB"/>
    <w:rsid w:val="00F3608D"/>
    <w:rsid w:val="00F4014C"/>
    <w:rsid w:val="00F41A45"/>
    <w:rsid w:val="00F425EE"/>
    <w:rsid w:val="00F452C3"/>
    <w:rsid w:val="00F45CC9"/>
    <w:rsid w:val="00F52DF4"/>
    <w:rsid w:val="00F600B6"/>
    <w:rsid w:val="00F74BB0"/>
    <w:rsid w:val="00F82E1F"/>
    <w:rsid w:val="00F83CB3"/>
    <w:rsid w:val="00F8720D"/>
    <w:rsid w:val="00F9060E"/>
    <w:rsid w:val="00F91310"/>
    <w:rsid w:val="00F92F6D"/>
    <w:rsid w:val="00F96094"/>
    <w:rsid w:val="00F976ED"/>
    <w:rsid w:val="00FA59F9"/>
    <w:rsid w:val="00FA5C24"/>
    <w:rsid w:val="00FA75D8"/>
    <w:rsid w:val="00FB43A7"/>
    <w:rsid w:val="00FB5017"/>
    <w:rsid w:val="00FC066D"/>
    <w:rsid w:val="00FC3D67"/>
    <w:rsid w:val="00FD446C"/>
    <w:rsid w:val="00FE2D58"/>
    <w:rsid w:val="00FE5049"/>
    <w:rsid w:val="00FF1F31"/>
    <w:rsid w:val="00FF33CD"/>
    <w:rsid w:val="00FF4E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20C056B0-8583-4873-8F84-C033E6E54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5844"/>
    <w:pPr>
      <w:spacing w:after="200" w:line="276" w:lineRule="auto"/>
    </w:pPr>
    <w:rPr>
      <w:rFonts w:eastAsia="Times New Roman"/>
      <w:sz w:val="22"/>
      <w:szCs w:val="22"/>
    </w:rPr>
  </w:style>
  <w:style w:type="paragraph" w:styleId="1">
    <w:name w:val="heading 1"/>
    <w:basedOn w:val="a"/>
    <w:next w:val="a"/>
    <w:link w:val="10"/>
    <w:uiPriority w:val="99"/>
    <w:qFormat/>
    <w:rsid w:val="00335844"/>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335844"/>
    <w:pPr>
      <w:keepNext/>
      <w:keepLines/>
      <w:spacing w:before="200" w:after="0"/>
      <w:outlineLvl w:val="2"/>
    </w:pPr>
    <w:rPr>
      <w:rFonts w:ascii="Cambria" w:hAnsi="Cambria"/>
      <w:b/>
      <w:bCs/>
      <w:color w:val="4F81BD"/>
      <w:sz w:val="20"/>
      <w:szCs w:val="20"/>
    </w:rPr>
  </w:style>
  <w:style w:type="paragraph" w:styleId="4">
    <w:name w:val="heading 4"/>
    <w:basedOn w:val="a"/>
    <w:next w:val="a"/>
    <w:link w:val="40"/>
    <w:uiPriority w:val="99"/>
    <w:qFormat/>
    <w:rsid w:val="00335844"/>
    <w:pPr>
      <w:keepNext/>
      <w:spacing w:before="240" w:after="60"/>
      <w:outlineLvl w:val="3"/>
    </w:pPr>
    <w:rPr>
      <w:rFonts w:ascii="Times New Roman" w:hAnsi="Times New Roman"/>
      <w:b/>
      <w:bCs/>
      <w:sz w:val="28"/>
      <w:szCs w:val="28"/>
    </w:rPr>
  </w:style>
  <w:style w:type="paragraph" w:styleId="7">
    <w:name w:val="heading 7"/>
    <w:basedOn w:val="a"/>
    <w:next w:val="a"/>
    <w:link w:val="70"/>
    <w:uiPriority w:val="9"/>
    <w:semiHidden/>
    <w:unhideWhenUsed/>
    <w:qFormat/>
    <w:rsid w:val="0097231B"/>
    <w:pPr>
      <w:keepNext/>
      <w:keepLines/>
      <w:spacing w:before="200" w:after="0"/>
      <w:outlineLvl w:val="6"/>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335844"/>
    <w:rPr>
      <w:rFonts w:ascii="Cambria" w:eastAsia="Times New Roman" w:hAnsi="Cambria" w:cs="Times New Roman"/>
      <w:b/>
      <w:bCs/>
      <w:color w:val="365F91"/>
      <w:sz w:val="28"/>
      <w:szCs w:val="28"/>
    </w:rPr>
  </w:style>
  <w:style w:type="character" w:customStyle="1" w:styleId="30">
    <w:name w:val="Заголовок 3 Знак"/>
    <w:link w:val="3"/>
    <w:uiPriority w:val="99"/>
    <w:rsid w:val="00335844"/>
    <w:rPr>
      <w:rFonts w:ascii="Cambria" w:eastAsia="Times New Roman" w:hAnsi="Cambria" w:cs="Times New Roman"/>
      <w:b/>
      <w:bCs/>
      <w:color w:val="4F81BD"/>
    </w:rPr>
  </w:style>
  <w:style w:type="character" w:customStyle="1" w:styleId="40">
    <w:name w:val="Заголовок 4 Знак"/>
    <w:link w:val="4"/>
    <w:uiPriority w:val="99"/>
    <w:rsid w:val="00335844"/>
    <w:rPr>
      <w:rFonts w:ascii="Times New Roman" w:eastAsia="Times New Roman" w:hAnsi="Times New Roman" w:cs="Times New Roman"/>
      <w:b/>
      <w:bCs/>
      <w:sz w:val="28"/>
      <w:szCs w:val="28"/>
    </w:rPr>
  </w:style>
  <w:style w:type="character" w:styleId="a3">
    <w:name w:val="Hyperlink"/>
    <w:uiPriority w:val="99"/>
    <w:rsid w:val="00335844"/>
    <w:rPr>
      <w:rFonts w:cs="Times New Roman"/>
      <w:color w:val="0000FF"/>
      <w:u w:val="single"/>
    </w:rPr>
  </w:style>
  <w:style w:type="paragraph" w:styleId="a4">
    <w:name w:val="No Spacing"/>
    <w:link w:val="a5"/>
    <w:uiPriority w:val="99"/>
    <w:qFormat/>
    <w:rsid w:val="00335844"/>
    <w:pPr>
      <w:ind w:firstLine="709"/>
      <w:jc w:val="both"/>
    </w:pPr>
    <w:rPr>
      <w:rFonts w:ascii="Times New Roman" w:eastAsia="Times New Roman" w:hAnsi="Times New Roman"/>
      <w:sz w:val="24"/>
      <w:szCs w:val="22"/>
    </w:rPr>
  </w:style>
  <w:style w:type="character" w:customStyle="1" w:styleId="a5">
    <w:name w:val="Без интервала Знак"/>
    <w:link w:val="a4"/>
    <w:uiPriority w:val="99"/>
    <w:locked/>
    <w:rsid w:val="00335844"/>
    <w:rPr>
      <w:rFonts w:ascii="Times New Roman" w:eastAsia="Times New Roman" w:hAnsi="Times New Roman"/>
      <w:sz w:val="24"/>
      <w:szCs w:val="22"/>
      <w:lang w:eastAsia="ru-RU" w:bidi="ar-SA"/>
    </w:rPr>
  </w:style>
  <w:style w:type="paragraph" w:styleId="a6">
    <w:name w:val="List Paragraph"/>
    <w:basedOn w:val="a"/>
    <w:uiPriority w:val="34"/>
    <w:qFormat/>
    <w:rsid w:val="00335844"/>
    <w:pPr>
      <w:ind w:left="720"/>
      <w:contextualSpacing/>
    </w:pPr>
  </w:style>
  <w:style w:type="paragraph" w:styleId="a7">
    <w:name w:val="Balloon Text"/>
    <w:basedOn w:val="a"/>
    <w:link w:val="a8"/>
    <w:uiPriority w:val="99"/>
    <w:semiHidden/>
    <w:rsid w:val="00335844"/>
    <w:pPr>
      <w:spacing w:after="0" w:line="240" w:lineRule="auto"/>
    </w:pPr>
    <w:rPr>
      <w:rFonts w:ascii="Tahoma" w:hAnsi="Tahoma"/>
      <w:sz w:val="16"/>
      <w:szCs w:val="16"/>
    </w:rPr>
  </w:style>
  <w:style w:type="character" w:customStyle="1" w:styleId="a8">
    <w:name w:val="Текст выноски Знак"/>
    <w:link w:val="a7"/>
    <w:uiPriority w:val="99"/>
    <w:semiHidden/>
    <w:rsid w:val="00335844"/>
    <w:rPr>
      <w:rFonts w:ascii="Tahoma" w:eastAsia="Times New Roman" w:hAnsi="Tahoma" w:cs="Times New Roman"/>
      <w:sz w:val="16"/>
      <w:szCs w:val="16"/>
    </w:rPr>
  </w:style>
  <w:style w:type="paragraph" w:customStyle="1" w:styleId="2">
    <w:name w:val="сновной текст с отступом 2"/>
    <w:basedOn w:val="a"/>
    <w:uiPriority w:val="99"/>
    <w:rsid w:val="00335844"/>
    <w:pPr>
      <w:widowControl w:val="0"/>
      <w:spacing w:after="0" w:line="240" w:lineRule="auto"/>
      <w:ind w:firstLine="720"/>
      <w:jc w:val="both"/>
    </w:pPr>
    <w:rPr>
      <w:rFonts w:ascii="Times New Roman" w:hAnsi="Times New Roman"/>
      <w:sz w:val="26"/>
      <w:szCs w:val="20"/>
    </w:rPr>
  </w:style>
  <w:style w:type="paragraph" w:styleId="20">
    <w:name w:val="Body Text Indent 2"/>
    <w:basedOn w:val="a"/>
    <w:link w:val="21"/>
    <w:uiPriority w:val="99"/>
    <w:semiHidden/>
    <w:rsid w:val="00335844"/>
    <w:pPr>
      <w:spacing w:after="120" w:line="480" w:lineRule="auto"/>
      <w:ind w:left="283"/>
    </w:pPr>
    <w:rPr>
      <w:sz w:val="20"/>
      <w:szCs w:val="20"/>
    </w:rPr>
  </w:style>
  <w:style w:type="character" w:customStyle="1" w:styleId="21">
    <w:name w:val="Основной текст с отступом 2 Знак"/>
    <w:link w:val="20"/>
    <w:uiPriority w:val="99"/>
    <w:semiHidden/>
    <w:rsid w:val="00335844"/>
    <w:rPr>
      <w:rFonts w:ascii="Calibri" w:eastAsia="Times New Roman" w:hAnsi="Calibri" w:cs="Times New Roman"/>
    </w:rPr>
  </w:style>
  <w:style w:type="paragraph" w:styleId="31">
    <w:name w:val="Body Text Indent 3"/>
    <w:basedOn w:val="a"/>
    <w:link w:val="32"/>
    <w:uiPriority w:val="99"/>
    <w:semiHidden/>
    <w:rsid w:val="00335844"/>
    <w:pPr>
      <w:spacing w:after="120"/>
      <w:ind w:left="283"/>
    </w:pPr>
    <w:rPr>
      <w:sz w:val="16"/>
      <w:szCs w:val="16"/>
    </w:rPr>
  </w:style>
  <w:style w:type="character" w:customStyle="1" w:styleId="32">
    <w:name w:val="Основной текст с отступом 3 Знак"/>
    <w:link w:val="31"/>
    <w:uiPriority w:val="99"/>
    <w:semiHidden/>
    <w:rsid w:val="00335844"/>
    <w:rPr>
      <w:rFonts w:ascii="Calibri" w:eastAsia="Times New Roman" w:hAnsi="Calibri" w:cs="Times New Roman"/>
      <w:sz w:val="16"/>
      <w:szCs w:val="16"/>
    </w:rPr>
  </w:style>
  <w:style w:type="character" w:customStyle="1" w:styleId="FontStyle186">
    <w:name w:val="Font Style186"/>
    <w:uiPriority w:val="99"/>
    <w:rsid w:val="00335844"/>
    <w:rPr>
      <w:rFonts w:ascii="Sylfaen" w:hAnsi="Sylfaen" w:cs="Sylfaen"/>
      <w:i/>
      <w:iCs/>
      <w:spacing w:val="-10"/>
      <w:sz w:val="22"/>
      <w:szCs w:val="22"/>
    </w:rPr>
  </w:style>
  <w:style w:type="character" w:customStyle="1" w:styleId="FontStyle183">
    <w:name w:val="Font Style183"/>
    <w:rsid w:val="00335844"/>
    <w:rPr>
      <w:rFonts w:ascii="Sylfaen" w:hAnsi="Sylfaen" w:cs="Sylfaen"/>
      <w:sz w:val="20"/>
      <w:szCs w:val="20"/>
    </w:rPr>
  </w:style>
  <w:style w:type="paragraph" w:customStyle="1" w:styleId="Style26">
    <w:name w:val="Style26"/>
    <w:basedOn w:val="a"/>
    <w:rsid w:val="00335844"/>
    <w:pPr>
      <w:widowControl w:val="0"/>
      <w:autoSpaceDE w:val="0"/>
      <w:autoSpaceDN w:val="0"/>
      <w:adjustRightInd w:val="0"/>
      <w:spacing w:after="0" w:line="289" w:lineRule="exact"/>
      <w:ind w:firstLine="432"/>
      <w:jc w:val="both"/>
    </w:pPr>
    <w:rPr>
      <w:rFonts w:ascii="Sylfaen" w:hAnsi="Sylfaen"/>
      <w:sz w:val="24"/>
      <w:szCs w:val="24"/>
    </w:rPr>
  </w:style>
  <w:style w:type="paragraph" w:customStyle="1" w:styleId="11">
    <w:name w:val="Без интервала1"/>
    <w:link w:val="12"/>
    <w:uiPriority w:val="99"/>
    <w:rsid w:val="00335844"/>
    <w:rPr>
      <w:rFonts w:eastAsia="Times New Roman"/>
      <w:sz w:val="22"/>
      <w:szCs w:val="22"/>
    </w:rPr>
  </w:style>
  <w:style w:type="paragraph" w:styleId="22">
    <w:name w:val="Body Text 2"/>
    <w:basedOn w:val="a"/>
    <w:link w:val="23"/>
    <w:rsid w:val="00335844"/>
    <w:pPr>
      <w:spacing w:after="120" w:line="480" w:lineRule="auto"/>
    </w:pPr>
    <w:rPr>
      <w:sz w:val="20"/>
      <w:szCs w:val="20"/>
    </w:rPr>
  </w:style>
  <w:style w:type="character" w:customStyle="1" w:styleId="23">
    <w:name w:val="Основной текст 2 Знак"/>
    <w:link w:val="22"/>
    <w:rsid w:val="00335844"/>
    <w:rPr>
      <w:rFonts w:ascii="Calibri" w:eastAsia="Times New Roman" w:hAnsi="Calibri" w:cs="Times New Roman"/>
    </w:rPr>
  </w:style>
  <w:style w:type="paragraph" w:styleId="a9">
    <w:name w:val="caption"/>
    <w:basedOn w:val="a"/>
    <w:next w:val="a"/>
    <w:uiPriority w:val="35"/>
    <w:qFormat/>
    <w:rsid w:val="00335844"/>
    <w:pPr>
      <w:spacing w:line="240" w:lineRule="auto"/>
    </w:pPr>
    <w:rPr>
      <w:b/>
      <w:bCs/>
      <w:color w:val="4F81BD"/>
      <w:sz w:val="18"/>
      <w:szCs w:val="18"/>
    </w:rPr>
  </w:style>
  <w:style w:type="paragraph" w:styleId="aa">
    <w:name w:val="Plain Text"/>
    <w:aliases w:val="Текст Знак1 Знак,Текст Знак Знак Знак,Знак Знак Знак Знак,Знак,Текст Знак1,Знак Знак Знак,Текст Знак2,Знак Знак Знак Знак1,Текст Знак1 Знак1 Знак,Текст Знак Знак Знак1 Знак,Текст Знак Знак1,Текст Знак2 Знак Знак1,Зн,Зна, Знак,Текст Знак Знак"/>
    <w:basedOn w:val="a"/>
    <w:link w:val="33"/>
    <w:rsid w:val="00335844"/>
    <w:pPr>
      <w:spacing w:after="0" w:line="240" w:lineRule="auto"/>
    </w:pPr>
    <w:rPr>
      <w:rFonts w:ascii="Courier New" w:hAnsi="Courier New"/>
      <w:sz w:val="20"/>
      <w:szCs w:val="20"/>
    </w:rPr>
  </w:style>
  <w:style w:type="character" w:customStyle="1" w:styleId="33">
    <w:name w:val="Текст Знак3"/>
    <w:aliases w:val="Текст Знак1 Знак Знак,Текст Знак Знак Знак Знак,Знак Знак Знак Знак Знак,Знак Знак,Текст Знак1 Знак1,Знак Знак Знак Знак2,Текст Знак2 Знак,Знак Знак Знак Знак1 Знак,Текст Знак1 Знак1 Знак Знак,Текст Знак Знак Знак1 Знак Знак,Зн Знак,Зна Знак"/>
    <w:link w:val="aa"/>
    <w:locked/>
    <w:rsid w:val="00335844"/>
    <w:rPr>
      <w:rFonts w:ascii="Courier New" w:eastAsia="Times New Roman" w:hAnsi="Courier New" w:cs="Times New Roman"/>
      <w:sz w:val="20"/>
      <w:szCs w:val="20"/>
    </w:rPr>
  </w:style>
  <w:style w:type="character" w:customStyle="1" w:styleId="ab">
    <w:name w:val="Текст Знак"/>
    <w:rsid w:val="00335844"/>
    <w:rPr>
      <w:rFonts w:ascii="Consolas" w:eastAsia="Times New Roman" w:hAnsi="Consolas" w:cs="Times New Roman"/>
      <w:sz w:val="21"/>
      <w:szCs w:val="21"/>
      <w:lang w:eastAsia="ru-RU"/>
    </w:rPr>
  </w:style>
  <w:style w:type="character" w:customStyle="1" w:styleId="ac">
    <w:name w:val="Основной текст Знак"/>
    <w:aliases w:val="Знак3 Знак"/>
    <w:link w:val="ad"/>
    <w:locked/>
    <w:rsid w:val="00335844"/>
    <w:rPr>
      <w:rFonts w:cs="Times New Roman"/>
    </w:rPr>
  </w:style>
  <w:style w:type="paragraph" w:styleId="ad">
    <w:name w:val="Body Text"/>
    <w:aliases w:val="Знак3"/>
    <w:basedOn w:val="a"/>
    <w:link w:val="ac"/>
    <w:rsid w:val="00335844"/>
    <w:pPr>
      <w:spacing w:after="120" w:line="240" w:lineRule="auto"/>
    </w:pPr>
    <w:rPr>
      <w:rFonts w:eastAsia="Calibri"/>
      <w:sz w:val="20"/>
      <w:szCs w:val="20"/>
    </w:rPr>
  </w:style>
  <w:style w:type="character" w:customStyle="1" w:styleId="13">
    <w:name w:val="Основной текст Знак1"/>
    <w:uiPriority w:val="99"/>
    <w:semiHidden/>
    <w:rsid w:val="00335844"/>
    <w:rPr>
      <w:rFonts w:ascii="Calibri" w:eastAsia="Times New Roman" w:hAnsi="Calibri" w:cs="Times New Roman"/>
      <w:lang w:eastAsia="ru-RU"/>
    </w:rPr>
  </w:style>
  <w:style w:type="character" w:customStyle="1" w:styleId="BodyTextChar1">
    <w:name w:val="Body Text Char1"/>
    <w:aliases w:val="Знак3 Char1"/>
    <w:uiPriority w:val="99"/>
    <w:semiHidden/>
    <w:rsid w:val="00335844"/>
    <w:rPr>
      <w:rFonts w:ascii="Calibri" w:hAnsi="Calibri"/>
    </w:rPr>
  </w:style>
  <w:style w:type="paragraph" w:customStyle="1" w:styleId="14">
    <w:name w:val="Обычный (веб)1"/>
    <w:basedOn w:val="a"/>
    <w:rsid w:val="00335844"/>
    <w:pPr>
      <w:spacing w:after="0" w:line="240" w:lineRule="auto"/>
    </w:pPr>
    <w:rPr>
      <w:rFonts w:ascii="Arial" w:hAnsi="Arial" w:cs="Arial"/>
      <w:sz w:val="24"/>
      <w:szCs w:val="24"/>
    </w:rPr>
  </w:style>
  <w:style w:type="paragraph" w:customStyle="1" w:styleId="ae">
    <w:name w:val="Нормальный"/>
    <w:basedOn w:val="a"/>
    <w:rsid w:val="00335844"/>
    <w:pPr>
      <w:spacing w:after="0" w:line="240" w:lineRule="auto"/>
      <w:jc w:val="both"/>
    </w:pPr>
    <w:rPr>
      <w:rFonts w:ascii="Times New Roman" w:hAnsi="Times New Roman"/>
      <w:sz w:val="28"/>
      <w:szCs w:val="20"/>
    </w:rPr>
  </w:style>
  <w:style w:type="character" w:customStyle="1" w:styleId="af">
    <w:name w:val="Основной текст_"/>
    <w:rsid w:val="00335844"/>
    <w:rPr>
      <w:rFonts w:ascii="Times New Roman" w:hAnsi="Times New Roman" w:cs="Times New Roman"/>
      <w:sz w:val="27"/>
      <w:szCs w:val="27"/>
      <w:u w:val="none"/>
    </w:rPr>
  </w:style>
  <w:style w:type="paragraph" w:styleId="af0">
    <w:name w:val="Normal (Web)"/>
    <w:aliases w:val="Обычный (веб) Знак1,Обычный (веб) Знак Знак,Знак Знак3,Знак4,Знак4 Знак Знак,Знак4 Знак,Обычный (Web)1,Обычный (веб) Знак Знак1,Знак Знак1 Знак,Обычный (веб) Знак Знак Знак,Знак Знак1 Знак Знак"/>
    <w:basedOn w:val="a"/>
    <w:link w:val="af1"/>
    <w:uiPriority w:val="99"/>
    <w:rsid w:val="00335844"/>
    <w:pPr>
      <w:spacing w:before="100" w:beforeAutospacing="1" w:after="100" w:afterAutospacing="1" w:line="240" w:lineRule="auto"/>
    </w:pPr>
    <w:rPr>
      <w:rFonts w:ascii="Times New Roman" w:hAnsi="Times New Roman"/>
      <w:sz w:val="24"/>
      <w:szCs w:val="24"/>
    </w:rPr>
  </w:style>
  <w:style w:type="character" w:customStyle="1" w:styleId="af1">
    <w:name w:val="Обычный (веб) Знак"/>
    <w:aliases w:val="Обычный (веб) Знак1 Знак1,Обычный (веб) Знак Знак Знак2,Знак Знак3 Знак1,Знак4 Знак2,Знак4 Знак Знак Знак1,Знак4 Знак Знак2,Обычный (Web)1 Знак1,Обычный (веб) Знак Знак1 Знак1,Знак Знак1 Знак Знак1,Обычный (веб) Знак Знак Знак Знак"/>
    <w:link w:val="af0"/>
    <w:uiPriority w:val="99"/>
    <w:rsid w:val="00335844"/>
    <w:rPr>
      <w:rFonts w:ascii="Times New Roman" w:eastAsia="Times New Roman" w:hAnsi="Times New Roman" w:cs="Times New Roman"/>
      <w:sz w:val="24"/>
      <w:szCs w:val="24"/>
    </w:rPr>
  </w:style>
  <w:style w:type="paragraph" w:styleId="af2">
    <w:name w:val="footer"/>
    <w:basedOn w:val="a"/>
    <w:link w:val="af3"/>
    <w:uiPriority w:val="99"/>
    <w:rsid w:val="00335844"/>
    <w:pPr>
      <w:tabs>
        <w:tab w:val="center" w:pos="4153"/>
        <w:tab w:val="right" w:pos="8306"/>
      </w:tabs>
      <w:spacing w:after="0" w:line="240" w:lineRule="auto"/>
    </w:pPr>
    <w:rPr>
      <w:rFonts w:ascii="Times New Roman" w:hAnsi="Times New Roman"/>
      <w:sz w:val="20"/>
      <w:szCs w:val="20"/>
    </w:rPr>
  </w:style>
  <w:style w:type="character" w:customStyle="1" w:styleId="af3">
    <w:name w:val="Нижний колонтитул Знак"/>
    <w:link w:val="af2"/>
    <w:uiPriority w:val="99"/>
    <w:rsid w:val="00335844"/>
    <w:rPr>
      <w:rFonts w:ascii="Times New Roman" w:eastAsia="Times New Roman" w:hAnsi="Times New Roman" w:cs="Times New Roman"/>
      <w:sz w:val="20"/>
      <w:szCs w:val="20"/>
    </w:rPr>
  </w:style>
  <w:style w:type="table" w:styleId="af4">
    <w:name w:val="Table Grid"/>
    <w:basedOn w:val="a1"/>
    <w:uiPriority w:val="59"/>
    <w:rsid w:val="003358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Без интервала2"/>
    <w:rsid w:val="00335844"/>
    <w:pPr>
      <w:ind w:firstLine="709"/>
      <w:jc w:val="both"/>
    </w:pPr>
    <w:rPr>
      <w:rFonts w:ascii="Times New Roman" w:eastAsia="Times New Roman" w:hAnsi="Times New Roman"/>
      <w:sz w:val="24"/>
      <w:szCs w:val="24"/>
    </w:rPr>
  </w:style>
  <w:style w:type="paragraph" w:styleId="af5">
    <w:name w:val="header"/>
    <w:basedOn w:val="a"/>
    <w:link w:val="af6"/>
    <w:uiPriority w:val="99"/>
    <w:semiHidden/>
    <w:rsid w:val="00335844"/>
    <w:pPr>
      <w:tabs>
        <w:tab w:val="center" w:pos="4677"/>
        <w:tab w:val="right" w:pos="9355"/>
      </w:tabs>
      <w:spacing w:after="0" w:line="240" w:lineRule="auto"/>
    </w:pPr>
    <w:rPr>
      <w:sz w:val="20"/>
      <w:szCs w:val="20"/>
    </w:rPr>
  </w:style>
  <w:style w:type="character" w:customStyle="1" w:styleId="af6">
    <w:name w:val="Верхний колонтитул Знак"/>
    <w:link w:val="af5"/>
    <w:uiPriority w:val="99"/>
    <w:semiHidden/>
    <w:rsid w:val="00335844"/>
    <w:rPr>
      <w:rFonts w:ascii="Calibri" w:eastAsia="Times New Roman" w:hAnsi="Calibri" w:cs="Times New Roman"/>
    </w:rPr>
  </w:style>
  <w:style w:type="character" w:styleId="af7">
    <w:name w:val="page number"/>
    <w:uiPriority w:val="99"/>
    <w:rsid w:val="00335844"/>
    <w:rPr>
      <w:rFonts w:cs="Times New Roman"/>
    </w:rPr>
  </w:style>
  <w:style w:type="paragraph" w:styleId="af8">
    <w:name w:val="Body Text Indent"/>
    <w:basedOn w:val="a"/>
    <w:link w:val="af9"/>
    <w:uiPriority w:val="99"/>
    <w:unhideWhenUsed/>
    <w:rsid w:val="00335844"/>
    <w:pPr>
      <w:spacing w:after="120"/>
      <w:ind w:left="283"/>
    </w:pPr>
    <w:rPr>
      <w:rFonts w:eastAsia="Calibri"/>
      <w:sz w:val="20"/>
      <w:szCs w:val="20"/>
    </w:rPr>
  </w:style>
  <w:style w:type="character" w:customStyle="1" w:styleId="af9">
    <w:name w:val="Основной текст с отступом Знак"/>
    <w:link w:val="af8"/>
    <w:uiPriority w:val="99"/>
    <w:rsid w:val="00335844"/>
    <w:rPr>
      <w:rFonts w:ascii="Calibri" w:eastAsia="Calibri" w:hAnsi="Calibri" w:cs="Times New Roman"/>
    </w:rPr>
  </w:style>
  <w:style w:type="character" w:customStyle="1" w:styleId="34">
    <w:name w:val="Основной текст (3)_"/>
    <w:link w:val="35"/>
    <w:rsid w:val="00335844"/>
    <w:rPr>
      <w:b/>
      <w:bCs/>
      <w:sz w:val="27"/>
      <w:szCs w:val="27"/>
      <w:shd w:val="clear" w:color="auto" w:fill="FFFFFF"/>
    </w:rPr>
  </w:style>
  <w:style w:type="paragraph" w:customStyle="1" w:styleId="35">
    <w:name w:val="Основной текст (3)"/>
    <w:basedOn w:val="a"/>
    <w:link w:val="34"/>
    <w:rsid w:val="00335844"/>
    <w:pPr>
      <w:widowControl w:val="0"/>
      <w:shd w:val="clear" w:color="auto" w:fill="FFFFFF"/>
      <w:spacing w:after="0" w:line="322" w:lineRule="exact"/>
      <w:ind w:firstLine="580"/>
      <w:jc w:val="both"/>
    </w:pPr>
    <w:rPr>
      <w:rFonts w:eastAsia="Calibri"/>
      <w:b/>
      <w:bCs/>
      <w:sz w:val="27"/>
      <w:szCs w:val="27"/>
    </w:rPr>
  </w:style>
  <w:style w:type="character" w:customStyle="1" w:styleId="afa">
    <w:name w:val="Подпись к таблице_"/>
    <w:link w:val="afb"/>
    <w:rsid w:val="00335844"/>
    <w:rPr>
      <w:b/>
      <w:bCs/>
      <w:sz w:val="27"/>
      <w:szCs w:val="27"/>
      <w:shd w:val="clear" w:color="auto" w:fill="FFFFFF"/>
    </w:rPr>
  </w:style>
  <w:style w:type="paragraph" w:customStyle="1" w:styleId="afb">
    <w:name w:val="Подпись к таблице"/>
    <w:basedOn w:val="a"/>
    <w:link w:val="afa"/>
    <w:rsid w:val="00335844"/>
    <w:pPr>
      <w:widowControl w:val="0"/>
      <w:shd w:val="clear" w:color="auto" w:fill="FFFFFF"/>
      <w:spacing w:after="0" w:line="240" w:lineRule="atLeast"/>
    </w:pPr>
    <w:rPr>
      <w:rFonts w:eastAsia="Calibri"/>
      <w:b/>
      <w:bCs/>
      <w:sz w:val="27"/>
      <w:szCs w:val="27"/>
    </w:rPr>
  </w:style>
  <w:style w:type="paragraph" w:styleId="afc">
    <w:name w:val="Block Text"/>
    <w:basedOn w:val="a"/>
    <w:rsid w:val="00335844"/>
    <w:pPr>
      <w:widowControl w:val="0"/>
      <w:suppressAutoHyphens/>
      <w:snapToGrid w:val="0"/>
      <w:spacing w:after="0" w:line="240" w:lineRule="auto"/>
      <w:ind w:left="-32" w:right="-92"/>
      <w:jc w:val="center"/>
    </w:pPr>
    <w:rPr>
      <w:rFonts w:ascii="Times New Roman" w:hAnsi="Times New Roman"/>
      <w:b/>
      <w:sz w:val="20"/>
      <w:szCs w:val="20"/>
    </w:rPr>
  </w:style>
  <w:style w:type="table" w:customStyle="1" w:styleId="15">
    <w:name w:val="Сетка таблицы1"/>
    <w:basedOn w:val="a1"/>
    <w:next w:val="af4"/>
    <w:uiPriority w:val="59"/>
    <w:rsid w:val="003358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next w:val="af4"/>
    <w:uiPriority w:val="59"/>
    <w:rsid w:val="003358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next w:val="af4"/>
    <w:uiPriority w:val="59"/>
    <w:rsid w:val="003358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6">
    <w:name w:val="Обычный (веб) Знак2"/>
    <w:aliases w:val="Обычный (веб)1 Знак,Обычный (веб) Знак Знак2,Обычный (веб) Знак1 Знак,Обычный (веб) Знак Знак Знак1,Знак Знак3 Знак,Знак4 Знак1,Знак4 Знак Знак Знак,Знак4 Знак Знак1,Обычный (Web)1 Знак,Обычный (веб) Знак Знак1 Знак"/>
    <w:locked/>
    <w:rsid w:val="003F67B2"/>
    <w:rPr>
      <w:rFonts w:ascii="Times New Roman" w:eastAsia="Times New Roman" w:hAnsi="Times New Roman" w:cs="Times New Roman"/>
      <w:sz w:val="24"/>
      <w:szCs w:val="24"/>
    </w:rPr>
  </w:style>
  <w:style w:type="paragraph" w:customStyle="1" w:styleId="37">
    <w:name w:val="Без интервала3"/>
    <w:rsid w:val="00F83CB3"/>
    <w:rPr>
      <w:rFonts w:eastAsia="Times New Roman"/>
      <w:sz w:val="22"/>
      <w:szCs w:val="22"/>
    </w:rPr>
  </w:style>
  <w:style w:type="character" w:customStyle="1" w:styleId="FontStyle32">
    <w:name w:val="Font Style32"/>
    <w:rsid w:val="00A82107"/>
    <w:rPr>
      <w:rFonts w:ascii="Times New Roman" w:hAnsi="Times New Roman" w:cs="Times New Roman"/>
      <w:sz w:val="22"/>
      <w:szCs w:val="22"/>
    </w:rPr>
  </w:style>
  <w:style w:type="paragraph" w:styleId="afd">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fe"/>
    <w:uiPriority w:val="99"/>
    <w:unhideWhenUsed/>
    <w:rsid w:val="002610C6"/>
    <w:pPr>
      <w:spacing w:after="0" w:line="240" w:lineRule="auto"/>
    </w:pPr>
    <w:rPr>
      <w:sz w:val="20"/>
      <w:szCs w:val="20"/>
    </w:rPr>
  </w:style>
  <w:style w:type="character" w:customStyle="1" w:styleId="afe">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link w:val="afd"/>
    <w:uiPriority w:val="99"/>
    <w:rsid w:val="002610C6"/>
    <w:rPr>
      <w:rFonts w:ascii="Calibri" w:eastAsia="Times New Roman" w:hAnsi="Calibri" w:cs="Times New Roman"/>
      <w:sz w:val="20"/>
      <w:szCs w:val="20"/>
      <w:lang w:eastAsia="ru-RU"/>
    </w:rPr>
  </w:style>
  <w:style w:type="character" w:styleId="aff">
    <w:name w:val="footnote reference"/>
    <w:aliases w:val="Знак сноски 1,Знак сноски-FN"/>
    <w:uiPriority w:val="99"/>
    <w:unhideWhenUsed/>
    <w:rsid w:val="002610C6"/>
    <w:rPr>
      <w:vertAlign w:val="superscript"/>
    </w:rPr>
  </w:style>
  <w:style w:type="paragraph" w:customStyle="1" w:styleId="ConsPlusNormal">
    <w:name w:val="ConsPlusNormal"/>
    <w:rsid w:val="003F5257"/>
    <w:pPr>
      <w:widowControl w:val="0"/>
      <w:autoSpaceDE w:val="0"/>
      <w:autoSpaceDN w:val="0"/>
      <w:adjustRightInd w:val="0"/>
      <w:ind w:firstLine="720"/>
    </w:pPr>
    <w:rPr>
      <w:rFonts w:ascii="Arial" w:eastAsia="Times New Roman" w:hAnsi="Arial" w:cs="Arial"/>
    </w:rPr>
  </w:style>
  <w:style w:type="character" w:customStyle="1" w:styleId="syntaxerr">
    <w:name w:val="syntax_err"/>
    <w:basedOn w:val="a0"/>
    <w:rsid w:val="003F5257"/>
  </w:style>
  <w:style w:type="character" w:customStyle="1" w:styleId="apple-converted-space">
    <w:name w:val="apple-converted-space"/>
    <w:basedOn w:val="a0"/>
    <w:rsid w:val="003F5257"/>
  </w:style>
  <w:style w:type="paragraph" w:customStyle="1" w:styleId="aff0">
    <w:name w:val="Татьяна"/>
    <w:basedOn w:val="ad"/>
    <w:uiPriority w:val="99"/>
    <w:rsid w:val="00CE326F"/>
    <w:pPr>
      <w:spacing w:after="0"/>
      <w:ind w:firstLine="720"/>
      <w:jc w:val="both"/>
    </w:pPr>
    <w:rPr>
      <w:rFonts w:ascii="Times New Roman" w:eastAsia="Times New Roman" w:hAnsi="Times New Roman"/>
      <w:sz w:val="28"/>
    </w:rPr>
  </w:style>
  <w:style w:type="paragraph" w:customStyle="1" w:styleId="justifyfull">
    <w:name w:val="justifyfull"/>
    <w:basedOn w:val="a"/>
    <w:rsid w:val="00CE326F"/>
    <w:pPr>
      <w:spacing w:before="100" w:beforeAutospacing="1" w:after="100" w:afterAutospacing="1" w:line="240" w:lineRule="auto"/>
    </w:pPr>
    <w:rPr>
      <w:rFonts w:ascii="Times New Roman" w:hAnsi="Times New Roman"/>
      <w:sz w:val="24"/>
      <w:szCs w:val="24"/>
    </w:rPr>
  </w:style>
  <w:style w:type="paragraph" w:styleId="aff1">
    <w:name w:val="endnote text"/>
    <w:basedOn w:val="a"/>
    <w:link w:val="aff2"/>
    <w:uiPriority w:val="99"/>
    <w:semiHidden/>
    <w:unhideWhenUsed/>
    <w:rsid w:val="00BB4B8A"/>
    <w:pPr>
      <w:spacing w:after="0" w:line="240" w:lineRule="auto"/>
    </w:pPr>
    <w:rPr>
      <w:sz w:val="20"/>
      <w:szCs w:val="20"/>
    </w:rPr>
  </w:style>
  <w:style w:type="character" w:customStyle="1" w:styleId="aff2">
    <w:name w:val="Текст концевой сноски Знак"/>
    <w:link w:val="aff1"/>
    <w:uiPriority w:val="99"/>
    <w:semiHidden/>
    <w:rsid w:val="00BB4B8A"/>
    <w:rPr>
      <w:rFonts w:ascii="Calibri" w:eastAsia="Times New Roman" w:hAnsi="Calibri" w:cs="Times New Roman"/>
      <w:sz w:val="20"/>
      <w:szCs w:val="20"/>
      <w:lang w:eastAsia="ru-RU"/>
    </w:rPr>
  </w:style>
  <w:style w:type="character" w:styleId="aff3">
    <w:name w:val="endnote reference"/>
    <w:uiPriority w:val="99"/>
    <w:semiHidden/>
    <w:unhideWhenUsed/>
    <w:rsid w:val="00BB4B8A"/>
    <w:rPr>
      <w:vertAlign w:val="superscript"/>
    </w:rPr>
  </w:style>
  <w:style w:type="character" w:customStyle="1" w:styleId="12">
    <w:name w:val="Без интервала1 Знак"/>
    <w:link w:val="11"/>
    <w:uiPriority w:val="99"/>
    <w:locked/>
    <w:rsid w:val="008E6A1A"/>
    <w:rPr>
      <w:rFonts w:eastAsia="Times New Roman"/>
      <w:sz w:val="22"/>
      <w:szCs w:val="22"/>
      <w:lang w:val="ru-RU" w:eastAsia="ru-RU" w:bidi="ar-SA"/>
    </w:rPr>
  </w:style>
  <w:style w:type="character" w:customStyle="1" w:styleId="FontStyle12">
    <w:name w:val="Font Style12"/>
    <w:uiPriority w:val="99"/>
    <w:rsid w:val="00E72984"/>
    <w:rPr>
      <w:rFonts w:ascii="Times New Roman" w:hAnsi="Times New Roman" w:cs="Times New Roman"/>
      <w:sz w:val="26"/>
      <w:szCs w:val="26"/>
    </w:rPr>
  </w:style>
  <w:style w:type="character" w:customStyle="1" w:styleId="ilfuvd">
    <w:name w:val="ilfuvd"/>
    <w:basedOn w:val="a0"/>
    <w:rsid w:val="007E324B"/>
  </w:style>
  <w:style w:type="character" w:customStyle="1" w:styleId="70">
    <w:name w:val="Заголовок 7 Знак"/>
    <w:link w:val="7"/>
    <w:uiPriority w:val="9"/>
    <w:semiHidden/>
    <w:rsid w:val="0097231B"/>
    <w:rPr>
      <w:rFonts w:ascii="Cambria" w:eastAsia="Times New Roman" w:hAnsi="Cambria" w:cs="Times New Roman"/>
      <w:i/>
      <w:iCs/>
      <w:color w:val="40404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04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chart" Target="charts/chart57.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61" Type="http://schemas.openxmlformats.org/officeDocument/2006/relationships/chart" Target="charts/chart50.xml"/><Relationship Id="rId10" Type="http://schemas.openxmlformats.org/officeDocument/2006/relationships/chart" Target="charts/chart1.xml"/><Relationship Id="rId19" Type="http://schemas.openxmlformats.org/officeDocument/2006/relationships/image" Target="media/image4.gif"/><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image" Target="media/image5.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8" Type="http://schemas.openxmlformats.org/officeDocument/2006/relationships/footer" Target="footer1.xml"/><Relationship Id="rId51" Type="http://schemas.openxmlformats.org/officeDocument/2006/relationships/chart" Target="charts/chart40.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10.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openxmlformats.org/officeDocument/2006/relationships/image" Target="../media/image1.jpeg"/><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openxmlformats.org/officeDocument/2006/relationships/image" Target="../media/image1.jpeg"/><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jpeg"/><Relationship Id="rId1" Type="http://schemas.openxmlformats.org/officeDocument/2006/relationships/image" Target="../media/image1.jpeg"/><Relationship Id="rId4"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23.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openxmlformats.org/officeDocument/2006/relationships/image" Target="../media/image1.jpeg"/><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28.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6.xlsx"/><Relationship Id="rId2" Type="http://schemas.openxmlformats.org/officeDocument/2006/relationships/image" Target="../media/image1.jpeg"/><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openxmlformats.org/officeDocument/2006/relationships/image" Target="../media/image1.jpeg"/><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openxmlformats.org/officeDocument/2006/relationships/image" Target="../media/image7.jpeg"/><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themeOverride" Target="../theme/themeOverride49.xml"/><Relationship Id="rId4"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jpeg"/><Relationship Id="rId1" Type="http://schemas.openxmlformats.org/officeDocument/2006/relationships/themeOverride" Target="../theme/themeOverride50.xml"/><Relationship Id="rId5" Type="http://schemas.openxmlformats.org/officeDocument/2006/relationships/package" Target="../embeddings/_____Microsoft_Excel53.xlsx"/><Relationship Id="rId4" Type="http://schemas.openxmlformats.org/officeDocument/2006/relationships/image" Target="../media/image10.jpeg"/></Relationships>
</file>

<file path=word/charts/_rels/chart5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jpeg"/><Relationship Id="rId1" Type="http://schemas.openxmlformats.org/officeDocument/2006/relationships/themeOverride" Target="../theme/themeOverride51.xml"/><Relationship Id="rId6" Type="http://schemas.openxmlformats.org/officeDocument/2006/relationships/package" Target="../embeddings/_____Microsoft_Excel54.xlsx"/><Relationship Id="rId5" Type="http://schemas.openxmlformats.org/officeDocument/2006/relationships/image" Target="../media/image11.jpeg"/><Relationship Id="rId4" Type="http://schemas.openxmlformats.org/officeDocument/2006/relationships/image" Target="../media/image10.jpeg"/></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themeOverride" Target="../theme/themeOverride53.xml"/><Relationship Id="rId6" Type="http://schemas.openxmlformats.org/officeDocument/2006/relationships/package" Target="../embeddings/_____Microsoft_Excel56.xlsx"/><Relationship Id="rId5" Type="http://schemas.openxmlformats.org/officeDocument/2006/relationships/image" Target="../media/image14.jpeg"/><Relationship Id="rId4" Type="http://schemas.openxmlformats.org/officeDocument/2006/relationships/image" Target="../media/image9.jpeg"/></Relationships>
</file>

<file path=word/charts/_rels/chart57.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themeOverride" Target="../theme/themeOverride54.xml"/><Relationship Id="rId6" Type="http://schemas.openxmlformats.org/officeDocument/2006/relationships/package" Target="../embeddings/_____Microsoft_Excel57.xlsx"/><Relationship Id="rId5" Type="http://schemas.openxmlformats.org/officeDocument/2006/relationships/image" Target="../media/image14.jpeg"/><Relationship Id="rId4" Type="http://schemas.openxmlformats.org/officeDocument/2006/relationships/image" Target="../media/image9.jpeg"/></Relationships>
</file>

<file path=word/charts/_rels/chart58.xml.rels><?xml version="1.0" encoding="UTF-8" standalone="yes"?>
<Relationships xmlns="http://schemas.openxmlformats.org/package/2006/relationships"><Relationship Id="rId3" Type="http://schemas.openxmlformats.org/officeDocument/2006/relationships/package" Target="../embeddings/_____Microsoft_Excel58.xlsx"/><Relationship Id="rId2" Type="http://schemas.openxmlformats.org/officeDocument/2006/relationships/image" Target="../media/image2.jpeg"/><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3" Type="http://schemas.openxmlformats.org/officeDocument/2006/relationships/package" Target="../embeddings/_____Microsoft_Excel59.xlsx"/><Relationship Id="rId2" Type="http://schemas.openxmlformats.org/officeDocument/2006/relationships/image" Target="../media/image2.jpeg"/><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Override" Target="../theme/themeOverride7.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Override" Target="../theme/themeOverride8.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531630721639176"/>
          <c:y val="0.15037668236675888"/>
          <c:w val="0.61289558890608764"/>
          <c:h val="0.43499658433107224"/>
        </c:manualLayout>
      </c:layout>
      <c:barChart>
        <c:barDir val="col"/>
        <c:grouping val="clustered"/>
        <c:varyColors val="0"/>
        <c:ser>
          <c:idx val="0"/>
          <c:order val="0"/>
          <c:tx>
            <c:strRef>
              <c:f>Лист1!$B$1</c:f>
              <c:strCache>
                <c:ptCount val="1"/>
                <c:pt idx="0">
                  <c:v>Валовой внутренний продукт (в текущих ценах), млн  руб. </c:v>
                </c:pt>
              </c:strCache>
            </c:strRef>
          </c:tx>
          <c:invertIfNegative val="0"/>
          <c:dPt>
            <c:idx val="0"/>
            <c:invertIfNegative val="0"/>
            <c:bubble3D val="0"/>
            <c:spPr>
              <a:solidFill>
                <a:schemeClr val="tx1">
                  <a:lumMod val="65000"/>
                  <a:lumOff val="35000"/>
                </a:schemeClr>
              </a:solidFill>
              <a:ln>
                <a:solidFill>
                  <a:sysClr val="windowText" lastClr="000000"/>
                </a:solidFill>
              </a:ln>
            </c:spPr>
          </c:dPt>
          <c:dPt>
            <c:idx val="1"/>
            <c:invertIfNegative val="0"/>
            <c:bubble3D val="0"/>
            <c:spPr>
              <a:solidFill>
                <a:schemeClr val="bg1">
                  <a:lumMod val="85000"/>
                </a:schemeClr>
              </a:solidFill>
              <a:ln>
                <a:solidFill>
                  <a:sysClr val="windowText" lastClr="000000"/>
                </a:solidFill>
              </a:ln>
            </c:spPr>
          </c:dPt>
          <c:dLbls>
            <c:dLbl>
              <c:idx val="0"/>
              <c:layout>
                <c:manualLayout>
                  <c:x val="-7.2233999596205325E-3"/>
                  <c:y val="4.0878510875795833E-3"/>
                </c:manualLayout>
              </c:layout>
              <c:tx>
                <c:rich>
                  <a:bodyPr/>
                  <a:lstStyle/>
                  <a:p>
                    <a:pPr>
                      <a:defRPr/>
                    </a:pPr>
                    <a:r>
                      <a:rPr lang="en-US" sz="800" b="1">
                        <a:latin typeface="Times New Roman" pitchFamily="18" charset="0"/>
                        <a:cs typeface="Times New Roman" pitchFamily="18" charset="0"/>
                      </a:rPr>
                      <a:t>-2,5%*</a:t>
                    </a:r>
                  </a:p>
                </c:rich>
              </c:tx>
              <c:spPr>
                <a:noFill/>
                <a:ln w="25398">
                  <a:noFill/>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1.2884753042233554E-2"/>
                  <c:y val="6.0955668212706433E-2"/>
                </c:manualLayout>
              </c:layout>
              <c:tx>
                <c:rich>
                  <a:bodyPr/>
                  <a:lstStyle/>
                  <a:p>
                    <a:pPr>
                      <a:defRPr/>
                    </a:pPr>
                    <a:r>
                      <a:rPr lang="en-US" sz="800" b="1">
                        <a:latin typeface="Times New Roman" pitchFamily="18" charset="0"/>
                        <a:cs typeface="Times New Roman" pitchFamily="18" charset="0"/>
                      </a:rPr>
                      <a:t>+3,6%*</a:t>
                    </a:r>
                  </a:p>
                  <a:p>
                    <a:pPr>
                      <a:defRPr/>
                    </a:pPr>
                    <a:endParaRPr lang="en-US" sz="800" b="1">
                      <a:latin typeface="Times New Roman" pitchFamily="18" charset="0"/>
                      <a:cs typeface="Times New Roman" pitchFamily="18" charset="0"/>
                    </a:endParaRPr>
                  </a:p>
                </c:rich>
              </c:tx>
              <c:spPr>
                <a:noFill/>
                <a:ln w="25398">
                  <a:noFill/>
                </a:ln>
              </c:spPr>
              <c:dLblPos val="outEnd"/>
              <c:showLegendKey val="0"/>
              <c:showVal val="0"/>
              <c:showCatName val="0"/>
              <c:showSerName val="0"/>
              <c:showPercent val="0"/>
              <c:showBubbleSize val="0"/>
              <c:extLst>
                <c:ext xmlns:c15="http://schemas.microsoft.com/office/drawing/2012/chart" uri="{CE6537A1-D6FC-4f65-9D91-7224C49458BB}">
                  <c15:layout/>
                </c:ext>
              </c:extLst>
            </c:dLbl>
            <c:spPr>
              <a:noFill/>
              <a:ln w="2539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 - декабрь 2018 года</c:v>
                </c:pt>
              </c:strCache>
            </c:strRef>
          </c:cat>
          <c:val>
            <c:numRef>
              <c:f>Лист1!$B$2:$B$3</c:f>
              <c:numCache>
                <c:formatCode>#,##0.0</c:formatCode>
                <c:ptCount val="2"/>
                <c:pt idx="0">
                  <c:v>12262.4</c:v>
                </c:pt>
                <c:pt idx="1">
                  <c:v>13800.1</c:v>
                </c:pt>
              </c:numCache>
            </c:numRef>
          </c:val>
        </c:ser>
        <c:dLbls>
          <c:showLegendKey val="0"/>
          <c:showVal val="1"/>
          <c:showCatName val="0"/>
          <c:showSerName val="0"/>
          <c:showPercent val="0"/>
          <c:showBubbleSize val="0"/>
        </c:dLbls>
        <c:gapWidth val="150"/>
        <c:axId val="314474744"/>
        <c:axId val="320543800"/>
      </c:barChart>
      <c:catAx>
        <c:axId val="314474744"/>
        <c:scaling>
          <c:orientation val="minMax"/>
        </c:scaling>
        <c:delete val="1"/>
        <c:axPos val="b"/>
        <c:numFmt formatCode="General" sourceLinked="0"/>
        <c:majorTickMark val="out"/>
        <c:minorTickMark val="none"/>
        <c:tickLblPos val="nextTo"/>
        <c:crossAx val="320543800"/>
        <c:crosses val="autoZero"/>
        <c:auto val="1"/>
        <c:lblAlgn val="ctr"/>
        <c:lblOffset val="100"/>
        <c:noMultiLvlLbl val="0"/>
      </c:catAx>
      <c:valAx>
        <c:axId val="320543800"/>
        <c:scaling>
          <c:orientation val="minMax"/>
        </c:scaling>
        <c:delete val="0"/>
        <c:axPos val="l"/>
        <c:title>
          <c:tx>
            <c:rich>
              <a:bodyPr rot="0" vert="horz"/>
              <a:lstStyle/>
              <a:p>
                <a:pPr algn="ctr">
                  <a:defRPr sz="1000" b="1" i="0" u="none" strike="noStrike" baseline="0">
                    <a:solidFill>
                      <a:srgbClr val="000000"/>
                    </a:solidFill>
                    <a:latin typeface="Times New Roman"/>
                    <a:ea typeface="Times New Roman"/>
                    <a:cs typeface="Times New Roman"/>
                  </a:defRPr>
                </a:pPr>
                <a:r>
                  <a:rPr lang="ru-RU"/>
                  <a:t>*- реальный ВВП, % (прирост, падение +,-)</a:t>
                </a:r>
              </a:p>
            </c:rich>
          </c:tx>
          <c:layout>
            <c:manualLayout>
              <c:xMode val="edge"/>
              <c:yMode val="edge"/>
              <c:x val="2.3489792942548847E-2"/>
              <c:y val="0.12593313270396278"/>
            </c:manualLayout>
          </c:layout>
          <c:overlay val="0"/>
        </c:title>
        <c:numFmt formatCode="#,##0.0"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314474744"/>
        <c:crosses val="autoZero"/>
        <c:crossBetween val="between"/>
      </c:valAx>
      <c:dTable>
        <c:showHorzBorder val="1"/>
        <c:showVertBorder val="1"/>
        <c:showOutline val="1"/>
        <c:showKeys val="0"/>
        <c:txPr>
          <a:bodyPr/>
          <a:lstStyle/>
          <a:p>
            <a:pPr rtl="0">
              <a:defRPr b="1">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a:t>2017 год</a:t>
            </a:r>
          </a:p>
        </c:rich>
      </c:tx>
      <c:layout>
        <c:manualLayout>
          <c:xMode val="edge"/>
          <c:yMode val="edge"/>
          <c:x val="0.49412414193418497"/>
          <c:y val="3.4904013961605591E-2"/>
        </c:manualLayout>
      </c:layout>
      <c:overlay val="0"/>
      <c:spPr>
        <a:noFill/>
        <a:ln w="25297">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628205128205129"/>
          <c:y val="0.31763545918016795"/>
          <c:w val="0.66209872804361658"/>
          <c:h val="0.48765923238652759"/>
        </c:manualLayout>
      </c:layout>
      <c:pie3DChart>
        <c:varyColors val="1"/>
        <c:ser>
          <c:idx val="0"/>
          <c:order val="0"/>
          <c:tx>
            <c:strRef>
              <c:f>Sheet1!$A$2</c:f>
              <c:strCache>
                <c:ptCount val="1"/>
                <c:pt idx="0">
                  <c:v>Восток</c:v>
                </c:pt>
              </c:strCache>
            </c:strRef>
          </c:tx>
          <c:spPr>
            <a:pattFill prst="wdUpDiag">
              <a:fgClr>
                <a:srgbClr val="00FFFF"/>
              </a:fgClr>
              <a:bgClr>
                <a:srgbClr val="FFFFFF"/>
              </a:bgClr>
            </a:pattFill>
            <a:ln w="12649">
              <a:solidFill>
                <a:srgbClr val="000000"/>
              </a:solidFill>
              <a:prstDash val="solid"/>
            </a:ln>
          </c:spPr>
          <c:explosion val="16"/>
          <c:dPt>
            <c:idx val="0"/>
            <c:bubble3D val="0"/>
            <c:explosion val="26"/>
          </c:dPt>
          <c:dPt>
            <c:idx val="1"/>
            <c:bubble3D val="0"/>
            <c:spPr>
              <a:blipFill dpi="0" rotWithShape="0">
                <a:blip xmlns:r="http://schemas.openxmlformats.org/officeDocument/2006/relationships" r:embed="rId2"/>
                <a:srcRect/>
                <a:tile tx="0" ty="0" sx="100000" sy="100000" flip="none" algn="tl"/>
              </a:blipFill>
              <a:ln w="12649">
                <a:solidFill>
                  <a:srgbClr val="000000"/>
                </a:solidFill>
                <a:prstDash val="solid"/>
              </a:ln>
            </c:spPr>
          </c:dPt>
          <c:dPt>
            <c:idx val="2"/>
            <c:bubble3D val="0"/>
            <c:explosion val="0"/>
            <c:spPr>
              <a:solidFill>
                <a:srgbClr val="800000"/>
              </a:solidFill>
              <a:ln w="12649">
                <a:solidFill>
                  <a:srgbClr val="000000"/>
                </a:solidFill>
                <a:prstDash val="solid"/>
              </a:ln>
            </c:spPr>
          </c:dPt>
          <c:dPt>
            <c:idx val="3"/>
            <c:bubble3D val="0"/>
            <c:spPr>
              <a:pattFill prst="dkDnDiag">
                <a:fgClr>
                  <a:srgbClr val="993366"/>
                </a:fgClr>
                <a:bgClr>
                  <a:srgbClr val="FFFFFF"/>
                </a:bgClr>
              </a:pattFill>
              <a:ln w="12649">
                <a:solidFill>
                  <a:srgbClr val="000000"/>
                </a:solidFill>
                <a:prstDash val="solid"/>
              </a:ln>
            </c:spPr>
          </c:dPt>
          <c:dLbls>
            <c:dLbl>
              <c:idx val="0"/>
              <c:layout>
                <c:manualLayout>
                  <c:x val="3.2051282051282055E-2"/>
                  <c:y val="0.13091272622335817"/>
                </c:manualLayout>
              </c:layout>
              <c:tx>
                <c:rich>
                  <a:bodyPr/>
                  <a:lstStyle/>
                  <a:p>
                    <a:r>
                      <a:rPr lang="en-US" sz="899"/>
                      <a:t>54,5%</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7.927739501312342E-2"/>
                  <c:y val="0.14015674716638091"/>
                </c:manualLayout>
              </c:layout>
              <c:tx>
                <c:rich>
                  <a:bodyPr/>
                  <a:lstStyle/>
                  <a:p>
                    <a:r>
                      <a:rPr lang="en-US"/>
                      <a:t>35,5%</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1260694276196347"/>
                  <c:y val="-9.3314644569952768E-2"/>
                </c:manualLayout>
              </c:layout>
              <c:tx>
                <c:rich>
                  <a:bodyPr/>
                  <a:lstStyle/>
                  <a:p>
                    <a:r>
                      <a:rPr lang="en-US" sz="899"/>
                      <a:t>10,0%</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spPr>
              <a:noFill/>
              <a:ln w="25297">
                <a:noFill/>
              </a:ln>
            </c:spPr>
            <c:txPr>
              <a:bodyPr/>
              <a:lstStyle/>
              <a:p>
                <a:pPr>
                  <a:defRPr sz="8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3"/>
                <c:pt idx="0">
                  <c:v>Сельскохозяйственные организацииние государства</c:v>
                </c:pt>
                <c:pt idx="1">
                  <c:v>Хозяйства населения</c:v>
                </c:pt>
                <c:pt idx="2">
                  <c:v>Крестьянские (фермерские) хозяйства и арендаторы</c:v>
                </c:pt>
              </c:strCache>
            </c:strRef>
          </c:cat>
          <c:val>
            <c:numRef>
              <c:f>Sheet1!$B$2:$E$2</c:f>
              <c:numCache>
                <c:formatCode>0.0%</c:formatCode>
                <c:ptCount val="4"/>
                <c:pt idx="0">
                  <c:v>0.54500000000000004</c:v>
                </c:pt>
                <c:pt idx="1">
                  <c:v>0.35500000000000032</c:v>
                </c:pt>
                <c:pt idx="2">
                  <c:v>0.1</c:v>
                </c:pt>
              </c:numCache>
            </c:numRef>
          </c:val>
        </c:ser>
        <c:dLbls>
          <c:showLegendKey val="0"/>
          <c:showVal val="0"/>
          <c:showCatName val="0"/>
          <c:showSerName val="0"/>
          <c:showPercent val="0"/>
          <c:showBubbleSize val="0"/>
          <c:showLeaderLines val="1"/>
        </c:dLbls>
      </c:pie3DChart>
      <c:spPr>
        <a:solidFill>
          <a:srgbClr val="FFFFFF"/>
        </a:solidFill>
        <a:ln w="12649">
          <a:solidFill>
            <a:srgbClr val="FFFFFF"/>
          </a:solidFill>
          <a:prstDash val="solid"/>
        </a:ln>
      </c:spPr>
    </c:plotArea>
    <c:plotVisOnly val="1"/>
    <c:dispBlanksAs val="zero"/>
    <c:showDLblsOverMax val="0"/>
  </c:chart>
  <c:spPr>
    <a:noFill/>
    <a:ln>
      <a:noFill/>
    </a:ln>
  </c:spPr>
  <c:txPr>
    <a:bodyPr/>
    <a:lstStyle/>
    <a:p>
      <a:pPr>
        <a:defRPr sz="794" b="1"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a:t>2018 год</a:t>
            </a:r>
          </a:p>
        </c:rich>
      </c:tx>
      <c:layout>
        <c:manualLayout>
          <c:xMode val="edge"/>
          <c:yMode val="edge"/>
          <c:x val="0.54075165855524365"/>
          <c:y val="3.407401299968401E-2"/>
        </c:manualLayout>
      </c:layout>
      <c:overlay val="0"/>
      <c:spPr>
        <a:noFill/>
        <a:ln w="2531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2694410372070344"/>
          <c:y val="0.32571422682112378"/>
          <c:w val="0.81777885490444935"/>
          <c:h val="0.46422407277624589"/>
        </c:manualLayout>
      </c:layout>
      <c:pie3DChart>
        <c:varyColors val="1"/>
        <c:ser>
          <c:idx val="0"/>
          <c:order val="0"/>
          <c:tx>
            <c:strRef>
              <c:f>Sheet1!$A$2</c:f>
              <c:strCache>
                <c:ptCount val="1"/>
                <c:pt idx="0">
                  <c:v>Восток</c:v>
                </c:pt>
              </c:strCache>
            </c:strRef>
          </c:tx>
          <c:spPr>
            <a:solidFill>
              <a:srgbClr val="9999FF"/>
            </a:solidFill>
            <a:ln w="12657">
              <a:solidFill>
                <a:srgbClr val="000000"/>
              </a:solidFill>
              <a:prstDash val="solid"/>
            </a:ln>
          </c:spPr>
          <c:explosion val="20"/>
          <c:dPt>
            <c:idx val="0"/>
            <c:bubble3D val="0"/>
            <c:spPr>
              <a:pattFill prst="wdUpDiag">
                <a:fgClr>
                  <a:srgbClr val="00FFFF"/>
                </a:fgClr>
                <a:bgClr>
                  <a:srgbClr val="FFFFFF"/>
                </a:bgClr>
              </a:pattFill>
              <a:ln w="12657">
                <a:solidFill>
                  <a:srgbClr val="000000"/>
                </a:solidFill>
                <a:prstDash val="solid"/>
              </a:ln>
            </c:spPr>
          </c:dPt>
          <c:dPt>
            <c:idx val="1"/>
            <c:bubble3D val="0"/>
            <c:spPr>
              <a:blipFill dpi="0" rotWithShape="0">
                <a:blip xmlns:r="http://schemas.openxmlformats.org/officeDocument/2006/relationships" r:embed="rId2"/>
                <a:srcRect/>
                <a:tile tx="0" ty="0" sx="100000" sy="100000" flip="none" algn="tl"/>
              </a:blipFill>
              <a:ln w="12657">
                <a:solidFill>
                  <a:srgbClr val="000000"/>
                </a:solidFill>
                <a:prstDash val="solid"/>
              </a:ln>
            </c:spPr>
          </c:dPt>
          <c:dPt>
            <c:idx val="2"/>
            <c:bubble3D val="0"/>
            <c:spPr>
              <a:solidFill>
                <a:srgbClr val="800000"/>
              </a:solidFill>
              <a:ln w="12657">
                <a:solidFill>
                  <a:srgbClr val="000000"/>
                </a:solidFill>
                <a:prstDash val="solid"/>
              </a:ln>
            </c:spPr>
          </c:dPt>
          <c:dLbls>
            <c:dLbl>
              <c:idx val="0"/>
              <c:layout>
                <c:manualLayout>
                  <c:x val="6.4195650166847112E-3"/>
                  <c:y val="0.17438059116955917"/>
                </c:manualLayout>
              </c:layout>
              <c:tx>
                <c:rich>
                  <a:bodyPr/>
                  <a:lstStyle/>
                  <a:p>
                    <a:pPr>
                      <a:defRPr sz="900"/>
                    </a:pPr>
                    <a:r>
                      <a:rPr lang="en-US"/>
                      <a:t>54,0%</a:t>
                    </a:r>
                  </a:p>
                </c:rich>
              </c:tx>
              <c:sp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320091269999014E-2"/>
                  <c:y val="0.13836624479532358"/>
                </c:manualLayout>
              </c:layout>
              <c:tx>
                <c:rich>
                  <a:bodyPr/>
                  <a:lstStyle/>
                  <a:p>
                    <a:pPr>
                      <a:defRPr sz="900"/>
                    </a:pPr>
                    <a:r>
                      <a:rPr lang="en-US"/>
                      <a:t>34,4%</a:t>
                    </a:r>
                  </a:p>
                </c:rich>
              </c:tx>
              <c:sp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441934079848059"/>
                  <c:y val="-7.0306165917742122E-2"/>
                </c:manualLayout>
              </c:layout>
              <c:tx>
                <c:rich>
                  <a:bodyPr/>
                  <a:lstStyle/>
                  <a:p>
                    <a:pPr>
                      <a:defRPr sz="900"/>
                    </a:pPr>
                    <a:r>
                      <a:rPr lang="en-US"/>
                      <a:t>11,6%</a:t>
                    </a:r>
                  </a:p>
                </c:rich>
              </c:tx>
              <c:sp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Сельскохозяйственные организации</c:v>
                </c:pt>
                <c:pt idx="1">
                  <c:v>Хозяйства населения</c:v>
                </c:pt>
                <c:pt idx="2">
                  <c:v>Крестьянские (фермерские) хозяйства</c:v>
                </c:pt>
              </c:strCache>
            </c:strRef>
          </c:cat>
          <c:val>
            <c:numRef>
              <c:f>Sheet1!$B$2:$D$2</c:f>
              <c:numCache>
                <c:formatCode>0.0%</c:formatCode>
                <c:ptCount val="3"/>
                <c:pt idx="0">
                  <c:v>0.54</c:v>
                </c:pt>
                <c:pt idx="1">
                  <c:v>0.34400000000000008</c:v>
                </c:pt>
                <c:pt idx="2">
                  <c:v>0.11600000000000002</c:v>
                </c:pt>
              </c:numCache>
            </c:numRef>
          </c:val>
        </c:ser>
        <c:dLbls>
          <c:showLegendKey val="0"/>
          <c:showVal val="0"/>
          <c:showCatName val="0"/>
          <c:showSerName val="0"/>
          <c:showPercent val="0"/>
          <c:showBubbleSize val="0"/>
          <c:showLeaderLines val="1"/>
        </c:dLbls>
      </c:pie3DChart>
      <c:spPr>
        <a:solidFill>
          <a:srgbClr val="FFFFFF"/>
        </a:solidFill>
        <a:ln w="12657">
          <a:solidFill>
            <a:srgbClr val="FFFFFF"/>
          </a:solidFill>
          <a:prstDash val="solid"/>
        </a:ln>
      </c:spPr>
    </c:plotArea>
    <c:plotVisOnly val="1"/>
    <c:dispBlanksAs val="zero"/>
    <c:showDLblsOverMax val="0"/>
  </c:chart>
  <c:spPr>
    <a:noFill/>
    <a:ln>
      <a:noFill/>
    </a:ln>
  </c:spPr>
  <c:txPr>
    <a:bodyPr/>
    <a:lstStyle/>
    <a:p>
      <a:pPr>
        <a:defRPr sz="870" b="1"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50">
                <a:latin typeface="Times New Roman" pitchFamily="18" charset="0"/>
                <a:cs typeface="Times New Roman" pitchFamily="18" charset="0"/>
              </a:defRPr>
            </a:pPr>
            <a:r>
              <a:rPr lang="ru-RU" sz="1150">
                <a:latin typeface="Times New Roman" pitchFamily="18" charset="0"/>
                <a:cs typeface="Times New Roman" pitchFamily="18" charset="0"/>
              </a:rPr>
              <a:t>Структура поголовья основных видов скота и птицы по всем категориям хозяйств (по состоянию на 1 января 2019 года)*, % </a:t>
            </a:r>
          </a:p>
        </c:rich>
      </c:tx>
      <c:layout>
        <c:manualLayout>
          <c:xMode val="edge"/>
          <c:yMode val="edge"/>
          <c:x val="0.17313685789276467"/>
          <c:y val="4.4937922085582114E-3"/>
        </c:manualLayout>
      </c:layout>
      <c:overlay val="0"/>
      <c:spPr>
        <a:noFill/>
      </c:spPr>
    </c:title>
    <c:autoTitleDeleted val="0"/>
    <c:plotArea>
      <c:layout>
        <c:manualLayout>
          <c:layoutTarget val="inner"/>
          <c:xMode val="edge"/>
          <c:yMode val="edge"/>
          <c:x val="0.17356163812856726"/>
          <c:y val="0.26871391076115475"/>
          <c:w val="0.78804599425071864"/>
          <c:h val="0.44464775236428777"/>
        </c:manualLayout>
      </c:layout>
      <c:barChart>
        <c:barDir val="col"/>
        <c:grouping val="percentStacked"/>
        <c:varyColors val="0"/>
        <c:ser>
          <c:idx val="0"/>
          <c:order val="0"/>
          <c:tx>
            <c:strRef>
              <c:f>Лист1!$B$1</c:f>
              <c:strCache>
                <c:ptCount val="1"/>
                <c:pt idx="0">
                  <c:v>Сельскохозяйственные организации</c:v>
                </c:pt>
              </c:strCache>
            </c:strRef>
          </c:tx>
          <c:spPr>
            <a:solidFill>
              <a:sysClr val="window" lastClr="FFFFFF">
                <a:lumMod val="50000"/>
              </a:sysClr>
            </a:solidFill>
            <a:ln>
              <a:solidFill>
                <a:sysClr val="windowText" lastClr="000000"/>
              </a:solidFill>
            </a:ln>
          </c:spPr>
          <c:invertIfNegative val="0"/>
          <c:dLbls>
            <c:dLbl>
              <c:idx val="0"/>
              <c:layout>
                <c:manualLayout>
                  <c:x val="5.5459734199892114E-4"/>
                  <c:y val="1.2734082397004433E-3"/>
                </c:manualLayout>
              </c:layout>
              <c:tx>
                <c:rich>
                  <a:bodyPr/>
                  <a:lstStyle/>
                  <a:p>
                    <a:r>
                      <a:rPr lang="en-US"/>
                      <a:t>43,0%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533563611152391E-3"/>
                  <c:y val="-1.0050410365370995E-2"/>
                </c:manualLayout>
              </c:layout>
              <c:tx>
                <c:rich>
                  <a:bodyPr/>
                  <a:lstStyle/>
                  <a:p>
                    <a:r>
                      <a:rPr lang="en-US"/>
                      <a:t>65,3%</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885678205318692E-3"/>
                  <c:y val="5.2285131025288833E-4"/>
                </c:manualLayout>
              </c:layout>
              <c:tx>
                <c:rich>
                  <a:bodyPr/>
                  <a:lstStyle/>
                  <a:p>
                    <a:r>
                      <a:rPr lang="en-US"/>
                      <a:t>45,9%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822958450948346E-3"/>
                  <c:y val="-5.5863850352041904E-3"/>
                </c:manualLayout>
              </c:layout>
              <c:tx>
                <c:rich>
                  <a:bodyPr/>
                  <a:lstStyle/>
                  <a:p>
                    <a:r>
                      <a:rPr lang="en-US"/>
                      <a:t>66,8%</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98"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КРС</c:v>
                </c:pt>
                <c:pt idx="1">
                  <c:v>Свиньи</c:v>
                </c:pt>
                <c:pt idx="2">
                  <c:v>Овцы и козы</c:v>
                </c:pt>
                <c:pt idx="3">
                  <c:v>Птица</c:v>
                </c:pt>
              </c:strCache>
            </c:strRef>
          </c:cat>
          <c:val>
            <c:numRef>
              <c:f>Лист1!$B$2:$B$5</c:f>
              <c:numCache>
                <c:formatCode>General</c:formatCode>
                <c:ptCount val="4"/>
                <c:pt idx="0" formatCode="0.0">
                  <c:v>43</c:v>
                </c:pt>
                <c:pt idx="1">
                  <c:v>65.3</c:v>
                </c:pt>
                <c:pt idx="2" formatCode="0.0">
                  <c:v>45.9</c:v>
                </c:pt>
                <c:pt idx="3">
                  <c:v>66.8</c:v>
                </c:pt>
              </c:numCache>
            </c:numRef>
          </c:val>
        </c:ser>
        <c:ser>
          <c:idx val="1"/>
          <c:order val="1"/>
          <c:tx>
            <c:strRef>
              <c:f>Лист1!$C$1</c:f>
              <c:strCache>
                <c:ptCount val="1"/>
                <c:pt idx="0">
                  <c:v>Хозяйства населения</c:v>
                </c:pt>
              </c:strCache>
            </c:strRef>
          </c:tx>
          <c:spPr>
            <a:solidFill>
              <a:sysClr val="window" lastClr="FFFFFF">
                <a:lumMod val="85000"/>
              </a:sysClr>
            </a:solidFill>
            <a:ln>
              <a:solidFill>
                <a:sysClr val="windowText" lastClr="000000"/>
              </a:solidFill>
            </a:ln>
          </c:spPr>
          <c:invertIfNegative val="0"/>
          <c:dLbls>
            <c:dLbl>
              <c:idx val="0"/>
              <c:layout>
                <c:manualLayout>
                  <c:x val="2.1042254741742189E-3"/>
                  <c:y val="-1.4756488772236804E-3"/>
                </c:manualLayout>
              </c:layout>
              <c:tx>
                <c:rich>
                  <a:bodyPr/>
                  <a:lstStyle/>
                  <a:p>
                    <a:r>
                      <a:rPr lang="en-US"/>
                      <a:t>57,0%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9022619224486589E-3"/>
                  <c:y val="3.3454151564388268E-3"/>
                </c:manualLayout>
              </c:layout>
              <c:tx>
                <c:rich>
                  <a:bodyPr/>
                  <a:lstStyle/>
                  <a:p>
                    <a:r>
                      <a:rPr lang="en-US"/>
                      <a:t>34,7%</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887238151835992E-3"/>
                  <c:y val="7.9752530933639675E-3"/>
                </c:manualLayout>
              </c:layout>
              <c:tx>
                <c:rich>
                  <a:bodyPr/>
                  <a:lstStyle/>
                  <a:p>
                    <a:r>
                      <a:rPr lang="en-US"/>
                      <a:t>54,1%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290682414698221E-3"/>
                  <c:y val="1.6810398700162581E-2"/>
                </c:manualLayout>
              </c:layout>
              <c:tx>
                <c:rich>
                  <a:bodyPr/>
                  <a:lstStyle/>
                  <a:p>
                    <a:r>
                      <a:rPr lang="en-US"/>
                      <a:t>33,2%</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98"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КРС</c:v>
                </c:pt>
                <c:pt idx="1">
                  <c:v>Свиньи</c:v>
                </c:pt>
                <c:pt idx="2">
                  <c:v>Овцы и козы</c:v>
                </c:pt>
                <c:pt idx="3">
                  <c:v>Птица</c:v>
                </c:pt>
              </c:strCache>
            </c:strRef>
          </c:cat>
          <c:val>
            <c:numRef>
              <c:f>Лист1!$C$2:$C$5</c:f>
              <c:numCache>
                <c:formatCode>0.0</c:formatCode>
                <c:ptCount val="4"/>
                <c:pt idx="0">
                  <c:v>57</c:v>
                </c:pt>
                <c:pt idx="1">
                  <c:v>34.700000000000003</c:v>
                </c:pt>
                <c:pt idx="2">
                  <c:v>54.1</c:v>
                </c:pt>
                <c:pt idx="3" formatCode="General">
                  <c:v>33.200000000000003</c:v>
                </c:pt>
              </c:numCache>
            </c:numRef>
          </c:val>
        </c:ser>
        <c:dLbls>
          <c:showLegendKey val="0"/>
          <c:showVal val="0"/>
          <c:showCatName val="0"/>
          <c:showSerName val="0"/>
          <c:showPercent val="0"/>
          <c:showBubbleSize val="0"/>
        </c:dLbls>
        <c:gapWidth val="150"/>
        <c:overlap val="100"/>
        <c:axId val="307306776"/>
        <c:axId val="226814672"/>
      </c:barChart>
      <c:catAx>
        <c:axId val="30730677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26814672"/>
        <c:crosses val="autoZero"/>
        <c:auto val="1"/>
        <c:lblAlgn val="ctr"/>
        <c:lblOffset val="100"/>
        <c:noMultiLvlLbl val="0"/>
      </c:catAx>
      <c:valAx>
        <c:axId val="226814672"/>
        <c:scaling>
          <c:orientation val="minMax"/>
        </c:scaling>
        <c:delete val="0"/>
        <c:axPos val="l"/>
        <c:title>
          <c:tx>
            <c:rich>
              <a:bodyPr rot="0" vert="horz"/>
              <a:lstStyle/>
              <a:p>
                <a:pPr>
                  <a:defRPr b="0" i="1"/>
                </a:pPr>
                <a:r>
                  <a:rPr lang="ru-RU" sz="800" b="0" i="1">
                    <a:latin typeface="Times New Roman" pitchFamily="18" charset="0"/>
                    <a:cs typeface="Times New Roman" pitchFamily="18" charset="0"/>
                  </a:rPr>
                  <a:t>* - по данным ветеринарной</a:t>
                </a:r>
                <a:r>
                  <a:rPr lang="ru-RU" sz="800" b="0" i="1" baseline="0">
                    <a:latin typeface="Times New Roman" pitchFamily="18" charset="0"/>
                    <a:cs typeface="Times New Roman" pitchFamily="18" charset="0"/>
                  </a:rPr>
                  <a:t> службы</a:t>
                </a:r>
                <a:endParaRPr lang="ru-RU" sz="800" b="0" i="1"/>
              </a:p>
            </c:rich>
          </c:tx>
          <c:layout>
            <c:manualLayout>
              <c:xMode val="edge"/>
              <c:yMode val="edge"/>
              <c:x val="3.5978835978835992E-2"/>
              <c:y val="0.7749140346220873"/>
            </c:manualLayout>
          </c:layout>
          <c:overlay val="0"/>
        </c:title>
        <c:numFmt formatCode="0%" sourceLinked="1"/>
        <c:majorTickMark val="out"/>
        <c:minorTickMark val="none"/>
        <c:tickLblPos val="nextTo"/>
        <c:txPr>
          <a:bodyPr/>
          <a:lstStyle/>
          <a:p>
            <a:pPr>
              <a:defRPr sz="898" b="1">
                <a:latin typeface="Times New Roman" pitchFamily="18" charset="0"/>
                <a:cs typeface="Times New Roman" pitchFamily="18" charset="0"/>
              </a:defRPr>
            </a:pPr>
            <a:endParaRPr lang="ru-RU"/>
          </a:p>
        </c:txPr>
        <c:crossAx val="307306776"/>
        <c:crosses val="autoZero"/>
        <c:crossBetween val="between"/>
      </c:valAx>
    </c:plotArea>
    <c:legend>
      <c:legendPos val="r"/>
      <c:layout>
        <c:manualLayout>
          <c:xMode val="edge"/>
          <c:yMode val="edge"/>
          <c:x val="0.23190117901928925"/>
          <c:y val="0.85509298039872672"/>
          <c:w val="0.67754443194601865"/>
          <c:h val="0.13922925499697344"/>
        </c:manualLayout>
      </c:layout>
      <c:overlay val="0"/>
      <c:txPr>
        <a:bodyPr/>
        <a:lstStyle/>
        <a:p>
          <a:pPr>
            <a:defRPr sz="95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Производство продукции животноводства </a:t>
            </a:r>
          </a:p>
          <a:p>
            <a:pPr>
              <a:defRPr sz="1100"/>
            </a:pPr>
            <a:r>
              <a:rPr lang="ru-RU" sz="1100"/>
              <a:t>(без  учёта хозяйств населения)</a:t>
            </a:r>
          </a:p>
        </c:rich>
      </c:tx>
      <c:layout>
        <c:manualLayout>
          <c:xMode val="edge"/>
          <c:yMode val="edge"/>
          <c:x val="0.28668871720188993"/>
          <c:y val="0"/>
        </c:manualLayout>
      </c:layout>
      <c:overlay val="0"/>
      <c:spPr>
        <a:noFill/>
      </c:spPr>
    </c:title>
    <c:autoTitleDeleted val="0"/>
    <c:plotArea>
      <c:layout>
        <c:manualLayout>
          <c:layoutTarget val="inner"/>
          <c:xMode val="edge"/>
          <c:yMode val="edge"/>
          <c:x val="0.15483544709583108"/>
          <c:y val="0.18803022091874139"/>
          <c:w val="0.84360400262467461"/>
          <c:h val="0.37061474588403798"/>
        </c:manualLayout>
      </c:layout>
      <c:barChart>
        <c:barDir val="col"/>
        <c:grouping val="clustered"/>
        <c:varyColors val="0"/>
        <c:ser>
          <c:idx val="0"/>
          <c:order val="0"/>
          <c:tx>
            <c:strRef>
              <c:f>Лист1!$B$1</c:f>
              <c:strCache>
                <c:ptCount val="1"/>
                <c:pt idx="0">
                  <c:v>2017 год</c:v>
                </c:pt>
              </c:strCache>
            </c:strRef>
          </c:tx>
          <c:spPr>
            <a:solidFill>
              <a:sysClr val="window" lastClr="FFFFFF">
                <a:lumMod val="85000"/>
              </a:sysClr>
            </a:solidFill>
            <a:ln>
              <a:solidFill>
                <a:sysClr val="windowText" lastClr="000000"/>
              </a:solidFill>
            </a:ln>
          </c:spPr>
          <c:invertIfNegative val="0"/>
          <c:dLbls>
            <c:dLbl>
              <c:idx val="0"/>
              <c:layout>
                <c:manualLayout>
                  <c:x val="0"/>
                  <c:y val="1.4084507042253521E-2"/>
                </c:manualLayout>
              </c:layout>
              <c:tx>
                <c:rich>
                  <a:bodyPr/>
                  <a:lstStyle/>
                  <a:p>
                    <a:r>
                      <a:rPr lang="en-US" b="0"/>
                      <a:t>101,4*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898641588296802E-3"/>
                  <c:y val="1.4084507042253521E-2"/>
                </c:manualLayout>
              </c:layout>
              <c:tx>
                <c:rich>
                  <a:bodyPr/>
                  <a:lstStyle/>
                  <a:p>
                    <a:r>
                      <a:rPr lang="en-US" b="0"/>
                      <a:t>109,3*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898641588296802E-3"/>
                  <c:y val="1.8779342723004692E-2"/>
                </c:manualLayout>
              </c:layout>
              <c:tx>
                <c:rich>
                  <a:bodyPr/>
                  <a:lstStyle/>
                  <a:p>
                    <a:r>
                      <a:rPr lang="en-US" b="0"/>
                      <a:t>69,5*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Лист1!$B$2:$B$4</c:f>
              <c:numCache>
                <c:formatCode>#,##0</c:formatCode>
                <c:ptCount val="3"/>
                <c:pt idx="0">
                  <c:v>6909</c:v>
                </c:pt>
                <c:pt idx="1">
                  <c:v>8349</c:v>
                </c:pt>
                <c:pt idx="2">
                  <c:v>5084</c:v>
                </c:pt>
              </c:numCache>
            </c:numRef>
          </c:val>
        </c:ser>
        <c:ser>
          <c:idx val="1"/>
          <c:order val="1"/>
          <c:tx>
            <c:strRef>
              <c:f>Лист1!$C$1</c:f>
              <c:strCache>
                <c:ptCount val="1"/>
                <c:pt idx="0">
                  <c:v>2018 год</c:v>
                </c:pt>
              </c:strCache>
            </c:strRef>
          </c:tx>
          <c:spPr>
            <a:solidFill>
              <a:sysClr val="window" lastClr="FFFFFF">
                <a:lumMod val="65000"/>
              </a:sysClr>
            </a:solidFill>
            <a:ln>
              <a:solidFill>
                <a:sysClr val="windowText" lastClr="000000"/>
              </a:solidFill>
            </a:ln>
          </c:spPr>
          <c:invertIfNegative val="0"/>
          <c:dLbls>
            <c:dLbl>
              <c:idx val="0"/>
              <c:layout>
                <c:manualLayout>
                  <c:x val="2.5081661030615801E-3"/>
                  <c:y val="1.8794499279139443E-2"/>
                </c:manualLayout>
              </c:layout>
              <c:tx>
                <c:rich>
                  <a:bodyPr/>
                  <a:lstStyle/>
                  <a:p>
                    <a:r>
                      <a:rPr lang="en-US" sz="900" b="1">
                        <a:latin typeface="Times New Roman" pitchFamily="18" charset="0"/>
                        <a:cs typeface="Times New Roman" pitchFamily="18" charset="0"/>
                      </a:rPr>
                      <a:t>120,6*</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2.2720279087371526E-3"/>
                  <c:y val="2.2617648146094748E-2"/>
                </c:manualLayout>
              </c:layout>
              <c:tx>
                <c:rich>
                  <a:bodyPr/>
                  <a:lstStyle/>
                  <a:p>
                    <a:r>
                      <a:rPr lang="en-US" sz="900" b="1">
                        <a:latin typeface="Times New Roman" pitchFamily="18" charset="0"/>
                        <a:cs typeface="Times New Roman" pitchFamily="18" charset="0"/>
                      </a:rPr>
                      <a:t>113,4*</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6.7452750965729478E-3"/>
                  <c:y val="2.2005090272807056E-2"/>
                </c:manualLayout>
              </c:layout>
              <c:tx>
                <c:rich>
                  <a:bodyPr/>
                  <a:lstStyle/>
                  <a:p>
                    <a:r>
                      <a:rPr lang="en-US" sz="900" b="1">
                        <a:latin typeface="Times New Roman" pitchFamily="18" charset="0"/>
                        <a:cs typeface="Times New Roman" pitchFamily="18" charset="0"/>
                      </a:rPr>
                      <a:t>24,2*</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Лист1!$C$2:$C$4</c:f>
              <c:numCache>
                <c:formatCode>#,##0</c:formatCode>
                <c:ptCount val="3"/>
                <c:pt idx="0">
                  <c:v>8330</c:v>
                </c:pt>
                <c:pt idx="1">
                  <c:v>9465</c:v>
                </c:pt>
                <c:pt idx="2">
                  <c:v>1228</c:v>
                </c:pt>
              </c:numCache>
            </c:numRef>
          </c:val>
        </c:ser>
        <c:dLbls>
          <c:showLegendKey val="0"/>
          <c:showVal val="1"/>
          <c:showCatName val="0"/>
          <c:showSerName val="0"/>
          <c:showPercent val="0"/>
          <c:showBubbleSize val="0"/>
        </c:dLbls>
        <c:gapWidth val="150"/>
        <c:axId val="123403504"/>
        <c:axId val="123403896"/>
      </c:barChart>
      <c:catAx>
        <c:axId val="123403504"/>
        <c:scaling>
          <c:orientation val="minMax"/>
        </c:scaling>
        <c:delete val="0"/>
        <c:axPos val="b"/>
        <c:numFmt formatCode="General" sourceLinked="1"/>
        <c:majorTickMark val="out"/>
        <c:minorTickMark val="none"/>
        <c:tickLblPos val="nextTo"/>
        <c:crossAx val="123403896"/>
        <c:crosses val="autoZero"/>
        <c:auto val="1"/>
        <c:lblAlgn val="ctr"/>
        <c:lblOffset val="100"/>
        <c:noMultiLvlLbl val="0"/>
      </c:catAx>
      <c:valAx>
        <c:axId val="123403896"/>
        <c:scaling>
          <c:orientation val="minMax"/>
        </c:scaling>
        <c:delete val="0"/>
        <c:axPos val="l"/>
        <c:numFmt formatCode="#,##0" sourceLinked="1"/>
        <c:majorTickMark val="out"/>
        <c:minorTickMark val="none"/>
        <c:tickLblPos val="nextTo"/>
        <c:crossAx val="123403504"/>
        <c:crosses val="autoZero"/>
        <c:crossBetween val="between"/>
      </c:valAx>
      <c:dTable>
        <c:showHorzBorder val="1"/>
        <c:showVertBorder val="1"/>
        <c:showOutline val="1"/>
        <c:showKeys val="0"/>
      </c:dTable>
      <c:spPr>
        <a:noFill/>
        <a:ln w="25400">
          <a:noFill/>
        </a:ln>
      </c:spPr>
    </c:plotArea>
    <c:legend>
      <c:legendPos val="r"/>
      <c:layout>
        <c:manualLayout>
          <c:xMode val="edge"/>
          <c:yMode val="edge"/>
          <c:x val="0.27807252848070635"/>
          <c:y val="0.93826209536479721"/>
          <c:w val="0.4703604604283399"/>
          <c:h val="6.1737788394428512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Анализ основных доходов от предоставления услуг электросвязи (млн руб.)</a:t>
            </a:r>
          </a:p>
        </c:rich>
      </c:tx>
      <c:layout>
        <c:manualLayout>
          <c:xMode val="edge"/>
          <c:yMode val="edge"/>
          <c:x val="0.14733610087230886"/>
          <c:y val="1.0531116042927103E-3"/>
        </c:manualLayout>
      </c:layout>
      <c:overlay val="0"/>
    </c:title>
    <c:autoTitleDeleted val="0"/>
    <c:view3D>
      <c:rotX val="5"/>
      <c:rotY val="0"/>
      <c:depthPercent val="90"/>
      <c:rAngAx val="0"/>
      <c:perspective val="10"/>
    </c:view3D>
    <c:floor>
      <c:thickness val="0"/>
    </c:floor>
    <c:sideWall>
      <c:thickness val="0"/>
    </c:sideWall>
    <c:backWall>
      <c:thickness val="0"/>
    </c:backWall>
    <c:plotArea>
      <c:layout>
        <c:manualLayout>
          <c:layoutTarget val="inner"/>
          <c:xMode val="edge"/>
          <c:yMode val="edge"/>
          <c:x val="7.757763975155281E-2"/>
          <c:y val="0.16474226435981221"/>
          <c:w val="0.92242236024844726"/>
          <c:h val="0.25652403646912553"/>
        </c:manualLayout>
      </c:layout>
      <c:bar3DChart>
        <c:barDir val="col"/>
        <c:grouping val="clustered"/>
        <c:varyColors val="0"/>
        <c:ser>
          <c:idx val="0"/>
          <c:order val="0"/>
          <c:tx>
            <c:strRef>
              <c:f>Лист1!$B$1</c:f>
              <c:strCache>
                <c:ptCount val="1"/>
                <c:pt idx="0">
                  <c:v>2017 г.</c:v>
                </c:pt>
              </c:strCache>
            </c:strRef>
          </c:tx>
          <c:spPr>
            <a:solidFill>
              <a:schemeClr val="bg1">
                <a:lumMod val="75000"/>
              </a:schemeClr>
            </a:solidFill>
            <a:ln w="6350">
              <a:solidFill>
                <a:schemeClr val="tx1">
                  <a:lumMod val="65000"/>
                  <a:lumOff val="35000"/>
                </a:schemeClr>
              </a:solidFill>
            </a:ln>
          </c:spPr>
          <c:invertIfNegative val="0"/>
          <c:cat>
            <c:strRef>
              <c:f>Лист1!$A$2:$A$7</c:f>
              <c:strCache>
                <c:ptCount val="6"/>
                <c:pt idx="0">
                  <c:v>Фиксированная связь</c:v>
                </c:pt>
                <c:pt idx="1">
                  <c:v>Услуги для целей радиовещания</c:v>
                </c:pt>
                <c:pt idx="2">
                  <c:v>Мобильная связь</c:v>
                </c:pt>
                <c:pt idx="3">
                  <c:v>Услуги по передаче данных и доступа к глобальной сети Интернет </c:v>
                </c:pt>
                <c:pt idx="4">
                  <c:v>Услуги для целей телевизионного вещания</c:v>
                </c:pt>
                <c:pt idx="5">
                  <c:v>Прочие услуги </c:v>
                </c:pt>
              </c:strCache>
            </c:strRef>
          </c:cat>
          <c:val>
            <c:numRef>
              <c:f>Лист1!$B$2:$B$7</c:f>
              <c:numCache>
                <c:formatCode>#,##0.0</c:formatCode>
                <c:ptCount val="6"/>
                <c:pt idx="0">
                  <c:v>150.5</c:v>
                </c:pt>
                <c:pt idx="1">
                  <c:v>38.617000000000004</c:v>
                </c:pt>
                <c:pt idx="2">
                  <c:v>238.78399999999999</c:v>
                </c:pt>
                <c:pt idx="3">
                  <c:v>221.14599999999999</c:v>
                </c:pt>
                <c:pt idx="4">
                  <c:v>67.627999999999986</c:v>
                </c:pt>
                <c:pt idx="5">
                  <c:v>1.8920000000000681</c:v>
                </c:pt>
              </c:numCache>
            </c:numRef>
          </c:val>
        </c:ser>
        <c:ser>
          <c:idx val="1"/>
          <c:order val="1"/>
          <c:tx>
            <c:strRef>
              <c:f>Лист1!$C$1</c:f>
              <c:strCache>
                <c:ptCount val="1"/>
                <c:pt idx="0">
                  <c:v>2018 г.</c:v>
                </c:pt>
              </c:strCache>
            </c:strRef>
          </c:tx>
          <c:spPr>
            <a:solidFill>
              <a:schemeClr val="tx1">
                <a:lumMod val="75000"/>
                <a:lumOff val="25000"/>
              </a:schemeClr>
            </a:solidFill>
            <a:ln w="6350">
              <a:solidFill>
                <a:schemeClr val="tx1">
                  <a:lumMod val="75000"/>
                  <a:lumOff val="25000"/>
                </a:schemeClr>
              </a:solidFill>
            </a:ln>
          </c:spPr>
          <c:invertIfNegative val="0"/>
          <c:cat>
            <c:strRef>
              <c:f>Лист1!$A$2:$A$7</c:f>
              <c:strCache>
                <c:ptCount val="6"/>
                <c:pt idx="0">
                  <c:v>Фиксированная связь</c:v>
                </c:pt>
                <c:pt idx="1">
                  <c:v>Услуги для целей радиовещания</c:v>
                </c:pt>
                <c:pt idx="2">
                  <c:v>Мобильная связь</c:v>
                </c:pt>
                <c:pt idx="3">
                  <c:v>Услуги по передаче данных и доступа к глобальной сети Интернет </c:v>
                </c:pt>
                <c:pt idx="4">
                  <c:v>Услуги для целей телевизионного вещания</c:v>
                </c:pt>
                <c:pt idx="5">
                  <c:v>Прочие услуги </c:v>
                </c:pt>
              </c:strCache>
            </c:strRef>
          </c:cat>
          <c:val>
            <c:numRef>
              <c:f>Лист1!$C$2:$C$7</c:f>
              <c:numCache>
                <c:formatCode>#,##0.0</c:formatCode>
                <c:ptCount val="6"/>
                <c:pt idx="0">
                  <c:v>138.9</c:v>
                </c:pt>
                <c:pt idx="1">
                  <c:v>43.3</c:v>
                </c:pt>
                <c:pt idx="2">
                  <c:v>238.9</c:v>
                </c:pt>
                <c:pt idx="3">
                  <c:v>235</c:v>
                </c:pt>
                <c:pt idx="4">
                  <c:v>105.392</c:v>
                </c:pt>
                <c:pt idx="5">
                  <c:v>2.2000000000001032</c:v>
                </c:pt>
              </c:numCache>
            </c:numRef>
          </c:val>
        </c:ser>
        <c:dLbls>
          <c:showLegendKey val="0"/>
          <c:showVal val="0"/>
          <c:showCatName val="0"/>
          <c:showSerName val="0"/>
          <c:showPercent val="0"/>
          <c:showBubbleSize val="0"/>
        </c:dLbls>
        <c:gapWidth val="115"/>
        <c:gapDepth val="212"/>
        <c:shape val="box"/>
        <c:axId val="310266832"/>
        <c:axId val="310267224"/>
        <c:axId val="0"/>
      </c:bar3DChart>
      <c:catAx>
        <c:axId val="310266832"/>
        <c:scaling>
          <c:orientation val="minMax"/>
        </c:scaling>
        <c:delete val="1"/>
        <c:axPos val="b"/>
        <c:numFmt formatCode="General" sourceLinked="0"/>
        <c:majorTickMark val="none"/>
        <c:minorTickMark val="none"/>
        <c:tickLblPos val="nextTo"/>
        <c:crossAx val="310267224"/>
        <c:crosses val="autoZero"/>
        <c:auto val="1"/>
        <c:lblAlgn val="ctr"/>
        <c:lblOffset val="100"/>
        <c:noMultiLvlLbl val="0"/>
      </c:catAx>
      <c:valAx>
        <c:axId val="310267224"/>
        <c:scaling>
          <c:orientation val="minMax"/>
        </c:scaling>
        <c:delete val="0"/>
        <c:axPos val="l"/>
        <c:majorGridlines/>
        <c:numFmt formatCode="#,##0.0" sourceLinked="1"/>
        <c:majorTickMark val="none"/>
        <c:minorTickMark val="none"/>
        <c:tickLblPos val="nextTo"/>
        <c:spPr>
          <a:ln w="9525">
            <a:noFill/>
          </a:ln>
        </c:spPr>
        <c:txPr>
          <a:bodyPr/>
          <a:lstStyle/>
          <a:p>
            <a:pPr>
              <a:defRPr sz="900" b="1">
                <a:latin typeface="Times New Roman" pitchFamily="18" charset="0"/>
                <a:cs typeface="Times New Roman" pitchFamily="18" charset="0"/>
              </a:defRPr>
            </a:pPr>
            <a:endParaRPr lang="ru-RU"/>
          </a:p>
        </c:txPr>
        <c:crossAx val="310266832"/>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showDLblsOverMax val="0"/>
  </c:chart>
  <c:spPr>
    <a:noFill/>
    <a:ln>
      <a:noFill/>
    </a:ln>
    <a:effectLst>
      <a:outerShdw blurRad="50800" dist="38100" algn="l" rotWithShape="0">
        <a:prstClr val="black">
          <a:alpha val="40000"/>
        </a:prstClr>
      </a:outerShdw>
    </a:effectLst>
    <a:scene3d>
      <a:camera prst="orthographicFront"/>
      <a:lightRig rig="threePt" dir="t"/>
    </a:scene3d>
    <a:sp3d prstMaterial="powder"/>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Структура доходов от основной деятельности государственных предприятий почтовой связи по видам отправлений,</a:t>
            </a:r>
            <a:r>
              <a:rPr lang="ru-RU" sz="1200" baseline="0"/>
              <a:t> %</a:t>
            </a:r>
            <a:endParaRPr lang="ru-RU" sz="1200"/>
          </a:p>
        </c:rich>
      </c:tx>
      <c:layout>
        <c:manualLayout>
          <c:xMode val="edge"/>
          <c:yMode val="edge"/>
          <c:x val="0.12473885859435946"/>
          <c:y val="0"/>
        </c:manualLayout>
      </c:layout>
      <c:overlay val="0"/>
    </c:title>
    <c:autoTitleDeleted val="0"/>
    <c:view3D>
      <c:rotX val="10"/>
      <c:rotY val="20"/>
      <c:rAngAx val="1"/>
    </c:view3D>
    <c:floor>
      <c:thickness val="0"/>
    </c:floor>
    <c:sideWall>
      <c:thickness val="0"/>
    </c:sideWall>
    <c:backWall>
      <c:thickness val="0"/>
    </c:backWall>
    <c:plotArea>
      <c:layout>
        <c:manualLayout>
          <c:layoutTarget val="inner"/>
          <c:xMode val="edge"/>
          <c:yMode val="edge"/>
          <c:x val="7.9391445029839913E-2"/>
          <c:y val="0.14814814814814894"/>
          <c:w val="0.91279986780569833"/>
          <c:h val="0.49641621463984575"/>
        </c:manualLayout>
      </c:layout>
      <c:bar3DChart>
        <c:barDir val="bar"/>
        <c:grouping val="stacked"/>
        <c:varyColors val="0"/>
        <c:ser>
          <c:idx val="0"/>
          <c:order val="0"/>
          <c:tx>
            <c:strRef>
              <c:f>Лист1!$B$1</c:f>
              <c:strCache>
                <c:ptCount val="1"/>
                <c:pt idx="0">
                  <c:v>Реализация знаков почтовой отправки</c:v>
                </c:pt>
              </c:strCache>
            </c:strRef>
          </c:tx>
          <c:spPr>
            <a:solidFill>
              <a:schemeClr val="bg1">
                <a:lumMod val="65000"/>
              </a:schemeClr>
            </a:solidFill>
            <a:ln>
              <a:solidFill>
                <a:schemeClr val="bg1">
                  <a:lumMod val="65000"/>
                </a:schemeClr>
              </a:solidFill>
            </a:ln>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c:v>
                </c:pt>
                <c:pt idx="1">
                  <c:v>2018 г.</c:v>
                </c:pt>
              </c:strCache>
            </c:strRef>
          </c:cat>
          <c:val>
            <c:numRef>
              <c:f>Лист1!$B$5:$B$6</c:f>
              <c:numCache>
                <c:formatCode>0.0</c:formatCode>
                <c:ptCount val="2"/>
                <c:pt idx="0">
                  <c:v>50.211165003780543</c:v>
                </c:pt>
                <c:pt idx="1">
                  <c:v>52.036462373933276</c:v>
                </c:pt>
              </c:numCache>
            </c:numRef>
          </c:val>
        </c:ser>
        <c:ser>
          <c:idx val="1"/>
          <c:order val="1"/>
          <c:tx>
            <c:strRef>
              <c:f>Лист1!$C$1</c:f>
              <c:strCache>
                <c:ptCount val="1"/>
                <c:pt idx="0">
                  <c:v>Писменная корреспонденция</c:v>
                </c:pt>
              </c:strCache>
            </c:strRef>
          </c:tx>
          <c:spPr>
            <a:blipFill>
              <a:blip xmlns:r="http://schemas.openxmlformats.org/officeDocument/2006/relationships" r:embed="rId1"/>
              <a:tile tx="0" ty="0" sx="100000" sy="100000" flip="none" algn="tl"/>
            </a:blipFill>
          </c:spPr>
          <c:invertIfNegative val="0"/>
          <c:dLbls>
            <c:spPr>
              <a:blipFill>
                <a:blip xmlns:r="http://schemas.openxmlformats.org/officeDocument/2006/relationships" r:embed="rId1"/>
                <a:tile tx="0" ty="0" sx="100000" sy="100000" flip="none" algn="tl"/>
              </a:blipFill>
              <a:ln>
                <a:solidFill>
                  <a:schemeClr val="bg1">
                    <a:lumMod val="50000"/>
                  </a:schemeClr>
                </a:solidFill>
              </a:ln>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c:v>
                </c:pt>
                <c:pt idx="1">
                  <c:v>2018 г.</c:v>
                </c:pt>
              </c:strCache>
            </c:strRef>
          </c:cat>
          <c:val>
            <c:numRef>
              <c:f>Лист1!$C$5:$C$6</c:f>
              <c:numCache>
                <c:formatCode>0.0</c:formatCode>
                <c:ptCount val="2"/>
                <c:pt idx="0">
                  <c:v>4.5202220459952418</c:v>
                </c:pt>
                <c:pt idx="1">
                  <c:v>4.5190069821567107</c:v>
                </c:pt>
              </c:numCache>
            </c:numRef>
          </c:val>
        </c:ser>
        <c:ser>
          <c:idx val="2"/>
          <c:order val="2"/>
          <c:tx>
            <c:strRef>
              <c:f>Лист1!$D$1</c:f>
              <c:strCache>
                <c:ptCount val="1"/>
                <c:pt idx="0">
                  <c:v>Денежные переводы</c:v>
                </c:pt>
              </c:strCache>
            </c:strRef>
          </c:tx>
          <c:spPr>
            <a:blipFill>
              <a:blip xmlns:r="http://schemas.openxmlformats.org/officeDocument/2006/relationships" r:embed="rId2"/>
              <a:tile tx="0" ty="0" sx="100000" sy="100000" flip="none" algn="tl"/>
            </a:blipFill>
            <a:ln>
              <a:solidFill>
                <a:sysClr val="window" lastClr="FFFFFF">
                  <a:lumMod val="65000"/>
                </a:sysClr>
              </a:solidFill>
            </a:ln>
          </c:spPr>
          <c:invertIfNegative val="0"/>
          <c:dLbls>
            <c:spPr>
              <a:noFill/>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c:v>
                </c:pt>
                <c:pt idx="1">
                  <c:v>2018 г.</c:v>
                </c:pt>
              </c:strCache>
            </c:strRef>
          </c:cat>
          <c:val>
            <c:numRef>
              <c:f>Лист1!$D$5:$D$6</c:f>
              <c:numCache>
                <c:formatCode>0.0</c:formatCode>
                <c:ptCount val="2"/>
                <c:pt idx="0">
                  <c:v>4.9019788650572638</c:v>
                </c:pt>
                <c:pt idx="1">
                  <c:v>4.286268425135793</c:v>
                </c:pt>
              </c:numCache>
            </c:numRef>
          </c:val>
        </c:ser>
        <c:ser>
          <c:idx val="3"/>
          <c:order val="3"/>
          <c:tx>
            <c:strRef>
              <c:f>Лист1!$E$1</c:f>
              <c:strCache>
                <c:ptCount val="1"/>
                <c:pt idx="0">
                  <c:v>Посылки</c:v>
                </c:pt>
              </c:strCache>
            </c:strRef>
          </c:tx>
          <c:spPr>
            <a:solidFill>
              <a:schemeClr val="tx1">
                <a:lumMod val="65000"/>
                <a:lumOff val="35000"/>
              </a:schemeClr>
            </a:solidFill>
            <a:ln>
              <a:solidFill>
                <a:sysClr val="window" lastClr="FFFFFF">
                  <a:lumMod val="50000"/>
                </a:sysClr>
              </a:solidFill>
            </a:ln>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c:v>
                </c:pt>
                <c:pt idx="1">
                  <c:v>2018 г.</c:v>
                </c:pt>
              </c:strCache>
            </c:strRef>
          </c:cat>
          <c:val>
            <c:numRef>
              <c:f>Лист1!$E$5:$E$6</c:f>
              <c:numCache>
                <c:formatCode>0.0</c:formatCode>
                <c:ptCount val="2"/>
                <c:pt idx="0">
                  <c:v>7.825092672851004</c:v>
                </c:pt>
                <c:pt idx="1">
                  <c:v>9.1737781225756319</c:v>
                </c:pt>
              </c:numCache>
            </c:numRef>
          </c:val>
        </c:ser>
        <c:ser>
          <c:idx val="4"/>
          <c:order val="4"/>
          <c:tx>
            <c:strRef>
              <c:f>Лист1!$F$1</c:f>
              <c:strCache>
                <c:ptCount val="1"/>
                <c:pt idx="0">
                  <c:v>Периодические издания</c:v>
                </c:pt>
              </c:strCache>
            </c:strRef>
          </c:tx>
          <c:spPr>
            <a:solidFill>
              <a:schemeClr val="bg1">
                <a:lumMod val="85000"/>
              </a:schemeClr>
            </a:solidFill>
            <a:ln>
              <a:solidFill>
                <a:schemeClr val="tx1">
                  <a:lumMod val="50000"/>
                  <a:lumOff val="50000"/>
                </a:schemeClr>
              </a:solidFill>
            </a:ln>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c:v>
                </c:pt>
                <c:pt idx="1">
                  <c:v>2018 г.</c:v>
                </c:pt>
              </c:strCache>
            </c:strRef>
          </c:cat>
          <c:val>
            <c:numRef>
              <c:f>Лист1!$F$5:$F$6</c:f>
              <c:numCache>
                <c:formatCode>0.0</c:formatCode>
                <c:ptCount val="2"/>
                <c:pt idx="0">
                  <c:v>25.54451063201962</c:v>
                </c:pt>
                <c:pt idx="1">
                  <c:v>24.340574088440654</c:v>
                </c:pt>
              </c:numCache>
            </c:numRef>
          </c:val>
        </c:ser>
        <c:ser>
          <c:idx val="5"/>
          <c:order val="5"/>
          <c:tx>
            <c:strRef>
              <c:f>Лист1!$G$1</c:f>
              <c:strCache>
                <c:ptCount val="1"/>
                <c:pt idx="0">
                  <c:v>Спецсвязь</c:v>
                </c:pt>
              </c:strCache>
            </c:strRef>
          </c:tx>
          <c:spPr>
            <a:solidFill>
              <a:schemeClr val="bg1"/>
            </a:solidFill>
            <a:ln>
              <a:solidFill>
                <a:schemeClr val="bg1">
                  <a:lumMod val="65000"/>
                </a:schemeClr>
              </a:solidFill>
            </a:ln>
          </c:spPr>
          <c:invertIfNegative val="0"/>
          <c:dLbls>
            <c:dLbl>
              <c:idx val="1"/>
              <c:layout>
                <c:manualLayout>
                  <c:x val="-1.0010010010010013E-2"/>
                  <c:y val="-5.0232955330344785E-7"/>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c:v>
                </c:pt>
                <c:pt idx="1">
                  <c:v>2018 г.</c:v>
                </c:pt>
              </c:strCache>
            </c:strRef>
          </c:cat>
          <c:val>
            <c:numRef>
              <c:f>Лист1!$G$5:$G$6</c:f>
              <c:numCache>
                <c:formatCode>0.0</c:formatCode>
                <c:ptCount val="2"/>
                <c:pt idx="0">
                  <c:v>1.7520240488353638</c:v>
                </c:pt>
                <c:pt idx="1">
                  <c:v>1.4352211016291636</c:v>
                </c:pt>
              </c:numCache>
            </c:numRef>
          </c:val>
        </c:ser>
        <c:ser>
          <c:idx val="6"/>
          <c:order val="6"/>
          <c:tx>
            <c:strRef>
              <c:f>Лист1!$H$1</c:f>
              <c:strCache>
                <c:ptCount val="1"/>
                <c:pt idx="0">
                  <c:v>Прочие доходы</c:v>
                </c:pt>
              </c:strCache>
            </c:strRef>
          </c:tx>
          <c:spPr>
            <a:blipFill>
              <a:blip xmlns:r="http://schemas.openxmlformats.org/officeDocument/2006/relationships" r:embed="rId3"/>
              <a:tile tx="0" ty="0" sx="100000" sy="100000" flip="none" algn="tl"/>
            </a:blipFill>
            <a:ln>
              <a:solidFill>
                <a:sysClr val="window" lastClr="FFFFFF">
                  <a:lumMod val="65000"/>
                </a:sysClr>
              </a:solidFill>
            </a:ln>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c:v>
                </c:pt>
                <c:pt idx="1">
                  <c:v>2018 г.</c:v>
                </c:pt>
              </c:strCache>
            </c:strRef>
          </c:cat>
          <c:val>
            <c:numRef>
              <c:f>Лист1!$H$5:$H$6</c:f>
              <c:numCache>
                <c:formatCode>0.0</c:formatCode>
                <c:ptCount val="2"/>
                <c:pt idx="0">
                  <c:v>4.6862032716743824</c:v>
                </c:pt>
                <c:pt idx="1">
                  <c:v>2.7928626842513578</c:v>
                </c:pt>
              </c:numCache>
            </c:numRef>
          </c:val>
        </c:ser>
        <c:ser>
          <c:idx val="7"/>
          <c:order val="7"/>
          <c:tx>
            <c:strRef>
              <c:f>Лист1!$I$1</c:f>
              <c:strCache>
                <c:ptCount val="1"/>
                <c:pt idx="0">
                  <c:v>Ускоренная почта EMS</c:v>
                </c:pt>
              </c:strCache>
            </c:strRef>
          </c:tx>
          <c:spPr>
            <a:solidFill>
              <a:schemeClr val="tx1">
                <a:lumMod val="85000"/>
                <a:lumOff val="15000"/>
              </a:schemeClr>
            </a:solidFill>
            <a:ln>
              <a:solidFill>
                <a:schemeClr val="tx1">
                  <a:lumMod val="75000"/>
                  <a:lumOff val="25000"/>
                </a:schemeClr>
              </a:solidFill>
            </a:ln>
          </c:spPr>
          <c:invertIfNegative val="0"/>
          <c:dLbls>
            <c:dLbl>
              <c:idx val="0"/>
              <c:layout>
                <c:manualLayout>
                  <c:x val="2.1722982825345041E-2"/>
                  <c:y val="-1.18520936178314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776800422470124E-2"/>
                  <c:y val="-5.92604680891569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c:v>
                </c:pt>
                <c:pt idx="1">
                  <c:v>2018 г.</c:v>
                </c:pt>
              </c:strCache>
            </c:strRef>
          </c:cat>
          <c:val>
            <c:numRef>
              <c:f>Лист1!$I$5:$I$6</c:f>
              <c:numCache>
                <c:formatCode>0.0</c:formatCode>
                <c:ptCount val="2"/>
                <c:pt idx="0">
                  <c:v>0.55880345978643753</c:v>
                </c:pt>
                <c:pt idx="1">
                  <c:v>1.4158262218774178</c:v>
                </c:pt>
              </c:numCache>
            </c:numRef>
          </c:val>
        </c:ser>
        <c:dLbls>
          <c:showLegendKey val="0"/>
          <c:showVal val="1"/>
          <c:showCatName val="0"/>
          <c:showSerName val="0"/>
          <c:showPercent val="0"/>
          <c:showBubbleSize val="0"/>
        </c:dLbls>
        <c:gapWidth val="150"/>
        <c:shape val="box"/>
        <c:axId val="310268400"/>
        <c:axId val="319378024"/>
        <c:axId val="0"/>
      </c:bar3DChart>
      <c:catAx>
        <c:axId val="310268400"/>
        <c:scaling>
          <c:orientation val="minMax"/>
        </c:scaling>
        <c:delete val="0"/>
        <c:axPos val="l"/>
        <c:numFmt formatCode="General" sourceLinked="0"/>
        <c:majorTickMark val="out"/>
        <c:minorTickMark val="none"/>
        <c:tickLblPos val="nextTo"/>
        <c:txPr>
          <a:bodyPr/>
          <a:lstStyle/>
          <a:p>
            <a:pPr>
              <a:defRPr b="1"/>
            </a:pPr>
            <a:endParaRPr lang="ru-RU"/>
          </a:p>
        </c:txPr>
        <c:crossAx val="319378024"/>
        <c:crosses val="autoZero"/>
        <c:auto val="1"/>
        <c:lblAlgn val="ctr"/>
        <c:lblOffset val="100"/>
        <c:noMultiLvlLbl val="0"/>
      </c:catAx>
      <c:valAx>
        <c:axId val="319378024"/>
        <c:scaling>
          <c:orientation val="minMax"/>
        </c:scaling>
        <c:delete val="0"/>
        <c:axPos val="b"/>
        <c:majorGridlines/>
        <c:numFmt formatCode="0.0" sourceLinked="1"/>
        <c:majorTickMark val="out"/>
        <c:minorTickMark val="none"/>
        <c:tickLblPos val="nextTo"/>
        <c:txPr>
          <a:bodyPr/>
          <a:lstStyle/>
          <a:p>
            <a:pPr>
              <a:defRPr b="1"/>
            </a:pPr>
            <a:endParaRPr lang="ru-RU"/>
          </a:p>
        </c:txPr>
        <c:crossAx val="310268400"/>
        <c:crosses val="autoZero"/>
        <c:crossBetween val="between"/>
      </c:valAx>
    </c:plotArea>
    <c:legend>
      <c:legendPos val="b"/>
      <c:layout>
        <c:manualLayout>
          <c:xMode val="edge"/>
          <c:yMode val="edge"/>
          <c:x val="6.4951522348139862E-2"/>
          <c:y val="0.7631916010498857"/>
          <c:w val="0.93256629890515941"/>
          <c:h val="0.23680839895013345"/>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sz="1106"/>
            </a:pPr>
            <a:r>
              <a:rPr lang="ru-RU" sz="1152"/>
              <a:t>Динамика внешнеторгового оборота </a:t>
            </a:r>
          </a:p>
          <a:p>
            <a:pPr>
              <a:defRPr sz="1106"/>
            </a:pPr>
            <a:r>
              <a:rPr lang="ru-RU" sz="1152"/>
              <a:t>в 2017 - 2018 г.г., млн долл. США</a:t>
            </a:r>
          </a:p>
        </c:rich>
      </c:tx>
      <c:layout>
        <c:manualLayout>
          <c:xMode val="edge"/>
          <c:yMode val="edge"/>
          <c:x val="0.34461701888446217"/>
          <c:y val="2.2699865219551005E-3"/>
        </c:manualLayout>
      </c:layout>
      <c:overlay val="0"/>
      <c:spPr>
        <a:noFill/>
        <a:ln w="24387">
          <a:noFill/>
        </a:ln>
      </c:spPr>
    </c:title>
    <c:autoTitleDeleted val="0"/>
    <c:plotArea>
      <c:layout>
        <c:manualLayout>
          <c:layoutTarget val="inner"/>
          <c:xMode val="edge"/>
          <c:yMode val="edge"/>
          <c:x val="0.23831808737750018"/>
          <c:y val="0.26516866970576847"/>
          <c:w val="0.74851471278700132"/>
          <c:h val="0.40652244785191338"/>
        </c:manualLayout>
      </c:layout>
      <c:barChart>
        <c:barDir val="col"/>
        <c:grouping val="clustered"/>
        <c:varyColors val="0"/>
        <c:ser>
          <c:idx val="0"/>
          <c:order val="0"/>
          <c:tx>
            <c:strRef>
              <c:f>Sheet1!$B$1</c:f>
              <c:strCache>
                <c:ptCount val="1"/>
                <c:pt idx="0">
                  <c:v>2017 г.</c:v>
                </c:pt>
              </c:strCache>
            </c:strRef>
          </c:tx>
          <c:spPr>
            <a:solidFill>
              <a:sysClr val="window" lastClr="FFFFFF">
                <a:lumMod val="85000"/>
              </a:sysClr>
            </a:solidFill>
          </c:spPr>
          <c:invertIfNegative val="0"/>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1519.1</c:v>
                </c:pt>
                <c:pt idx="1">
                  <c:v>535.1</c:v>
                </c:pt>
                <c:pt idx="2">
                  <c:v>984</c:v>
                </c:pt>
                <c:pt idx="3">
                  <c:v>-448.9</c:v>
                </c:pt>
              </c:numCache>
            </c:numRef>
          </c:val>
        </c:ser>
        <c:ser>
          <c:idx val="1"/>
          <c:order val="1"/>
          <c:tx>
            <c:strRef>
              <c:f>Sheet1!$C$1</c:f>
              <c:strCache>
                <c:ptCount val="1"/>
                <c:pt idx="0">
                  <c:v>2018 г.</c:v>
                </c:pt>
              </c:strCache>
            </c:strRef>
          </c:tx>
          <c:spPr>
            <a:solidFill>
              <a:sysClr val="windowText" lastClr="000000">
                <a:lumMod val="65000"/>
                <a:lumOff val="35000"/>
              </a:sysClr>
            </a:solidFill>
            <a:effectLst>
              <a:outerShdw blurRad="40000" dist="12700" dir="5400000" rotWithShape="0">
                <a:srgbClr val="000000">
                  <a:alpha val="35000"/>
                </a:srgbClr>
              </a:outerShdw>
            </a:effectLst>
          </c:spPr>
          <c:invertIfNegative val="0"/>
          <c:dLbls>
            <c:dLbl>
              <c:idx val="0"/>
              <c:layout>
                <c:manualLayout>
                  <c:x val="3.8400074436781241E-3"/>
                  <c:y val="1.0353916286779938E-2"/>
                </c:manualLayout>
              </c:layout>
              <c:tx>
                <c:rich>
                  <a:bodyPr/>
                  <a:lstStyle/>
                  <a:p>
                    <a:r>
                      <a:rPr lang="en-US" sz="864"/>
                      <a:t>+26,0*</a:t>
                    </a:r>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2.4114436256665139E-3"/>
                  <c:y val="2.378163507508145E-2"/>
                </c:manualLayout>
              </c:layout>
              <c:tx>
                <c:rich>
                  <a:bodyPr/>
                  <a:lstStyle/>
                  <a:p>
                    <a:r>
                      <a:rPr lang="en-US" sz="864"/>
                      <a:t>+30,3*</a:t>
                    </a:r>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3.9535891792254491E-3"/>
                  <c:y val="1.7604694585222819E-2"/>
                </c:manualLayout>
              </c:layout>
              <c:tx>
                <c:rich>
                  <a:bodyPr/>
                  <a:lstStyle/>
                  <a:p>
                    <a:r>
                      <a:rPr lang="en-US" sz="864"/>
                      <a:t>+23,6*</a:t>
                    </a:r>
                  </a:p>
                </c:rich>
              </c:tx>
              <c:dLblPos val="outEnd"/>
              <c:showLegendKey val="0"/>
              <c:showVal val="0"/>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w="24387">
                <a:noFill/>
              </a:ln>
            </c:spPr>
            <c:txPr>
              <a:bodyPr/>
              <a:lstStyle/>
              <a:p>
                <a:pPr>
                  <a:defRPr sz="864"/>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1913.2</c:v>
                </c:pt>
                <c:pt idx="1">
                  <c:v>697</c:v>
                </c:pt>
                <c:pt idx="2">
                  <c:v>1216.2</c:v>
                </c:pt>
                <c:pt idx="3">
                  <c:v>-519.20000000000005</c:v>
                </c:pt>
              </c:numCache>
            </c:numRef>
          </c:val>
        </c:ser>
        <c:dLbls>
          <c:showLegendKey val="0"/>
          <c:showVal val="0"/>
          <c:showCatName val="0"/>
          <c:showSerName val="0"/>
          <c:showPercent val="0"/>
          <c:showBubbleSize val="0"/>
        </c:dLbls>
        <c:gapWidth val="76"/>
        <c:overlap val="-6"/>
        <c:axId val="319378808"/>
        <c:axId val="319379200"/>
      </c:barChart>
      <c:catAx>
        <c:axId val="319378808"/>
        <c:scaling>
          <c:orientation val="minMax"/>
        </c:scaling>
        <c:delete val="0"/>
        <c:axPos val="b"/>
        <c:numFmt formatCode="General" sourceLinked="1"/>
        <c:majorTickMark val="cross"/>
        <c:minorTickMark val="none"/>
        <c:tickLblPos val="nextTo"/>
        <c:txPr>
          <a:bodyPr rot="0" vert="horz"/>
          <a:lstStyle/>
          <a:p>
            <a:pPr>
              <a:defRPr/>
            </a:pPr>
            <a:endParaRPr lang="ru-RU"/>
          </a:p>
        </c:txPr>
        <c:crossAx val="319379200"/>
        <c:crosses val="autoZero"/>
        <c:auto val="0"/>
        <c:lblAlgn val="ctr"/>
        <c:lblOffset val="20"/>
        <c:tickMarkSkip val="1"/>
        <c:noMultiLvlLbl val="0"/>
      </c:catAx>
      <c:valAx>
        <c:axId val="319379200"/>
        <c:scaling>
          <c:orientation val="minMax"/>
        </c:scaling>
        <c:delete val="0"/>
        <c:axPos val="l"/>
        <c:title>
          <c:tx>
            <c:rich>
              <a:bodyPr rot="0" vert="horz"/>
              <a:lstStyle/>
              <a:p>
                <a:pPr algn="ctr">
                  <a:defRPr sz="850" b="1" i="0" u="none" strike="noStrike" baseline="0">
                    <a:solidFill>
                      <a:srgbClr val="000000"/>
                    </a:solidFill>
                    <a:latin typeface="Arial Cyr"/>
                    <a:ea typeface="Arial Cyr"/>
                    <a:cs typeface="Arial Cyr"/>
                  </a:defRPr>
                </a:pPr>
                <a:r>
                  <a:rPr lang="ru-RU" sz="850" b="1" i="0" strike="noStrike">
                    <a:solidFill>
                      <a:srgbClr val="000000"/>
                    </a:solidFill>
                    <a:latin typeface="Times New Roman"/>
                    <a:cs typeface="Times New Roman"/>
                  </a:rPr>
                  <a:t>* - темп прироста (спада) в % к </a:t>
                </a:r>
              </a:p>
              <a:p>
                <a:pPr algn="ctr">
                  <a:defRPr sz="850" b="1" i="0" u="none" strike="noStrike" baseline="0">
                    <a:solidFill>
                      <a:srgbClr val="000000"/>
                    </a:solidFill>
                    <a:latin typeface="Arial Cyr"/>
                    <a:ea typeface="Arial Cyr"/>
                    <a:cs typeface="Arial Cyr"/>
                  </a:defRPr>
                </a:pPr>
                <a:r>
                  <a:rPr lang="ru-RU" sz="850" b="1" i="0" strike="noStrike">
                    <a:solidFill>
                      <a:srgbClr val="000000"/>
                    </a:solidFill>
                    <a:latin typeface="Times New Roman"/>
                    <a:cs typeface="Times New Roman"/>
                  </a:rPr>
                  <a:t>предыдущему году</a:t>
                </a:r>
              </a:p>
            </c:rich>
          </c:tx>
          <c:layout>
            <c:manualLayout>
              <c:xMode val="edge"/>
              <c:yMode val="edge"/>
              <c:x val="1.5441819772528855E-3"/>
              <c:y val="0.33583894796657043"/>
            </c:manualLayout>
          </c:layout>
          <c:overlay val="0"/>
          <c:spPr>
            <a:noFill/>
            <a:ln w="24387">
              <a:noFill/>
            </a:ln>
          </c:spPr>
        </c:title>
        <c:numFmt formatCode="#,##0.0" sourceLinked="1"/>
        <c:majorTickMark val="cross"/>
        <c:minorTickMark val="none"/>
        <c:tickLblPos val="nextTo"/>
        <c:spPr>
          <a:ln>
            <a:solidFill>
              <a:sysClr val="windowText" lastClr="000000"/>
            </a:solidFill>
          </a:ln>
        </c:spPr>
        <c:txPr>
          <a:bodyPr rot="0" vert="horz"/>
          <a:lstStyle/>
          <a:p>
            <a:pPr>
              <a:defRPr sz="864"/>
            </a:pPr>
            <a:endParaRPr lang="ru-RU"/>
          </a:p>
        </c:txPr>
        <c:crossAx val="319378808"/>
        <c:crosses val="autoZero"/>
        <c:crossBetween val="between"/>
        <c:majorUnit val="1000"/>
      </c:valAx>
      <c:dTable>
        <c:showHorzBorder val="1"/>
        <c:showVertBorder val="1"/>
        <c:showOutline val="1"/>
        <c:showKeys val="1"/>
        <c:txPr>
          <a:bodyPr/>
          <a:lstStyle/>
          <a:p>
            <a:pPr rtl="0">
              <a:defRPr sz="850"/>
            </a:pPr>
            <a:endParaRPr lang="ru-RU"/>
          </a:p>
        </c:txPr>
      </c:dTable>
    </c:plotArea>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Поквартальна динамика  экспортно-импортных поставок ПМР                       в 2018 году, млн долл.</a:t>
            </a:r>
          </a:p>
        </c:rich>
      </c:tx>
      <c:layout>
        <c:manualLayout>
          <c:xMode val="edge"/>
          <c:yMode val="edge"/>
          <c:x val="0.16638351236610888"/>
          <c:y val="0"/>
        </c:manualLayout>
      </c:layout>
      <c:overlay val="0"/>
    </c:title>
    <c:autoTitleDeleted val="0"/>
    <c:plotArea>
      <c:layout>
        <c:manualLayout>
          <c:layoutTarget val="inner"/>
          <c:xMode val="edge"/>
          <c:yMode val="edge"/>
          <c:x val="8.5300181050932219E-2"/>
          <c:y val="0.23094475259558103"/>
          <c:w val="0.89920276346511141"/>
          <c:h val="0.51096440531140508"/>
        </c:manualLayout>
      </c:layout>
      <c:lineChart>
        <c:grouping val="standard"/>
        <c:varyColors val="0"/>
        <c:ser>
          <c:idx val="0"/>
          <c:order val="0"/>
          <c:tx>
            <c:strRef>
              <c:f>Лист1!$B$1</c:f>
              <c:strCache>
                <c:ptCount val="1"/>
                <c:pt idx="0">
                  <c:v>Экспорт</c:v>
                </c:pt>
              </c:strCache>
            </c:strRef>
          </c:tx>
          <c:spPr>
            <a:ln w="25400">
              <a:solidFill>
                <a:schemeClr val="tx1"/>
              </a:solidFill>
              <a:prstDash val="lgDash"/>
            </a:ln>
          </c:spPr>
          <c:marker>
            <c:spPr>
              <a:solidFill>
                <a:schemeClr val="tx1"/>
              </a:solidFill>
              <a:ln>
                <a:solidFill>
                  <a:schemeClr val="tx1"/>
                </a:solidFill>
              </a:ln>
            </c:spPr>
          </c:marker>
          <c:dLbls>
            <c:dLbl>
              <c:idx val="0"/>
              <c:layout>
                <c:manualLayout>
                  <c:x val="-4.3698532447670628E-2"/>
                  <c:y val="-9.61144179731746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0088851065253966E-2"/>
                  <c:y val="-7.20010210143939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685006124187612E-2"/>
                  <c:y val="-7.739972905453085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2428274491858502E-2"/>
                  <c:y val="-9.779382798401052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I квартал</c:v>
                </c:pt>
                <c:pt idx="1">
                  <c:v>II квартал</c:v>
                </c:pt>
                <c:pt idx="2">
                  <c:v>III квартал</c:v>
                </c:pt>
                <c:pt idx="3">
                  <c:v>IVквартал</c:v>
                </c:pt>
              </c:strCache>
            </c:strRef>
          </c:cat>
          <c:val>
            <c:numRef>
              <c:f>Лист1!$B$2:$B$5</c:f>
              <c:numCache>
                <c:formatCode>0.0</c:formatCode>
                <c:ptCount val="4"/>
                <c:pt idx="0">
                  <c:v>169.28</c:v>
                </c:pt>
                <c:pt idx="1">
                  <c:v>181.58</c:v>
                </c:pt>
                <c:pt idx="2">
                  <c:v>176.96</c:v>
                </c:pt>
                <c:pt idx="3">
                  <c:v>169.16</c:v>
                </c:pt>
              </c:numCache>
            </c:numRef>
          </c:val>
          <c:smooth val="0"/>
        </c:ser>
        <c:ser>
          <c:idx val="1"/>
          <c:order val="1"/>
          <c:tx>
            <c:strRef>
              <c:f>Лист1!$C$1</c:f>
              <c:strCache>
                <c:ptCount val="1"/>
                <c:pt idx="0">
                  <c:v>Импорт</c:v>
                </c:pt>
              </c:strCache>
            </c:strRef>
          </c:tx>
          <c:spPr>
            <a:ln w="25400">
              <a:solidFill>
                <a:schemeClr val="tx1"/>
              </a:solidFill>
            </a:ln>
          </c:spPr>
          <c:marker>
            <c:symbol val="circle"/>
            <c:size val="7"/>
            <c:spPr>
              <a:solidFill>
                <a:schemeClr val="tx1"/>
              </a:solidFill>
              <a:ln>
                <a:solidFill>
                  <a:schemeClr val="tx1"/>
                </a:solidFill>
              </a:ln>
            </c:spPr>
          </c:marker>
          <c:dLbls>
            <c:dLbl>
              <c:idx val="0"/>
              <c:layout>
                <c:manualLayout>
                  <c:x val="-6.1158191154777962E-2"/>
                  <c:y val="-7.90790138071020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4366177497103854E-2"/>
                  <c:y val="-2.29348514841761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4516587101064128E-2"/>
                  <c:y val="-9.15555983444642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7473360318454527E-2"/>
                  <c:y val="-2.29350723094320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I квартал</c:v>
                </c:pt>
                <c:pt idx="1">
                  <c:v>II квартал</c:v>
                </c:pt>
                <c:pt idx="2">
                  <c:v>III квартал</c:v>
                </c:pt>
                <c:pt idx="3">
                  <c:v>IVквартал</c:v>
                </c:pt>
              </c:strCache>
            </c:strRef>
          </c:cat>
          <c:val>
            <c:numRef>
              <c:f>Лист1!$C$2:$C$5</c:f>
              <c:numCache>
                <c:formatCode>0.0</c:formatCode>
                <c:ptCount val="4"/>
                <c:pt idx="0">
                  <c:v>289.55</c:v>
                </c:pt>
                <c:pt idx="1">
                  <c:v>327.64999999999998</c:v>
                </c:pt>
                <c:pt idx="2">
                  <c:v>275.89</c:v>
                </c:pt>
                <c:pt idx="3">
                  <c:v>323.12</c:v>
                </c:pt>
              </c:numCache>
            </c:numRef>
          </c:val>
          <c:smooth val="0"/>
        </c:ser>
        <c:dLbls>
          <c:showLegendKey val="0"/>
          <c:showVal val="1"/>
          <c:showCatName val="0"/>
          <c:showSerName val="0"/>
          <c:showPercent val="0"/>
          <c:showBubbleSize val="0"/>
        </c:dLbls>
        <c:marker val="1"/>
        <c:smooth val="0"/>
        <c:axId val="319380376"/>
        <c:axId val="319380768"/>
      </c:lineChart>
      <c:catAx>
        <c:axId val="319380376"/>
        <c:scaling>
          <c:orientation val="minMax"/>
        </c:scaling>
        <c:delete val="0"/>
        <c:axPos val="b"/>
        <c:numFmt formatCode="General" sourceLinked="0"/>
        <c:majorTickMark val="cross"/>
        <c:minorTickMark val="none"/>
        <c:tickLblPos val="nextTo"/>
        <c:spPr>
          <a:ln>
            <a:solidFill>
              <a:schemeClr val="tx1"/>
            </a:solidFill>
          </a:ln>
        </c:spPr>
        <c:txPr>
          <a:bodyPr/>
          <a:lstStyle/>
          <a:p>
            <a:pPr>
              <a:defRPr sz="900" b="1"/>
            </a:pPr>
            <a:endParaRPr lang="ru-RU"/>
          </a:p>
        </c:txPr>
        <c:crossAx val="319380768"/>
        <c:crosses val="autoZero"/>
        <c:auto val="1"/>
        <c:lblAlgn val="ctr"/>
        <c:lblOffset val="100"/>
        <c:noMultiLvlLbl val="0"/>
      </c:catAx>
      <c:valAx>
        <c:axId val="319380768"/>
        <c:scaling>
          <c:orientation val="minMax"/>
          <c:min val="100"/>
        </c:scaling>
        <c:delete val="0"/>
        <c:axPos val="l"/>
        <c:majorGridlines/>
        <c:numFmt formatCode="0.0" sourceLinked="1"/>
        <c:majorTickMark val="cross"/>
        <c:minorTickMark val="none"/>
        <c:tickLblPos val="nextTo"/>
        <c:spPr>
          <a:ln>
            <a:solidFill>
              <a:schemeClr val="tx1"/>
            </a:solidFill>
          </a:ln>
        </c:spPr>
        <c:txPr>
          <a:bodyPr/>
          <a:lstStyle/>
          <a:p>
            <a:pPr>
              <a:defRPr sz="860" b="1"/>
            </a:pPr>
            <a:endParaRPr lang="ru-RU"/>
          </a:p>
        </c:txPr>
        <c:crossAx val="319380376"/>
        <c:crosses val="autoZero"/>
        <c:crossBetween val="between"/>
      </c:valAx>
    </c:plotArea>
    <c:legend>
      <c:legendPos val="b"/>
      <c:layout>
        <c:manualLayout>
          <c:xMode val="edge"/>
          <c:yMode val="edge"/>
          <c:x val="6.8271331664274376E-2"/>
          <c:y val="0.90374543793380457"/>
          <c:w val="0.31005430775136417"/>
          <c:h val="9.6254409740677588E-2"/>
        </c:manualLayout>
      </c:layout>
      <c:overlay val="0"/>
      <c:txPr>
        <a:bodyPr/>
        <a:lstStyle/>
        <a:p>
          <a:pPr>
            <a:defRPr sz="900" b="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152">
                <a:latin typeface="Times New Roman" pitchFamily="18" charset="0"/>
                <a:cs typeface="Times New Roman" pitchFamily="18" charset="0"/>
              </a:rPr>
              <a:t>Товарная структура экспорта, млн дол. США</a:t>
            </a:r>
          </a:p>
        </c:rich>
      </c:tx>
      <c:layout>
        <c:manualLayout>
          <c:xMode val="edge"/>
          <c:yMode val="edge"/>
          <c:x val="0.28168056312549761"/>
          <c:y val="8.9605932125622306E-4"/>
        </c:manualLayout>
      </c:layout>
      <c:overlay val="0"/>
      <c:spPr>
        <a:noFill/>
        <a:ln w="24386">
          <a:noFill/>
        </a:ln>
      </c:spPr>
    </c:title>
    <c:autoTitleDeleted val="0"/>
    <c:plotArea>
      <c:layout>
        <c:manualLayout>
          <c:layoutTarget val="inner"/>
          <c:xMode val="edge"/>
          <c:yMode val="edge"/>
          <c:x val="7.163181174256103E-2"/>
          <c:y val="7.490483434674293E-2"/>
          <c:w val="0.91480223402308281"/>
          <c:h val="0.37462103644811379"/>
        </c:manualLayout>
      </c:layout>
      <c:barChart>
        <c:barDir val="col"/>
        <c:grouping val="clustered"/>
        <c:varyColors val="0"/>
        <c:ser>
          <c:idx val="0"/>
          <c:order val="0"/>
          <c:tx>
            <c:strRef>
              <c:f>Sheet1!$A$2</c:f>
              <c:strCache>
                <c:ptCount val="1"/>
                <c:pt idx="0">
                  <c:v>2017 г.</c:v>
                </c:pt>
              </c:strCache>
            </c:strRef>
          </c:tx>
          <c:spPr>
            <a:solidFill>
              <a:sysClr val="window" lastClr="FFFFFF">
                <a:lumMod val="75000"/>
              </a:sysClr>
            </a:solidFill>
          </c:spPr>
          <c:invertIfNegative val="0"/>
          <c:dLbls>
            <c:dLbl>
              <c:idx val="0"/>
              <c:layout>
                <c:manualLayout>
                  <c:x val="-4.3723566812214013E-3"/>
                  <c:y val="2.9912765758649202E-3"/>
                </c:manualLayout>
              </c:layout>
              <c:tx>
                <c:rich>
                  <a:bodyPr/>
                  <a:lstStyle/>
                  <a:p>
                    <a:r>
                      <a:rPr lang="en-US" sz="864"/>
                      <a:t>42,7*</a:t>
                    </a:r>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6.4204877616104439E-3"/>
                  <c:y val="1.3320082562495223E-2"/>
                </c:manualLayout>
              </c:layout>
              <c:tx>
                <c:rich>
                  <a:bodyPr/>
                  <a:lstStyle/>
                  <a:p>
                    <a:r>
                      <a:rPr lang="en-US" sz="864"/>
                      <a:t>20,0*</a:t>
                    </a:r>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4.2848786071703624E-3"/>
                  <c:y val="1.1693129876550521E-2"/>
                </c:manualLayout>
              </c:layout>
              <c:tx>
                <c:rich>
                  <a:bodyPr/>
                  <a:lstStyle/>
                  <a:p>
                    <a:r>
                      <a:rPr lang="en-US" sz="864"/>
                      <a:t>13,9*</a:t>
                    </a:r>
                  </a:p>
                </c:rich>
              </c:tx>
              <c:dLblPos val="outEnd"/>
              <c:showLegendKey val="0"/>
              <c:showVal val="0"/>
              <c:showCatName val="0"/>
              <c:showSerName val="0"/>
              <c:showPercent val="0"/>
              <c:showBubbleSize val="0"/>
              <c:extLst>
                <c:ext xmlns:c15="http://schemas.microsoft.com/office/drawing/2012/chart" uri="{CE6537A1-D6FC-4f65-9D91-7224C49458BB}"/>
              </c:extLst>
            </c:dLbl>
            <c:dLbl>
              <c:idx val="3"/>
              <c:layout>
                <c:manualLayout>
                  <c:x val="-6.1443932411674364E-3"/>
                  <c:y val="1.2944983818770227E-2"/>
                </c:manualLayout>
              </c:layout>
              <c:tx>
                <c:rich>
                  <a:bodyPr/>
                  <a:lstStyle/>
                  <a:p>
                    <a:r>
                      <a:rPr lang="en-US" sz="864"/>
                      <a:t>13,0*</a:t>
                    </a:r>
                  </a:p>
                </c:rich>
              </c:tx>
              <c:dLblPos val="outEnd"/>
              <c:showLegendKey val="0"/>
              <c:showVal val="0"/>
              <c:showCatName val="0"/>
              <c:showSerName val="0"/>
              <c:showPercent val="0"/>
              <c:showBubbleSize val="0"/>
              <c:extLst>
                <c:ext xmlns:c15="http://schemas.microsoft.com/office/drawing/2012/chart" uri="{CE6537A1-D6FC-4f65-9D91-7224C49458BB}"/>
              </c:extLst>
            </c:dLbl>
            <c:dLbl>
              <c:idx val="4"/>
              <c:layout>
                <c:manualLayout>
                  <c:x val="2.0219129585546499E-4"/>
                  <c:y val="5.0503443167165506E-3"/>
                </c:manualLayout>
              </c:layout>
              <c:tx>
                <c:rich>
                  <a:bodyPr/>
                  <a:lstStyle/>
                  <a:p>
                    <a:r>
                      <a:rPr lang="en-US" sz="864"/>
                      <a:t>5,8*</a:t>
                    </a:r>
                  </a:p>
                </c:rich>
              </c:tx>
              <c:dLblPos val="outEnd"/>
              <c:showLegendKey val="0"/>
              <c:showVal val="0"/>
              <c:showCatName val="0"/>
              <c:showSerName val="0"/>
              <c:showPercent val="0"/>
              <c:showBubbleSize val="0"/>
              <c:extLst>
                <c:ext xmlns:c15="http://schemas.microsoft.com/office/drawing/2012/chart" uri="{CE6537A1-D6FC-4f65-9D91-7224C49458BB}"/>
              </c:extLst>
            </c:dLbl>
            <c:dLbl>
              <c:idx val="5"/>
              <c:layout>
                <c:manualLayout>
                  <c:x val="-1.868553175909167E-3"/>
                  <c:y val="1.3705796567995643E-2"/>
                </c:manualLayout>
              </c:layout>
              <c:tx>
                <c:rich>
                  <a:bodyPr/>
                  <a:lstStyle/>
                  <a:p>
                    <a:r>
                      <a:rPr lang="en-US" sz="864"/>
                      <a:t>1,9*</a:t>
                    </a:r>
                  </a:p>
                </c:rich>
              </c:tx>
              <c:dLblPos val="outEnd"/>
              <c:showLegendKey val="0"/>
              <c:showVal val="0"/>
              <c:showCatName val="0"/>
              <c:showSerName val="0"/>
              <c:showPercent val="0"/>
              <c:showBubbleSize val="0"/>
              <c:extLst>
                <c:ext xmlns:c15="http://schemas.microsoft.com/office/drawing/2012/chart" uri="{CE6537A1-D6FC-4f65-9D91-7224C49458BB}"/>
              </c:extLst>
            </c:dLbl>
            <c:dLbl>
              <c:idx val="6"/>
              <c:layout>
                <c:manualLayout>
                  <c:x val="-8.4868461209790767E-3"/>
                  <c:y val="8.8280428361092247E-3"/>
                </c:manualLayout>
              </c:layout>
              <c:tx>
                <c:rich>
                  <a:bodyPr/>
                  <a:lstStyle/>
                  <a:p>
                    <a:r>
                      <a:rPr lang="en-US" sz="864"/>
                      <a:t>2,7*</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4386">
                <a:noFill/>
              </a:ln>
            </c:spPr>
            <c:txPr>
              <a:bodyPr rot="0" vert="horz"/>
              <a:lstStyle/>
              <a:p>
                <a:pPr>
                  <a:defRPr sz="864"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228.4</c:v>
                </c:pt>
                <c:pt idx="1">
                  <c:v>107.1</c:v>
                </c:pt>
                <c:pt idx="2">
                  <c:v>74.3</c:v>
                </c:pt>
                <c:pt idx="3">
                  <c:v>69.599999999999994</c:v>
                </c:pt>
                <c:pt idx="4">
                  <c:v>30.9</c:v>
                </c:pt>
                <c:pt idx="5">
                  <c:v>10.4</c:v>
                </c:pt>
                <c:pt idx="6">
                  <c:v>14.400000000000064</c:v>
                </c:pt>
              </c:numCache>
            </c:numRef>
          </c:val>
        </c:ser>
        <c:ser>
          <c:idx val="1"/>
          <c:order val="1"/>
          <c:tx>
            <c:strRef>
              <c:f>Sheet1!$A$3</c:f>
              <c:strCache>
                <c:ptCount val="1"/>
                <c:pt idx="0">
                  <c:v>2018 г.</c:v>
                </c:pt>
              </c:strCache>
            </c:strRef>
          </c:tx>
          <c:spPr>
            <a:solidFill>
              <a:sysClr val="windowText" lastClr="000000">
                <a:lumMod val="75000"/>
                <a:lumOff val="25000"/>
              </a:sysClr>
            </a:solidFill>
            <a:scene3d>
              <a:camera prst="orthographicFront"/>
              <a:lightRig rig="threePt" dir="t">
                <a:rot lat="0" lon="0" rev="1800000"/>
              </a:lightRig>
            </a:scene3d>
            <a:sp3d>
              <a:bevelT w="63500" h="25400"/>
            </a:sp3d>
          </c:spPr>
          <c:invertIfNegative val="0"/>
          <c:dLbls>
            <c:dLbl>
              <c:idx val="0"/>
              <c:layout>
                <c:manualLayout>
                  <c:x val="4.2848786071703624E-3"/>
                  <c:y val="1.4155409361457923E-2"/>
                </c:manualLayout>
              </c:layout>
              <c:tx>
                <c:rich>
                  <a:bodyPr/>
                  <a:lstStyle/>
                  <a:p>
                    <a:r>
                      <a:rPr lang="en-US" sz="864"/>
                      <a:t>42,8*</a:t>
                    </a:r>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6.4205457463884395E-3"/>
                  <c:y val="5.0505050505050475E-3"/>
                </c:manualLayout>
              </c:layout>
              <c:tx>
                <c:rich>
                  <a:bodyPr/>
                  <a:lstStyle/>
                  <a:p>
                    <a:r>
                      <a:rPr lang="en-US" sz="864"/>
                      <a:t>17,2*</a:t>
                    </a:r>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8.5607276618512567E-3"/>
                  <c:y val="6.0606060606060629E-2"/>
                </c:manualLayout>
              </c:layout>
              <c:tx>
                <c:rich>
                  <a:bodyPr/>
                  <a:lstStyle/>
                  <a:p>
                    <a:r>
                      <a:rPr lang="en-US" sz="864"/>
                      <a:t>10,6*</a:t>
                    </a:r>
                  </a:p>
                  <a:p>
                    <a:endParaRPr lang="en-US" sz="900"/>
                  </a:p>
                </c:rich>
              </c:tx>
              <c:dLblPos val="outEnd"/>
              <c:showLegendKey val="0"/>
              <c:showVal val="0"/>
              <c:showCatName val="0"/>
              <c:showSerName val="0"/>
              <c:showPercent val="0"/>
              <c:showBubbleSize val="0"/>
              <c:extLst>
                <c:ext xmlns:c15="http://schemas.microsoft.com/office/drawing/2012/chart" uri="{CE6537A1-D6FC-4f65-9D91-7224C49458BB}"/>
              </c:extLst>
            </c:dLbl>
            <c:dLbl>
              <c:idx val="3"/>
              <c:layout>
                <c:manualLayout>
                  <c:x val="8.5607276618512567E-3"/>
                  <c:y val="1.0101010101010105E-2"/>
                </c:manualLayout>
              </c:layout>
              <c:tx>
                <c:rich>
                  <a:bodyPr/>
                  <a:lstStyle/>
                  <a:p>
                    <a:r>
                      <a:rPr lang="en-US" sz="864"/>
                      <a:t>17,0*</a:t>
                    </a:r>
                  </a:p>
                </c:rich>
              </c:tx>
              <c:dLblPos val="outEnd"/>
              <c:showLegendKey val="0"/>
              <c:showVal val="0"/>
              <c:showCatName val="0"/>
              <c:showSerName val="0"/>
              <c:showPercent val="0"/>
              <c:showBubbleSize val="0"/>
              <c:extLst>
                <c:ext xmlns:c15="http://schemas.microsoft.com/office/drawing/2012/chart" uri="{CE6537A1-D6FC-4f65-9D91-7224C49458BB}"/>
              </c:extLst>
            </c:dLbl>
            <c:dLbl>
              <c:idx val="4"/>
              <c:layout>
                <c:manualLayout>
                  <c:x val="2.1424393035851808E-3"/>
                  <c:y val="1.0909005164752423E-2"/>
                </c:manualLayout>
              </c:layout>
              <c:tx>
                <c:rich>
                  <a:bodyPr/>
                  <a:lstStyle/>
                  <a:p>
                    <a:r>
                      <a:rPr lang="en-US" sz="864"/>
                      <a:t>4,0*</a:t>
                    </a:r>
                  </a:p>
                </c:rich>
              </c:tx>
              <c:dLblPos val="outEnd"/>
              <c:showLegendKey val="0"/>
              <c:showVal val="0"/>
              <c:showCatName val="0"/>
              <c:showSerName val="0"/>
              <c:showPercent val="0"/>
              <c:showBubbleSize val="0"/>
              <c:extLst>
                <c:ext xmlns:c15="http://schemas.microsoft.com/office/drawing/2012/chart" uri="{CE6537A1-D6FC-4f65-9D91-7224C49458BB}"/>
              </c:extLst>
            </c:dLbl>
            <c:dLbl>
              <c:idx val="5"/>
              <c:layout>
                <c:manualLayout>
                  <c:x val="1.0700917863620868E-2"/>
                  <c:y val="1.5984487076269503E-2"/>
                </c:manualLayout>
              </c:layout>
              <c:tx>
                <c:rich>
                  <a:bodyPr/>
                  <a:lstStyle/>
                  <a:p>
                    <a:r>
                      <a:rPr lang="en-US" sz="864"/>
                      <a:t>5,6*</a:t>
                    </a:r>
                  </a:p>
                </c:rich>
              </c:tx>
              <c:dLblPos val="outEnd"/>
              <c:showLegendKey val="0"/>
              <c:showVal val="0"/>
              <c:showCatName val="0"/>
              <c:showSerName val="0"/>
              <c:showPercent val="0"/>
              <c:showBubbleSize val="0"/>
              <c:extLst>
                <c:ext xmlns:c15="http://schemas.microsoft.com/office/drawing/2012/chart" uri="{CE6537A1-D6FC-4f65-9D91-7224C49458BB}"/>
              </c:extLst>
            </c:dLbl>
            <c:dLbl>
              <c:idx val="6"/>
              <c:layout>
                <c:manualLayout>
                  <c:x val="4.2803638309256934E-3"/>
                  <c:y val="1.5936254980079678E-2"/>
                </c:manualLayout>
              </c:layout>
              <c:tx>
                <c:rich>
                  <a:bodyPr/>
                  <a:lstStyle/>
                  <a:p>
                    <a:r>
                      <a:rPr lang="en-US" sz="864"/>
                      <a:t>2,8*</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4386">
                <a:noFill/>
              </a:ln>
            </c:spPr>
            <c:txPr>
              <a:bodyPr rot="0" vert="horz"/>
              <a:lstStyle/>
              <a:p>
                <a:pPr>
                  <a:defRPr sz="864"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298.2</c:v>
                </c:pt>
                <c:pt idx="1">
                  <c:v>119.5</c:v>
                </c:pt>
                <c:pt idx="2">
                  <c:v>73.7</c:v>
                </c:pt>
                <c:pt idx="3">
                  <c:v>118.4</c:v>
                </c:pt>
                <c:pt idx="4">
                  <c:v>28.2</c:v>
                </c:pt>
                <c:pt idx="5">
                  <c:v>39.1</c:v>
                </c:pt>
                <c:pt idx="6">
                  <c:v>19.900000000000013</c:v>
                </c:pt>
              </c:numCache>
            </c:numRef>
          </c:val>
        </c:ser>
        <c:dLbls>
          <c:showLegendKey val="0"/>
          <c:showVal val="1"/>
          <c:showCatName val="0"/>
          <c:showSerName val="0"/>
          <c:showPercent val="0"/>
          <c:showBubbleSize val="0"/>
        </c:dLbls>
        <c:gapWidth val="160"/>
        <c:overlap val="-17"/>
        <c:axId val="319381552"/>
        <c:axId val="238084096"/>
      </c:barChart>
      <c:catAx>
        <c:axId val="319381552"/>
        <c:scaling>
          <c:orientation val="minMax"/>
        </c:scaling>
        <c:delete val="0"/>
        <c:axPos val="b"/>
        <c:numFmt formatCode="General" sourceLinked="1"/>
        <c:majorTickMark val="cross"/>
        <c:minorTickMark val="none"/>
        <c:tickLblPos val="low"/>
        <c:spPr>
          <a:ln>
            <a:solidFill>
              <a:sysClr val="windowText" lastClr="000000"/>
            </a:solidFill>
          </a:ln>
        </c:spPr>
        <c:txPr>
          <a:bodyPr rot="-5400000" vert="horz" anchor="ctr" anchorCtr="1"/>
          <a:lstStyle/>
          <a:p>
            <a:pPr>
              <a:defRPr sz="864" b="1" i="0">
                <a:latin typeface="Times New Roman" pitchFamily="18" charset="0"/>
                <a:cs typeface="Times New Roman" pitchFamily="18" charset="0"/>
              </a:defRPr>
            </a:pPr>
            <a:endParaRPr lang="ru-RU"/>
          </a:p>
        </c:txPr>
        <c:crossAx val="238084096"/>
        <c:crosses val="autoZero"/>
        <c:auto val="0"/>
        <c:lblAlgn val="ctr"/>
        <c:lblOffset val="160"/>
        <c:tickLblSkip val="1"/>
        <c:tickMarkSkip val="1"/>
        <c:noMultiLvlLbl val="0"/>
      </c:catAx>
      <c:valAx>
        <c:axId val="238084096"/>
        <c:scaling>
          <c:orientation val="minMax"/>
        </c:scaling>
        <c:delete val="0"/>
        <c:axPos val="l"/>
        <c:title>
          <c:tx>
            <c:rich>
              <a:bodyPr rot="0" vert="horz"/>
              <a:lstStyle/>
              <a:p>
                <a:pPr algn="ctr">
                  <a:defRPr sz="864" b="1" i="0" u="none" strike="noStrike" baseline="0">
                    <a:solidFill>
                      <a:srgbClr val="000000"/>
                    </a:solidFill>
                    <a:latin typeface="Times New Roman"/>
                    <a:ea typeface="Times New Roman"/>
                    <a:cs typeface="Times New Roman"/>
                  </a:defRPr>
                </a:pPr>
                <a:r>
                  <a:rPr lang="ru-RU"/>
                  <a:t>*- удельный вес в общем объеме экспорта,%</a:t>
                </a:r>
              </a:p>
            </c:rich>
          </c:tx>
          <c:layout>
            <c:manualLayout>
              <c:xMode val="edge"/>
              <c:yMode val="edge"/>
              <c:x val="0.79959952335334961"/>
              <c:y val="9.8918440148544728E-2"/>
            </c:manualLayout>
          </c:layout>
          <c:overlay val="0"/>
          <c:spPr>
            <a:noFill/>
            <a:ln w="24386">
              <a:noFill/>
            </a:ln>
          </c:spPr>
        </c:title>
        <c:numFmt formatCode="0.0" sourceLinked="1"/>
        <c:majorTickMark val="cross"/>
        <c:minorTickMark val="none"/>
        <c:tickLblPos val="nextTo"/>
        <c:spPr>
          <a:ln>
            <a:solidFill>
              <a:sysClr val="windowText" lastClr="000000"/>
            </a:solidFill>
          </a:ln>
        </c:spPr>
        <c:txPr>
          <a:bodyPr rot="0" vert="horz"/>
          <a:lstStyle/>
          <a:p>
            <a:pPr>
              <a:defRPr sz="864" b="1">
                <a:latin typeface="Times New Roman" pitchFamily="18" charset="0"/>
                <a:cs typeface="Times New Roman" pitchFamily="18" charset="0"/>
              </a:defRPr>
            </a:pPr>
            <a:endParaRPr lang="ru-RU"/>
          </a:p>
        </c:txPr>
        <c:crossAx val="319381552"/>
        <c:crosses val="autoZero"/>
        <c:crossBetween val="between"/>
        <c:majorUnit val="50"/>
      </c:valAx>
    </c:plotArea>
    <c:legend>
      <c:legendPos val="r"/>
      <c:legendEntry>
        <c:idx val="1"/>
        <c:txPr>
          <a:bodyPr/>
          <a:lstStyle/>
          <a:p>
            <a:pPr>
              <a:defRPr b="1">
                <a:latin typeface="Times New Roman" pitchFamily="18" charset="0"/>
                <a:cs typeface="Times New Roman" pitchFamily="18" charset="0"/>
              </a:defRPr>
            </a:pPr>
            <a:endParaRPr lang="ru-RU"/>
          </a:p>
        </c:txPr>
      </c:legendEntry>
      <c:layout>
        <c:manualLayout>
          <c:xMode val="edge"/>
          <c:yMode val="edge"/>
          <c:x val="9.6439169139465875E-2"/>
          <c:y val="0.94213762572727056"/>
          <c:w val="0.79970326409495551"/>
          <c:h val="5.7862374272727134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163">
                <a:latin typeface="Times New Roman" pitchFamily="18" charset="0"/>
                <a:cs typeface="Times New Roman" pitchFamily="18" charset="0"/>
              </a:rPr>
              <a:t>Экспорт товаров в разрезе основных стран, млн долл. США</a:t>
            </a:r>
          </a:p>
        </c:rich>
      </c:tx>
      <c:layout>
        <c:manualLayout>
          <c:xMode val="edge"/>
          <c:yMode val="edge"/>
          <c:x val="0.22827789060304116"/>
          <c:y val="3.6354959762261216E-4"/>
        </c:manualLayout>
      </c:layout>
      <c:overlay val="0"/>
      <c:spPr>
        <a:solidFill>
          <a:sysClr val="window" lastClr="FFFFFF"/>
        </a:solidFill>
        <a:ln w="24619">
          <a:noFill/>
        </a:ln>
      </c:spPr>
    </c:title>
    <c:autoTitleDeleted val="0"/>
    <c:plotArea>
      <c:layout>
        <c:manualLayout>
          <c:layoutTarget val="inner"/>
          <c:xMode val="edge"/>
          <c:yMode val="edge"/>
          <c:x val="0.23195427102224594"/>
          <c:y val="0.13683634033934741"/>
          <c:w val="0.7583275559942767"/>
          <c:h val="0.48089388826397267"/>
        </c:manualLayout>
      </c:layout>
      <c:barChart>
        <c:barDir val="col"/>
        <c:grouping val="clustered"/>
        <c:varyColors val="0"/>
        <c:ser>
          <c:idx val="0"/>
          <c:order val="0"/>
          <c:tx>
            <c:strRef>
              <c:f>Лист1!$B$1</c:f>
              <c:strCache>
                <c:ptCount val="1"/>
                <c:pt idx="0">
                  <c:v>2017 г.</c:v>
                </c:pt>
              </c:strCache>
            </c:strRef>
          </c:tx>
          <c:spPr>
            <a:solidFill>
              <a:sysClr val="window" lastClr="FFFFFF">
                <a:lumMod val="75000"/>
              </a:sysClr>
            </a:solidFill>
          </c:spPr>
          <c:invertIfNegative val="0"/>
          <c:dLbls>
            <c:dLbl>
              <c:idx val="0"/>
              <c:layout>
                <c:manualLayout>
                  <c:x val="-6.3059806203469848E-3"/>
                  <c:y val="1.8115897277546221E-2"/>
                </c:manualLayout>
              </c:layout>
              <c:tx>
                <c:rich>
                  <a:bodyPr/>
                  <a:lstStyle/>
                  <a:p>
                    <a:r>
                      <a:rPr lang="ru-RU" sz="890" b="1">
                        <a:latin typeface="Times New Roman" pitchFamily="18" charset="0"/>
                        <a:cs typeface="Times New Roman" pitchFamily="18" charset="0"/>
                      </a:rPr>
                      <a:t>30,6*</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4.2906021033853299E-3"/>
                  <c:y val="1.3442448764612378E-2"/>
                </c:manualLayout>
              </c:layout>
              <c:tx>
                <c:rich>
                  <a:bodyPr/>
                  <a:lstStyle/>
                  <a:p>
                    <a:r>
                      <a:rPr lang="ru-RU" sz="890" b="1">
                        <a:latin typeface="Times New Roman" pitchFamily="18" charset="0"/>
                        <a:cs typeface="Times New Roman" pitchFamily="18" charset="0"/>
                      </a:rPr>
                      <a:t>17,7*</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8.3951905797990077E-3"/>
                  <c:y val="2.3555398936734508E-2"/>
                </c:manualLayout>
              </c:layout>
              <c:tx>
                <c:rich>
                  <a:bodyPr/>
                  <a:lstStyle/>
                  <a:p>
                    <a:r>
                      <a:rPr lang="ru-RU" sz="890" b="1">
                        <a:latin typeface="Times New Roman" pitchFamily="18" charset="0"/>
                        <a:cs typeface="Times New Roman" pitchFamily="18" charset="0"/>
                      </a:rPr>
                      <a:t>19,2*</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1.0903260288616051E-3"/>
                  <c:y val="1.0085616580520892E-2"/>
                </c:manualLayout>
              </c:layout>
              <c:tx>
                <c:rich>
                  <a:bodyPr/>
                  <a:lstStyle/>
                  <a:p>
                    <a:r>
                      <a:rPr lang="ru-RU" sz="890" b="1">
                        <a:latin typeface="Times New Roman" pitchFamily="18" charset="0"/>
                        <a:cs typeface="Times New Roman" pitchFamily="18" charset="0"/>
                      </a:rPr>
                      <a:t>12,4*</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1.0091052406087941E-3"/>
                  <c:y val="9.9600593404088594E-3"/>
                </c:manualLayout>
              </c:layout>
              <c:tx>
                <c:rich>
                  <a:bodyPr/>
                  <a:lstStyle/>
                  <a:p>
                    <a:r>
                      <a:rPr lang="ru-RU" sz="890" b="1">
                        <a:latin typeface="Times New Roman" pitchFamily="18" charset="0"/>
                        <a:cs typeface="Times New Roman" pitchFamily="18" charset="0"/>
                      </a:rPr>
                      <a:t>4,5*</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1.4193123818706341E-3"/>
                  <c:y val="-7.7409678628882517E-5"/>
                </c:manualLayout>
              </c:layout>
              <c:tx>
                <c:rich>
                  <a:bodyPr/>
                  <a:lstStyle/>
                  <a:p>
                    <a:r>
                      <a:rPr lang="ru-RU" sz="890" b="1">
                        <a:latin typeface="Times New Roman" pitchFamily="18" charset="0"/>
                        <a:cs typeface="Times New Roman" pitchFamily="18" charset="0"/>
                      </a:rPr>
                      <a:t>4,3*</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3.3236415970983612E-3"/>
                  <c:y val="1.5872988702499143E-2"/>
                </c:manualLayout>
              </c:layout>
              <c:tx>
                <c:rich>
                  <a:bodyPr/>
                  <a:lstStyle/>
                  <a:p>
                    <a:r>
                      <a:rPr lang="ru-RU" sz="890" b="1">
                        <a:latin typeface="Times New Roman" pitchFamily="18" charset="0"/>
                        <a:cs typeface="Times New Roman" pitchFamily="18" charset="0"/>
                      </a:rPr>
                      <a:t>11,3*</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7"/>
              <c:layout>
                <c:manualLayout>
                  <c:x val="1.6173653968929569E-4"/>
                  <c:y val="3.1051770702578015E-3"/>
                </c:manualLayout>
              </c:layout>
              <c:tx>
                <c:rich>
                  <a:bodyPr/>
                  <a:lstStyle/>
                  <a:p>
                    <a:r>
                      <a:rPr lang="ru-RU" sz="890" b="1">
                        <a:latin typeface="Times New Roman" pitchFamily="18" charset="0"/>
                        <a:cs typeface="Times New Roman" pitchFamily="18" charset="0"/>
                      </a:rPr>
                      <a:t>7,9*</a:t>
                    </a:r>
                    <a:endParaRPr lang="en-US" sz="90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5124">
                <a:noFill/>
              </a:ln>
            </c:spPr>
            <c:txPr>
              <a:bodyPr/>
              <a:lstStyle/>
              <a:p>
                <a:pPr>
                  <a:defRPr sz="89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Молдова</c:v>
                </c:pt>
                <c:pt idx="1">
                  <c:v>Украина</c:v>
                </c:pt>
                <c:pt idx="2">
                  <c:v>Румыния</c:v>
                </c:pt>
                <c:pt idx="3">
                  <c:v>Россия</c:v>
                </c:pt>
                <c:pt idx="4">
                  <c:v>Польша</c:v>
                </c:pt>
                <c:pt idx="5">
                  <c:v>Италия</c:v>
                </c:pt>
                <c:pt idx="6">
                  <c:v>Прочие страны</c:v>
                </c:pt>
              </c:strCache>
            </c:strRef>
          </c:cat>
          <c:val>
            <c:numRef>
              <c:f>Лист1!$B$2:$B$8</c:f>
              <c:numCache>
                <c:formatCode>0.0</c:formatCode>
                <c:ptCount val="7"/>
                <c:pt idx="0">
                  <c:v>163.80000000000001</c:v>
                </c:pt>
                <c:pt idx="1">
                  <c:v>94.9</c:v>
                </c:pt>
                <c:pt idx="2">
                  <c:v>102.6</c:v>
                </c:pt>
                <c:pt idx="3">
                  <c:v>66.2</c:v>
                </c:pt>
                <c:pt idx="4">
                  <c:v>24</c:v>
                </c:pt>
                <c:pt idx="5">
                  <c:v>23.1</c:v>
                </c:pt>
                <c:pt idx="6">
                  <c:v>60.500000000000028</c:v>
                </c:pt>
              </c:numCache>
            </c:numRef>
          </c:val>
        </c:ser>
        <c:ser>
          <c:idx val="1"/>
          <c:order val="1"/>
          <c:tx>
            <c:strRef>
              <c:f>Лист1!$C$1</c:f>
              <c:strCache>
                <c:ptCount val="1"/>
                <c:pt idx="0">
                  <c:v>2018 г.</c:v>
                </c:pt>
              </c:strCache>
            </c:strRef>
          </c:tx>
          <c:spPr>
            <a:solidFill>
              <a:sysClr val="windowText" lastClr="000000">
                <a:lumMod val="75000"/>
                <a:lumOff val="25000"/>
              </a:sysClr>
            </a:solidFill>
          </c:spPr>
          <c:invertIfNegative val="0"/>
          <c:dLbls>
            <c:dLbl>
              <c:idx val="0"/>
              <c:layout>
                <c:manualLayout>
                  <c:x val="1.2424531914804087E-2"/>
                  <c:y val="1.6604875006803972E-2"/>
                </c:manualLayout>
              </c:layout>
              <c:tx>
                <c:rich>
                  <a:bodyPr/>
                  <a:lstStyle/>
                  <a:p>
                    <a:r>
                      <a:rPr lang="ru-RU" sz="890" b="1">
                        <a:latin typeface="Times New Roman" pitchFamily="18" charset="0"/>
                        <a:cs typeface="Times New Roman" pitchFamily="18" charset="0"/>
                      </a:rPr>
                      <a:t>29,8*</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5.3373285581418874E-3"/>
                  <c:y val="1.1904311640294141E-2"/>
                </c:manualLayout>
              </c:layout>
              <c:tx>
                <c:rich>
                  <a:bodyPr/>
                  <a:lstStyle/>
                  <a:p>
                    <a:r>
                      <a:rPr lang="ru-RU" sz="890" b="1">
                        <a:latin typeface="Times New Roman" pitchFamily="18" charset="0"/>
                        <a:cs typeface="Times New Roman" pitchFamily="18" charset="0"/>
                      </a:rPr>
                      <a:t>20,4*</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6.7986522148579132E-3"/>
                  <c:y val="6.6061942257217857E-2"/>
                </c:manualLayout>
              </c:layout>
              <c:tx>
                <c:rich>
                  <a:bodyPr/>
                  <a:lstStyle/>
                  <a:p>
                    <a:r>
                      <a:rPr lang="ru-RU" sz="890" b="1">
                        <a:latin typeface="Times New Roman" pitchFamily="18" charset="0"/>
                        <a:cs typeface="Times New Roman" pitchFamily="18" charset="0"/>
                      </a:rPr>
                      <a:t>15,6*</a:t>
                    </a:r>
                  </a:p>
                  <a:p>
                    <a:endParaRPr lang="ru-RU" sz="90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7.6435608563360374E-3"/>
                  <c:y val="1.0963299889331871E-2"/>
                </c:manualLayout>
              </c:layout>
              <c:tx>
                <c:rich>
                  <a:bodyPr/>
                  <a:lstStyle/>
                  <a:p>
                    <a:r>
                      <a:rPr lang="ru-RU" sz="890" b="1">
                        <a:latin typeface="Times New Roman" pitchFamily="18" charset="0"/>
                        <a:cs typeface="Times New Roman" pitchFamily="18" charset="0"/>
                      </a:rPr>
                      <a:t>10,3*</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1.0614999655655301E-3"/>
                  <c:y val="1.2934673488394596E-2"/>
                </c:manualLayout>
              </c:layout>
              <c:tx>
                <c:rich>
                  <a:bodyPr/>
                  <a:lstStyle/>
                  <a:p>
                    <a:r>
                      <a:rPr lang="ru-RU" sz="890" b="1">
                        <a:latin typeface="Times New Roman" pitchFamily="18" charset="0"/>
                        <a:cs typeface="Times New Roman" pitchFamily="18" charset="0"/>
                      </a:rPr>
                      <a:t>10,8*</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9.8464335464216578E-3"/>
                  <c:y val="2.1518073022705392E-2"/>
                </c:manualLayout>
              </c:layout>
              <c:tx>
                <c:rich>
                  <a:bodyPr/>
                  <a:lstStyle/>
                  <a:p>
                    <a:r>
                      <a:rPr lang="ru-RU" sz="890" b="1">
                        <a:latin typeface="Times New Roman" pitchFamily="18" charset="0"/>
                        <a:cs typeface="Times New Roman" pitchFamily="18" charset="0"/>
                      </a:rPr>
                      <a:t>3,9*</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6.4095591654652288E-3"/>
                  <c:y val="1.4009509680855741E-2"/>
                </c:manualLayout>
              </c:layout>
              <c:tx>
                <c:rich>
                  <a:bodyPr/>
                  <a:lstStyle/>
                  <a:p>
                    <a:r>
                      <a:rPr lang="ru-RU" sz="890" b="1">
                        <a:latin typeface="Times New Roman" pitchFamily="18" charset="0"/>
                        <a:cs typeface="Times New Roman" pitchFamily="18" charset="0"/>
                      </a:rPr>
                      <a:t>9,2*</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7"/>
              <c:layout>
                <c:manualLayout>
                  <c:x val="1.415226249871919E-2"/>
                  <c:y val="7.8058503556620923E-3"/>
                </c:manualLayout>
              </c:layout>
              <c:tx>
                <c:rich>
                  <a:bodyPr/>
                  <a:lstStyle/>
                  <a:p>
                    <a:r>
                      <a:rPr lang="ru-RU" sz="890" b="1">
                        <a:latin typeface="Times New Roman" pitchFamily="18" charset="0"/>
                        <a:cs typeface="Times New Roman" pitchFamily="18" charset="0"/>
                      </a:rPr>
                      <a:t>8,1*</a:t>
                    </a:r>
                    <a:endParaRPr lang="en-US" sz="90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5124">
                <a:noFill/>
              </a:ln>
            </c:spPr>
            <c:txPr>
              <a:bodyPr/>
              <a:lstStyle/>
              <a:p>
                <a:pPr>
                  <a:defRPr sz="89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Молдова</c:v>
                </c:pt>
                <c:pt idx="1">
                  <c:v>Украина</c:v>
                </c:pt>
                <c:pt idx="2">
                  <c:v>Румыния</c:v>
                </c:pt>
                <c:pt idx="3">
                  <c:v>Россия</c:v>
                </c:pt>
                <c:pt idx="4">
                  <c:v>Польша</c:v>
                </c:pt>
                <c:pt idx="5">
                  <c:v>Италия</c:v>
                </c:pt>
                <c:pt idx="6">
                  <c:v>Прочие страны</c:v>
                </c:pt>
              </c:strCache>
            </c:strRef>
          </c:cat>
          <c:val>
            <c:numRef>
              <c:f>Лист1!$C$2:$C$8</c:f>
              <c:numCache>
                <c:formatCode>0.0</c:formatCode>
                <c:ptCount val="7"/>
                <c:pt idx="0">
                  <c:v>208</c:v>
                </c:pt>
                <c:pt idx="1">
                  <c:v>142</c:v>
                </c:pt>
                <c:pt idx="2">
                  <c:v>108.5</c:v>
                </c:pt>
                <c:pt idx="3">
                  <c:v>71.900000000000006</c:v>
                </c:pt>
                <c:pt idx="4">
                  <c:v>75</c:v>
                </c:pt>
                <c:pt idx="5">
                  <c:v>27.2</c:v>
                </c:pt>
                <c:pt idx="6">
                  <c:v>64.400000000000034</c:v>
                </c:pt>
              </c:numCache>
            </c:numRef>
          </c:val>
        </c:ser>
        <c:dLbls>
          <c:showLegendKey val="0"/>
          <c:showVal val="1"/>
          <c:showCatName val="0"/>
          <c:showSerName val="0"/>
          <c:showPercent val="0"/>
          <c:showBubbleSize val="0"/>
        </c:dLbls>
        <c:gapWidth val="150"/>
        <c:overlap val="-7"/>
        <c:axId val="238084880"/>
        <c:axId val="238085272"/>
      </c:barChart>
      <c:catAx>
        <c:axId val="238084880"/>
        <c:scaling>
          <c:orientation val="minMax"/>
        </c:scaling>
        <c:delete val="0"/>
        <c:axPos val="b"/>
        <c:numFmt formatCode="General" sourceLinked="1"/>
        <c:majorTickMark val="out"/>
        <c:minorTickMark val="none"/>
        <c:tickLblPos val="nextTo"/>
        <c:crossAx val="238085272"/>
        <c:crosses val="autoZero"/>
        <c:auto val="1"/>
        <c:lblAlgn val="ctr"/>
        <c:lblOffset val="100"/>
        <c:noMultiLvlLbl val="0"/>
      </c:catAx>
      <c:valAx>
        <c:axId val="238085272"/>
        <c:scaling>
          <c:orientation val="minMax"/>
        </c:scaling>
        <c:delete val="0"/>
        <c:axPos val="l"/>
        <c:title>
          <c:tx>
            <c:rich>
              <a:bodyPr rot="0" vert="horz"/>
              <a:lstStyle/>
              <a:p>
                <a:pPr algn="ctr">
                  <a:defRPr sz="900" b="0" i="0" u="none" strike="noStrike" baseline="0">
                    <a:solidFill>
                      <a:srgbClr val="000000"/>
                    </a:solidFill>
                    <a:latin typeface="Times New Roman"/>
                    <a:ea typeface="Times New Roman"/>
                    <a:cs typeface="Times New Roman"/>
                  </a:defRPr>
                </a:pPr>
                <a:r>
                  <a:rPr lang="ru-RU" sz="900" b="1"/>
                  <a:t>*- удельный </a:t>
                </a:r>
              </a:p>
              <a:p>
                <a:pPr algn="ctr">
                  <a:defRPr sz="900" b="0" i="0" u="none" strike="noStrike" baseline="0">
                    <a:solidFill>
                      <a:srgbClr val="000000"/>
                    </a:solidFill>
                    <a:latin typeface="Times New Roman"/>
                    <a:ea typeface="Times New Roman"/>
                    <a:cs typeface="Times New Roman"/>
                  </a:defRPr>
                </a:pPr>
                <a:r>
                  <a:rPr lang="ru-RU" sz="900" b="1"/>
                  <a:t>вес в общем</a:t>
                </a:r>
              </a:p>
              <a:p>
                <a:pPr algn="ctr">
                  <a:defRPr sz="900" b="0" i="0" u="none" strike="noStrike" baseline="0">
                    <a:solidFill>
                      <a:srgbClr val="000000"/>
                    </a:solidFill>
                    <a:latin typeface="Times New Roman"/>
                    <a:ea typeface="Times New Roman"/>
                    <a:cs typeface="Times New Roman"/>
                  </a:defRPr>
                </a:pPr>
                <a:r>
                  <a:rPr lang="ru-RU" sz="900" b="1"/>
                  <a:t> объеме </a:t>
                </a:r>
              </a:p>
              <a:p>
                <a:pPr algn="ctr">
                  <a:defRPr sz="900" b="0" i="0" u="none" strike="noStrike" baseline="0">
                    <a:solidFill>
                      <a:srgbClr val="000000"/>
                    </a:solidFill>
                    <a:latin typeface="Times New Roman"/>
                    <a:ea typeface="Times New Roman"/>
                    <a:cs typeface="Times New Roman"/>
                  </a:defRPr>
                </a:pPr>
                <a:r>
                  <a:rPr lang="ru-RU" sz="900" b="1"/>
                  <a:t>экспорта, %</a:t>
                </a:r>
              </a:p>
            </c:rich>
          </c:tx>
          <c:layout>
            <c:manualLayout>
              <c:xMode val="edge"/>
              <c:yMode val="edge"/>
              <c:x val="8.1791816839221626E-3"/>
              <c:y val="0.41823046312759332"/>
            </c:manualLayout>
          </c:layout>
          <c:overlay val="0"/>
          <c:spPr>
            <a:noFill/>
            <a:ln w="25124">
              <a:noFill/>
            </a:ln>
          </c:spPr>
        </c:title>
        <c:numFmt formatCode="0.0" sourceLinked="1"/>
        <c:majorTickMark val="cross"/>
        <c:minorTickMark val="none"/>
        <c:tickLblPos val="nextTo"/>
        <c:spPr>
          <a:ln>
            <a:solidFill>
              <a:sysClr val="windowText" lastClr="000000"/>
            </a:solidFill>
          </a:ln>
        </c:spPr>
        <c:txPr>
          <a:bodyPr/>
          <a:lstStyle/>
          <a:p>
            <a:pPr>
              <a:defRPr b="1">
                <a:latin typeface="Times New Roman" pitchFamily="18" charset="0"/>
                <a:cs typeface="Times New Roman" pitchFamily="18" charset="0"/>
              </a:defRPr>
            </a:pPr>
            <a:endParaRPr lang="ru-RU"/>
          </a:p>
        </c:txPr>
        <c:crossAx val="238084880"/>
        <c:crosses val="autoZero"/>
        <c:crossBetween val="midCat"/>
      </c:valAx>
      <c:dTable>
        <c:showHorzBorder val="1"/>
        <c:showVertBorder val="1"/>
        <c:showOutline val="1"/>
        <c:showKeys val="1"/>
        <c:txPr>
          <a:bodyPr/>
          <a:lstStyle/>
          <a:p>
            <a:pPr rtl="0">
              <a:defRPr sz="880" b="1">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398">
                <a:solidFill>
                  <a:sysClr val="windowText" lastClr="000000"/>
                </a:solidFill>
                <a:latin typeface="Times New Roman" pitchFamily="18" charset="0"/>
                <a:cs typeface="Times New Roman" pitchFamily="18" charset="0"/>
              </a:defRPr>
            </a:pPr>
            <a:r>
              <a:rPr lang="ru-RU" sz="1300">
                <a:solidFill>
                  <a:sysClr val="windowText" lastClr="000000"/>
                </a:solidFill>
                <a:latin typeface="Times New Roman" pitchFamily="18" charset="0"/>
                <a:cs typeface="Times New Roman" pitchFamily="18" charset="0"/>
              </a:rPr>
              <a:t>Структура производста ВВП, %</a:t>
            </a:r>
          </a:p>
        </c:rich>
      </c:tx>
      <c:layout>
        <c:manualLayout>
          <c:xMode val="edge"/>
          <c:yMode val="edge"/>
          <c:x val="0.28104169221837927"/>
          <c:y val="6.1746802926229962E-3"/>
        </c:manualLayout>
      </c:layout>
      <c:overlay val="0"/>
    </c:title>
    <c:autoTitleDeleted val="0"/>
    <c:plotArea>
      <c:layout>
        <c:manualLayout>
          <c:layoutTarget val="inner"/>
          <c:xMode val="edge"/>
          <c:yMode val="edge"/>
          <c:x val="6.7009375615890682E-2"/>
          <c:y val="0.12322350646651906"/>
          <c:w val="0.8992202628425916"/>
          <c:h val="0.7145411036268926"/>
        </c:manualLayout>
      </c:layout>
      <c:barChart>
        <c:barDir val="col"/>
        <c:grouping val="clustered"/>
        <c:varyColors val="0"/>
        <c:ser>
          <c:idx val="0"/>
          <c:order val="0"/>
          <c:tx>
            <c:strRef>
              <c:f>Лист1!$B$1</c:f>
              <c:strCache>
                <c:ptCount val="1"/>
                <c:pt idx="0">
                  <c:v>январь-декабрь 2017года</c:v>
                </c:pt>
              </c:strCache>
            </c:strRef>
          </c:tx>
          <c:spPr>
            <a:solidFill>
              <a:sysClr val="windowText" lastClr="000000">
                <a:lumMod val="65000"/>
                <a:lumOff val="35000"/>
              </a:sysClr>
            </a:solidFill>
            <a:ln>
              <a:solidFill>
                <a:sysClr val="windowText" lastClr="000000"/>
              </a:solidFill>
            </a:ln>
          </c:spPr>
          <c:invertIfNegative val="0"/>
          <c:dLbls>
            <c:dLbl>
              <c:idx val="0"/>
              <c:layout>
                <c:manualLayout>
                  <c:x val="0"/>
                  <c:y val="2.0182286838500388E-2"/>
                </c:manualLayout>
              </c:layout>
              <c:tx>
                <c:rich>
                  <a:bodyPr/>
                  <a:lstStyle/>
                  <a:p>
                    <a:pPr>
                      <a:defRPr/>
                    </a:pPr>
                    <a:r>
                      <a:rPr lang="en-US" sz="799" b="1">
                        <a:latin typeface="Times New Roman" pitchFamily="18" charset="0"/>
                        <a:cs typeface="Times New Roman" pitchFamily="18" charset="0"/>
                      </a:rPr>
                      <a:t>40,6</a:t>
                    </a:r>
                    <a:endParaRPr lang="en-US" sz="800" b="1">
                      <a:latin typeface="Times New Roman" pitchFamily="18" charset="0"/>
                      <a:cs typeface="Times New Roman" pitchFamily="18" charset="0"/>
                    </a:endParaRPr>
                  </a:p>
                </c:rich>
              </c:tx>
              <c:spPr>
                <a:noFill/>
                <a:ln w="25365">
                  <a:noFill/>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1.5016124108402661E-3"/>
                  <c:y val="1.5813695774009224E-2"/>
                </c:manualLayout>
              </c:layout>
              <c:tx>
                <c:rich>
                  <a:bodyPr/>
                  <a:lstStyle/>
                  <a:p>
                    <a:pPr>
                      <a:defRPr/>
                    </a:pPr>
                    <a:r>
                      <a:rPr lang="en-US" sz="799" b="1">
                        <a:latin typeface="Times New Roman" pitchFamily="18" charset="0"/>
                        <a:cs typeface="Times New Roman" pitchFamily="18" charset="0"/>
                      </a:rPr>
                      <a:t>58,7</a:t>
                    </a:r>
                    <a:endParaRPr lang="en-US" sz="800" b="1">
                      <a:latin typeface="Times New Roman" pitchFamily="18" charset="0"/>
                      <a:cs typeface="Times New Roman" pitchFamily="18" charset="0"/>
                    </a:endParaRPr>
                  </a:p>
                </c:rich>
              </c:tx>
              <c:spPr>
                <a:noFill/>
                <a:ln w="25365">
                  <a:noFill/>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0"/>
                  <c:y val="0.10306738976816325"/>
                </c:manualLayout>
              </c:layout>
              <c:tx>
                <c:rich>
                  <a:bodyPr/>
                  <a:lstStyle/>
                  <a:p>
                    <a:pPr>
                      <a:defRPr/>
                    </a:pPr>
                    <a:r>
                      <a:rPr lang="en-US" sz="799" b="1">
                        <a:latin typeface="Times New Roman" pitchFamily="18" charset="0"/>
                        <a:cs typeface="Times New Roman" pitchFamily="18" charset="0"/>
                      </a:rPr>
                      <a:t>0,8</a:t>
                    </a:r>
                    <a:endParaRPr lang="en-US" sz="800" b="1">
                      <a:latin typeface="Times New Roman" pitchFamily="18" charset="0"/>
                      <a:cs typeface="Times New Roman" pitchFamily="18" charset="0"/>
                    </a:endParaRPr>
                  </a:p>
                </c:rich>
              </c:tx>
              <c:spPr>
                <a:noFill/>
                <a:ln w="25365">
                  <a:noFill/>
                </a:ln>
              </c:spPr>
              <c:dLblPos val="outEnd"/>
              <c:showLegendKey val="0"/>
              <c:showVal val="0"/>
              <c:showCatName val="0"/>
              <c:showSerName val="0"/>
              <c:showPercent val="0"/>
              <c:showBubbleSize val="0"/>
              <c:extLst>
                <c:ext xmlns:c15="http://schemas.microsoft.com/office/drawing/2012/chart" uri="{CE6537A1-D6FC-4f65-9D91-7224C49458BB}">
                  <c15:layout/>
                </c:ext>
              </c:extLst>
            </c:dLbl>
            <c:spPr>
              <a:noFill/>
              <a:ln w="25365">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c:v>40.550000000000004</c:v>
                </c:pt>
                <c:pt idx="1">
                  <c:v>58.7</c:v>
                </c:pt>
                <c:pt idx="2">
                  <c:v>0.75000000000000433</c:v>
                </c:pt>
              </c:numCache>
            </c:numRef>
          </c:val>
        </c:ser>
        <c:ser>
          <c:idx val="1"/>
          <c:order val="1"/>
          <c:tx>
            <c:strRef>
              <c:f>Лист1!$C$1</c:f>
              <c:strCache>
                <c:ptCount val="1"/>
                <c:pt idx="0">
                  <c:v>январь-декабрь 2018 года</c:v>
                </c:pt>
              </c:strCache>
            </c:strRef>
          </c:tx>
          <c:spPr>
            <a:solidFill>
              <a:sysClr val="window" lastClr="FFFFFF">
                <a:lumMod val="85000"/>
              </a:sysClr>
            </a:solidFill>
            <a:ln>
              <a:solidFill>
                <a:sysClr val="windowText" lastClr="000000"/>
              </a:solidFill>
            </a:ln>
          </c:spPr>
          <c:invertIfNegative val="0"/>
          <c:dLbls>
            <c:dLbl>
              <c:idx val="0"/>
              <c:layout>
                <c:manualLayout>
                  <c:x val="-2.06711085813351E-3"/>
                  <c:y val="1.3454857892333683E-2"/>
                </c:manualLayout>
              </c:layout>
              <c:tx>
                <c:rich>
                  <a:bodyPr/>
                  <a:lstStyle/>
                  <a:p>
                    <a:pPr>
                      <a:defRPr/>
                    </a:pPr>
                    <a:r>
                      <a:rPr lang="en-US" sz="799" b="1">
                        <a:latin typeface="Times New Roman" pitchFamily="18" charset="0"/>
                        <a:cs typeface="Times New Roman" pitchFamily="18" charset="0"/>
                      </a:rPr>
                      <a:t>41,7</a:t>
                    </a:r>
                    <a:endParaRPr lang="en-US" sz="800" b="1">
                      <a:latin typeface="Times New Roman" pitchFamily="18" charset="0"/>
                      <a:cs typeface="Times New Roman" pitchFamily="18" charset="0"/>
                    </a:endParaRPr>
                  </a:p>
                </c:rich>
              </c:tx>
              <c:spPr>
                <a:noFill/>
                <a:ln w="25365">
                  <a:noFill/>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6.4102564102564534E-3"/>
                  <c:y val="1.5814443858724297E-2"/>
                </c:manualLayout>
              </c:layout>
              <c:tx>
                <c:rich>
                  <a:bodyPr/>
                  <a:lstStyle/>
                  <a:p>
                    <a:pPr>
                      <a:defRPr/>
                    </a:pPr>
                    <a:r>
                      <a:rPr lang="en-US" sz="799" b="1">
                        <a:latin typeface="Times New Roman" pitchFamily="18" charset="0"/>
                        <a:cs typeface="Times New Roman" pitchFamily="18" charset="0"/>
                      </a:rPr>
                      <a:t>55,3</a:t>
                    </a:r>
                    <a:endParaRPr lang="en-US" sz="800" b="1">
                      <a:latin typeface="Times New Roman" pitchFamily="18" charset="0"/>
                      <a:cs typeface="Times New Roman" pitchFamily="18" charset="0"/>
                    </a:endParaRPr>
                  </a:p>
                </c:rich>
              </c:tx>
              <c:spPr>
                <a:noFill/>
                <a:ln w="25365">
                  <a:noFill/>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6.4126118850530668E-3"/>
                  <c:y val="2.6327520868009581E-2"/>
                </c:manualLayout>
              </c:layout>
              <c:tx>
                <c:rich>
                  <a:bodyPr/>
                  <a:lstStyle/>
                  <a:p>
                    <a:pPr>
                      <a:defRPr>
                        <a:solidFill>
                          <a:sysClr val="windowText" lastClr="000000"/>
                        </a:solidFill>
                      </a:defRPr>
                    </a:pPr>
                    <a:r>
                      <a:rPr lang="en-US" sz="799" b="1">
                        <a:solidFill>
                          <a:sysClr val="windowText" lastClr="000000"/>
                        </a:solidFill>
                        <a:latin typeface="Times New Roman" pitchFamily="18" charset="0"/>
                        <a:cs typeface="Times New Roman" pitchFamily="18" charset="0"/>
                      </a:rPr>
                      <a:t>3,0</a:t>
                    </a:r>
                    <a:endParaRPr lang="en-US" sz="800" b="1">
                      <a:solidFill>
                        <a:sysClr val="windowText" lastClr="000000"/>
                      </a:solidFill>
                      <a:latin typeface="Times New Roman" pitchFamily="18" charset="0"/>
                      <a:cs typeface="Times New Roman" pitchFamily="18" charset="0"/>
                    </a:endParaRPr>
                  </a:p>
                </c:rich>
              </c:tx>
              <c:spPr/>
              <c:dLblPos val="outEnd"/>
              <c:showLegendKey val="0"/>
              <c:showVal val="0"/>
              <c:showCatName val="0"/>
              <c:showSerName val="0"/>
              <c:showPercent val="0"/>
              <c:showBubbleSize val="0"/>
              <c:extLst>
                <c:ext xmlns:c15="http://schemas.microsoft.com/office/drawing/2012/chart" uri="{CE6537A1-D6FC-4f65-9D91-7224C49458BB}">
                  <c15:layout/>
                </c:ext>
              </c:extLst>
            </c:dLbl>
            <c:spPr>
              <a:noFill/>
              <a:ln w="25365">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c:v>41.71</c:v>
                </c:pt>
                <c:pt idx="1">
                  <c:v>55.27</c:v>
                </c:pt>
                <c:pt idx="2">
                  <c:v>3.02</c:v>
                </c:pt>
              </c:numCache>
            </c:numRef>
          </c:val>
        </c:ser>
        <c:dLbls>
          <c:showLegendKey val="0"/>
          <c:showVal val="1"/>
          <c:showCatName val="0"/>
          <c:showSerName val="0"/>
          <c:showPercent val="0"/>
          <c:showBubbleSize val="0"/>
        </c:dLbls>
        <c:gapWidth val="150"/>
        <c:axId val="320543016"/>
        <c:axId val="320544584"/>
      </c:barChart>
      <c:catAx>
        <c:axId val="320543016"/>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320544584"/>
        <c:crosses val="autoZero"/>
        <c:auto val="1"/>
        <c:lblAlgn val="ctr"/>
        <c:lblOffset val="100"/>
        <c:noMultiLvlLbl val="0"/>
      </c:catAx>
      <c:valAx>
        <c:axId val="320544584"/>
        <c:scaling>
          <c:orientation val="minMax"/>
          <c:min val="-10"/>
        </c:scaling>
        <c:delete val="0"/>
        <c:axPos val="l"/>
        <c:numFmt formatCode="0.0" sourceLinked="1"/>
        <c:majorTickMark val="out"/>
        <c:minorTickMark val="none"/>
        <c:tickLblPos val="nextTo"/>
        <c:txPr>
          <a:bodyPr/>
          <a:lstStyle/>
          <a:p>
            <a:pPr>
              <a:defRPr sz="899" b="1">
                <a:latin typeface="Times New Roman" pitchFamily="18" charset="0"/>
                <a:cs typeface="Times New Roman" pitchFamily="18" charset="0"/>
              </a:defRPr>
            </a:pPr>
            <a:endParaRPr lang="ru-RU"/>
          </a:p>
        </c:txPr>
        <c:crossAx val="320543016"/>
        <c:crosses val="autoZero"/>
        <c:crossBetween val="between"/>
      </c:valAx>
    </c:plotArea>
    <c:legend>
      <c:legendPos val="b"/>
      <c:layout>
        <c:manualLayout>
          <c:xMode val="edge"/>
          <c:yMode val="edge"/>
          <c:x val="7.113040776445001E-2"/>
          <c:y val="0.83403250125649186"/>
          <c:w val="0.59353578466242685"/>
          <c:h val="0.1226040096051827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152"/>
            </a:pPr>
            <a:r>
              <a:rPr lang="ru-RU" sz="1152"/>
              <a:t>Товарная структура импорта ПМР, млн долл. США</a:t>
            </a:r>
          </a:p>
        </c:rich>
      </c:tx>
      <c:layout>
        <c:manualLayout>
          <c:xMode val="edge"/>
          <c:yMode val="edge"/>
          <c:x val="0.21116138763198028"/>
          <c:y val="1.9531250000000003E-2"/>
        </c:manualLayout>
      </c:layout>
      <c:overlay val="0"/>
      <c:spPr>
        <a:solidFill>
          <a:sysClr val="window" lastClr="FFFFFF"/>
        </a:solidFill>
        <a:ln w="22422">
          <a:noFill/>
        </a:ln>
      </c:spPr>
    </c:title>
    <c:autoTitleDeleted val="0"/>
    <c:plotArea>
      <c:layout>
        <c:manualLayout>
          <c:layoutTarget val="inner"/>
          <c:xMode val="edge"/>
          <c:yMode val="edge"/>
          <c:x val="7.4622451039774024E-2"/>
          <c:y val="0.10524970093024447"/>
          <c:w val="0.93596153846153862"/>
          <c:h val="0.35641294838147036"/>
        </c:manualLayout>
      </c:layout>
      <c:barChart>
        <c:barDir val="col"/>
        <c:grouping val="clustered"/>
        <c:varyColors val="0"/>
        <c:ser>
          <c:idx val="0"/>
          <c:order val="0"/>
          <c:tx>
            <c:strRef>
              <c:f>Sheet1!$A$2</c:f>
              <c:strCache>
                <c:ptCount val="1"/>
                <c:pt idx="0">
                  <c:v>2017 г.</c:v>
                </c:pt>
              </c:strCache>
            </c:strRef>
          </c:tx>
          <c:spPr>
            <a:solidFill>
              <a:sysClr val="window" lastClr="FFFFFF">
                <a:lumMod val="75000"/>
              </a:sysClr>
            </a:solidFill>
          </c:spPr>
          <c:invertIfNegative val="0"/>
          <c:dLbls>
            <c:dLbl>
              <c:idx val="0"/>
              <c:layout>
                <c:manualLayout>
                  <c:x val="-3.0090439657095239E-3"/>
                  <c:y val="1.9253849971990047E-2"/>
                </c:manualLayout>
              </c:layout>
              <c:tx>
                <c:rich>
                  <a:bodyPr/>
                  <a:lstStyle/>
                  <a:p>
                    <a:r>
                      <a:rPr lang="ru-RU" sz="864"/>
                      <a:t>33,9*</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1.5731287177619545E-3"/>
                  <c:y val="2.0290865281184192E-2"/>
                </c:manualLayout>
              </c:layout>
              <c:tx>
                <c:rich>
                  <a:bodyPr/>
                  <a:lstStyle/>
                  <a:p>
                    <a:r>
                      <a:rPr lang="ru-RU" sz="864">
                        <a:solidFill>
                          <a:sysClr val="windowText" lastClr="000000"/>
                        </a:solidFill>
                      </a:rPr>
                      <a:t>18,8</a:t>
                    </a:r>
                    <a:r>
                      <a:rPr lang="ru-RU" sz="864"/>
                      <a:t>*</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1.3042837844093721E-3"/>
                  <c:y val="2.0970756332563532E-2"/>
                </c:manualLayout>
              </c:layout>
              <c:tx>
                <c:rich>
                  <a:bodyPr/>
                  <a:lstStyle/>
                  <a:p>
                    <a:r>
                      <a:rPr lang="ru-RU" sz="864"/>
                      <a:t>13,7*</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6.2825471241540571E-3"/>
                  <c:y val="9.9798016300668268E-3"/>
                </c:manualLayout>
              </c:layout>
              <c:tx>
                <c:rich>
                  <a:bodyPr/>
                  <a:lstStyle/>
                  <a:p>
                    <a:r>
                      <a:rPr lang="ru-RU" sz="864"/>
                      <a:t>10,6*</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1.2039404165388417E-3"/>
                  <c:y val="3.9873514104252416E-3"/>
                </c:manualLayout>
              </c:layout>
              <c:tx>
                <c:rich>
                  <a:bodyPr/>
                  <a:lstStyle/>
                  <a:p>
                    <a:r>
                      <a:rPr lang="ru-RU" sz="864"/>
                      <a:t>7,3*</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2.712937205671419E-3"/>
                  <c:y val="6.6928624894863134E-3"/>
                </c:manualLayout>
              </c:layout>
              <c:tx>
                <c:rich>
                  <a:bodyPr/>
                  <a:lstStyle/>
                  <a:p>
                    <a:r>
                      <a:rPr lang="ru-RU" sz="864" b="1"/>
                      <a:t>4,6*</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7.4927298972718708E-4"/>
                  <c:y val="2.3119383046876371E-2"/>
                </c:manualLayout>
              </c:layout>
              <c:tx>
                <c:rich>
                  <a:bodyPr/>
                  <a:lstStyle/>
                  <a:p>
                    <a:r>
                      <a:rPr lang="ru-RU" sz="864" b="1"/>
                      <a:t>11,1*</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7"/>
              <c:layout>
                <c:manualLayout>
                  <c:xMode val="edge"/>
                  <c:yMode val="edge"/>
                  <c:x val="0.72802197802197965"/>
                  <c:y val="0.43750000000000488"/>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4375">
                <a:noFill/>
              </a:ln>
            </c:spPr>
            <c:txPr>
              <a:bodyPr rot="0" vert="horz" anchor="ctr" anchorCtr="0"/>
              <a:lstStyle/>
              <a:p>
                <a:pPr>
                  <a:defRPr sz="864"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химической и связанных с ней отраслей промышленности</c:v>
                </c:pt>
                <c:pt idx="5">
                  <c:v>Продукция легкой промышленности</c:v>
                </c:pt>
                <c:pt idx="6">
                  <c:v>Прочие товары</c:v>
                </c:pt>
              </c:strCache>
            </c:strRef>
          </c:cat>
          <c:val>
            <c:numRef>
              <c:f>Sheet1!$B$2:$H$2</c:f>
              <c:numCache>
                <c:formatCode>0.0</c:formatCode>
                <c:ptCount val="7"/>
                <c:pt idx="0">
                  <c:v>333.7</c:v>
                </c:pt>
                <c:pt idx="1">
                  <c:v>185</c:v>
                </c:pt>
                <c:pt idx="2">
                  <c:v>134.30000000000001</c:v>
                </c:pt>
                <c:pt idx="3">
                  <c:v>104.7</c:v>
                </c:pt>
                <c:pt idx="4">
                  <c:v>72.099999999999994</c:v>
                </c:pt>
                <c:pt idx="5">
                  <c:v>45.1</c:v>
                </c:pt>
                <c:pt idx="6">
                  <c:v>109.1</c:v>
                </c:pt>
              </c:numCache>
            </c:numRef>
          </c:val>
        </c:ser>
        <c:ser>
          <c:idx val="1"/>
          <c:order val="1"/>
          <c:tx>
            <c:strRef>
              <c:f>Sheet1!$A$3</c:f>
              <c:strCache>
                <c:ptCount val="1"/>
                <c:pt idx="0">
                  <c:v>2018 г.</c:v>
                </c:pt>
              </c:strCache>
            </c:strRef>
          </c:tx>
          <c:spPr>
            <a:solidFill>
              <a:sysClr val="windowText" lastClr="000000">
                <a:lumMod val="75000"/>
                <a:lumOff val="25000"/>
              </a:sysClr>
            </a:solidFill>
          </c:spPr>
          <c:invertIfNegative val="0"/>
          <c:dLbls>
            <c:dLbl>
              <c:idx val="0"/>
              <c:layout>
                <c:manualLayout>
                  <c:x val="5.2558529061472684E-3"/>
                  <c:y val="6.0188774629529422E-3"/>
                </c:manualLayout>
              </c:layout>
              <c:tx>
                <c:rich>
                  <a:bodyPr/>
                  <a:lstStyle/>
                  <a:p>
                    <a:r>
                      <a:rPr lang="ru-RU" sz="864"/>
                      <a:t>36,8*</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9.1876075299209556E-4"/>
                  <c:y val="1.6703670237941701E-2"/>
                </c:manualLayout>
              </c:layout>
              <c:tx>
                <c:rich>
                  <a:bodyPr/>
                  <a:lstStyle/>
                  <a:p>
                    <a:r>
                      <a:rPr lang="ru-RU" sz="864"/>
                      <a:t>18,9*</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3.6095060538597892E-3"/>
                  <c:y val="8.9476237824448589E-3"/>
                </c:manualLayout>
              </c:layout>
              <c:tx>
                <c:rich>
                  <a:bodyPr/>
                  <a:lstStyle/>
                  <a:p>
                    <a:r>
                      <a:rPr lang="ru-RU" sz="864" b="1"/>
                      <a:t>11,4*</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3.4041335426338573E-3"/>
                  <c:y val="8.1943841589768637E-3"/>
                </c:manualLayout>
              </c:layout>
              <c:tx>
                <c:rich>
                  <a:bodyPr/>
                  <a:lstStyle/>
                  <a:p>
                    <a:r>
                      <a:rPr lang="ru-RU" sz="864"/>
                      <a:t>11,1*</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4.510956707642972E-3"/>
                  <c:y val="4.8542604654280824E-3"/>
                </c:manualLayout>
              </c:layout>
              <c:tx>
                <c:rich>
                  <a:bodyPr/>
                  <a:lstStyle/>
                  <a:p>
                    <a:r>
                      <a:rPr lang="ru-RU" sz="864"/>
                      <a:t>7,7*</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9.9121744397335024E-3"/>
                  <c:y val="4.6497759208670364E-3"/>
                </c:manualLayout>
              </c:layout>
              <c:tx>
                <c:rich>
                  <a:bodyPr/>
                  <a:lstStyle/>
                  <a:p>
                    <a:r>
                      <a:rPr lang="ru-RU" sz="864"/>
                      <a:t>4,8*</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6.1551151643190515E-3"/>
                  <c:y val="1.0088371001798702E-2"/>
                </c:manualLayout>
              </c:layout>
              <c:tx>
                <c:rich>
                  <a:bodyPr/>
                  <a:lstStyle/>
                  <a:p>
                    <a:r>
                      <a:rPr lang="ru-RU" sz="864" b="1"/>
                      <a:t>9,3*</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7"/>
              <c:layout>
                <c:manualLayout>
                  <c:xMode val="edge"/>
                  <c:yMode val="edge"/>
                  <c:x val="0.75274725274725274"/>
                  <c:y val="0.48214285714290095"/>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4375">
                <a:noFill/>
              </a:ln>
            </c:spPr>
            <c:txPr>
              <a:bodyPr rot="0" vert="horz"/>
              <a:lstStyle/>
              <a:p>
                <a:pPr>
                  <a:defRPr sz="864"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химической и связанных с ней отраслей промышленности</c:v>
                </c:pt>
                <c:pt idx="5">
                  <c:v>Продукция легкой промышленности</c:v>
                </c:pt>
                <c:pt idx="6">
                  <c:v>Прочие товары</c:v>
                </c:pt>
              </c:strCache>
            </c:strRef>
          </c:cat>
          <c:val>
            <c:numRef>
              <c:f>Sheet1!$B$3:$H$3</c:f>
              <c:numCache>
                <c:formatCode>0.0</c:formatCode>
                <c:ptCount val="7"/>
                <c:pt idx="0">
                  <c:v>448.1</c:v>
                </c:pt>
                <c:pt idx="1">
                  <c:v>229.6</c:v>
                </c:pt>
                <c:pt idx="2">
                  <c:v>138.30000000000001</c:v>
                </c:pt>
                <c:pt idx="3">
                  <c:v>135</c:v>
                </c:pt>
                <c:pt idx="4">
                  <c:v>93.6</c:v>
                </c:pt>
                <c:pt idx="5">
                  <c:v>58.4</c:v>
                </c:pt>
                <c:pt idx="6">
                  <c:v>113.19999999999999</c:v>
                </c:pt>
              </c:numCache>
            </c:numRef>
          </c:val>
        </c:ser>
        <c:dLbls>
          <c:showLegendKey val="0"/>
          <c:showVal val="0"/>
          <c:showCatName val="0"/>
          <c:showSerName val="0"/>
          <c:showPercent val="0"/>
          <c:showBubbleSize val="0"/>
        </c:dLbls>
        <c:gapWidth val="160"/>
        <c:overlap val="-7"/>
        <c:axId val="238086448"/>
        <c:axId val="238086840"/>
      </c:barChart>
      <c:catAx>
        <c:axId val="238086448"/>
        <c:scaling>
          <c:orientation val="minMax"/>
        </c:scaling>
        <c:delete val="0"/>
        <c:axPos val="b"/>
        <c:numFmt formatCode="General" sourceLinked="1"/>
        <c:majorTickMark val="cross"/>
        <c:minorTickMark val="none"/>
        <c:tickLblPos val="low"/>
        <c:spPr>
          <a:ln>
            <a:solidFill>
              <a:sysClr val="windowText" lastClr="000000"/>
            </a:solidFill>
          </a:ln>
        </c:spPr>
        <c:txPr>
          <a:bodyPr rot="-5400000" vert="horz"/>
          <a:lstStyle/>
          <a:p>
            <a:pPr>
              <a:defRPr sz="864" b="1"/>
            </a:pPr>
            <a:endParaRPr lang="ru-RU"/>
          </a:p>
        </c:txPr>
        <c:crossAx val="238086840"/>
        <c:crosses val="autoZero"/>
        <c:auto val="0"/>
        <c:lblAlgn val="ctr"/>
        <c:lblOffset val="160"/>
        <c:tickLblSkip val="1"/>
        <c:tickMarkSkip val="1"/>
        <c:noMultiLvlLbl val="0"/>
      </c:catAx>
      <c:valAx>
        <c:axId val="238086840"/>
        <c:scaling>
          <c:orientation val="minMax"/>
        </c:scaling>
        <c:delete val="0"/>
        <c:axPos val="l"/>
        <c:title>
          <c:tx>
            <c:rich>
              <a:bodyPr rot="0" vert="horz"/>
              <a:lstStyle/>
              <a:p>
                <a:pPr algn="ctr">
                  <a:defRPr sz="884" b="1" i="0" u="none" strike="noStrike" baseline="0">
                    <a:solidFill>
                      <a:srgbClr val="000000"/>
                    </a:solidFill>
                    <a:latin typeface="Arial Cyr"/>
                    <a:ea typeface="Arial Cyr"/>
                    <a:cs typeface="Arial Cyr"/>
                  </a:defRPr>
                </a:pPr>
                <a:r>
                  <a:rPr lang="ru-RU" sz="864" b="1" i="0" strike="noStrike">
                    <a:solidFill>
                      <a:srgbClr val="000000"/>
                    </a:solidFill>
                    <a:latin typeface="Times New Roman"/>
                    <a:cs typeface="Times New Roman"/>
                  </a:rPr>
                  <a:t>*-удельный</a:t>
                </a:r>
              </a:p>
              <a:p>
                <a:pPr algn="ctr">
                  <a:defRPr sz="884" b="1" i="0" u="none" strike="noStrike" baseline="0">
                    <a:solidFill>
                      <a:srgbClr val="000000"/>
                    </a:solidFill>
                    <a:latin typeface="Arial Cyr"/>
                    <a:ea typeface="Arial Cyr"/>
                    <a:cs typeface="Arial Cyr"/>
                  </a:defRPr>
                </a:pPr>
                <a:r>
                  <a:rPr lang="ru-RU" sz="864" b="1" i="0" strike="noStrike">
                    <a:solidFill>
                      <a:srgbClr val="000000"/>
                    </a:solidFill>
                    <a:latin typeface="Times New Roman"/>
                    <a:cs typeface="Times New Roman"/>
                  </a:rPr>
                  <a:t> вес в общем </a:t>
                </a:r>
              </a:p>
              <a:p>
                <a:pPr algn="ctr">
                  <a:defRPr sz="884" b="1" i="0" u="none" strike="noStrike" baseline="0">
                    <a:solidFill>
                      <a:srgbClr val="000000"/>
                    </a:solidFill>
                    <a:latin typeface="Arial Cyr"/>
                    <a:ea typeface="Arial Cyr"/>
                    <a:cs typeface="Arial Cyr"/>
                  </a:defRPr>
                </a:pPr>
                <a:r>
                  <a:rPr lang="ru-RU" sz="864" b="1" i="0" strike="noStrike">
                    <a:solidFill>
                      <a:srgbClr val="000000"/>
                    </a:solidFill>
                    <a:latin typeface="Times New Roman"/>
                    <a:cs typeface="Times New Roman"/>
                  </a:rPr>
                  <a:t>объеме импорта,%</a:t>
                </a:r>
              </a:p>
            </c:rich>
          </c:tx>
          <c:layout>
            <c:manualLayout>
              <c:xMode val="edge"/>
              <c:yMode val="edge"/>
              <c:x val="0.80836142088573759"/>
              <c:y val="8.7301605681642733E-2"/>
            </c:manualLayout>
          </c:layout>
          <c:overlay val="0"/>
          <c:spPr>
            <a:noFill/>
            <a:ln w="24375">
              <a:noFill/>
            </a:ln>
          </c:spPr>
        </c:title>
        <c:numFmt formatCode="0.0" sourceLinked="1"/>
        <c:majorTickMark val="cross"/>
        <c:minorTickMark val="none"/>
        <c:tickLblPos val="nextTo"/>
        <c:spPr>
          <a:ln>
            <a:solidFill>
              <a:sysClr val="windowText" lastClr="000000"/>
            </a:solidFill>
          </a:ln>
        </c:spPr>
        <c:txPr>
          <a:bodyPr rot="0" vert="horz"/>
          <a:lstStyle/>
          <a:p>
            <a:pPr>
              <a:defRPr sz="864" b="1"/>
            </a:pPr>
            <a:endParaRPr lang="ru-RU"/>
          </a:p>
        </c:txPr>
        <c:crossAx val="238086448"/>
        <c:crosses val="autoZero"/>
        <c:crossBetween val="between"/>
        <c:majorUnit val="100"/>
      </c:valAx>
    </c:plotArea>
    <c:legend>
      <c:legendPos val="r"/>
      <c:layout>
        <c:manualLayout>
          <c:xMode val="edge"/>
          <c:yMode val="edge"/>
          <c:x val="0"/>
          <c:y val="0.92578125000001465"/>
          <c:w val="0.93363499245855108"/>
          <c:h val="7.8125E-2"/>
        </c:manualLayout>
      </c:layout>
      <c:overlay val="0"/>
      <c:txPr>
        <a:bodyPr/>
        <a:lstStyle/>
        <a:p>
          <a:pPr>
            <a:defRPr sz="960" b="1"/>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sz="1149">
                <a:latin typeface="Times New Roman" pitchFamily="18" charset="0"/>
                <a:cs typeface="Times New Roman" pitchFamily="18" charset="0"/>
              </a:defRPr>
            </a:pPr>
            <a:r>
              <a:rPr lang="ru-RU" sz="1149">
                <a:solidFill>
                  <a:sysClr val="windowText" lastClr="000000"/>
                </a:solidFill>
                <a:latin typeface="Times New Roman" pitchFamily="18" charset="0"/>
                <a:cs typeface="Times New Roman" pitchFamily="18" charset="0"/>
              </a:rPr>
              <a:t>Импорт товаров в разрезе стран, млн долл. </a:t>
            </a:r>
            <a:r>
              <a:rPr lang="ru-RU" sz="1149">
                <a:latin typeface="Times New Roman" pitchFamily="18" charset="0"/>
                <a:cs typeface="Times New Roman" pitchFamily="18" charset="0"/>
              </a:rPr>
              <a:t>США</a:t>
            </a:r>
          </a:p>
        </c:rich>
      </c:tx>
      <c:layout>
        <c:manualLayout>
          <c:xMode val="edge"/>
          <c:yMode val="edge"/>
          <c:x val="0.30932149270815651"/>
          <c:y val="4.1523476232137833E-3"/>
        </c:manualLayout>
      </c:layout>
      <c:overlay val="0"/>
      <c:spPr>
        <a:solidFill>
          <a:sysClr val="window" lastClr="FFFFFF"/>
        </a:solidFill>
        <a:ln w="24320">
          <a:noFill/>
        </a:ln>
      </c:spPr>
    </c:title>
    <c:autoTitleDeleted val="0"/>
    <c:plotArea>
      <c:layout>
        <c:manualLayout>
          <c:layoutTarget val="inner"/>
          <c:xMode val="edge"/>
          <c:yMode val="edge"/>
          <c:x val="0.21541769895585491"/>
          <c:y val="0.11696643182760059"/>
          <c:w val="0.7709767911664106"/>
          <c:h val="0.46379610443431413"/>
        </c:manualLayout>
      </c:layout>
      <c:barChart>
        <c:barDir val="col"/>
        <c:grouping val="clustered"/>
        <c:varyColors val="0"/>
        <c:ser>
          <c:idx val="0"/>
          <c:order val="0"/>
          <c:tx>
            <c:strRef>
              <c:f>Лист1!$B$1</c:f>
              <c:strCache>
                <c:ptCount val="1"/>
                <c:pt idx="0">
                  <c:v>2017 г.</c:v>
                </c:pt>
              </c:strCache>
            </c:strRef>
          </c:tx>
          <c:spPr>
            <a:solidFill>
              <a:sysClr val="window" lastClr="FFFFFF">
                <a:lumMod val="75000"/>
              </a:sysClr>
            </a:solidFill>
          </c:spPr>
          <c:invertIfNegative val="0"/>
          <c:dLbls>
            <c:dLbl>
              <c:idx val="0"/>
              <c:layout>
                <c:manualLayout>
                  <c:x val="-1.0831707261082303E-2"/>
                  <c:y val="1.6468806783767609E-2"/>
                </c:manualLayout>
              </c:layout>
              <c:tx>
                <c:rich>
                  <a:bodyPr/>
                  <a:lstStyle/>
                  <a:p>
                    <a:r>
                      <a:rPr lang="ru-RU" sz="890" b="1">
                        <a:latin typeface="Times New Roman" pitchFamily="18" charset="0"/>
                        <a:cs typeface="Times New Roman" pitchFamily="18" charset="0"/>
                      </a:rPr>
                      <a:t>35,8*</a:t>
                    </a:r>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6.9444444444450104E-3"/>
                  <c:y val="1.3773866501981374E-2"/>
                </c:manualLayout>
              </c:layout>
              <c:tx>
                <c:rich>
                  <a:bodyPr/>
                  <a:lstStyle/>
                  <a:p>
                    <a:r>
                      <a:rPr lang="ru-RU" sz="890" b="1">
                        <a:latin typeface="Times New Roman" pitchFamily="18" charset="0"/>
                        <a:cs typeface="Times New Roman" pitchFamily="18" charset="0"/>
                      </a:rPr>
                      <a:t>23,5*</a:t>
                    </a:r>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2.1241315423811235E-3"/>
                  <c:y val="1.3422676470077003E-2"/>
                </c:manualLayout>
              </c:layout>
              <c:tx>
                <c:rich>
                  <a:bodyPr/>
                  <a:lstStyle/>
                  <a:p>
                    <a:r>
                      <a:rPr lang="ru-RU" sz="890" b="1">
                        <a:latin typeface="Times New Roman" pitchFamily="18" charset="0"/>
                        <a:cs typeface="Times New Roman" pitchFamily="18" charset="0"/>
                      </a:rPr>
                      <a:t>11,8*</a:t>
                    </a:r>
                  </a:p>
                </c:rich>
              </c:tx>
              <c:dLblPos val="outEnd"/>
              <c:showLegendKey val="0"/>
              <c:showVal val="0"/>
              <c:showCatName val="0"/>
              <c:showSerName val="0"/>
              <c:showPercent val="0"/>
              <c:showBubbleSize val="0"/>
              <c:extLst>
                <c:ext xmlns:c15="http://schemas.microsoft.com/office/drawing/2012/chart" uri="{CE6537A1-D6FC-4f65-9D91-7224C49458BB}"/>
              </c:extLst>
            </c:dLbl>
            <c:dLbl>
              <c:idx val="3"/>
              <c:layout>
                <c:manualLayout>
                  <c:x val="-1.2527404662653363E-3"/>
                  <c:y val="1.8752672472232369E-2"/>
                </c:manualLayout>
              </c:layout>
              <c:tx>
                <c:rich>
                  <a:bodyPr/>
                  <a:lstStyle/>
                  <a:p>
                    <a:r>
                      <a:rPr lang="ru-RU" sz="890" b="1">
                        <a:latin typeface="Times New Roman" pitchFamily="18" charset="0"/>
                        <a:cs typeface="Times New Roman" pitchFamily="18" charset="0"/>
                      </a:rPr>
                      <a:t>4,3*</a:t>
                    </a:r>
                  </a:p>
                </c:rich>
              </c:tx>
              <c:dLblPos val="outEnd"/>
              <c:showLegendKey val="0"/>
              <c:showVal val="0"/>
              <c:showCatName val="0"/>
              <c:showSerName val="0"/>
              <c:showPercent val="0"/>
              <c:showBubbleSize val="0"/>
              <c:extLst>
                <c:ext xmlns:c15="http://schemas.microsoft.com/office/drawing/2012/chart" uri="{CE6537A1-D6FC-4f65-9D91-7224C49458BB}"/>
              </c:extLst>
            </c:dLbl>
            <c:dLbl>
              <c:idx val="4"/>
              <c:layout>
                <c:manualLayout>
                  <c:x val="-3.520897368389024E-3"/>
                  <c:y val="1.3422708778503201E-2"/>
                </c:manualLayout>
              </c:layout>
              <c:tx>
                <c:rich>
                  <a:bodyPr/>
                  <a:lstStyle/>
                  <a:p>
                    <a:r>
                      <a:rPr lang="ru-RU" sz="890" b="1">
                        <a:latin typeface="Times New Roman" pitchFamily="18" charset="0"/>
                        <a:cs typeface="Times New Roman" pitchFamily="18" charset="0"/>
                      </a:rPr>
                      <a:t>3,9*</a:t>
                    </a:r>
                  </a:p>
                </c:rich>
              </c:tx>
              <c:dLblPos val="outEnd"/>
              <c:showLegendKey val="0"/>
              <c:showVal val="0"/>
              <c:showCatName val="0"/>
              <c:showSerName val="0"/>
              <c:showPercent val="0"/>
              <c:showBubbleSize val="0"/>
              <c:extLst>
                <c:ext xmlns:c15="http://schemas.microsoft.com/office/drawing/2012/chart" uri="{CE6537A1-D6FC-4f65-9D91-7224C49458BB}"/>
              </c:extLst>
            </c:dLbl>
            <c:dLbl>
              <c:idx val="5"/>
              <c:layout>
                <c:manualLayout>
                  <c:x val="-6.9444444444450104E-3"/>
                  <c:y val="0"/>
                </c:manualLayout>
              </c:layout>
              <c:tx>
                <c:rich>
                  <a:bodyPr/>
                  <a:lstStyle/>
                  <a:p>
                    <a:r>
                      <a:rPr lang="ru-RU" sz="890" b="1">
                        <a:latin typeface="Times New Roman" pitchFamily="18" charset="0"/>
                        <a:cs typeface="Times New Roman" pitchFamily="18" charset="0"/>
                      </a:rPr>
                      <a:t>20,7*</a:t>
                    </a:r>
                  </a:p>
                </c:rich>
              </c:tx>
              <c:dLblPos val="outEnd"/>
              <c:showLegendKey val="0"/>
              <c:showVal val="0"/>
              <c:showCatName val="0"/>
              <c:showSerName val="0"/>
              <c:showPercent val="0"/>
              <c:showBubbleSize val="0"/>
              <c:extLst>
                <c:ext xmlns:c15="http://schemas.microsoft.com/office/drawing/2012/chart" uri="{CE6537A1-D6FC-4f65-9D91-7224C49458BB}"/>
              </c:extLst>
            </c:dLbl>
            <c:dLbl>
              <c:idx val="6"/>
              <c:layout>
                <c:manualLayout>
                  <c:x val="-1.0165556228548403E-3"/>
                  <c:y val="1.0853808936533541E-2"/>
                </c:manualLayout>
              </c:layout>
              <c:tx>
                <c:rich>
                  <a:bodyPr/>
                  <a:lstStyle/>
                  <a:p>
                    <a:r>
                      <a:rPr lang="ru-RU" sz="890" b="1">
                        <a:latin typeface="Times New Roman" pitchFamily="18" charset="0"/>
                        <a:cs typeface="Times New Roman" pitchFamily="18" charset="0"/>
                      </a:rPr>
                      <a:t>17</a:t>
                    </a:r>
                    <a:r>
                      <a:rPr lang="en-US" sz="890" b="1">
                        <a:latin typeface="Times New Roman" pitchFamily="18" charset="0"/>
                        <a:cs typeface="Times New Roman" pitchFamily="18" charset="0"/>
                      </a:rPr>
                      <a:t>,</a:t>
                    </a:r>
                    <a:r>
                      <a:rPr lang="ru-RU" sz="890" b="1">
                        <a:latin typeface="Times New Roman" pitchFamily="18" charset="0"/>
                        <a:cs typeface="Times New Roman" pitchFamily="18" charset="0"/>
                      </a:rPr>
                      <a:t>9</a:t>
                    </a:r>
                    <a:r>
                      <a:rPr lang="en-US" sz="890" b="1">
                        <a:latin typeface="Times New Roman" pitchFamily="18" charset="0"/>
                        <a:cs typeface="Times New Roman" pitchFamily="18" charset="0"/>
                      </a:rPr>
                      <a:t>*</a:t>
                    </a:r>
                  </a:p>
                </c:rich>
              </c:tx>
              <c:dLblPos val="outEnd"/>
              <c:showLegendKey val="0"/>
              <c:showVal val="0"/>
              <c:showCatName val="0"/>
              <c:showSerName val="0"/>
              <c:showPercent val="0"/>
              <c:showBubbleSize val="0"/>
              <c:extLst>
                <c:ext xmlns:c15="http://schemas.microsoft.com/office/drawing/2012/chart" uri="{CE6537A1-D6FC-4f65-9D91-7224C49458BB}"/>
              </c:extLst>
            </c:dLbl>
            <c:dLbl>
              <c:idx val="7"/>
              <c:layout>
                <c:manualLayout>
                  <c:x val="-1.2636096958468426E-2"/>
                  <c:y val="8.9485668596065767E-3"/>
                </c:manualLayout>
              </c:layout>
              <c:tx>
                <c:rich>
                  <a:bodyPr/>
                  <a:lstStyle/>
                  <a:p>
                    <a:r>
                      <a:rPr lang="ru-RU" sz="890" b="1">
                        <a:latin typeface="Times New Roman" pitchFamily="18" charset="0"/>
                        <a:cs typeface="Times New Roman" pitchFamily="18" charset="0"/>
                      </a:rPr>
                      <a:t>16,9*</a:t>
                    </a:r>
                    <a:endParaRPr lang="en-US" sz="89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4383">
                <a:noFill/>
              </a:ln>
            </c:spPr>
            <c:txPr>
              <a:bodyPr/>
              <a:lstStyle/>
              <a:p>
                <a:pPr>
                  <a:defRPr sz="89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Россия</c:v>
                </c:pt>
                <c:pt idx="1">
                  <c:v>Украина</c:v>
                </c:pt>
                <c:pt idx="2">
                  <c:v> Молдова</c:v>
                </c:pt>
                <c:pt idx="3">
                  <c:v>Беларусь</c:v>
                </c:pt>
                <c:pt idx="4">
                  <c:v>Румыния</c:v>
                </c:pt>
                <c:pt idx="5">
                  <c:v>Прочие страны</c:v>
                </c:pt>
              </c:strCache>
            </c:strRef>
          </c:cat>
          <c:val>
            <c:numRef>
              <c:f>Лист1!$B$2:$B$7</c:f>
              <c:numCache>
                <c:formatCode>0.0</c:formatCode>
                <c:ptCount val="6"/>
                <c:pt idx="0">
                  <c:v>352.7</c:v>
                </c:pt>
                <c:pt idx="1">
                  <c:v>231.2</c:v>
                </c:pt>
                <c:pt idx="2">
                  <c:v>116.1</c:v>
                </c:pt>
                <c:pt idx="3">
                  <c:v>41.9</c:v>
                </c:pt>
                <c:pt idx="4">
                  <c:v>38.700000000000003</c:v>
                </c:pt>
                <c:pt idx="5">
                  <c:v>203.4</c:v>
                </c:pt>
              </c:numCache>
            </c:numRef>
          </c:val>
        </c:ser>
        <c:ser>
          <c:idx val="1"/>
          <c:order val="1"/>
          <c:tx>
            <c:strRef>
              <c:f>Лист1!$C$1</c:f>
              <c:strCache>
                <c:ptCount val="1"/>
                <c:pt idx="0">
                  <c:v>2018 г.</c:v>
                </c:pt>
              </c:strCache>
            </c:strRef>
          </c:tx>
          <c:spPr>
            <a:solidFill>
              <a:sysClr val="windowText" lastClr="000000">
                <a:lumMod val="75000"/>
                <a:lumOff val="25000"/>
              </a:sysClr>
            </a:solidFill>
          </c:spPr>
          <c:invertIfNegative val="0"/>
          <c:dLbls>
            <c:dLbl>
              <c:idx val="0"/>
              <c:layout>
                <c:manualLayout>
                  <c:x val="6.4270938095354899E-3"/>
                  <c:y val="2.1052631578947382E-2"/>
                </c:manualLayout>
              </c:layout>
              <c:tx>
                <c:rich>
                  <a:bodyPr/>
                  <a:lstStyle/>
                  <a:p>
                    <a:r>
                      <a:rPr lang="ru-RU" sz="890" b="1">
                        <a:latin typeface="Times New Roman" pitchFamily="18" charset="0"/>
                        <a:cs typeface="Times New Roman" pitchFamily="18" charset="0"/>
                      </a:rPr>
                      <a:t>40,2*</a:t>
                    </a:r>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1.1864597807627466E-2"/>
                  <c:y val="6.5359545288627002E-3"/>
                </c:manualLayout>
              </c:layout>
              <c:tx>
                <c:rich>
                  <a:bodyPr/>
                  <a:lstStyle/>
                  <a:p>
                    <a:r>
                      <a:rPr lang="ru-RU" sz="890" b="1">
                        <a:latin typeface="Times New Roman" pitchFamily="18" charset="0"/>
                        <a:cs typeface="Times New Roman" pitchFamily="18" charset="0"/>
                      </a:rPr>
                      <a:t>22,8*</a:t>
                    </a:r>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1.1029488960938723E-2"/>
                  <c:y val="1.3131007630668741E-2"/>
                </c:manualLayout>
              </c:layout>
              <c:tx>
                <c:rich>
                  <a:bodyPr/>
                  <a:lstStyle/>
                  <a:p>
                    <a:r>
                      <a:rPr lang="ru-RU" sz="890" b="1">
                        <a:latin typeface="Times New Roman" pitchFamily="18" charset="0"/>
                        <a:cs typeface="Times New Roman" pitchFamily="18" charset="0"/>
                      </a:rPr>
                      <a:t>9,7*</a:t>
                    </a:r>
                  </a:p>
                </c:rich>
              </c:tx>
              <c:dLblPos val="outEnd"/>
              <c:showLegendKey val="0"/>
              <c:showVal val="0"/>
              <c:showCatName val="0"/>
              <c:showSerName val="0"/>
              <c:showPercent val="0"/>
              <c:showBubbleSize val="0"/>
              <c:extLst>
                <c:ext xmlns:c15="http://schemas.microsoft.com/office/drawing/2012/chart" uri="{CE6537A1-D6FC-4f65-9D91-7224C49458BB}"/>
              </c:extLst>
            </c:dLbl>
            <c:dLbl>
              <c:idx val="3"/>
              <c:layout>
                <c:manualLayout>
                  <c:x val="7.879440601839989E-3"/>
                  <c:y val="-4.4744572491352465E-3"/>
                </c:manualLayout>
              </c:layout>
              <c:tx>
                <c:rich>
                  <a:bodyPr/>
                  <a:lstStyle/>
                  <a:p>
                    <a:r>
                      <a:rPr lang="ru-RU" sz="890" b="1">
                        <a:latin typeface="Times New Roman" pitchFamily="18" charset="0"/>
                        <a:cs typeface="Times New Roman" pitchFamily="18" charset="0"/>
                      </a:rPr>
                      <a:t>3,9*</a:t>
                    </a:r>
                  </a:p>
                </c:rich>
              </c:tx>
              <c:dLblPos val="outEnd"/>
              <c:showLegendKey val="0"/>
              <c:showVal val="0"/>
              <c:showCatName val="0"/>
              <c:showSerName val="0"/>
              <c:showPercent val="0"/>
              <c:showBubbleSize val="0"/>
              <c:extLst>
                <c:ext xmlns:c15="http://schemas.microsoft.com/office/drawing/2012/chart" uri="{CE6537A1-D6FC-4f65-9D91-7224C49458BB}"/>
              </c:extLst>
            </c:dLbl>
            <c:dLbl>
              <c:idx val="4"/>
              <c:layout>
                <c:manualLayout>
                  <c:x val="6.4340426834401951E-3"/>
                  <c:y val="8.8298001211387228E-3"/>
                </c:manualLayout>
              </c:layout>
              <c:tx>
                <c:rich>
                  <a:bodyPr/>
                  <a:lstStyle/>
                  <a:p>
                    <a:r>
                      <a:rPr lang="ru-RU" sz="890" b="1">
                        <a:latin typeface="Times New Roman" pitchFamily="18" charset="0"/>
                        <a:cs typeface="Times New Roman" pitchFamily="18" charset="0"/>
                      </a:rPr>
                      <a:t>4,1*</a:t>
                    </a:r>
                  </a:p>
                </c:rich>
              </c:tx>
              <c:dLblPos val="outEnd"/>
              <c:showLegendKey val="0"/>
              <c:showVal val="0"/>
              <c:showCatName val="0"/>
              <c:showSerName val="0"/>
              <c:showPercent val="0"/>
              <c:showBubbleSize val="0"/>
              <c:extLst>
                <c:ext xmlns:c15="http://schemas.microsoft.com/office/drawing/2012/chart" uri="{CE6537A1-D6FC-4f65-9D91-7224C49458BB}"/>
              </c:extLst>
            </c:dLbl>
            <c:dLbl>
              <c:idx val="5"/>
              <c:layout>
                <c:manualLayout>
                  <c:x val="9.9672687972827047E-3"/>
                  <c:y val="-1.7764335749423602E-4"/>
                </c:manualLayout>
              </c:layout>
              <c:tx>
                <c:rich>
                  <a:bodyPr/>
                  <a:lstStyle/>
                  <a:p>
                    <a:r>
                      <a:rPr lang="ru-RU" sz="890" b="1">
                        <a:latin typeface="Times New Roman" pitchFamily="18" charset="0"/>
                        <a:cs typeface="Times New Roman" pitchFamily="18" charset="0"/>
                      </a:rPr>
                      <a:t>19,4*</a:t>
                    </a:r>
                  </a:p>
                </c:rich>
              </c:tx>
              <c:dLblPos val="outEnd"/>
              <c:showLegendKey val="0"/>
              <c:showVal val="0"/>
              <c:showCatName val="0"/>
              <c:showSerName val="0"/>
              <c:showPercent val="0"/>
              <c:showBubbleSize val="0"/>
              <c:extLst>
                <c:ext xmlns:c15="http://schemas.microsoft.com/office/drawing/2012/chart" uri="{CE6537A1-D6FC-4f65-9D91-7224C49458BB}"/>
              </c:extLst>
            </c:dLbl>
            <c:dLbl>
              <c:idx val="6"/>
              <c:layout>
                <c:manualLayout>
                  <c:x val="9.4373780200551639E-3"/>
                  <c:y val="0"/>
                </c:manualLayout>
              </c:layout>
              <c:tx>
                <c:rich>
                  <a:bodyPr/>
                  <a:lstStyle/>
                  <a:p>
                    <a:r>
                      <a:rPr lang="ru-RU" sz="890" b="1">
                        <a:latin typeface="Times New Roman" pitchFamily="18" charset="0"/>
                        <a:cs typeface="Times New Roman" pitchFamily="18" charset="0"/>
                      </a:rPr>
                      <a:t>25,1</a:t>
                    </a:r>
                    <a:r>
                      <a:rPr lang="en-US" sz="890" b="1">
                        <a:latin typeface="Times New Roman" pitchFamily="18" charset="0"/>
                        <a:cs typeface="Times New Roman" pitchFamily="18" charset="0"/>
                      </a:rPr>
                      <a:t>*</a:t>
                    </a:r>
                  </a:p>
                </c:rich>
              </c:tx>
              <c:dLblPos val="outEnd"/>
              <c:showLegendKey val="0"/>
              <c:showVal val="0"/>
              <c:showCatName val="0"/>
              <c:showSerName val="0"/>
              <c:showPercent val="0"/>
              <c:showBubbleSize val="0"/>
              <c:extLst>
                <c:ext xmlns:c15="http://schemas.microsoft.com/office/drawing/2012/chart" uri="{CE6537A1-D6FC-4f65-9D91-7224C49458BB}"/>
              </c:extLst>
            </c:dLbl>
            <c:dLbl>
              <c:idx val="7"/>
              <c:layout>
                <c:manualLayout>
                  <c:x val="1.0951829550718753E-2"/>
                  <c:y val="-8.2143540004519303E-3"/>
                </c:manualLayout>
              </c:layout>
              <c:tx>
                <c:rich>
                  <a:bodyPr/>
                  <a:lstStyle/>
                  <a:p>
                    <a:r>
                      <a:rPr lang="ru-RU" sz="890" b="1">
                        <a:latin typeface="Times New Roman" pitchFamily="18" charset="0"/>
                        <a:cs typeface="Times New Roman" pitchFamily="18" charset="0"/>
                      </a:rPr>
                      <a:t>17,6*</a:t>
                    </a:r>
                    <a:endParaRPr lang="en-US" sz="89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4383">
                <a:noFill/>
              </a:ln>
            </c:spPr>
            <c:txPr>
              <a:bodyPr/>
              <a:lstStyle/>
              <a:p>
                <a:pPr>
                  <a:defRPr sz="89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Россия</c:v>
                </c:pt>
                <c:pt idx="1">
                  <c:v>Украина</c:v>
                </c:pt>
                <c:pt idx="2">
                  <c:v> Молдова</c:v>
                </c:pt>
                <c:pt idx="3">
                  <c:v>Беларусь</c:v>
                </c:pt>
                <c:pt idx="4">
                  <c:v>Румыния</c:v>
                </c:pt>
                <c:pt idx="5">
                  <c:v>Прочие страны</c:v>
                </c:pt>
              </c:strCache>
            </c:strRef>
          </c:cat>
          <c:val>
            <c:numRef>
              <c:f>Лист1!$C$2:$C$7</c:f>
              <c:numCache>
                <c:formatCode>0.0</c:formatCode>
                <c:ptCount val="6"/>
                <c:pt idx="0">
                  <c:v>488.5</c:v>
                </c:pt>
                <c:pt idx="1">
                  <c:v>277.2</c:v>
                </c:pt>
                <c:pt idx="2">
                  <c:v>117.7</c:v>
                </c:pt>
                <c:pt idx="3">
                  <c:v>47.3</c:v>
                </c:pt>
                <c:pt idx="4">
                  <c:v>49.3</c:v>
                </c:pt>
                <c:pt idx="5">
                  <c:v>236.20000000000005</c:v>
                </c:pt>
              </c:numCache>
            </c:numRef>
          </c:val>
        </c:ser>
        <c:dLbls>
          <c:showLegendKey val="0"/>
          <c:showVal val="1"/>
          <c:showCatName val="0"/>
          <c:showSerName val="0"/>
          <c:showPercent val="0"/>
          <c:showBubbleSize val="0"/>
        </c:dLbls>
        <c:gapWidth val="150"/>
        <c:overlap val="-7"/>
        <c:axId val="238087232"/>
        <c:axId val="238087624"/>
      </c:barChart>
      <c:catAx>
        <c:axId val="238087232"/>
        <c:scaling>
          <c:orientation val="minMax"/>
        </c:scaling>
        <c:delete val="0"/>
        <c:axPos val="b"/>
        <c:numFmt formatCode="General" sourceLinked="1"/>
        <c:majorTickMark val="out"/>
        <c:minorTickMark val="none"/>
        <c:tickLblPos val="nextTo"/>
        <c:crossAx val="238087624"/>
        <c:crosses val="autoZero"/>
        <c:auto val="1"/>
        <c:lblAlgn val="ctr"/>
        <c:lblOffset val="100"/>
        <c:tickLblSkip val="1"/>
        <c:noMultiLvlLbl val="0"/>
      </c:catAx>
      <c:valAx>
        <c:axId val="238087624"/>
        <c:scaling>
          <c:orientation val="minMax"/>
        </c:scaling>
        <c:delete val="0"/>
        <c:axPos val="l"/>
        <c:title>
          <c:tx>
            <c:rich>
              <a:bodyPr rot="0" vert="horz"/>
              <a:lstStyle/>
              <a:p>
                <a:pPr algn="ctr">
                  <a:defRPr sz="900" b="1" i="0" u="none" strike="noStrike" baseline="0">
                    <a:solidFill>
                      <a:srgbClr val="000000"/>
                    </a:solidFill>
                    <a:latin typeface="Times New Roman"/>
                    <a:ea typeface="Times New Roman"/>
                    <a:cs typeface="Times New Roman"/>
                  </a:defRPr>
                </a:pPr>
                <a:r>
                  <a:rPr lang="ru-RU" sz="900" b="1"/>
                  <a:t>*- удельный</a:t>
                </a:r>
              </a:p>
              <a:p>
                <a:pPr algn="ctr">
                  <a:defRPr sz="900" b="1" i="0" u="none" strike="noStrike" baseline="0">
                    <a:solidFill>
                      <a:srgbClr val="000000"/>
                    </a:solidFill>
                    <a:latin typeface="Times New Roman"/>
                    <a:ea typeface="Times New Roman"/>
                    <a:cs typeface="Times New Roman"/>
                  </a:defRPr>
                </a:pPr>
                <a:r>
                  <a:rPr lang="ru-RU" sz="900" b="1"/>
                  <a:t> вес </a:t>
                </a:r>
              </a:p>
              <a:p>
                <a:pPr algn="ctr">
                  <a:defRPr sz="900" b="1" i="0" u="none" strike="noStrike" baseline="0">
                    <a:solidFill>
                      <a:srgbClr val="000000"/>
                    </a:solidFill>
                    <a:latin typeface="Times New Roman"/>
                    <a:ea typeface="Times New Roman"/>
                    <a:cs typeface="Times New Roman"/>
                  </a:defRPr>
                </a:pPr>
                <a:r>
                  <a:rPr lang="ru-RU" sz="900" b="1"/>
                  <a:t>страны в</a:t>
                </a:r>
              </a:p>
              <a:p>
                <a:pPr algn="ctr">
                  <a:defRPr sz="900" b="1" i="0" u="none" strike="noStrike" baseline="0">
                    <a:solidFill>
                      <a:srgbClr val="000000"/>
                    </a:solidFill>
                    <a:latin typeface="Times New Roman"/>
                    <a:ea typeface="Times New Roman"/>
                    <a:cs typeface="Times New Roman"/>
                  </a:defRPr>
                </a:pPr>
                <a:r>
                  <a:rPr lang="ru-RU" sz="900" b="1"/>
                  <a:t> общем </a:t>
                </a:r>
              </a:p>
              <a:p>
                <a:pPr algn="ctr">
                  <a:defRPr sz="900" b="1" i="0" u="none" strike="noStrike" baseline="0">
                    <a:solidFill>
                      <a:srgbClr val="000000"/>
                    </a:solidFill>
                    <a:latin typeface="Times New Roman"/>
                    <a:ea typeface="Times New Roman"/>
                    <a:cs typeface="Times New Roman"/>
                  </a:defRPr>
                </a:pPr>
                <a:r>
                  <a:rPr lang="ru-RU" sz="900" b="1"/>
                  <a:t>импорте,%</a:t>
                </a:r>
              </a:p>
            </c:rich>
          </c:tx>
          <c:layout>
            <c:manualLayout>
              <c:xMode val="edge"/>
              <c:yMode val="edge"/>
              <c:x val="1.7142857142857487E-2"/>
              <c:y val="0.46628157480314958"/>
            </c:manualLayout>
          </c:layout>
          <c:overlay val="0"/>
          <c:spPr>
            <a:noFill/>
            <a:ln w="24383">
              <a:noFill/>
            </a:ln>
          </c:spPr>
        </c:title>
        <c:numFmt formatCode="0.0" sourceLinked="1"/>
        <c:majorTickMark val="cross"/>
        <c:minorTickMark val="none"/>
        <c:tickLblPos val="nextTo"/>
        <c:spPr>
          <a:ln>
            <a:solidFill>
              <a:sysClr val="windowText" lastClr="000000"/>
            </a:solidFill>
          </a:ln>
        </c:spPr>
        <c:txPr>
          <a:bodyPr/>
          <a:lstStyle/>
          <a:p>
            <a:pPr>
              <a:defRPr b="1">
                <a:latin typeface="Times New Roman" pitchFamily="18" charset="0"/>
                <a:cs typeface="Times New Roman" pitchFamily="18" charset="0"/>
              </a:defRPr>
            </a:pPr>
            <a:endParaRPr lang="ru-RU"/>
          </a:p>
        </c:txPr>
        <c:crossAx val="238087232"/>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Динамика инвестиций в основной капитал  за 2017-2018 годы,  млн. руб.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 (с учетом субъектов малого предпринимательства и индивидуальных застройщиков) </a:t>
            </a:r>
          </a:p>
        </c:rich>
      </c:tx>
      <c:layout>
        <c:manualLayout>
          <c:xMode val="edge"/>
          <c:yMode val="edge"/>
          <c:x val="0.11891384982074735"/>
          <c:y val="2.5675416181897706E-3"/>
        </c:manualLayout>
      </c:layout>
      <c:overlay val="0"/>
    </c:title>
    <c:autoTitleDeleted val="0"/>
    <c:plotArea>
      <c:layout>
        <c:manualLayout>
          <c:layoutTarget val="inner"/>
          <c:xMode val="edge"/>
          <c:yMode val="edge"/>
          <c:x val="0.33624252469023308"/>
          <c:y val="0.36848936911064833"/>
          <c:w val="0.6361293668942436"/>
          <c:h val="0.33700849970215829"/>
        </c:manualLayout>
      </c:layout>
      <c:barChart>
        <c:barDir val="col"/>
        <c:grouping val="clustered"/>
        <c:varyColors val="0"/>
        <c:ser>
          <c:idx val="0"/>
          <c:order val="0"/>
          <c:tx>
            <c:strRef>
              <c:f>Лист1!$B$1</c:f>
              <c:strCache>
                <c:ptCount val="1"/>
                <c:pt idx="0">
                  <c:v>Инвестиции в основной капитал (в текущих ценах)</c:v>
                </c:pt>
              </c:strCache>
            </c:strRef>
          </c:tx>
          <c:invertIfNegative val="0"/>
          <c:dLbls>
            <c:dLbl>
              <c:idx val="0"/>
              <c:layout>
                <c:manualLayout>
                  <c:x val="0"/>
                  <c:y val="1.1958052754717941E-2"/>
                </c:manualLayout>
              </c:layout>
              <c:tx>
                <c:rich>
                  <a:bodyPr/>
                  <a:lstStyle/>
                  <a:p>
                    <a:r>
                      <a:rPr lang="ru-RU" sz="860" b="1">
                        <a:latin typeface="Times New Roman" pitchFamily="18" charset="0"/>
                        <a:cs typeface="Times New Roman" pitchFamily="18" charset="0"/>
                      </a:rPr>
                      <a:t>74,9*</a:t>
                    </a:r>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1.8221280032304306E-4"/>
                  <c:y val="4.4597970926715195E-3"/>
                </c:manualLayout>
              </c:layout>
              <c:tx>
                <c:rich>
                  <a:bodyPr/>
                  <a:lstStyle/>
                  <a:p>
                    <a:r>
                      <a:rPr lang="ru-RU" sz="860" b="1">
                        <a:latin typeface="Times New Roman" pitchFamily="18" charset="0"/>
                        <a:cs typeface="Times New Roman" pitchFamily="18" charset="0"/>
                      </a:rPr>
                      <a:t>167,4*</a:t>
                    </a:r>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4.2735042735042774E-3"/>
                  <c:y val="1.4915581465778423E-2"/>
                </c:manualLayout>
              </c:layout>
              <c:tx>
                <c:rich>
                  <a:bodyPr/>
                  <a:lstStyle/>
                  <a:p>
                    <a:r>
                      <a:rPr lang="ru-RU" sz="860" b="1">
                        <a:latin typeface="Times New Roman" pitchFamily="18" charset="0"/>
                        <a:cs typeface="Times New Roman" pitchFamily="18" charset="0"/>
                      </a:rPr>
                      <a:t>165,1*</a:t>
                    </a:r>
                    <a:endParaRPr lang="en-US" sz="86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#,##0.0</c:formatCode>
                <c:ptCount val="2"/>
                <c:pt idx="0">
                  <c:v>1023.9</c:v>
                </c:pt>
                <c:pt idx="1">
                  <c:v>1742.3</c:v>
                </c:pt>
              </c:numCache>
            </c:numRef>
          </c:val>
        </c:ser>
        <c:dLbls>
          <c:showLegendKey val="0"/>
          <c:showVal val="1"/>
          <c:showCatName val="0"/>
          <c:showSerName val="0"/>
          <c:showPercent val="0"/>
          <c:showBubbleSize val="0"/>
        </c:dLbls>
        <c:gapWidth val="150"/>
        <c:axId val="227626080"/>
        <c:axId val="227626472"/>
      </c:barChart>
      <c:catAx>
        <c:axId val="227626080"/>
        <c:scaling>
          <c:orientation val="minMax"/>
        </c:scaling>
        <c:delete val="0"/>
        <c:axPos val="b"/>
        <c:numFmt formatCode="General" sourceLinked="1"/>
        <c:majorTickMark val="out"/>
        <c:minorTickMark val="none"/>
        <c:tickLblPos val="nextTo"/>
        <c:crossAx val="227626472"/>
        <c:crosses val="autoZero"/>
        <c:auto val="1"/>
        <c:lblAlgn val="ctr"/>
        <c:lblOffset val="100"/>
        <c:noMultiLvlLbl val="0"/>
      </c:catAx>
      <c:valAx>
        <c:axId val="227626472"/>
        <c:scaling>
          <c:orientation val="minMax"/>
          <c:max val="2000"/>
          <c:min val="200"/>
        </c:scaling>
        <c:delete val="0"/>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 темп роста  приведен к  уточненным данным ГСС ПМР, %</a:t>
                </a:r>
              </a:p>
            </c:rich>
          </c:tx>
          <c:layout>
            <c:manualLayout>
              <c:xMode val="edge"/>
              <c:yMode val="edge"/>
              <c:x val="4.7228033693855885E-2"/>
              <c:y val="0.44818190995356388"/>
            </c:manualLayout>
          </c:layout>
          <c:overlay val="0"/>
        </c:title>
        <c:numFmt formatCode="#,##0" sourceLinked="0"/>
        <c:majorTickMark val="out"/>
        <c:minorTickMark val="none"/>
        <c:tickLblPos val="nextTo"/>
        <c:txPr>
          <a:bodyPr/>
          <a:lstStyle/>
          <a:p>
            <a:pPr>
              <a:defRPr sz="900" b="1">
                <a:latin typeface="Times New Roman" pitchFamily="18" charset="0"/>
                <a:cs typeface="Times New Roman" pitchFamily="18" charset="0"/>
              </a:defRPr>
            </a:pPr>
            <a:endParaRPr lang="ru-RU"/>
          </a:p>
        </c:txPr>
        <c:crossAx val="227626080"/>
        <c:crosses val="autoZero"/>
        <c:crossBetween val="between"/>
        <c:majorUnit val="400"/>
        <c:minorUnit val="50"/>
      </c:valAx>
      <c:dTable>
        <c:showHorzBorder val="1"/>
        <c:showVertBorder val="1"/>
        <c:showOutline val="1"/>
        <c:showKeys val="0"/>
        <c:txPr>
          <a:bodyPr/>
          <a:lstStyle/>
          <a:p>
            <a:pPr rtl="0">
              <a:defRPr b="1">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Технологическая структура инвестиции в основной капитал</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(в части новых и преобретенных по импорту основных средств)</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 (без субъектов малого предпринимательства) (в текущих ценах),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млн руб.</a:t>
            </a:r>
          </a:p>
        </c:rich>
      </c:tx>
      <c:layout>
        <c:manualLayout>
          <c:xMode val="edge"/>
          <c:yMode val="edge"/>
          <c:x val="0.15287062842028817"/>
          <c:y val="3.3292119476801009E-3"/>
        </c:manualLayout>
      </c:layout>
      <c:overlay val="0"/>
    </c:title>
    <c:autoTitleDeleted val="0"/>
    <c:plotArea>
      <c:layout>
        <c:manualLayout>
          <c:layoutTarget val="inner"/>
          <c:xMode val="edge"/>
          <c:yMode val="edge"/>
          <c:x val="0.35595749228415074"/>
          <c:y val="0.28404763454154974"/>
          <c:w val="0.63619256248301403"/>
          <c:h val="0.38205548686579482"/>
        </c:manualLayout>
      </c:layout>
      <c:barChart>
        <c:barDir val="col"/>
        <c:grouping val="clustered"/>
        <c:varyColors val="0"/>
        <c:ser>
          <c:idx val="0"/>
          <c:order val="0"/>
          <c:tx>
            <c:strRef>
              <c:f>Лист1!$B$1</c:f>
              <c:strCache>
                <c:ptCount val="1"/>
                <c:pt idx="0">
                  <c:v>прочие</c:v>
                </c:pt>
              </c:strCache>
            </c:strRef>
          </c:tx>
          <c:invertIfNegative val="0"/>
          <c:dLbls>
            <c:dLbl>
              <c:idx val="0"/>
              <c:layout>
                <c:manualLayout>
                  <c:x val="0"/>
                  <c:y val="1.5469463188311201E-2"/>
                </c:manualLayout>
              </c:layout>
              <c:tx>
                <c:rich>
                  <a:bodyPr/>
                  <a:lstStyle/>
                  <a:p>
                    <a:r>
                      <a:rPr lang="ru-RU" sz="900" b="1">
                        <a:latin typeface="Times New Roman" pitchFamily="18" charset="0"/>
                        <a:cs typeface="Times New Roman" pitchFamily="18" charset="0"/>
                      </a:rPr>
                      <a:t>2,7*</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662639458580278E-3"/>
                  <c:y val="2.4509803921568651E-2"/>
                </c:manualLayout>
              </c:layout>
              <c:tx>
                <c:rich>
                  <a:bodyPr/>
                  <a:lstStyle/>
                  <a:p>
                    <a:r>
                      <a:rPr lang="ru-RU" sz="900" b="1">
                        <a:latin typeface="Times New Roman" pitchFamily="18" charset="0"/>
                        <a:cs typeface="Times New Roman" pitchFamily="18" charset="0"/>
                      </a:rPr>
                      <a:t>1,9*</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Лист1!$B$2:$B$3</c:f>
              <c:numCache>
                <c:formatCode>0.0</c:formatCode>
                <c:ptCount val="2"/>
                <c:pt idx="0">
                  <c:v>22.2</c:v>
                </c:pt>
                <c:pt idx="1">
                  <c:v>25.9</c:v>
                </c:pt>
              </c:numCache>
            </c:numRef>
          </c:val>
        </c:ser>
        <c:ser>
          <c:idx val="1"/>
          <c:order val="1"/>
          <c:tx>
            <c:strRef>
              <c:f>Лист1!$C$1</c:f>
              <c:strCache>
                <c:ptCount val="1"/>
                <c:pt idx="0">
                  <c:v>строительно-монтажные работы</c:v>
                </c:pt>
              </c:strCache>
            </c:strRef>
          </c:tx>
          <c:invertIfNegative val="0"/>
          <c:dLbls>
            <c:dLbl>
              <c:idx val="0"/>
              <c:layout>
                <c:manualLayout>
                  <c:x val="2.0662639458580278E-3"/>
                  <c:y val="2.04248366013072E-2"/>
                </c:manualLayout>
              </c:layout>
              <c:tx>
                <c:rich>
                  <a:bodyPr/>
                  <a:lstStyle/>
                  <a:p>
                    <a:pPr>
                      <a:defRPr sz="900" b="1">
                        <a:latin typeface="Times New Roman" pitchFamily="18" charset="0"/>
                        <a:cs typeface="Times New Roman" pitchFamily="18" charset="0"/>
                      </a:defRPr>
                    </a:pPr>
                    <a:r>
                      <a:rPr lang="ru-RU" sz="900" b="1">
                        <a:latin typeface="Times New Roman" pitchFamily="18" charset="0"/>
                        <a:cs typeface="Times New Roman" pitchFamily="18" charset="0"/>
                      </a:rPr>
                      <a:t>40,6*</a:t>
                    </a:r>
                  </a:p>
                </c:rich>
              </c:tx>
              <c:sp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662964324847993E-3"/>
                  <c:y val="1.879072101281478E-2"/>
                </c:manualLayout>
              </c:layout>
              <c:tx>
                <c:rich>
                  <a:bodyPr/>
                  <a:lstStyle/>
                  <a:p>
                    <a:r>
                      <a:rPr lang="ru-RU" sz="900" b="1">
                        <a:latin typeface="Times New Roman" pitchFamily="18" charset="0"/>
                        <a:cs typeface="Times New Roman" pitchFamily="18" charset="0"/>
                      </a:rPr>
                      <a:t>36,6*</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Лист1!$C$2:$C$3</c:f>
              <c:numCache>
                <c:formatCode>0.0</c:formatCode>
                <c:ptCount val="2"/>
                <c:pt idx="0">
                  <c:v>332.4</c:v>
                </c:pt>
                <c:pt idx="1">
                  <c:v>508.1</c:v>
                </c:pt>
              </c:numCache>
            </c:numRef>
          </c:val>
        </c:ser>
        <c:ser>
          <c:idx val="2"/>
          <c:order val="2"/>
          <c:tx>
            <c:strRef>
              <c:f>Лист1!$D$1</c:f>
              <c:strCache>
                <c:ptCount val="1"/>
                <c:pt idx="0">
                  <c:v>машины, оборудование, транспортные средства, инструмент, инвентарь</c:v>
                </c:pt>
              </c:strCache>
            </c:strRef>
          </c:tx>
          <c:invertIfNegative val="0"/>
          <c:dLbls>
            <c:dLbl>
              <c:idx val="0"/>
              <c:layout>
                <c:manualLayout>
                  <c:x val="-1.6679776971366622E-7"/>
                  <c:y val="1.8134595901384023E-2"/>
                </c:manualLayout>
              </c:layout>
              <c:tx>
                <c:rich>
                  <a:bodyPr/>
                  <a:lstStyle/>
                  <a:p>
                    <a:r>
                      <a:rPr lang="ru-RU" sz="900" b="1">
                        <a:latin typeface="Times New Roman" pitchFamily="18" charset="0"/>
                        <a:cs typeface="Times New Roman" pitchFamily="18" charset="0"/>
                      </a:rPr>
                      <a:t>56,7*</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241068248698445E-2"/>
                  <c:y val="2.1055915804642496E-2"/>
                </c:manualLayout>
              </c:layout>
              <c:tx>
                <c:rich>
                  <a:bodyPr/>
                  <a:lstStyle/>
                  <a:p>
                    <a:r>
                      <a:rPr lang="ru-RU" sz="900" b="1">
                        <a:latin typeface="Times New Roman" pitchFamily="18" charset="0"/>
                        <a:cs typeface="Times New Roman" pitchFamily="18" charset="0"/>
                      </a:rPr>
                      <a:t>61,5*</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Лист1!$D$2:$D$3</c:f>
              <c:numCache>
                <c:formatCode>0.0</c:formatCode>
                <c:ptCount val="2"/>
                <c:pt idx="0">
                  <c:v>463.4</c:v>
                </c:pt>
                <c:pt idx="1">
                  <c:v>853.9</c:v>
                </c:pt>
              </c:numCache>
            </c:numRef>
          </c:val>
        </c:ser>
        <c:dLbls>
          <c:showLegendKey val="0"/>
          <c:showVal val="1"/>
          <c:showCatName val="0"/>
          <c:showSerName val="0"/>
          <c:showPercent val="0"/>
          <c:showBubbleSize val="0"/>
        </c:dLbls>
        <c:gapWidth val="199"/>
        <c:overlap val="-5"/>
        <c:axId val="227627648"/>
        <c:axId val="227628040"/>
      </c:barChart>
      <c:catAx>
        <c:axId val="227627648"/>
        <c:scaling>
          <c:orientation val="minMax"/>
        </c:scaling>
        <c:delete val="1"/>
        <c:axPos val="b"/>
        <c:majorGridlines/>
        <c:numFmt formatCode="General" sourceLinked="0"/>
        <c:majorTickMark val="out"/>
        <c:minorTickMark val="none"/>
        <c:tickLblPos val="nextTo"/>
        <c:crossAx val="227628040"/>
        <c:crossesAt val="0"/>
        <c:auto val="1"/>
        <c:lblAlgn val="ctr"/>
        <c:lblOffset val="100"/>
        <c:noMultiLvlLbl val="0"/>
      </c:catAx>
      <c:valAx>
        <c:axId val="227628040"/>
        <c:scaling>
          <c:orientation val="minMax"/>
        </c:scaling>
        <c:delete val="0"/>
        <c:axPos val="l"/>
        <c:numFmt formatCode="0.0" sourceLinked="1"/>
        <c:majorTickMark val="in"/>
        <c:minorTickMark val="none"/>
        <c:tickLblPos val="nextTo"/>
        <c:txPr>
          <a:bodyPr/>
          <a:lstStyle/>
          <a:p>
            <a:pPr>
              <a:defRPr sz="1000" b="1">
                <a:latin typeface="Times New Roman" pitchFamily="18" charset="0"/>
                <a:cs typeface="Times New Roman" pitchFamily="18" charset="0"/>
              </a:defRPr>
            </a:pPr>
            <a:endParaRPr lang="ru-RU"/>
          </a:p>
        </c:txPr>
        <c:crossAx val="227627648"/>
        <c:crosses val="autoZero"/>
        <c:crossBetween val="between"/>
      </c:valAx>
      <c:dTable>
        <c:showHorzBorder val="1"/>
        <c:showVertBorder val="1"/>
        <c:showOutline val="1"/>
        <c:showKeys val="1"/>
        <c:txPr>
          <a:bodyPr/>
          <a:lstStyle/>
          <a:p>
            <a:pPr rtl="0">
              <a:defRPr sz="850" b="1">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itchFamily="18" charset="0"/>
                <a:ea typeface="Calibri"/>
                <a:cs typeface="Times New Roman" pitchFamily="18" charset="0"/>
              </a:defRPr>
            </a:pPr>
            <a:r>
              <a:rPr lang="ru-RU" sz="1100">
                <a:latin typeface="Times New Roman" pitchFamily="18" charset="0"/>
                <a:cs typeface="Times New Roman" pitchFamily="18" charset="0"/>
              </a:rPr>
              <a:t>январь-декабрь   2017 г.</a:t>
            </a:r>
          </a:p>
        </c:rich>
      </c:tx>
      <c:layout>
        <c:manualLayout>
          <c:xMode val="edge"/>
          <c:yMode val="edge"/>
          <c:x val="0.31523000906026044"/>
          <c:y val="2.0202412969983802E-3"/>
        </c:manualLayout>
      </c:layout>
      <c:overlay val="0"/>
      <c:spPr>
        <a:noFill/>
        <a:ln w="24324">
          <a:noFill/>
        </a:ln>
      </c:spPr>
    </c:title>
    <c:autoTitleDeleted val="0"/>
    <c:view3D>
      <c:rotX val="25"/>
      <c:rotY val="0"/>
      <c:rAngAx val="0"/>
      <c:perspective val="0"/>
    </c:view3D>
    <c:floor>
      <c:thickness val="0"/>
    </c:floor>
    <c:sideWall>
      <c:thickness val="0"/>
    </c:sideWall>
    <c:backWall>
      <c:thickness val="0"/>
    </c:backWall>
    <c:plotArea>
      <c:layout>
        <c:manualLayout>
          <c:layoutTarget val="inner"/>
          <c:xMode val="edge"/>
          <c:yMode val="edge"/>
          <c:x val="8.8835049464972195E-3"/>
          <c:y val="0.16978804536225567"/>
          <c:w val="0.98540288713910751"/>
          <c:h val="0.7346174416877137"/>
        </c:manualLayout>
      </c:layout>
      <c:pie3DChart>
        <c:varyColors val="1"/>
        <c:ser>
          <c:idx val="0"/>
          <c:order val="0"/>
          <c:tx>
            <c:strRef>
              <c:f>Sheet1!$A$2</c:f>
              <c:strCache>
                <c:ptCount val="1"/>
                <c:pt idx="0">
                  <c:v>Восток</c:v>
                </c:pt>
              </c:strCache>
            </c:strRef>
          </c:tx>
          <c:explosion val="25"/>
          <c:dPt>
            <c:idx val="0"/>
            <c:bubble3D val="0"/>
            <c:explosion val="21"/>
            <c:spPr>
              <a:solidFill>
                <a:srgbClr val="9BBB59">
                  <a:lumMod val="75000"/>
                </a:srgbClr>
              </a:solidFill>
            </c:spPr>
          </c:dPt>
          <c:dPt>
            <c:idx val="1"/>
            <c:bubble3D val="0"/>
            <c:explosion val="54"/>
            <c:spPr>
              <a:solidFill>
                <a:sysClr val="window" lastClr="FFFFFF">
                  <a:lumMod val="50000"/>
                </a:sysClr>
              </a:solidFill>
            </c:spPr>
          </c:dPt>
          <c:dPt>
            <c:idx val="2"/>
            <c:bubble3D val="0"/>
            <c:explosion val="6"/>
            <c:spPr>
              <a:solidFill>
                <a:srgbClr val="1F497D">
                  <a:lumMod val="20000"/>
                  <a:lumOff val="80000"/>
                </a:srgbClr>
              </a:solidFill>
            </c:spPr>
          </c:dPt>
          <c:dPt>
            <c:idx val="3"/>
            <c:bubble3D val="0"/>
            <c:explosion val="0"/>
          </c:dPt>
          <c:dLbls>
            <c:dLbl>
              <c:idx val="0"/>
              <c:layout>
                <c:manualLayout>
                  <c:x val="6.5603196361588401E-2"/>
                  <c:y val="-4.1078096370029252E-2"/>
                </c:manualLayout>
              </c:layout>
              <c:tx>
                <c:rich>
                  <a:bodyPr/>
                  <a:lstStyle/>
                  <a:p>
                    <a:r>
                      <a:rPr lang="en-US" sz="900">
                        <a:latin typeface="Times New Roman" pitchFamily="18" charset="0"/>
                        <a:cs typeface="Times New Roman" pitchFamily="18" charset="0"/>
                      </a:rPr>
                      <a:t>8,9%</a:t>
                    </a:r>
                  </a:p>
                </c:rich>
              </c:tx>
              <c:showLegendKey val="0"/>
              <c:showVal val="0"/>
              <c:showCatName val="0"/>
              <c:showSerName val="0"/>
              <c:showPercent val="0"/>
              <c:showBubbleSize val="0"/>
              <c:separator>; </c:separator>
              <c:extLst>
                <c:ext xmlns:c15="http://schemas.microsoft.com/office/drawing/2012/chart" uri="{CE6537A1-D6FC-4f65-9D91-7224C49458BB}"/>
              </c:extLst>
            </c:dLbl>
            <c:dLbl>
              <c:idx val="1"/>
              <c:layout>
                <c:manualLayout>
                  <c:x val="0.16989498353651541"/>
                  <c:y val="0.16906714785651794"/>
                </c:manualLayout>
              </c:layout>
              <c:tx>
                <c:rich>
                  <a:bodyPr/>
                  <a:lstStyle/>
                  <a:p>
                    <a:r>
                      <a:rPr lang="en-US" sz="900">
                        <a:latin typeface="Times New Roman" pitchFamily="18" charset="0"/>
                        <a:cs typeface="Times New Roman" pitchFamily="18" charset="0"/>
                      </a:rPr>
                      <a:t>82,2%</a:t>
                    </a:r>
                  </a:p>
                </c:rich>
              </c:tx>
              <c:showLegendKey val="0"/>
              <c:showVal val="0"/>
              <c:showCatName val="0"/>
              <c:showSerName val="0"/>
              <c:showPercent val="0"/>
              <c:showBubbleSize val="0"/>
              <c:separator>; </c:separator>
              <c:extLst>
                <c:ext xmlns:c15="http://schemas.microsoft.com/office/drawing/2012/chart" uri="{CE6537A1-D6FC-4f65-9D91-7224C49458BB}"/>
              </c:extLst>
            </c:dLbl>
            <c:dLbl>
              <c:idx val="2"/>
              <c:layout>
                <c:manualLayout>
                  <c:x val="-0.13613142486744001"/>
                  <c:y val="-6.5656910810677024E-2"/>
                </c:manualLayout>
              </c:layout>
              <c:tx>
                <c:rich>
                  <a:bodyPr/>
                  <a:lstStyle/>
                  <a:p>
                    <a:pPr>
                      <a:defRPr sz="900">
                        <a:latin typeface="Times New Roman" pitchFamily="18" charset="0"/>
                        <a:cs typeface="Times New Roman" pitchFamily="18" charset="0"/>
                      </a:defRPr>
                    </a:pPr>
                    <a:r>
                      <a:rPr lang="en-US"/>
                      <a:t>0,1%</a:t>
                    </a:r>
                  </a:p>
                </c:rich>
              </c:tx>
              <c:spPr/>
              <c:showLegendKey val="0"/>
              <c:showVal val="1"/>
              <c:showCatName val="0"/>
              <c:showSerName val="0"/>
              <c:showPercent val="0"/>
              <c:showBubbleSize val="0"/>
              <c:extLst>
                <c:ext xmlns:c15="http://schemas.microsoft.com/office/drawing/2012/chart" uri="{CE6537A1-D6FC-4f65-9D91-7224C49458BB}"/>
              </c:extLst>
            </c:dLbl>
            <c:dLbl>
              <c:idx val="3"/>
              <c:layout>
                <c:manualLayout>
                  <c:x val="0.1661950758179519"/>
                  <c:y val="-0.12478235031941762"/>
                </c:manualLayout>
              </c:layout>
              <c:tx>
                <c:rich>
                  <a:bodyPr/>
                  <a:lstStyle/>
                  <a:p>
                    <a:r>
                      <a:rPr lang="en-US" sz="900">
                        <a:latin typeface="Times New Roman" pitchFamily="18" charset="0"/>
                        <a:cs typeface="Times New Roman" pitchFamily="18" charset="0"/>
                      </a:rPr>
                      <a:t>8,8%</a:t>
                    </a:r>
                  </a:p>
                </c:rich>
              </c:tx>
              <c:dLblPos val="bestFit"/>
              <c:showLegendKey val="0"/>
              <c:showVal val="0"/>
              <c:showCatName val="0"/>
              <c:showSerName val="0"/>
              <c:showPercent val="0"/>
              <c:showBubbleSize val="0"/>
              <c:separator>; </c:separator>
              <c:extLst>
                <c:ext xmlns:c15="http://schemas.microsoft.com/office/drawing/2012/chart" uri="{CE6537A1-D6FC-4f65-9D91-7224C49458BB}"/>
              </c:extLst>
            </c:dLbl>
            <c:dLbl>
              <c:idx val="4"/>
              <c:layout>
                <c:manualLayout>
                  <c:x val="-7.9423291546550534E-2"/>
                  <c:y val="1.1341417274298561E-3"/>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5"/>
              <c:layout>
                <c:manualLayout>
                  <c:x val="-0.12883613558915979"/>
                  <c:y val="-5.6232996118203933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6"/>
              <c:layout>
                <c:manualLayout>
                  <c:x val="-4.6739807796465846E-2"/>
                  <c:y val="-0.1372710100557818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7"/>
              <c:layout>
                <c:manualLayout>
                  <c:x val="-0.12131749626794185"/>
                  <c:y val="-0.14979121978685594"/>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8"/>
              <c:layout>
                <c:manualLayout>
                  <c:x val="7.9664857278558709E-2"/>
                  <c:y val="-0.1359210952999807"/>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9"/>
              <c:layout>
                <c:manualLayout>
                  <c:x val="5.5932806936557874E-2"/>
                  <c:y val="-9.9738752073467746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10"/>
              <c:layout>
                <c:manualLayout>
                  <c:x val="8.9960564866300274E-2"/>
                  <c:y val="-6.6121948348689341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11"/>
              <c:layout>
                <c:manualLayout>
                  <c:x val="4.7145589451160895E-2"/>
                  <c:y val="-1.489385283150272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Sheet1!$B$1:$E$1</c:f>
              <c:strCache>
                <c:ptCount val="4"/>
                <c:pt idx="0">
                  <c:v>средства бюджетов</c:v>
                </c:pt>
                <c:pt idx="1">
                  <c:v>собственные средства организаций</c:v>
                </c:pt>
                <c:pt idx="2">
                  <c:v>кредиты (займы)банков</c:v>
                </c:pt>
                <c:pt idx="3">
                  <c:v>прочие источники</c:v>
                </c:pt>
              </c:strCache>
            </c:strRef>
          </c:cat>
          <c:val>
            <c:numRef>
              <c:f>Sheet1!$B$2:$E$2</c:f>
              <c:numCache>
                <c:formatCode>0.0%</c:formatCode>
                <c:ptCount val="4"/>
                <c:pt idx="0">
                  <c:v>8.9000000000000065E-2</c:v>
                </c:pt>
                <c:pt idx="1">
                  <c:v>0.82199999999999995</c:v>
                </c:pt>
                <c:pt idx="2" formatCode="0.00%">
                  <c:v>1.0000000000000041E-3</c:v>
                </c:pt>
                <c:pt idx="3">
                  <c:v>8.8000000000000064E-2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763"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itchFamily="18" charset="0"/>
                <a:ea typeface="Calibri"/>
                <a:cs typeface="Times New Roman" pitchFamily="18" charset="0"/>
              </a:defRPr>
            </a:pPr>
            <a:r>
              <a:rPr lang="ru-RU" sz="1100">
                <a:latin typeface="Times New Roman" pitchFamily="18" charset="0"/>
                <a:cs typeface="Times New Roman" pitchFamily="18" charset="0"/>
              </a:rPr>
              <a:t>январь-декабрь  2018  г.</a:t>
            </a:r>
          </a:p>
        </c:rich>
      </c:tx>
      <c:layout>
        <c:manualLayout>
          <c:xMode val="edge"/>
          <c:yMode val="edge"/>
          <c:x val="0.35346981276153644"/>
          <c:y val="4.6779022316583263E-2"/>
        </c:manualLayout>
      </c:layout>
      <c:overlay val="0"/>
      <c:spPr>
        <a:noFill/>
        <a:ln w="18548">
          <a:noFill/>
        </a:ln>
      </c:spPr>
    </c:title>
    <c:autoTitleDeleted val="0"/>
    <c:view3D>
      <c:rotX val="30"/>
      <c:rotY val="60"/>
      <c:rAngAx val="0"/>
      <c:perspective val="0"/>
    </c:view3D>
    <c:floor>
      <c:thickness val="0"/>
    </c:floor>
    <c:sideWall>
      <c:thickness val="0"/>
    </c:sideWall>
    <c:backWall>
      <c:thickness val="0"/>
    </c:backWall>
    <c:plotArea>
      <c:layout>
        <c:manualLayout>
          <c:layoutTarget val="inner"/>
          <c:xMode val="edge"/>
          <c:yMode val="edge"/>
          <c:x val="0.32154601453634984"/>
          <c:y val="0.24227394104209649"/>
          <c:w val="0.6316873429106088"/>
          <c:h val="0.62501182890460905"/>
        </c:manualLayout>
      </c:layout>
      <c:pie3DChart>
        <c:varyColors val="0"/>
        <c:ser>
          <c:idx val="0"/>
          <c:order val="0"/>
          <c:tx>
            <c:strRef>
              <c:f>Sheet1!$A$2</c:f>
              <c:strCache>
                <c:ptCount val="1"/>
                <c:pt idx="0">
                  <c:v>Восток</c:v>
                </c:pt>
              </c:strCache>
            </c:strRef>
          </c:tx>
          <c:spPr>
            <a:solidFill>
              <a:sysClr val="window" lastClr="FFFFFF">
                <a:lumMod val="50000"/>
              </a:sysClr>
            </a:solidFill>
          </c:spPr>
          <c:explosion val="31"/>
          <c:dPt>
            <c:idx val="0"/>
            <c:bubble3D val="0"/>
            <c:spPr>
              <a:solidFill>
                <a:srgbClr val="9BBB59">
                  <a:lumMod val="75000"/>
                </a:srgbClr>
              </a:solidFill>
            </c:spPr>
          </c:dPt>
          <c:dPt>
            <c:idx val="2"/>
            <c:bubble3D val="0"/>
            <c:spPr>
              <a:solidFill>
                <a:srgbClr val="7030A0"/>
              </a:solidFill>
            </c:spPr>
          </c:dPt>
          <c:dLbls>
            <c:dLbl>
              <c:idx val="0"/>
              <c:layout>
                <c:manualLayout>
                  <c:x val="6.2415429269112983E-2"/>
                  <c:y val="4.9593352400456724E-2"/>
                </c:manualLayout>
              </c:layout>
              <c:tx>
                <c:rich>
                  <a:bodyPr/>
                  <a:lstStyle/>
                  <a:p>
                    <a:r>
                      <a:rPr lang="en-US" sz="900">
                        <a:latin typeface="Times New Roman" pitchFamily="18" charset="0"/>
                        <a:cs typeface="Times New Roman" pitchFamily="18" charset="0"/>
                      </a:rPr>
                      <a:t>8,9%</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4.7409931531094823E-2"/>
                  <c:y val="0.21441562978041831"/>
                </c:manualLayout>
              </c:layout>
              <c:tx>
                <c:rich>
                  <a:bodyPr/>
                  <a:lstStyle/>
                  <a:p>
                    <a:r>
                      <a:rPr lang="en-US" sz="900">
                        <a:latin typeface="Times New Roman" pitchFamily="18" charset="0"/>
                        <a:cs typeface="Times New Roman" pitchFamily="18" charset="0"/>
                      </a:rPr>
                      <a:t>85,2%</a:t>
                    </a:r>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6.2194798274423931E-2"/>
                  <c:y val="-5.7846647701650454E-2"/>
                </c:manualLayout>
              </c:layout>
              <c:tx>
                <c:rich>
                  <a:bodyPr/>
                  <a:lstStyle/>
                  <a:p>
                    <a:r>
                      <a:rPr lang="en-US" sz="900">
                        <a:latin typeface="Times New Roman" pitchFamily="18" charset="0"/>
                        <a:cs typeface="Times New Roman" pitchFamily="18" charset="0"/>
                      </a:rPr>
                      <a:t>1,0%</a:t>
                    </a:r>
                  </a:p>
                </c:rich>
              </c:tx>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5.6376043903603033E-2"/>
                  <c:y val="-8.2952593888726875E-2"/>
                </c:manualLayout>
              </c:layout>
              <c:tx>
                <c:rich>
                  <a:bodyPr/>
                  <a:lstStyle/>
                  <a:p>
                    <a:r>
                      <a:rPr lang="en-US" sz="900">
                        <a:latin typeface="Times New Roman" pitchFamily="18" charset="0"/>
                        <a:cs typeface="Times New Roman" pitchFamily="18" charset="0"/>
                      </a:rPr>
                      <a:t>5,4%</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Sheet1!$B$1:$E$1</c:f>
              <c:strCache>
                <c:ptCount val="4"/>
                <c:pt idx="0">
                  <c:v>средства бюджетов</c:v>
                </c:pt>
                <c:pt idx="1">
                  <c:v>собственные средства организаций</c:v>
                </c:pt>
                <c:pt idx="2">
                  <c:v>кредиты (займы)банков</c:v>
                </c:pt>
                <c:pt idx="3">
                  <c:v>прочие источники</c:v>
                </c:pt>
              </c:strCache>
            </c:strRef>
          </c:cat>
          <c:val>
            <c:numRef>
              <c:f>Sheet1!$B$2:$E$2</c:f>
              <c:numCache>
                <c:formatCode>0.0%</c:formatCode>
                <c:ptCount val="4"/>
                <c:pt idx="0">
                  <c:v>8.4000000000000047E-2</c:v>
                </c:pt>
                <c:pt idx="1">
                  <c:v>0.85200000000000065</c:v>
                </c:pt>
                <c:pt idx="2">
                  <c:v>1.0000000000000005E-2</c:v>
                </c:pt>
                <c:pt idx="3">
                  <c:v>5.3999999999999999E-2</c:v>
                </c:pt>
              </c:numCache>
            </c:numRef>
          </c:val>
        </c:ser>
        <c:dLbls>
          <c:showLegendKey val="0"/>
          <c:showVal val="1"/>
          <c:showCatName val="0"/>
          <c:showSerName val="0"/>
          <c:showPercent val="1"/>
          <c:showBubbleSize val="0"/>
          <c:showLeaderLines val="1"/>
        </c:dLbls>
      </c:pie3DChart>
      <c:spPr>
        <a:noFill/>
        <a:ln w="18594">
          <a:noFill/>
        </a:ln>
      </c:spPr>
    </c:plotArea>
    <c:legend>
      <c:legendPos val="r"/>
      <c:legendEntry>
        <c:idx val="0"/>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6.2148481439820962E-4"/>
          <c:y val="0.10799261614695493"/>
          <c:w val="0.2887170353705788"/>
          <c:h val="0.76615042113115905"/>
        </c:manualLayout>
      </c:layout>
      <c:overlay val="0"/>
      <c:spPr>
        <a:solidFill>
          <a:srgbClr val="FFFFFF"/>
        </a:solidFill>
        <a:ln>
          <a:noFill/>
        </a:ln>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noFill/>
    <a:ln>
      <a:noFill/>
    </a:ln>
  </c:spPr>
  <c:txPr>
    <a:bodyPr/>
    <a:lstStyle/>
    <a:p>
      <a:pPr>
        <a:defRPr sz="586"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itchFamily="18" charset="0"/>
                <a:ea typeface="Calibri"/>
                <a:cs typeface="Times New Roman" pitchFamily="18" charset="0"/>
              </a:defRPr>
            </a:pPr>
            <a:r>
              <a:rPr lang="ru-RU" sz="1100">
                <a:latin typeface="Times New Roman" pitchFamily="18" charset="0"/>
                <a:cs typeface="Times New Roman" pitchFamily="18" charset="0"/>
              </a:rPr>
              <a:t>январь-декабрь 2017 г.</a:t>
            </a:r>
          </a:p>
        </c:rich>
      </c:tx>
      <c:layout>
        <c:manualLayout>
          <c:xMode val="edge"/>
          <c:yMode val="edge"/>
          <c:x val="0.35048184275473032"/>
          <c:y val="3.9413867236444695E-2"/>
        </c:manualLayout>
      </c:layout>
      <c:overlay val="0"/>
      <c:spPr>
        <a:noFill/>
        <a:ln w="22943">
          <a:noFill/>
        </a:ln>
      </c:spPr>
    </c:title>
    <c:autoTitleDeleted val="0"/>
    <c:view3D>
      <c:rotX val="30"/>
      <c:rotY val="80"/>
      <c:rAngAx val="0"/>
      <c:perspective val="0"/>
    </c:view3D>
    <c:floor>
      <c:thickness val="0"/>
    </c:floor>
    <c:sideWall>
      <c:thickness val="0"/>
    </c:sideWall>
    <c:backWall>
      <c:thickness val="0"/>
    </c:backWall>
    <c:plotArea>
      <c:layout>
        <c:manualLayout>
          <c:layoutTarget val="inner"/>
          <c:xMode val="edge"/>
          <c:yMode val="edge"/>
          <c:x val="6.8260840088715889E-4"/>
          <c:y val="0.27238965818927885"/>
          <c:w val="0.9711855575248679"/>
          <c:h val="0.62795064410052326"/>
        </c:manualLayout>
      </c:layout>
      <c:pie3DChart>
        <c:varyColors val="1"/>
        <c:ser>
          <c:idx val="0"/>
          <c:order val="0"/>
          <c:tx>
            <c:strRef>
              <c:f>Sheet1!$A$2</c:f>
              <c:strCache>
                <c:ptCount val="1"/>
                <c:pt idx="0">
                  <c:v>Восток</c:v>
                </c:pt>
              </c:strCache>
            </c:strRef>
          </c:tx>
          <c:spPr>
            <a:solidFill>
              <a:srgbClr val="9999FF"/>
            </a:solidFill>
            <a:ln w="11472">
              <a:solidFill>
                <a:srgbClr val="000000"/>
              </a:solidFill>
              <a:prstDash val="solid"/>
            </a:ln>
          </c:spPr>
          <c:dPt>
            <c:idx val="0"/>
            <c:bubble3D val="0"/>
            <c:explosion val="9"/>
            <c:spPr>
              <a:solidFill>
                <a:srgbClr val="EEECE1">
                  <a:lumMod val="50000"/>
                </a:srgbClr>
              </a:solidFill>
              <a:ln w="11472">
                <a:solidFill>
                  <a:srgbClr val="000000"/>
                </a:solidFill>
                <a:prstDash val="solid"/>
              </a:ln>
            </c:spPr>
          </c:dPt>
          <c:dPt>
            <c:idx val="1"/>
            <c:bubble3D val="0"/>
            <c:explosion val="5"/>
            <c:spPr>
              <a:solidFill>
                <a:srgbClr val="9BBB59">
                  <a:lumMod val="50000"/>
                </a:srgbClr>
              </a:solidFill>
              <a:ln w="11472">
                <a:solidFill>
                  <a:srgbClr val="000000"/>
                </a:solidFill>
                <a:prstDash val="solid"/>
              </a:ln>
            </c:spPr>
          </c:dPt>
          <c:dPt>
            <c:idx val="2"/>
            <c:bubble3D val="0"/>
            <c:explosion val="22"/>
            <c:spPr>
              <a:solidFill>
                <a:sysClr val="window" lastClr="FFFFFF">
                  <a:lumMod val="50000"/>
                </a:sysClr>
              </a:solidFill>
              <a:ln w="11472">
                <a:solidFill>
                  <a:srgbClr val="000000"/>
                </a:solidFill>
                <a:prstDash val="solid"/>
              </a:ln>
            </c:spPr>
          </c:dPt>
          <c:dPt>
            <c:idx val="3"/>
            <c:bubble3D val="0"/>
            <c:spPr>
              <a:solidFill>
                <a:srgbClr val="C0504D">
                  <a:lumMod val="75000"/>
                </a:srgbClr>
              </a:solidFill>
              <a:ln w="11472">
                <a:solidFill>
                  <a:srgbClr val="000000"/>
                </a:solidFill>
                <a:prstDash val="solid"/>
              </a:ln>
            </c:spPr>
          </c:dPt>
          <c:dLbls>
            <c:dLbl>
              <c:idx val="0"/>
              <c:layout>
                <c:manualLayout>
                  <c:x val="5.4103558125332712E-2"/>
                  <c:y val="4.2869029888994083E-2"/>
                </c:manualLayout>
              </c:layout>
              <c:tx>
                <c:rich>
                  <a:bodyPr/>
                  <a:lstStyle/>
                  <a:p>
                    <a:r>
                      <a:rPr lang="en-US" sz="900">
                        <a:latin typeface="Times New Roman" pitchFamily="18" charset="0"/>
                        <a:cs typeface="Times New Roman" pitchFamily="18" charset="0"/>
                      </a:rPr>
                      <a:t>30,7%</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0.14576465945494221"/>
                  <c:y val="-1.6908355291322948E-2"/>
                </c:manualLayout>
              </c:layout>
              <c:tx>
                <c:rich>
                  <a:bodyPr/>
                  <a:lstStyle/>
                  <a:p>
                    <a:r>
                      <a:rPr lang="en-US" sz="900">
                        <a:latin typeface="Times New Roman" pitchFamily="18" charset="0"/>
                        <a:cs typeface="Times New Roman" pitchFamily="18" charset="0"/>
                      </a:rPr>
                      <a:t>5,1% </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5.1025510076533796E-2"/>
                  <c:y val="-0.10672668182119777"/>
                </c:manualLayout>
              </c:layout>
              <c:tx>
                <c:rich>
                  <a:bodyPr/>
                  <a:lstStyle/>
                  <a:p>
                    <a:r>
                      <a:rPr lang="en-US" sz="900">
                        <a:latin typeface="Times New Roman" pitchFamily="18" charset="0"/>
                        <a:cs typeface="Times New Roman" pitchFamily="18" charset="0"/>
                      </a:rPr>
                      <a:t>63,6% </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6.4336966559742303E-2"/>
                  <c:y val="-8.3578849518819665E-2"/>
                </c:manualLayout>
              </c:layout>
              <c:tx>
                <c:rich>
                  <a:bodyPr/>
                  <a:lstStyle/>
                  <a:p>
                    <a:r>
                      <a:rPr lang="en-US" sz="900">
                        <a:latin typeface="Times New Roman" pitchFamily="18" charset="0"/>
                        <a:cs typeface="Times New Roman" pitchFamily="18" charset="0"/>
                      </a:rPr>
                      <a:t>0,6% </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0.30700000000000038</c:v>
                </c:pt>
                <c:pt idx="1">
                  <c:v>5.1000000000000004E-2</c:v>
                </c:pt>
                <c:pt idx="2">
                  <c:v>0.63600000000000612</c:v>
                </c:pt>
                <c:pt idx="3">
                  <c:v>6.0000000000000114E-3</c:v>
                </c:pt>
              </c:numCache>
            </c:numRef>
          </c:val>
        </c:ser>
        <c:ser>
          <c:idx val="1"/>
          <c:order val="1"/>
          <c:tx>
            <c:strRef>
              <c:f>Sheet1!$A$2</c:f>
              <c:strCache>
                <c:ptCount val="1"/>
                <c:pt idx="0">
                  <c:v>Восток</c:v>
                </c:pt>
              </c:strCache>
            </c:strRef>
          </c:tx>
          <c:spPr>
            <a:solidFill>
              <a:srgbClr val="9999FF"/>
            </a:solidFill>
            <a:ln w="11468">
              <a:solidFill>
                <a:srgbClr val="000000"/>
              </a:solidFill>
              <a:prstDash val="solid"/>
            </a:ln>
          </c:spPr>
          <c:dPt>
            <c:idx val="0"/>
            <c:bubble3D val="0"/>
            <c:spPr>
              <a:solidFill>
                <a:srgbClr val="969696"/>
              </a:solidFill>
              <a:ln w="11468">
                <a:solidFill>
                  <a:srgbClr val="000000"/>
                </a:solidFill>
                <a:prstDash val="solid"/>
              </a:ln>
            </c:spPr>
          </c:dPt>
          <c:dPt>
            <c:idx val="1"/>
            <c:bubble3D val="0"/>
            <c:spPr>
              <a:blipFill dpi="0" rotWithShape="0">
                <a:blip xmlns:r="http://schemas.openxmlformats.org/officeDocument/2006/relationships" r:embed="rId2"/>
                <a:srcRect/>
                <a:tile tx="0" ty="0" sx="100000" sy="100000" flip="none" algn="tl"/>
              </a:blipFill>
              <a:ln w="11468">
                <a:solidFill>
                  <a:srgbClr val="000000"/>
                </a:solidFill>
                <a:prstDash val="solid"/>
              </a:ln>
            </c:spPr>
          </c:dPt>
          <c:dPt>
            <c:idx val="2"/>
            <c:bubble3D val="0"/>
            <c:spPr>
              <a:solidFill>
                <a:srgbClr val="00B050"/>
              </a:solidFill>
              <a:ln w="11468">
                <a:solidFill>
                  <a:srgbClr val="000000"/>
                </a:solidFill>
                <a:prstDash val="solid"/>
              </a:ln>
            </c:spPr>
          </c:dPt>
          <c:dPt>
            <c:idx val="3"/>
            <c:bubble3D val="0"/>
            <c:spPr>
              <a:pattFill prst="lgCheck">
                <a:fgClr>
                  <a:srgbClr val="993366"/>
                </a:fgClr>
                <a:bgClr>
                  <a:srgbClr val="FFFFFF"/>
                </a:bgClr>
              </a:pattFill>
              <a:ln w="11468">
                <a:solidFill>
                  <a:srgbClr val="000000"/>
                </a:solidFill>
                <a:prstDash val="solid"/>
              </a:ln>
            </c:spPr>
          </c:dPt>
          <c:dLbls>
            <c:dLbl>
              <c:idx val="0"/>
              <c:tx>
                <c:rich>
                  <a:bodyPr/>
                  <a:lstStyle/>
                  <a:p>
                    <a:r>
                      <a:rPr lang="en-US"/>
                      <a:t> 2</a:t>
                    </a:r>
                    <a:r>
                      <a:rPr lang="ru-RU"/>
                      <a:t>4,7</a:t>
                    </a:r>
                    <a:r>
                      <a:rPr lang="en-US"/>
                      <a:t>%</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 </a:t>
                    </a:r>
                    <a:r>
                      <a:rPr lang="ru-RU"/>
                      <a:t>4,0%</a:t>
                    </a:r>
                    <a:endParaRPr lang="en-US"/>
                  </a:p>
                </c:rich>
              </c:tx>
              <c:dLblPos val="bestFit"/>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en-US"/>
                      <a:t> 7</a:t>
                    </a:r>
                    <a:r>
                      <a:rPr lang="ru-RU"/>
                      <a:t>1,0</a:t>
                    </a:r>
                    <a:r>
                      <a:rPr lang="en-US"/>
                      <a:t>%</a:t>
                    </a:r>
                  </a:p>
                </c:rich>
              </c:tx>
              <c:dLblPos val="bestFit"/>
              <c:showLegendKey val="0"/>
              <c:showVal val="0"/>
              <c:showCatName val="0"/>
              <c:showSerName val="0"/>
              <c:showPercent val="0"/>
              <c:showBubbleSize val="0"/>
              <c:extLst>
                <c:ext xmlns:c15="http://schemas.microsoft.com/office/drawing/2012/chart" uri="{CE6537A1-D6FC-4f65-9D91-7224C49458BB}"/>
              </c:extLst>
            </c:dLbl>
            <c:dLbl>
              <c:idx val="3"/>
              <c:tx>
                <c:rich>
                  <a:bodyPr/>
                  <a:lstStyle/>
                  <a:p>
                    <a:r>
                      <a:rPr lang="en-US"/>
                      <a:t> 0</a:t>
                    </a:r>
                    <a:r>
                      <a:rPr lang="ru-RU"/>
                      <a:t>,3</a:t>
                    </a:r>
                    <a:r>
                      <a:rPr lang="en-US"/>
                      <a:t>%</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0.30700000000000038</c:v>
                </c:pt>
                <c:pt idx="1">
                  <c:v>5.1000000000000004E-2</c:v>
                </c:pt>
                <c:pt idx="2">
                  <c:v>0.63600000000000612</c:v>
                </c:pt>
                <c:pt idx="3">
                  <c:v>6.0000000000000114E-3</c:v>
                </c:pt>
              </c:numCache>
            </c:numRef>
          </c:val>
        </c:ser>
        <c:dLbls>
          <c:showLegendKey val="0"/>
          <c:showVal val="1"/>
          <c:showCatName val="0"/>
          <c:showSerName val="0"/>
          <c:showPercent val="1"/>
          <c:showBubbleSize val="0"/>
          <c:showLeaderLines val="1"/>
        </c:dLbls>
      </c:pie3DChart>
      <c:spPr>
        <a:solidFill>
          <a:srgbClr val="FFFFFF"/>
        </a:solidFill>
        <a:ln w="11472">
          <a:solidFill>
            <a:srgbClr val="FFFFFF"/>
          </a:solidFill>
          <a:prstDash val="solid"/>
        </a:ln>
      </c:spPr>
    </c:plotArea>
    <c:plotVisOnly val="1"/>
    <c:dispBlanksAs val="zero"/>
    <c:showDLblsOverMax val="0"/>
  </c:chart>
  <c:spPr>
    <a:noFill/>
    <a:ln>
      <a:noFill/>
    </a:ln>
  </c:spPr>
  <c:txPr>
    <a:bodyPr/>
    <a:lstStyle/>
    <a:p>
      <a:pPr>
        <a:defRPr sz="726" b="1" i="0" u="none" strike="noStrike" baseline="0">
          <a:solidFill>
            <a:srgbClr val="000000"/>
          </a:solidFill>
          <a:latin typeface="Calibri"/>
          <a:ea typeface="Calibri"/>
          <a:cs typeface="Calibri"/>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itchFamily="18" charset="0"/>
                <a:ea typeface="Calibri"/>
                <a:cs typeface="Times New Roman" pitchFamily="18" charset="0"/>
              </a:defRPr>
            </a:pPr>
            <a:r>
              <a:rPr lang="ru-RU" sz="1100">
                <a:latin typeface="Times New Roman" pitchFamily="18" charset="0"/>
                <a:cs typeface="Times New Roman" pitchFamily="18" charset="0"/>
              </a:rPr>
              <a:t>январь -декабрь 2018 г.</a:t>
            </a:r>
          </a:p>
        </c:rich>
      </c:tx>
      <c:layout>
        <c:manualLayout>
          <c:xMode val="edge"/>
          <c:yMode val="edge"/>
          <c:x val="0.40126893356207582"/>
          <c:y val="7.7344055397330663E-2"/>
        </c:manualLayout>
      </c:layout>
      <c:overlay val="0"/>
      <c:spPr>
        <a:noFill/>
        <a:ln w="23471">
          <a:noFill/>
        </a:ln>
      </c:spPr>
    </c:title>
    <c:autoTitleDeleted val="0"/>
    <c:view3D>
      <c:rotX val="30"/>
      <c:rotY val="80"/>
      <c:rAngAx val="0"/>
      <c:perspective val="0"/>
    </c:view3D>
    <c:floor>
      <c:thickness val="0"/>
    </c:floor>
    <c:sideWall>
      <c:thickness val="0"/>
    </c:sideWall>
    <c:backWall>
      <c:thickness val="0"/>
    </c:backWall>
    <c:plotArea>
      <c:layout>
        <c:manualLayout>
          <c:layoutTarget val="inner"/>
          <c:xMode val="edge"/>
          <c:yMode val="edge"/>
          <c:x val="0.38012786111233404"/>
          <c:y val="0.28254816552186363"/>
          <c:w val="0.56773061188580565"/>
          <c:h val="0.59157932844601258"/>
        </c:manualLayout>
      </c:layout>
      <c:pie3DChart>
        <c:varyColors val="1"/>
        <c:ser>
          <c:idx val="0"/>
          <c:order val="0"/>
          <c:tx>
            <c:strRef>
              <c:f>Sheet1!$A$2</c:f>
              <c:strCache>
                <c:ptCount val="1"/>
                <c:pt idx="0">
                  <c:v>Восток</c:v>
                </c:pt>
              </c:strCache>
            </c:strRef>
          </c:tx>
          <c:spPr>
            <a:solidFill>
              <a:sysClr val="window" lastClr="FFFFFF">
                <a:lumMod val="50000"/>
              </a:sysClr>
            </a:solidFill>
            <a:ln w="11735">
              <a:solidFill>
                <a:srgbClr val="000000"/>
              </a:solidFill>
              <a:prstDash val="solid"/>
            </a:ln>
          </c:spPr>
          <c:dPt>
            <c:idx val="0"/>
            <c:bubble3D val="0"/>
            <c:explosion val="13"/>
            <c:spPr>
              <a:solidFill>
                <a:srgbClr val="EEECE1">
                  <a:lumMod val="50000"/>
                </a:srgbClr>
              </a:solidFill>
              <a:ln w="11735">
                <a:solidFill>
                  <a:srgbClr val="000000"/>
                </a:solidFill>
                <a:prstDash val="solid"/>
              </a:ln>
            </c:spPr>
          </c:dPt>
          <c:dPt>
            <c:idx val="1"/>
            <c:bubble3D val="0"/>
            <c:explosion val="16"/>
            <c:spPr>
              <a:solidFill>
                <a:srgbClr val="9BBB59">
                  <a:lumMod val="50000"/>
                </a:srgbClr>
              </a:solidFill>
              <a:ln w="11735">
                <a:solidFill>
                  <a:srgbClr val="000000"/>
                </a:solidFill>
                <a:prstDash val="solid"/>
              </a:ln>
            </c:spPr>
          </c:dPt>
          <c:dPt>
            <c:idx val="2"/>
            <c:bubble3D val="0"/>
            <c:explosion val="9"/>
          </c:dPt>
          <c:dPt>
            <c:idx val="3"/>
            <c:bubble3D val="0"/>
            <c:explosion val="7"/>
            <c:spPr>
              <a:solidFill>
                <a:srgbClr val="C0504D">
                  <a:lumMod val="75000"/>
                </a:srgbClr>
              </a:solidFill>
              <a:ln w="11735">
                <a:solidFill>
                  <a:srgbClr val="000000"/>
                </a:solidFill>
                <a:prstDash val="solid"/>
              </a:ln>
            </c:spPr>
          </c:dPt>
          <c:dLbls>
            <c:dLbl>
              <c:idx val="0"/>
              <c:layout>
                <c:manualLayout>
                  <c:x val="0"/>
                  <c:y val="0.1281554699279612"/>
                </c:manualLayout>
              </c:layout>
              <c:tx>
                <c:rich>
                  <a:bodyPr/>
                  <a:lstStyle/>
                  <a:p>
                    <a:r>
                      <a:rPr lang="en-US"/>
                      <a:t>21,6%</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925512104283091"/>
                  <c:y val="0"/>
                </c:manualLayout>
              </c:layout>
              <c:tx>
                <c:rich>
                  <a:bodyPr/>
                  <a:lstStyle/>
                  <a:p>
                    <a:r>
                      <a:rPr lang="en-US"/>
                      <a:t>8,6%</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641164481947813E-2"/>
                  <c:y val="-9.7457225741519146E-2"/>
                </c:manualLayout>
              </c:layout>
              <c:tx>
                <c:rich>
                  <a:bodyPr/>
                  <a:lstStyle/>
                  <a:p>
                    <a:r>
                      <a:rPr lang="en-US"/>
                      <a:t>69,3%</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281757402101241E-2"/>
                  <c:y val="-0.1592514495010255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0.21600000000000041</c:v>
                </c:pt>
                <c:pt idx="1">
                  <c:v>8.6000000000000021E-2</c:v>
                </c:pt>
                <c:pt idx="2">
                  <c:v>0.69299999999999995</c:v>
                </c:pt>
                <c:pt idx="3">
                  <c:v>5.0000000000000114E-3</c:v>
                </c:pt>
              </c:numCache>
            </c:numRef>
          </c:val>
        </c:ser>
        <c:dLbls>
          <c:showLegendKey val="0"/>
          <c:showVal val="1"/>
          <c:showCatName val="0"/>
          <c:showSerName val="0"/>
          <c:showPercent val="1"/>
          <c:showBubbleSize val="0"/>
          <c:showLeaderLines val="1"/>
        </c:dLbls>
      </c:pie3DChart>
      <c:spPr>
        <a:solidFill>
          <a:srgbClr val="FFFFFF"/>
        </a:solidFill>
        <a:ln w="11735">
          <a:solidFill>
            <a:srgbClr val="FFFFFF"/>
          </a:solidFill>
          <a:prstDash val="solid"/>
        </a:ln>
      </c:spPr>
    </c:plotArea>
    <c:legend>
      <c:legendPos val="r"/>
      <c:legendEntry>
        <c:idx val="0"/>
        <c:txPr>
          <a:bodyPr/>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3"/>
        <c:txPr>
          <a:bodyPr/>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0"/>
          <c:y val="0.42000223376333284"/>
          <c:w val="0.34738025439128234"/>
          <c:h val="0.57999776623666721"/>
        </c:manualLayout>
      </c:layout>
      <c:overlay val="0"/>
      <c:spPr>
        <a:solidFill>
          <a:srgbClr val="FFFFFF"/>
        </a:solidFill>
        <a:ln w="2934">
          <a:noFill/>
          <a:prstDash val="solid"/>
        </a:ln>
      </c:spPr>
      <c:txPr>
        <a:bodyPr/>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noFill/>
    <a:ln>
      <a:noFill/>
    </a:ln>
  </c:spPr>
  <c:txPr>
    <a:bodyPr/>
    <a:lstStyle/>
    <a:p>
      <a:pPr>
        <a:defRPr sz="74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300">
                <a:latin typeface="Times New Roman" pitchFamily="18" charset="0"/>
                <a:cs typeface="Times New Roman" pitchFamily="18" charset="0"/>
              </a:defRPr>
            </a:pPr>
            <a:r>
              <a:rPr lang="ru-RU" sz="1200">
                <a:latin typeface="Times New Roman" pitchFamily="18" charset="0"/>
                <a:cs typeface="Times New Roman" pitchFamily="18" charset="0"/>
              </a:rPr>
              <a:t>Динамика инвестиций по объектам </a:t>
            </a:r>
          </a:p>
          <a:p>
            <a:pPr>
              <a:defRPr sz="1300">
                <a:latin typeface="Times New Roman" pitchFamily="18" charset="0"/>
                <a:cs typeface="Times New Roman" pitchFamily="18" charset="0"/>
              </a:defRPr>
            </a:pPr>
            <a:r>
              <a:rPr lang="ru-RU" sz="1200">
                <a:latin typeface="Times New Roman" pitchFamily="18" charset="0"/>
                <a:cs typeface="Times New Roman" pitchFamily="18" charset="0"/>
              </a:rPr>
              <a:t>производственного и непроизводственного назначенея, млн руб.</a:t>
            </a:r>
          </a:p>
        </c:rich>
      </c:tx>
      <c:layout>
        <c:manualLayout>
          <c:xMode val="edge"/>
          <c:yMode val="edge"/>
          <c:x val="0.15012702739080688"/>
          <c:y val="3.3293546392337589E-3"/>
        </c:manualLayout>
      </c:layout>
      <c:overlay val="0"/>
    </c:title>
    <c:autoTitleDeleted val="0"/>
    <c:plotArea>
      <c:layout>
        <c:manualLayout>
          <c:layoutTarget val="inner"/>
          <c:xMode val="edge"/>
          <c:yMode val="edge"/>
          <c:x val="0.356468975031973"/>
          <c:y val="0.20219208818071521"/>
          <c:w val="0.63071051214752705"/>
          <c:h val="0.43047458326661092"/>
        </c:manualLayout>
      </c:layout>
      <c:barChart>
        <c:barDir val="col"/>
        <c:grouping val="clustered"/>
        <c:varyColors val="0"/>
        <c:ser>
          <c:idx val="0"/>
          <c:order val="0"/>
          <c:tx>
            <c:strRef>
              <c:f>Лист1!$B$1</c:f>
              <c:strCache>
                <c:ptCount val="1"/>
                <c:pt idx="0">
                  <c:v>производственного назначения</c:v>
                </c:pt>
              </c:strCache>
            </c:strRef>
          </c:tx>
          <c:invertIfNegative val="0"/>
          <c:dLbls>
            <c:dLbl>
              <c:idx val="0"/>
              <c:layout>
                <c:manualLayout>
                  <c:x val="-1.6034053435628301E-3"/>
                  <c:y val="2.226889727467881E-2"/>
                </c:manualLayout>
              </c:layout>
              <c:tx>
                <c:rich>
                  <a:bodyPr/>
                  <a:lstStyle/>
                  <a:p>
                    <a:r>
                      <a:rPr lang="ru-RU" sz="900" b="1">
                        <a:latin typeface="Times New Roman" pitchFamily="18" charset="0"/>
                        <a:cs typeface="Times New Roman" pitchFamily="18" charset="0"/>
                      </a:rPr>
                      <a:t>75,1*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337661877722691E-4"/>
                  <c:y val="1.6941277862655507E-2"/>
                </c:manualLayout>
              </c:layout>
              <c:tx>
                <c:rich>
                  <a:bodyPr/>
                  <a:lstStyle/>
                  <a:p>
                    <a:r>
                      <a:rPr lang="en-US" sz="900" b="1">
                        <a:latin typeface="Times New Roman" pitchFamily="18" charset="0"/>
                        <a:cs typeface="Times New Roman" pitchFamily="18" charset="0"/>
                      </a:rPr>
                      <a:t>84,9*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Лист1!$B$2:$B$3</c:f>
              <c:numCache>
                <c:formatCode>#,##0.0</c:formatCode>
                <c:ptCount val="2"/>
                <c:pt idx="0" formatCode="General">
                  <c:v>614.29999999999995</c:v>
                </c:pt>
                <c:pt idx="1">
                  <c:v>1179.0999999999999</c:v>
                </c:pt>
              </c:numCache>
            </c:numRef>
          </c:val>
        </c:ser>
        <c:ser>
          <c:idx val="1"/>
          <c:order val="1"/>
          <c:tx>
            <c:strRef>
              <c:f>Лист1!$C$1</c:f>
              <c:strCache>
                <c:ptCount val="1"/>
                <c:pt idx="0">
                  <c:v>непроизводственного назначения</c:v>
                </c:pt>
              </c:strCache>
            </c:strRef>
          </c:tx>
          <c:invertIfNegative val="0"/>
          <c:dLbls>
            <c:dLbl>
              <c:idx val="0"/>
              <c:layout>
                <c:manualLayout>
                  <c:x val="4.6357426475537034E-3"/>
                  <c:y val="2.0635702295218092E-2"/>
                </c:manualLayout>
              </c:layout>
              <c:tx>
                <c:rich>
                  <a:bodyPr/>
                  <a:lstStyle/>
                  <a:p>
                    <a:r>
                      <a:rPr lang="ru-RU" sz="900" b="1">
                        <a:latin typeface="Times New Roman" pitchFamily="18" charset="0"/>
                        <a:cs typeface="Times New Roman" pitchFamily="18" charset="0"/>
                      </a:rPr>
                      <a:t>24,9*</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811427417727294E-4"/>
                  <c:y val="2.3413144304553192E-2"/>
                </c:manualLayout>
              </c:layout>
              <c:tx>
                <c:rich>
                  <a:bodyPr/>
                  <a:lstStyle/>
                  <a:p>
                    <a:r>
                      <a:rPr lang="ru-RU" sz="900" b="1">
                        <a:latin typeface="Times New Roman" pitchFamily="18" charset="0"/>
                        <a:cs typeface="Times New Roman" pitchFamily="18" charset="0"/>
                      </a:rPr>
                      <a:t>15,1*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Лист1!$C$2:$C$3</c:f>
              <c:numCache>
                <c:formatCode>0.0</c:formatCode>
                <c:ptCount val="2"/>
                <c:pt idx="0">
                  <c:v>203.6</c:v>
                </c:pt>
                <c:pt idx="1">
                  <c:v>208.8</c:v>
                </c:pt>
              </c:numCache>
            </c:numRef>
          </c:val>
        </c:ser>
        <c:dLbls>
          <c:showLegendKey val="0"/>
          <c:showVal val="0"/>
          <c:showCatName val="0"/>
          <c:showSerName val="0"/>
          <c:showPercent val="0"/>
          <c:showBubbleSize val="0"/>
        </c:dLbls>
        <c:gapWidth val="142"/>
        <c:overlap val="-9"/>
        <c:axId val="311928312"/>
        <c:axId val="311928704"/>
      </c:barChart>
      <c:catAx>
        <c:axId val="311928312"/>
        <c:scaling>
          <c:orientation val="minMax"/>
        </c:scaling>
        <c:delete val="1"/>
        <c:axPos val="b"/>
        <c:numFmt formatCode="General" sourceLinked="1"/>
        <c:majorTickMark val="out"/>
        <c:minorTickMark val="none"/>
        <c:tickLblPos val="nextTo"/>
        <c:crossAx val="311928704"/>
        <c:crossesAt val="0"/>
        <c:auto val="1"/>
        <c:lblAlgn val="ctr"/>
        <c:lblOffset val="100"/>
        <c:tickLblSkip val="1"/>
        <c:noMultiLvlLbl val="0"/>
      </c:catAx>
      <c:valAx>
        <c:axId val="311928704"/>
        <c:scaling>
          <c:orientation val="minMax"/>
        </c:scaling>
        <c:delete val="0"/>
        <c:axPos val="l"/>
        <c:numFmt formatCode="General" sourceLinked="1"/>
        <c:majorTickMark val="in"/>
        <c:minorTickMark val="none"/>
        <c:tickLblPos val="nextTo"/>
        <c:txPr>
          <a:bodyPr/>
          <a:lstStyle/>
          <a:p>
            <a:pPr>
              <a:defRPr b="1">
                <a:latin typeface="Times New Roman" pitchFamily="18" charset="0"/>
                <a:cs typeface="Times New Roman" pitchFamily="18" charset="0"/>
              </a:defRPr>
            </a:pPr>
            <a:endParaRPr lang="ru-RU"/>
          </a:p>
        </c:txPr>
        <c:crossAx val="311928312"/>
        <c:crosses val="autoZero"/>
        <c:crossBetween val="midCat"/>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ru-RU" b="1"/>
              <a:t>2018 год</a:t>
            </a:r>
          </a:p>
        </c:rich>
      </c:tx>
      <c:layout>
        <c:manualLayout>
          <c:xMode val="edge"/>
          <c:yMode val="edge"/>
          <c:x val="0.54602401972480763"/>
          <c:y val="4.5429953439728114E-3"/>
        </c:manualLayout>
      </c:layout>
      <c:overlay val="0"/>
      <c:spPr>
        <a:noFill/>
      </c:spPr>
    </c:title>
    <c:autoTitleDeleted val="0"/>
    <c:view3D>
      <c:rotX val="15"/>
      <c:rotY val="270"/>
      <c:rAngAx val="0"/>
      <c:perspective val="0"/>
    </c:view3D>
    <c:floor>
      <c:thickness val="0"/>
    </c:floor>
    <c:sideWall>
      <c:thickness val="0"/>
    </c:sideWall>
    <c:backWall>
      <c:thickness val="0"/>
    </c:backWall>
    <c:plotArea>
      <c:layout>
        <c:manualLayout>
          <c:layoutTarget val="inner"/>
          <c:xMode val="edge"/>
          <c:yMode val="edge"/>
          <c:x val="0.32294352094877032"/>
          <c:y val="0.21373081132386126"/>
          <c:w val="0.46342862314626088"/>
          <c:h val="0.29868987895501792"/>
        </c:manualLayout>
      </c:layout>
      <c:pie3DChart>
        <c:varyColors val="1"/>
        <c:ser>
          <c:idx val="0"/>
          <c:order val="0"/>
          <c:tx>
            <c:strRef>
              <c:f>Sheet1!$A$2</c:f>
              <c:strCache>
                <c:ptCount val="1"/>
                <c:pt idx="0">
                  <c:v>2018</c:v>
                </c:pt>
              </c:strCache>
            </c:strRef>
          </c:tx>
          <c:spPr>
            <a:solidFill>
              <a:srgbClr val="9999FF"/>
            </a:solidFill>
            <a:ln w="16924">
              <a:solidFill>
                <a:srgbClr val="000000"/>
              </a:solidFill>
              <a:prstDash val="solid"/>
            </a:ln>
          </c:spPr>
          <c:explosion val="25"/>
          <c:dPt>
            <c:idx val="0"/>
            <c:bubble3D val="0"/>
            <c:spPr>
              <a:pattFill prst="pct10">
                <a:fgClr>
                  <a:srgbClr val="000000"/>
                </a:fgClr>
                <a:bgClr>
                  <a:srgbClr val="FFFFFF"/>
                </a:bgClr>
              </a:pattFill>
              <a:ln w="16924">
                <a:solidFill>
                  <a:srgbClr val="000000"/>
                </a:solidFill>
                <a:prstDash val="solid"/>
              </a:ln>
            </c:spPr>
          </c:dPt>
          <c:dPt>
            <c:idx val="1"/>
            <c:bubble3D val="0"/>
            <c:spPr>
              <a:pattFill prst="lgGrid">
                <a:fgClr>
                  <a:srgbClr val="000000"/>
                </a:fgClr>
                <a:bgClr>
                  <a:srgbClr val="FFFFFF"/>
                </a:bgClr>
              </a:pattFill>
              <a:ln w="16924">
                <a:solidFill>
                  <a:srgbClr val="000000"/>
                </a:solidFill>
                <a:prstDash val="solid"/>
              </a:ln>
            </c:spPr>
          </c:dPt>
          <c:dPt>
            <c:idx val="2"/>
            <c:bubble3D val="0"/>
            <c:spPr>
              <a:pattFill prst="dkVert">
                <a:fgClr>
                  <a:srgbClr val="000000"/>
                </a:fgClr>
                <a:bgClr>
                  <a:srgbClr val="FFFFFF"/>
                </a:bgClr>
              </a:pattFill>
              <a:ln w="16924">
                <a:solidFill>
                  <a:srgbClr val="000000"/>
                </a:solidFill>
                <a:prstDash val="solid"/>
              </a:ln>
            </c:spPr>
          </c:dPt>
          <c:dPt>
            <c:idx val="3"/>
            <c:bubble3D val="0"/>
            <c:spPr>
              <a:pattFill prst="dashVert">
                <a:fgClr>
                  <a:srgbClr val="000000"/>
                </a:fgClr>
                <a:bgClr>
                  <a:srgbClr val="FFFFFF"/>
                </a:bgClr>
              </a:pattFill>
              <a:ln w="16924">
                <a:solidFill>
                  <a:srgbClr val="000000"/>
                </a:solidFill>
                <a:prstDash val="solid"/>
              </a:ln>
            </c:spPr>
          </c:dPt>
          <c:dPt>
            <c:idx val="4"/>
            <c:bubble3D val="0"/>
            <c:spPr>
              <a:pattFill prst="lgConfetti">
                <a:fgClr>
                  <a:srgbClr val="000000"/>
                </a:fgClr>
                <a:bgClr>
                  <a:srgbClr val="FFFFFF"/>
                </a:bgClr>
              </a:pattFill>
              <a:ln w="16924">
                <a:solidFill>
                  <a:srgbClr val="000000"/>
                </a:solidFill>
                <a:prstDash val="solid"/>
              </a:ln>
            </c:spPr>
          </c:dPt>
          <c:dPt>
            <c:idx val="5"/>
            <c:bubble3D val="0"/>
            <c:spPr>
              <a:pattFill prst="zigZag">
                <a:fgClr>
                  <a:srgbClr val="000000"/>
                </a:fgClr>
                <a:bgClr>
                  <a:srgbClr val="FFFFFF"/>
                </a:bgClr>
              </a:pattFill>
              <a:ln w="16924">
                <a:solidFill>
                  <a:srgbClr val="000000"/>
                </a:solidFill>
                <a:prstDash val="solid"/>
              </a:ln>
            </c:spPr>
          </c:dPt>
          <c:dPt>
            <c:idx val="6"/>
            <c:bubble3D val="0"/>
            <c:spPr>
              <a:pattFill prst="sphere">
                <a:fgClr>
                  <a:srgbClr val="000000"/>
                </a:fgClr>
                <a:bgClr>
                  <a:srgbClr val="FFFFFF"/>
                </a:bgClr>
              </a:pattFill>
              <a:ln w="16924">
                <a:solidFill>
                  <a:srgbClr val="000000"/>
                </a:solidFill>
                <a:prstDash val="solid"/>
              </a:ln>
            </c:spPr>
          </c:dPt>
          <c:dPt>
            <c:idx val="7"/>
            <c:bubble3D val="0"/>
            <c:spPr>
              <a:pattFill prst="weave">
                <a:fgClr>
                  <a:srgbClr val="000000"/>
                </a:fgClr>
                <a:bgClr>
                  <a:srgbClr val="FFFFFF"/>
                </a:bgClr>
              </a:pattFill>
              <a:ln w="16924">
                <a:solidFill>
                  <a:srgbClr val="000000"/>
                </a:solidFill>
                <a:prstDash val="solid"/>
              </a:ln>
            </c:spPr>
          </c:dPt>
          <c:dPt>
            <c:idx val="8"/>
            <c:bubble3D val="0"/>
            <c:spPr>
              <a:pattFill prst="pct90">
                <a:fgClr>
                  <a:srgbClr val="000000"/>
                </a:fgClr>
                <a:bgClr>
                  <a:srgbClr val="FFFFFF"/>
                </a:bgClr>
              </a:pattFill>
              <a:ln w="16924">
                <a:solidFill>
                  <a:srgbClr val="000000"/>
                </a:solidFill>
                <a:prstDash val="solid"/>
              </a:ln>
            </c:spPr>
          </c:dPt>
          <c:dLbls>
            <c:dLbl>
              <c:idx val="0"/>
              <c:layout>
                <c:manualLayout>
                  <c:x val="-0.24001268723584779"/>
                  <c:y val="-4.6837168609737811E-4"/>
                </c:manualLayout>
              </c:layout>
              <c:tx>
                <c:rich>
                  <a:bodyPr/>
                  <a:lstStyle/>
                  <a:p>
                    <a:r>
                      <a:rPr lang="ru-RU" sz="900"/>
                      <a:t>Торговля и общепит; 1952; 46,5%</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2.3571144516026935E-2"/>
                  <c:y val="-0.12348974828331133"/>
                </c:manualLayout>
              </c:layout>
              <c:tx>
                <c:rich>
                  <a:bodyPr/>
                  <a:lstStyle/>
                  <a:p>
                    <a:r>
                      <a:rPr lang="ru-RU" sz="900"/>
                      <a:t>Промышленность; </a:t>
                    </a:r>
                  </a:p>
                  <a:p>
                    <a:r>
                      <a:rPr lang="ru-RU" sz="900"/>
                      <a:t>502; 11,9%</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5706480798661496"/>
                  <c:y val="0.10471545707949299"/>
                </c:manualLayout>
              </c:layout>
              <c:tx>
                <c:rich>
                  <a:bodyPr/>
                  <a:lstStyle/>
                  <a:p>
                    <a:r>
                      <a:rPr lang="ru-RU" sz="900"/>
                      <a:t>Сельское хозяйство; 346; 8,2%</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40551196961408215"/>
                  <c:y val="0.30293149402836272"/>
                </c:manualLayout>
              </c:layout>
              <c:tx>
                <c:rich>
                  <a:bodyPr/>
                  <a:lstStyle/>
                  <a:p>
                    <a:r>
                      <a:rPr lang="ru-RU" sz="900"/>
                      <a:t>Строительство; </a:t>
                    </a:r>
                  </a:p>
                  <a:p>
                    <a:r>
                      <a:rPr lang="ru-RU" sz="900"/>
                      <a:t>293; 7,0%</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4"/>
              <c:layout>
                <c:manualLayout>
                  <c:x val="0.18511533490338239"/>
                  <c:y val="0.31404748825001538"/>
                </c:manualLayout>
              </c:layout>
              <c:tx>
                <c:rich>
                  <a:bodyPr/>
                  <a:lstStyle/>
                  <a:p>
                    <a:r>
                      <a:rPr lang="ru-RU" sz="900"/>
                      <a:t>Операции с недвижим. имущест.; 288; 6,9%</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5"/>
              <c:layout>
                <c:manualLayout>
                  <c:x val="3.3368064641466633E-2"/>
                  <c:y val="0.33456713259679749"/>
                </c:manualLayout>
              </c:layout>
              <c:tx>
                <c:rich>
                  <a:bodyPr/>
                  <a:lstStyle/>
                  <a:p>
                    <a:r>
                      <a:rPr lang="ru-RU" sz="900"/>
                      <a:t>Непроизв. виды бытового обслуж.; 83; 2,0%</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6"/>
              <c:layout>
                <c:manualLayout>
                  <c:x val="-0.12146560556935729"/>
                  <c:y val="0.17055718588682403"/>
                </c:manualLayout>
              </c:layout>
              <c:tx>
                <c:rich>
                  <a:bodyPr/>
                  <a:lstStyle/>
                  <a:p>
                    <a:r>
                      <a:rPr lang="ru-RU" sz="900"/>
                      <a:t>Общая коммер. деятельн.</a:t>
                    </a:r>
                  </a:p>
                  <a:p>
                    <a:r>
                      <a:rPr lang="ru-RU" sz="900"/>
                      <a:t>123; 2,9%</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7"/>
              <c:layout>
                <c:manualLayout>
                  <c:x val="-0.12273910205669014"/>
                  <c:y val="5.4992203465343142E-3"/>
                </c:manualLayout>
              </c:layout>
              <c:tx>
                <c:rich>
                  <a:bodyPr/>
                  <a:lstStyle/>
                  <a:p>
                    <a:r>
                      <a:rPr lang="ru-RU" sz="900"/>
                      <a:t>ЖКХ; 75; 1,8%</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8"/>
              <c:layout>
                <c:manualLayout>
                  <c:x val="-7.9251787741408522E-2"/>
                  <c:y val="-0.10476063185828899"/>
                </c:manualLayout>
              </c:layout>
              <c:tx>
                <c:rich>
                  <a:bodyPr/>
                  <a:lstStyle/>
                  <a:p>
                    <a:r>
                      <a:rPr lang="ru-RU" sz="900"/>
                      <a:t>Прочие;</a:t>
                    </a:r>
                  </a:p>
                  <a:p>
                    <a:r>
                      <a:rPr lang="ru-RU" sz="900"/>
                      <a:t> 539; 12,8%</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1952</c:v>
                </c:pt>
                <c:pt idx="1">
                  <c:v>502</c:v>
                </c:pt>
                <c:pt idx="2">
                  <c:v>346</c:v>
                </c:pt>
                <c:pt idx="3">
                  <c:v>293</c:v>
                </c:pt>
                <c:pt idx="4">
                  <c:v>288</c:v>
                </c:pt>
                <c:pt idx="5">
                  <c:v>83</c:v>
                </c:pt>
                <c:pt idx="6">
                  <c:v>123</c:v>
                </c:pt>
                <c:pt idx="7">
                  <c:v>75</c:v>
                </c:pt>
                <c:pt idx="8">
                  <c:v>539</c:v>
                </c:pt>
              </c:numCache>
            </c:numRef>
          </c:val>
        </c:ser>
        <c:dLbls>
          <c:showLegendKey val="0"/>
          <c:showVal val="1"/>
          <c:showCatName val="1"/>
          <c:showSerName val="0"/>
          <c:showPercent val="1"/>
          <c:showBubbleSize val="0"/>
          <c:separator>; </c:separator>
          <c:showLeaderLines val="1"/>
        </c:dLbls>
      </c:pie3DChart>
      <c:spPr>
        <a:solidFill>
          <a:srgbClr val="FFFFFF"/>
        </a:solidFill>
        <a:ln w="33849">
          <a:noFill/>
        </a:ln>
      </c:spPr>
    </c:plotArea>
    <c:plotVisOnly val="1"/>
    <c:dispBlanksAs val="zero"/>
    <c:showDLblsOverMax val="0"/>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300">
                <a:solidFill>
                  <a:sysClr val="windowText" lastClr="000000"/>
                </a:solidFill>
                <a:latin typeface="Times New Roman" pitchFamily="18" charset="0"/>
                <a:cs typeface="Times New Roman" pitchFamily="18" charset="0"/>
              </a:rPr>
              <a:t>Структура валовой добавлененой стоимости отраслей товарного производства, %</a:t>
            </a:r>
          </a:p>
        </c:rich>
      </c:tx>
      <c:layout>
        <c:manualLayout>
          <c:xMode val="edge"/>
          <c:yMode val="edge"/>
          <c:x val="0.15870728924841968"/>
          <c:y val="0"/>
        </c:manualLayout>
      </c:layout>
      <c:overlay val="0"/>
    </c:title>
    <c:autoTitleDeleted val="0"/>
    <c:plotArea>
      <c:layout>
        <c:manualLayout>
          <c:layoutTarget val="inner"/>
          <c:xMode val="edge"/>
          <c:yMode val="edge"/>
          <c:x val="6.0989045194468065E-2"/>
          <c:y val="0.17924394521774994"/>
          <c:w val="0.87401276187781118"/>
          <c:h val="0.45904138905713709"/>
        </c:manualLayout>
      </c:layout>
      <c:barChart>
        <c:barDir val="col"/>
        <c:grouping val="clustered"/>
        <c:varyColors val="0"/>
        <c:ser>
          <c:idx val="0"/>
          <c:order val="0"/>
          <c:tx>
            <c:strRef>
              <c:f>Лист1!$B$1</c:f>
              <c:strCache>
                <c:ptCount val="1"/>
                <c:pt idx="0">
                  <c:v>январь-декабрь 2017года</c:v>
                </c:pt>
              </c:strCache>
            </c:strRef>
          </c:tx>
          <c:spPr>
            <a:solidFill>
              <a:sysClr val="windowText" lastClr="000000">
                <a:lumMod val="65000"/>
                <a:lumOff val="35000"/>
              </a:sysClr>
            </a:solidFill>
            <a:ln>
              <a:solidFill>
                <a:sysClr val="windowText" lastClr="000000"/>
              </a:solidFill>
            </a:ln>
          </c:spPr>
          <c:invertIfNegative val="0"/>
          <c:dLbls>
            <c:dLbl>
              <c:idx val="0"/>
              <c:layout>
                <c:manualLayout>
                  <c:x val="-1.3972055888223561E-2"/>
                  <c:y val="1.2614690769287645E-2"/>
                </c:manualLayout>
              </c:layout>
              <c:tx>
                <c:rich>
                  <a:bodyPr/>
                  <a:lstStyle/>
                  <a:p>
                    <a:r>
                      <a:rPr lang="en-US"/>
                      <a:t>30,5</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0"/>
                  <c:y val="1.4705882352941176E-2"/>
                </c:manualLayout>
              </c:layout>
              <c:tx>
                <c:rich>
                  <a:bodyPr/>
                  <a:lstStyle/>
                  <a:p>
                    <a:r>
                      <a:rPr lang="en-US"/>
                      <a:t>8,5</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2.5396825396825401E-3"/>
                  <c:y val="1.8099547511312229E-2"/>
                </c:manualLayout>
              </c:layout>
              <c:tx>
                <c:rich>
                  <a:bodyPr/>
                  <a:lstStyle/>
                  <a:p>
                    <a:r>
                      <a:rPr lang="en-US"/>
                      <a:t>1,6</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spPr>
              <a:noFill/>
              <a:ln w="25392">
                <a:noFill/>
              </a:ln>
            </c:spPr>
            <c:txPr>
              <a:bodyPr/>
              <a:lstStyle/>
              <a:p>
                <a:pPr>
                  <a:defRPr sz="8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Промышленность</c:v>
                </c:pt>
                <c:pt idx="1">
                  <c:v>Селькое хозяйство</c:v>
                </c:pt>
                <c:pt idx="2">
                  <c:v>Строительство</c:v>
                </c:pt>
              </c:strCache>
            </c:strRef>
          </c:cat>
          <c:val>
            <c:numRef>
              <c:f>Лист1!$B$2:$B$4</c:f>
              <c:numCache>
                <c:formatCode>#,##0.0</c:formatCode>
                <c:ptCount val="3"/>
                <c:pt idx="0">
                  <c:v>30.5</c:v>
                </c:pt>
                <c:pt idx="1">
                  <c:v>8.5</c:v>
                </c:pt>
                <c:pt idx="2">
                  <c:v>1.6</c:v>
                </c:pt>
              </c:numCache>
            </c:numRef>
          </c:val>
        </c:ser>
        <c:ser>
          <c:idx val="1"/>
          <c:order val="1"/>
          <c:tx>
            <c:strRef>
              <c:f>Лист1!$C$1</c:f>
              <c:strCache>
                <c:ptCount val="1"/>
                <c:pt idx="0">
                  <c:v>январь-декабрь 2018года</c:v>
                </c:pt>
              </c:strCache>
            </c:strRef>
          </c:tx>
          <c:spPr>
            <a:solidFill>
              <a:sysClr val="window" lastClr="FFFFFF">
                <a:lumMod val="85000"/>
              </a:sysClr>
            </a:solidFill>
            <a:ln>
              <a:solidFill>
                <a:sysClr val="windowText" lastClr="000000"/>
              </a:solidFill>
            </a:ln>
          </c:spPr>
          <c:invertIfNegative val="0"/>
          <c:dLbls>
            <c:dLbl>
              <c:idx val="0"/>
              <c:layout>
                <c:manualLayout>
                  <c:x val="-2.5396825396825401E-3"/>
                  <c:y val="1.0420778850608062E-2"/>
                </c:manualLayout>
              </c:layout>
              <c:tx>
                <c:rich>
                  <a:bodyPr/>
                  <a:lstStyle/>
                  <a:p>
                    <a:r>
                      <a:rPr lang="en-US"/>
                      <a:t>31,8</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0"/>
                  <c:y val="1.4705882352941176E-2"/>
                </c:manualLayout>
              </c:layout>
              <c:tx>
                <c:rich>
                  <a:bodyPr/>
                  <a:lstStyle/>
                  <a:p>
                    <a:r>
                      <a:rPr lang="en-US"/>
                      <a:t>8,1</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1.0158730158730254E-2"/>
                  <c:y val="1.2066365007541479E-2"/>
                </c:manualLayout>
              </c:layout>
              <c:tx>
                <c:rich>
                  <a:bodyPr/>
                  <a:lstStyle/>
                  <a:p>
                    <a:r>
                      <a:rPr lang="en-US"/>
                      <a:t>1,9</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spPr>
              <a:noFill/>
              <a:ln w="25392">
                <a:noFill/>
              </a:ln>
            </c:spPr>
            <c:txPr>
              <a:bodyPr/>
              <a:lstStyle/>
              <a:p>
                <a:pPr>
                  <a:defRPr sz="8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Промышленность</c:v>
                </c:pt>
                <c:pt idx="1">
                  <c:v>Селькое хозяйство</c:v>
                </c:pt>
                <c:pt idx="2">
                  <c:v>Строительство</c:v>
                </c:pt>
              </c:strCache>
            </c:strRef>
          </c:cat>
          <c:val>
            <c:numRef>
              <c:f>Лист1!$C$2:$C$4</c:f>
              <c:numCache>
                <c:formatCode>#,##0.0</c:formatCode>
                <c:ptCount val="3"/>
                <c:pt idx="0">
                  <c:v>31.8</c:v>
                </c:pt>
                <c:pt idx="1">
                  <c:v>8.1</c:v>
                </c:pt>
                <c:pt idx="2">
                  <c:v>1.9000000000000001</c:v>
                </c:pt>
              </c:numCache>
            </c:numRef>
          </c:val>
        </c:ser>
        <c:dLbls>
          <c:showLegendKey val="0"/>
          <c:showVal val="1"/>
          <c:showCatName val="0"/>
          <c:showSerName val="0"/>
          <c:showPercent val="0"/>
          <c:showBubbleSize val="0"/>
        </c:dLbls>
        <c:gapWidth val="150"/>
        <c:axId val="320542624"/>
        <c:axId val="320541056"/>
      </c:barChart>
      <c:catAx>
        <c:axId val="320542624"/>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320541056"/>
        <c:crosses val="autoZero"/>
        <c:auto val="1"/>
        <c:lblAlgn val="ctr"/>
        <c:lblOffset val="100"/>
        <c:noMultiLvlLbl val="0"/>
      </c:catAx>
      <c:valAx>
        <c:axId val="320541056"/>
        <c:scaling>
          <c:orientation val="minMax"/>
        </c:scaling>
        <c:delete val="0"/>
        <c:axPos val="l"/>
        <c:numFmt formatCode="#,##0.0"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320542624"/>
        <c:crosses val="autoZero"/>
        <c:crossBetween val="between"/>
      </c:valAx>
    </c:plotArea>
    <c:legend>
      <c:legendPos val="b"/>
      <c:legendEntry>
        <c:idx val="0"/>
        <c:txPr>
          <a:bodyPr/>
          <a:lstStyle/>
          <a:p>
            <a:pPr>
              <a:defRPr sz="1100">
                <a:latin typeface="Times New Roman" pitchFamily="18" charset="0"/>
                <a:cs typeface="Times New Roman" pitchFamily="18" charset="0"/>
              </a:defRPr>
            </a:pPr>
            <a:endParaRPr lang="ru-RU"/>
          </a:p>
        </c:txPr>
      </c:legendEntry>
      <c:legendEntry>
        <c:idx val="1"/>
        <c:txPr>
          <a:bodyPr/>
          <a:lstStyle/>
          <a:p>
            <a:pPr>
              <a:defRPr sz="1100">
                <a:latin typeface="Times New Roman" pitchFamily="18" charset="0"/>
                <a:cs typeface="Times New Roman" pitchFamily="18" charset="0"/>
              </a:defRPr>
            </a:pPr>
            <a:endParaRPr lang="ru-RU"/>
          </a:p>
        </c:txPr>
      </c:legendEntry>
      <c:layout>
        <c:manualLayout>
          <c:xMode val="edge"/>
          <c:yMode val="edge"/>
          <c:x val="0.19092130699231474"/>
          <c:y val="0.86473325665753165"/>
          <c:w val="0.61416521288132464"/>
          <c:h val="0.13526674334247682"/>
        </c:manualLayout>
      </c:layout>
      <c:overlay val="0"/>
      <c:txPr>
        <a:bodyPr/>
        <a:lstStyle/>
        <a:p>
          <a:pPr>
            <a:defRPr sz="1100"/>
          </a:pPr>
          <a:endParaRPr lang="ru-RU"/>
        </a:p>
      </c:txPr>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ru-RU" b="1"/>
              <a:t>2017 год</a:t>
            </a:r>
          </a:p>
        </c:rich>
      </c:tx>
      <c:layout>
        <c:manualLayout>
          <c:xMode val="edge"/>
          <c:yMode val="edge"/>
          <c:x val="0.55031806974540676"/>
          <c:y val="1.4760147601476021E-2"/>
        </c:manualLayout>
      </c:layout>
      <c:overlay val="0"/>
      <c:spPr>
        <a:noFill/>
      </c:spPr>
    </c:title>
    <c:autoTitleDeleted val="0"/>
    <c:view3D>
      <c:rotX val="15"/>
      <c:rotY val="270"/>
      <c:rAngAx val="0"/>
      <c:perspective val="0"/>
    </c:view3D>
    <c:floor>
      <c:thickness val="0"/>
    </c:floor>
    <c:sideWall>
      <c:thickness val="0"/>
    </c:sideWall>
    <c:backWall>
      <c:thickness val="0"/>
    </c:backWall>
    <c:plotArea>
      <c:layout>
        <c:manualLayout>
          <c:layoutTarget val="inner"/>
          <c:xMode val="edge"/>
          <c:yMode val="edge"/>
          <c:x val="0.32294352094877032"/>
          <c:y val="0.21373081132386126"/>
          <c:w val="0.46342862314626043"/>
          <c:h val="0.29868987895501753"/>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bubble3D val="0"/>
            <c:spPr>
              <a:pattFill prst="pct10">
                <a:fgClr>
                  <a:srgbClr val="000000"/>
                </a:fgClr>
                <a:bgClr>
                  <a:srgbClr val="FFFFFF"/>
                </a:bgClr>
              </a:pattFill>
              <a:ln w="16924">
                <a:solidFill>
                  <a:srgbClr val="000000"/>
                </a:solidFill>
                <a:prstDash val="solid"/>
              </a:ln>
            </c:spPr>
          </c:dPt>
          <c:dPt>
            <c:idx val="1"/>
            <c:bubble3D val="0"/>
            <c:spPr>
              <a:pattFill prst="lgGrid">
                <a:fgClr>
                  <a:srgbClr val="000000"/>
                </a:fgClr>
                <a:bgClr>
                  <a:srgbClr val="FFFFFF"/>
                </a:bgClr>
              </a:pattFill>
              <a:ln w="16924">
                <a:solidFill>
                  <a:srgbClr val="000000"/>
                </a:solidFill>
                <a:prstDash val="solid"/>
              </a:ln>
            </c:spPr>
          </c:dPt>
          <c:dPt>
            <c:idx val="2"/>
            <c:bubble3D val="0"/>
            <c:spPr>
              <a:pattFill prst="dkVert">
                <a:fgClr>
                  <a:srgbClr val="000000"/>
                </a:fgClr>
                <a:bgClr>
                  <a:srgbClr val="FFFFFF"/>
                </a:bgClr>
              </a:pattFill>
              <a:ln w="16924">
                <a:solidFill>
                  <a:srgbClr val="000000"/>
                </a:solidFill>
                <a:prstDash val="solid"/>
              </a:ln>
            </c:spPr>
          </c:dPt>
          <c:dPt>
            <c:idx val="3"/>
            <c:bubble3D val="0"/>
            <c:spPr>
              <a:pattFill prst="dashVert">
                <a:fgClr>
                  <a:srgbClr val="000000"/>
                </a:fgClr>
                <a:bgClr>
                  <a:srgbClr val="FFFFFF"/>
                </a:bgClr>
              </a:pattFill>
              <a:ln w="16924">
                <a:solidFill>
                  <a:srgbClr val="000000"/>
                </a:solidFill>
                <a:prstDash val="solid"/>
              </a:ln>
            </c:spPr>
          </c:dPt>
          <c:dPt>
            <c:idx val="4"/>
            <c:bubble3D val="0"/>
            <c:spPr>
              <a:pattFill prst="lgConfetti">
                <a:fgClr>
                  <a:srgbClr val="000000"/>
                </a:fgClr>
                <a:bgClr>
                  <a:srgbClr val="FFFFFF"/>
                </a:bgClr>
              </a:pattFill>
              <a:ln w="16924">
                <a:solidFill>
                  <a:srgbClr val="000000"/>
                </a:solidFill>
                <a:prstDash val="solid"/>
              </a:ln>
            </c:spPr>
          </c:dPt>
          <c:dPt>
            <c:idx val="5"/>
            <c:bubble3D val="0"/>
            <c:spPr>
              <a:pattFill prst="zigZag">
                <a:fgClr>
                  <a:srgbClr val="000000"/>
                </a:fgClr>
                <a:bgClr>
                  <a:srgbClr val="FFFFFF"/>
                </a:bgClr>
              </a:pattFill>
              <a:ln w="16924">
                <a:solidFill>
                  <a:srgbClr val="000000"/>
                </a:solidFill>
                <a:prstDash val="solid"/>
              </a:ln>
            </c:spPr>
          </c:dPt>
          <c:dPt>
            <c:idx val="6"/>
            <c:bubble3D val="0"/>
            <c:spPr>
              <a:pattFill prst="sphere">
                <a:fgClr>
                  <a:srgbClr val="000000"/>
                </a:fgClr>
                <a:bgClr>
                  <a:srgbClr val="FFFFFF"/>
                </a:bgClr>
              </a:pattFill>
              <a:ln w="16924">
                <a:solidFill>
                  <a:srgbClr val="000000"/>
                </a:solidFill>
                <a:prstDash val="solid"/>
              </a:ln>
            </c:spPr>
          </c:dPt>
          <c:dPt>
            <c:idx val="7"/>
            <c:bubble3D val="0"/>
            <c:spPr>
              <a:pattFill prst="weave">
                <a:fgClr>
                  <a:srgbClr val="000000"/>
                </a:fgClr>
                <a:bgClr>
                  <a:srgbClr val="FFFFFF"/>
                </a:bgClr>
              </a:pattFill>
              <a:ln w="16924">
                <a:solidFill>
                  <a:srgbClr val="000000"/>
                </a:solidFill>
                <a:prstDash val="solid"/>
              </a:ln>
            </c:spPr>
          </c:dPt>
          <c:dPt>
            <c:idx val="8"/>
            <c:bubble3D val="0"/>
            <c:spPr>
              <a:pattFill prst="pct90">
                <a:fgClr>
                  <a:srgbClr val="000000"/>
                </a:fgClr>
                <a:bgClr>
                  <a:srgbClr val="FFFFFF"/>
                </a:bgClr>
              </a:pattFill>
              <a:ln w="16924">
                <a:solidFill>
                  <a:srgbClr val="000000"/>
                </a:solidFill>
                <a:prstDash val="solid"/>
              </a:ln>
            </c:spPr>
          </c:dPt>
          <c:dLbls>
            <c:dLbl>
              <c:idx val="0"/>
              <c:layout>
                <c:manualLayout>
                  <c:x val="-0.24001268723584779"/>
                  <c:y val="-4.6837168609737811E-4"/>
                </c:manualLayout>
              </c:layout>
              <c:tx>
                <c:rich>
                  <a:bodyPr/>
                  <a:lstStyle/>
                  <a:p>
                    <a:r>
                      <a:rPr lang="ru-RU" sz="900"/>
                      <a:t>Торговля и общепит; 2008; 47,9%</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1.7951020585236763E-2"/>
                  <c:y val="-0.11357667652138365"/>
                </c:manualLayout>
              </c:layout>
              <c:tx>
                <c:rich>
                  <a:bodyPr/>
                  <a:lstStyle/>
                  <a:p>
                    <a:r>
                      <a:rPr lang="ru-RU" sz="900"/>
                      <a:t>Промышленность; </a:t>
                    </a:r>
                  </a:p>
                  <a:p>
                    <a:r>
                      <a:rPr lang="ru-RU" sz="900"/>
                      <a:t>498; 11,9%</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5706480798661496"/>
                  <c:y val="0.10471545707949299"/>
                </c:manualLayout>
              </c:layout>
              <c:tx>
                <c:rich>
                  <a:bodyPr/>
                  <a:lstStyle/>
                  <a:p>
                    <a:r>
                      <a:rPr lang="ru-RU" sz="900"/>
                      <a:t>Сельское хозяйство; 339; 8,1%</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40551196961408187"/>
                  <c:y val="0.30293149402836272"/>
                </c:manualLayout>
              </c:layout>
              <c:tx>
                <c:rich>
                  <a:bodyPr/>
                  <a:lstStyle/>
                  <a:p>
                    <a:r>
                      <a:rPr lang="ru-RU" sz="900"/>
                      <a:t>Строительство; </a:t>
                    </a:r>
                  </a:p>
                  <a:p>
                    <a:r>
                      <a:rPr lang="ru-RU" sz="900"/>
                      <a:t>291; 6,9%</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4"/>
              <c:layout>
                <c:manualLayout>
                  <c:x val="0.18511533490338228"/>
                  <c:y val="0.31404748825001538"/>
                </c:manualLayout>
              </c:layout>
              <c:tx>
                <c:rich>
                  <a:bodyPr/>
                  <a:lstStyle/>
                  <a:p>
                    <a:r>
                      <a:rPr lang="ru-RU" sz="900"/>
                      <a:t>Операции с недвижим. имущест.; 268; 6,4%</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5"/>
              <c:layout>
                <c:manualLayout>
                  <c:x val="3.3368064641466633E-2"/>
                  <c:y val="0.33456713259679749"/>
                </c:manualLayout>
              </c:layout>
              <c:tx>
                <c:rich>
                  <a:bodyPr/>
                  <a:lstStyle/>
                  <a:p>
                    <a:r>
                      <a:rPr lang="ru-RU" sz="900"/>
                      <a:t>Непроизв. виды бытового обслуж.; 95; 2,3%</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6"/>
              <c:layout>
                <c:manualLayout>
                  <c:x val="-0.12146560556935729"/>
                  <c:y val="0.17055718588682381"/>
                </c:manualLayout>
              </c:layout>
              <c:tx>
                <c:rich>
                  <a:bodyPr/>
                  <a:lstStyle/>
                  <a:p>
                    <a:r>
                      <a:rPr lang="ru-RU" sz="900"/>
                      <a:t>Общая коммер. деятельн.</a:t>
                    </a:r>
                  </a:p>
                  <a:p>
                    <a:r>
                      <a:rPr lang="ru-RU" sz="900"/>
                      <a:t>120; 2,9%</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7"/>
              <c:layout>
                <c:manualLayout>
                  <c:x val="-0.12273910205669003"/>
                  <c:y val="5.4992203465343047E-3"/>
                </c:manualLayout>
              </c:layout>
              <c:tx>
                <c:rich>
                  <a:bodyPr/>
                  <a:lstStyle/>
                  <a:p>
                    <a:r>
                      <a:rPr lang="ru-RU" sz="900"/>
                      <a:t>ЖКХ; 76; 1,8%</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8"/>
              <c:layout>
                <c:manualLayout>
                  <c:x val="-7.9251787741408494E-2"/>
                  <c:y val="-0.10476063185828885"/>
                </c:manualLayout>
              </c:layout>
              <c:tx>
                <c:rich>
                  <a:bodyPr/>
                  <a:lstStyle/>
                  <a:p>
                    <a:r>
                      <a:rPr lang="ru-RU" sz="900"/>
                      <a:t>Прочие;</a:t>
                    </a:r>
                  </a:p>
                  <a:p>
                    <a:r>
                      <a:rPr lang="ru-RU" sz="900"/>
                      <a:t> 493; 11,8%</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2008</c:v>
                </c:pt>
                <c:pt idx="1">
                  <c:v>498</c:v>
                </c:pt>
                <c:pt idx="2">
                  <c:v>339</c:v>
                </c:pt>
                <c:pt idx="3">
                  <c:v>291</c:v>
                </c:pt>
                <c:pt idx="4">
                  <c:v>268</c:v>
                </c:pt>
                <c:pt idx="5">
                  <c:v>95</c:v>
                </c:pt>
                <c:pt idx="6">
                  <c:v>120</c:v>
                </c:pt>
                <c:pt idx="7">
                  <c:v>76</c:v>
                </c:pt>
                <c:pt idx="8">
                  <c:v>493</c:v>
                </c:pt>
              </c:numCache>
            </c:numRef>
          </c:val>
        </c:ser>
        <c:dLbls>
          <c:showLegendKey val="0"/>
          <c:showVal val="1"/>
          <c:showCatName val="1"/>
          <c:showSerName val="0"/>
          <c:showPercent val="1"/>
          <c:showBubbleSize val="0"/>
          <c:separator>; </c:separator>
          <c:showLeaderLines val="1"/>
        </c:dLbls>
      </c:pie3DChart>
      <c:spPr>
        <a:solidFill>
          <a:srgbClr val="FFFFFF"/>
        </a:solidFill>
        <a:ln w="33849">
          <a:noFill/>
        </a:ln>
      </c:spPr>
    </c:plotArea>
    <c:plotVisOnly val="1"/>
    <c:dispBlanksAs val="zero"/>
    <c:showDLblsOverMax val="0"/>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оплаты труда в разрезе отраслей экономики, руб. ПМР</a:t>
            </a:r>
          </a:p>
        </c:rich>
      </c:tx>
      <c:layout>
        <c:manualLayout>
          <c:xMode val="edge"/>
          <c:yMode val="edge"/>
          <c:x val="0.17390464947862391"/>
          <c:y val="2.1721703391727196E-3"/>
        </c:manualLayout>
      </c:layout>
      <c:overlay val="0"/>
      <c:spPr>
        <a:noFill/>
      </c:spPr>
    </c:title>
    <c:autoTitleDeleted val="0"/>
    <c:plotArea>
      <c:layout>
        <c:manualLayout>
          <c:layoutTarget val="inner"/>
          <c:xMode val="edge"/>
          <c:yMode val="edge"/>
          <c:x val="6.9076543209876537E-2"/>
          <c:y val="7.7154811715481178E-2"/>
          <c:w val="0.93245827992431152"/>
          <c:h val="0.37346906636671057"/>
        </c:manualLayout>
      </c:layout>
      <c:barChart>
        <c:barDir val="col"/>
        <c:grouping val="clustered"/>
        <c:varyColors val="0"/>
        <c:ser>
          <c:idx val="0"/>
          <c:order val="0"/>
          <c:tx>
            <c:strRef>
              <c:f>Sheet1!$A$2</c:f>
              <c:strCache>
                <c:ptCount val="1"/>
                <c:pt idx="0">
                  <c:v>2017 год</c:v>
                </c:pt>
              </c:strCache>
            </c:strRef>
          </c:tx>
          <c:spPr>
            <a:solidFill>
              <a:schemeClr val="bg1">
                <a:lumMod val="75000"/>
              </a:schemeClr>
            </a:solidFill>
            <a:ln w="15875" cmpd="sng">
              <a:solidFill>
                <a:schemeClr val="tx1"/>
              </a:solidFill>
              <a:prstDash val="solid"/>
            </a:ln>
          </c:spPr>
          <c:invertIfNegative val="0"/>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Sheet1!$B$2:$T$2</c:f>
              <c:numCache>
                <c:formatCode>#,##0.0</c:formatCode>
                <c:ptCount val="19"/>
                <c:pt idx="0">
                  <c:v>2928.5</c:v>
                </c:pt>
                <c:pt idx="1">
                  <c:v>3004.2</c:v>
                </c:pt>
                <c:pt idx="2">
                  <c:v>3369.3</c:v>
                </c:pt>
                <c:pt idx="3">
                  <c:v>4323</c:v>
                </c:pt>
                <c:pt idx="4">
                  <c:v>3756.6</c:v>
                </c:pt>
                <c:pt idx="5">
                  <c:v>2577.6</c:v>
                </c:pt>
                <c:pt idx="6">
                  <c:v>3286.4</c:v>
                </c:pt>
                <c:pt idx="7">
                  <c:v>4536.8</c:v>
                </c:pt>
                <c:pt idx="8">
                  <c:v>6107.4</c:v>
                </c:pt>
                <c:pt idx="9">
                  <c:v>3877.4</c:v>
                </c:pt>
                <c:pt idx="10">
                  <c:v>4193.6000000000004</c:v>
                </c:pt>
                <c:pt idx="11">
                  <c:v>3261.5</c:v>
                </c:pt>
                <c:pt idx="12">
                  <c:v>2868.1</c:v>
                </c:pt>
                <c:pt idx="13">
                  <c:v>2469.4</c:v>
                </c:pt>
                <c:pt idx="14">
                  <c:v>3675.2</c:v>
                </c:pt>
                <c:pt idx="15">
                  <c:v>3379.3</c:v>
                </c:pt>
                <c:pt idx="16">
                  <c:v>3045</c:v>
                </c:pt>
                <c:pt idx="17">
                  <c:v>3040.3</c:v>
                </c:pt>
                <c:pt idx="18">
                  <c:v>4059.6</c:v>
                </c:pt>
              </c:numCache>
            </c:numRef>
          </c:val>
        </c:ser>
        <c:ser>
          <c:idx val="1"/>
          <c:order val="1"/>
          <c:tx>
            <c:strRef>
              <c:f>Sheet1!$A$3</c:f>
              <c:strCache>
                <c:ptCount val="1"/>
                <c:pt idx="0">
                  <c:v>2018 год</c:v>
                </c:pt>
              </c:strCache>
            </c:strRef>
          </c:tx>
          <c:spPr>
            <a:solidFill>
              <a:schemeClr val="bg2">
                <a:lumMod val="50000"/>
              </a:schemeClr>
            </a:solidFill>
            <a:ln w="15875">
              <a:solidFill>
                <a:sysClr val="windowText" lastClr="000000"/>
              </a:solidFill>
            </a:ln>
          </c:spPr>
          <c:invertIfNegative val="0"/>
          <c:dLbls>
            <c:dLbl>
              <c:idx val="0"/>
              <c:layout>
                <c:manualLayout>
                  <c:x val="-6.7351803246816994E-3"/>
                  <c:y val="4.6951976191260611E-3"/>
                </c:manualLayout>
              </c:layout>
              <c:tx>
                <c:rich>
                  <a:bodyPr/>
                  <a:lstStyle/>
                  <a:p>
                    <a:r>
                      <a:rPr lang="ru-RU"/>
                      <a:t>102,4*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100515213376444E-3"/>
                  <c:y val="1.1949395446908203E-2"/>
                </c:manualLayout>
              </c:layout>
              <c:tx>
                <c:rich>
                  <a:bodyPr/>
                  <a:lstStyle/>
                  <a:p>
                    <a:r>
                      <a:rPr lang="ru-RU"/>
                      <a:t>99,1*</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942840478273725E-3"/>
                  <c:y val="-2.0821665074292491E-3"/>
                </c:manualLayout>
              </c:layout>
              <c:tx>
                <c:rich>
                  <a:bodyPr/>
                  <a:lstStyle/>
                  <a:p>
                    <a:r>
                      <a:rPr lang="ru-RU"/>
                      <a:t>95,7*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089044425002921E-3"/>
                  <c:y val="3.5370474088228612E-3"/>
                </c:manualLayout>
              </c:layout>
              <c:tx>
                <c:rich>
                  <a:bodyPr/>
                  <a:lstStyle/>
                  <a:p>
                    <a:r>
                      <a:rPr lang="ru-RU"/>
                      <a:t>109,6*</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5872460386898302E-4"/>
                  <c:y val="5.0778066967569965E-3"/>
                </c:manualLayout>
              </c:layout>
              <c:tx>
                <c:rich>
                  <a:bodyPr/>
                  <a:lstStyle/>
                  <a:p>
                    <a:r>
                      <a:rPr lang="ru-RU"/>
                      <a:t>110,5*</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0673665791776028E-3"/>
                  <c:y val="-3.1684951514951852E-3"/>
                </c:manualLayout>
              </c:layout>
              <c:tx>
                <c:rich>
                  <a:bodyPr/>
                  <a:lstStyle/>
                  <a:p>
                    <a:r>
                      <a:rPr lang="ru-RU"/>
                      <a:t>96,9*</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9408768348400888E-3"/>
                  <c:y val="8.3126324690585267E-3"/>
                </c:manualLayout>
              </c:layout>
              <c:tx>
                <c:rich>
                  <a:bodyPr/>
                  <a:lstStyle/>
                  <a:p>
                    <a:r>
                      <a:rPr lang="ru-RU"/>
                      <a:t>109,0*</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265189073588026E-3"/>
                  <c:y val="1.4062970162202541E-2"/>
                </c:manualLayout>
              </c:layout>
              <c:tx>
                <c:rich>
                  <a:bodyPr rot="0" vert="horz"/>
                  <a:lstStyle/>
                  <a:p>
                    <a:pPr>
                      <a:defRPr sz="800" b="1"/>
                    </a:pPr>
                    <a:r>
                      <a:rPr lang="ru-RU" b="1"/>
                      <a:t>103,6*</a:t>
                    </a:r>
                  </a:p>
                </c:rich>
              </c:tx>
              <c:spPr>
                <a:noFill/>
              </c:spP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819072615923084E-3"/>
                  <c:y val="-0.12841256767590245"/>
                </c:manualLayout>
              </c:layout>
              <c:tx>
                <c:rich>
                  <a:bodyPr/>
                  <a:lstStyle/>
                  <a:p>
                    <a:r>
                      <a:rPr lang="ru-RU"/>
                      <a:t>76,0*</a:t>
                    </a:r>
                  </a:p>
                </c:rich>
              </c:tx>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8471857684456018E-3"/>
                  <c:y val="1.2137844694099431E-2"/>
                </c:manualLayout>
              </c:layout>
              <c:tx>
                <c:rich>
                  <a:bodyPr/>
                  <a:lstStyle/>
                  <a:p>
                    <a:r>
                      <a:rPr lang="ru-RU"/>
                      <a:t>101,3*</a:t>
                    </a:r>
                  </a:p>
                </c:rich>
              </c:tx>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490716438223432E-3"/>
                  <c:y val="8.0497260018230245E-4"/>
                </c:manualLayout>
              </c:layout>
              <c:tx>
                <c:rich>
                  <a:bodyPr/>
                  <a:lstStyle/>
                  <a:p>
                    <a:r>
                      <a:rPr lang="ru-RU"/>
                      <a:t>113,0*</a:t>
                    </a:r>
                  </a:p>
                </c:rich>
              </c:tx>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7006318654612753E-3"/>
                  <c:y val="9.6157436387398383E-3"/>
                </c:manualLayout>
              </c:layout>
              <c:tx>
                <c:rich>
                  <a:bodyPr/>
                  <a:lstStyle/>
                  <a:p>
                    <a:r>
                      <a:rPr lang="ru-RU"/>
                      <a:t>105,6*</a:t>
                    </a:r>
                  </a:p>
                </c:rich>
              </c:tx>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8530961407602002E-3"/>
                  <c:y val="-1.2670466400904898E-2"/>
                </c:manualLayout>
              </c:layout>
              <c:tx>
                <c:rich>
                  <a:bodyPr/>
                  <a:lstStyle/>
                  <a:p>
                    <a:r>
                      <a:rPr lang="ru-RU"/>
                      <a:t>93,4*</a:t>
                    </a:r>
                  </a:p>
                </c:rich>
              </c:tx>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1.9830854476524093E-4"/>
                  <c:y val="1.3840916328973522E-2"/>
                </c:manualLayout>
              </c:layout>
              <c:tx>
                <c:rich>
                  <a:bodyPr/>
                  <a:lstStyle/>
                  <a:p>
                    <a:r>
                      <a:rPr lang="ru-RU"/>
                      <a:t>113,6*</a:t>
                    </a:r>
                  </a:p>
                </c:rich>
              </c:tx>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7.7909594634004587E-3"/>
                  <c:y val="1.1106864779977934E-2"/>
                </c:manualLayout>
              </c:layout>
              <c:tx>
                <c:rich>
                  <a:bodyPr/>
                  <a:lstStyle/>
                  <a:p>
                    <a:r>
                      <a:rPr lang="ru-RU"/>
                      <a:t>103,9*</a:t>
                    </a:r>
                  </a:p>
                </c:rich>
              </c:tx>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2.5874987848741211E-3"/>
                  <c:y val="1.1757431994640841E-2"/>
                </c:manualLayout>
              </c:layout>
              <c:tx>
                <c:rich>
                  <a:bodyPr/>
                  <a:lstStyle/>
                  <a:p>
                    <a:r>
                      <a:rPr lang="ru-RU"/>
                      <a:t>108,2*</a:t>
                    </a:r>
                  </a:p>
                </c:rich>
              </c:tx>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6.7410906969962124E-3"/>
                  <c:y val="1.311105986228725E-2"/>
                </c:manualLayout>
              </c:layout>
              <c:tx>
                <c:rich>
                  <a:bodyPr/>
                  <a:lstStyle/>
                  <a:p>
                    <a:r>
                      <a:rPr lang="ru-RU"/>
                      <a:t>99,4*</a:t>
                    </a:r>
                  </a:p>
                </c:rich>
              </c:tx>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6.1685622630504517E-4"/>
                  <c:y val="1.3013979947067522E-2"/>
                </c:manualLayout>
              </c:layout>
              <c:tx>
                <c:rich>
                  <a:bodyPr/>
                  <a:lstStyle/>
                  <a:p>
                    <a:r>
                      <a:rPr lang="ru-RU"/>
                      <a:t>105,8*</a:t>
                    </a:r>
                  </a:p>
                </c:rich>
              </c:tx>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0"/>
                  <c:y val="4.9844606244303872E-3"/>
                </c:manualLayout>
              </c:layout>
              <c:tx>
                <c:rich>
                  <a:bodyPr/>
                  <a:lstStyle/>
                  <a:p>
                    <a:r>
                      <a:rPr lang="ru-RU"/>
                      <a:t>103,9*</a:t>
                    </a:r>
                  </a:p>
                </c:rich>
              </c:tx>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0"/>
                  <c:y val="-2.50525091715362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Sheet1!$B$3:$T$3</c:f>
              <c:numCache>
                <c:formatCode>#,##0.0</c:formatCode>
                <c:ptCount val="19"/>
                <c:pt idx="0">
                  <c:v>2999.5</c:v>
                </c:pt>
                <c:pt idx="1">
                  <c:v>2977.4</c:v>
                </c:pt>
                <c:pt idx="2">
                  <c:v>3223.5</c:v>
                </c:pt>
                <c:pt idx="3">
                  <c:v>4737.6000000000004</c:v>
                </c:pt>
                <c:pt idx="4">
                  <c:v>4149.5</c:v>
                </c:pt>
                <c:pt idx="5">
                  <c:v>2497.1</c:v>
                </c:pt>
                <c:pt idx="6">
                  <c:v>3581.1</c:v>
                </c:pt>
                <c:pt idx="7">
                  <c:v>4699.6000000000004</c:v>
                </c:pt>
                <c:pt idx="8">
                  <c:v>4643.5</c:v>
                </c:pt>
                <c:pt idx="9">
                  <c:v>3926.5</c:v>
                </c:pt>
                <c:pt idx="10">
                  <c:v>4737.1000000000004</c:v>
                </c:pt>
                <c:pt idx="11">
                  <c:v>3443.9</c:v>
                </c:pt>
                <c:pt idx="12">
                  <c:v>2677.7</c:v>
                </c:pt>
                <c:pt idx="13">
                  <c:v>2806.2</c:v>
                </c:pt>
                <c:pt idx="14">
                  <c:v>3818.1</c:v>
                </c:pt>
                <c:pt idx="15">
                  <c:v>3655.1</c:v>
                </c:pt>
                <c:pt idx="16">
                  <c:v>3026.3</c:v>
                </c:pt>
                <c:pt idx="17">
                  <c:v>3215.6</c:v>
                </c:pt>
                <c:pt idx="18">
                  <c:v>4219.1000000000004</c:v>
                </c:pt>
              </c:numCache>
            </c:numRef>
          </c:val>
        </c:ser>
        <c:dLbls>
          <c:showLegendKey val="0"/>
          <c:showVal val="0"/>
          <c:showCatName val="0"/>
          <c:showSerName val="0"/>
          <c:showPercent val="0"/>
          <c:showBubbleSize val="0"/>
        </c:dLbls>
        <c:gapWidth val="150"/>
        <c:axId val="313607272"/>
        <c:axId val="313607664"/>
      </c:barChart>
      <c:lineChart>
        <c:grouping val="standard"/>
        <c:varyColors val="0"/>
        <c:ser>
          <c:idx val="2"/>
          <c:order val="2"/>
          <c:tx>
            <c:strRef>
              <c:f>Sheet1!$A$4</c:f>
              <c:strCache>
                <c:ptCount val="1"/>
                <c:pt idx="0">
                  <c:v>средняя заработная плата в целом по республике за 2018 год</c:v>
                </c:pt>
              </c:strCache>
            </c:strRef>
          </c:tx>
          <c:spPr>
            <a:ln w="34925">
              <a:prstDash val="solid"/>
            </a:ln>
          </c:spPr>
          <c:marker>
            <c:symbol val="none"/>
          </c:marker>
          <c:trendline>
            <c:trendlineType val="linear"/>
            <c:dispRSqr val="0"/>
            <c:dispEq val="0"/>
          </c:trendline>
          <c:trendline>
            <c:trendlineType val="linear"/>
            <c:dispRSqr val="0"/>
            <c:dispEq val="0"/>
          </c:trendline>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Sheet1!$B$4:$T$4</c:f>
              <c:numCache>
                <c:formatCode>General</c:formatCode>
                <c:ptCount val="19"/>
                <c:pt idx="0">
                  <c:v>4211</c:v>
                </c:pt>
                <c:pt idx="1">
                  <c:v>4211</c:v>
                </c:pt>
                <c:pt idx="2">
                  <c:v>4211</c:v>
                </c:pt>
                <c:pt idx="3">
                  <c:v>4211</c:v>
                </c:pt>
                <c:pt idx="4">
                  <c:v>4211</c:v>
                </c:pt>
                <c:pt idx="5">
                  <c:v>4211</c:v>
                </c:pt>
                <c:pt idx="6">
                  <c:v>4211</c:v>
                </c:pt>
                <c:pt idx="7">
                  <c:v>4211</c:v>
                </c:pt>
                <c:pt idx="8">
                  <c:v>4211</c:v>
                </c:pt>
                <c:pt idx="9">
                  <c:v>4211</c:v>
                </c:pt>
                <c:pt idx="10">
                  <c:v>4211</c:v>
                </c:pt>
                <c:pt idx="11">
                  <c:v>4211</c:v>
                </c:pt>
                <c:pt idx="12">
                  <c:v>4211</c:v>
                </c:pt>
                <c:pt idx="13">
                  <c:v>4211</c:v>
                </c:pt>
                <c:pt idx="14">
                  <c:v>4211</c:v>
                </c:pt>
                <c:pt idx="15">
                  <c:v>4211</c:v>
                </c:pt>
                <c:pt idx="16">
                  <c:v>4211</c:v>
                </c:pt>
                <c:pt idx="17">
                  <c:v>4211</c:v>
                </c:pt>
                <c:pt idx="18">
                  <c:v>4211</c:v>
                </c:pt>
              </c:numCache>
            </c:numRef>
          </c:val>
          <c:smooth val="0"/>
        </c:ser>
        <c:dLbls>
          <c:showLegendKey val="0"/>
          <c:showVal val="0"/>
          <c:showCatName val="0"/>
          <c:showSerName val="0"/>
          <c:showPercent val="0"/>
          <c:showBubbleSize val="0"/>
        </c:dLbls>
        <c:marker val="1"/>
        <c:smooth val="0"/>
        <c:axId val="313607272"/>
        <c:axId val="313607664"/>
      </c:lineChart>
      <c:catAx>
        <c:axId val="313607272"/>
        <c:scaling>
          <c:orientation val="minMax"/>
        </c:scaling>
        <c:delete val="0"/>
        <c:axPos val="b"/>
        <c:title>
          <c:tx>
            <c:rich>
              <a:bodyPr/>
              <a:lstStyle/>
              <a:p>
                <a:pPr>
                  <a:defRPr sz="900" b="0" i="1"/>
                </a:pPr>
                <a:r>
                  <a:rPr lang="ru-RU" sz="900" b="0" i="1"/>
                  <a:t>* - темп роста к</a:t>
                </a:r>
              </a:p>
              <a:p>
                <a:pPr>
                  <a:defRPr sz="900" b="0" i="1"/>
                </a:pPr>
                <a:r>
                  <a:rPr lang="ru-RU" sz="900" b="0" i="1" baseline="0"/>
                  <a:t> уровню прошлого года, %</a:t>
                </a:r>
              </a:p>
              <a:p>
                <a:pPr>
                  <a:defRPr sz="900" b="0" i="1"/>
                </a:pPr>
                <a:endParaRPr lang="ru-RU" sz="900" b="0" i="1"/>
              </a:p>
            </c:rich>
          </c:tx>
          <c:layout>
            <c:manualLayout>
              <c:xMode val="edge"/>
              <c:yMode val="edge"/>
              <c:x val="7.7224613589967919E-2"/>
              <c:y val="0.84465674018235859"/>
            </c:manualLayout>
          </c:layout>
          <c:overlay val="0"/>
        </c:title>
        <c:numFmt formatCode="General" sourceLinked="1"/>
        <c:majorTickMark val="out"/>
        <c:minorTickMark val="none"/>
        <c:tickLblPos val="nextTo"/>
        <c:txPr>
          <a:bodyPr rot="-5400000" vert="horz"/>
          <a:lstStyle/>
          <a:p>
            <a:pPr>
              <a:defRPr sz="1000"/>
            </a:pPr>
            <a:endParaRPr lang="ru-RU"/>
          </a:p>
        </c:txPr>
        <c:crossAx val="313607664"/>
        <c:crosses val="autoZero"/>
        <c:auto val="1"/>
        <c:lblAlgn val="ctr"/>
        <c:lblOffset val="200"/>
        <c:tickLblSkip val="1"/>
        <c:tickMarkSkip val="1"/>
        <c:noMultiLvlLbl val="0"/>
      </c:catAx>
      <c:valAx>
        <c:axId val="313607664"/>
        <c:scaling>
          <c:orientation val="minMax"/>
          <c:max val="6500"/>
          <c:min val="2000"/>
        </c:scaling>
        <c:delete val="0"/>
        <c:axPos val="l"/>
        <c:numFmt formatCode="General" sourceLinked="0"/>
        <c:majorTickMark val="out"/>
        <c:minorTickMark val="none"/>
        <c:tickLblPos val="nextTo"/>
        <c:txPr>
          <a:bodyPr rot="0" vert="horz"/>
          <a:lstStyle/>
          <a:p>
            <a:pPr>
              <a:defRPr sz="1000"/>
            </a:pPr>
            <a:endParaRPr lang="ru-RU"/>
          </a:p>
        </c:txPr>
        <c:crossAx val="313607272"/>
        <c:crosses val="autoZero"/>
        <c:crossBetween val="between"/>
        <c:majorUnit val="500"/>
      </c:valAx>
    </c:plotArea>
    <c:legend>
      <c:legendPos val="r"/>
      <c:legendEntry>
        <c:idx val="3"/>
        <c:delete val="1"/>
      </c:legendEntry>
      <c:legendEntry>
        <c:idx val="4"/>
        <c:delete val="1"/>
      </c:legendEntry>
      <c:layout>
        <c:manualLayout>
          <c:xMode val="edge"/>
          <c:yMode val="edge"/>
          <c:x val="0"/>
          <c:y val="0.92397407670012865"/>
          <c:w val="0.97309161936154953"/>
          <c:h val="6.206714681991779E-2"/>
        </c:manualLayout>
      </c:layout>
      <c:overlay val="0"/>
      <c:txPr>
        <a:bodyPr/>
        <a:lstStyle/>
        <a:p>
          <a:pPr>
            <a:defRPr sz="1000"/>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2688713910761154"/>
          <c:y val="3.7111628652052288E-2"/>
          <c:w val="0.87311278798483527"/>
          <c:h val="0.45806555430571178"/>
        </c:manualLayout>
      </c:layout>
      <c:bar3DChart>
        <c:barDir val="col"/>
        <c:grouping val="clustered"/>
        <c:varyColors val="0"/>
        <c:ser>
          <c:idx val="0"/>
          <c:order val="0"/>
          <c:tx>
            <c:strRef>
              <c:f>Лист1!$B$1</c:f>
              <c:strCache>
                <c:ptCount val="1"/>
                <c:pt idx="0">
                  <c:v>2017 год</c:v>
                </c:pt>
              </c:strCache>
            </c:strRef>
          </c:tx>
          <c:spPr>
            <a:solidFill>
              <a:schemeClr val="accent5">
                <a:lumMod val="20000"/>
                <a:lumOff val="80000"/>
              </a:schemeClr>
            </a:solidFill>
            <a:ln>
              <a:noFill/>
            </a:ln>
          </c:spPr>
          <c:invertIfNegative val="0"/>
          <c:dLbls>
            <c:dLbl>
              <c:idx val="1"/>
              <c:layout>
                <c:manualLayout>
                  <c:x val="-8.9635854341738267E-3"/>
                  <c:y val="8.71450558765140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190091434649100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904636920384965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2408963585434775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24089635854345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4817927170869134E-3"/>
                  <c:y val="7.158320896162489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Лист1!$A$2:$A$11</c:f>
              <c:strCache>
                <c:ptCount val="10"/>
                <c:pt idx="0">
                  <c:v>Промышленность</c:v>
                </c:pt>
                <c:pt idx="1">
                  <c:v>Сельское хозяйство</c:v>
                </c:pt>
                <c:pt idx="2">
                  <c:v>Транспорт</c:v>
                </c:pt>
                <c:pt idx="3">
                  <c:v>Связь</c:v>
                </c:pt>
                <c:pt idx="4">
                  <c:v>Строительство</c:v>
                </c:pt>
                <c:pt idx="5">
                  <c:v>Торговля и общепит</c:v>
                </c:pt>
                <c:pt idx="6">
                  <c:v>Общая коммерческая деятельность</c:v>
                </c:pt>
                <c:pt idx="7">
                  <c:v>Здравоохранение и социальное обеспечение</c:v>
                </c:pt>
                <c:pt idx="8">
                  <c:v>Культура и искусство</c:v>
                </c:pt>
                <c:pt idx="9">
                  <c:v>Отдых и туризм</c:v>
                </c:pt>
              </c:strCache>
            </c:strRef>
          </c:cat>
          <c:val>
            <c:numRef>
              <c:f>Лист1!$B$2:$B$11</c:f>
              <c:numCache>
                <c:formatCode>#,##0.0</c:formatCode>
                <c:ptCount val="10"/>
                <c:pt idx="0">
                  <c:v>18.899999999999999</c:v>
                </c:pt>
                <c:pt idx="1">
                  <c:v>77.599999999999994</c:v>
                </c:pt>
                <c:pt idx="2">
                  <c:v>0.60000000000000064</c:v>
                </c:pt>
                <c:pt idx="3">
                  <c:v>1</c:v>
                </c:pt>
                <c:pt idx="4">
                  <c:v>13.7</c:v>
                </c:pt>
                <c:pt idx="5">
                  <c:v>29</c:v>
                </c:pt>
                <c:pt idx="6">
                  <c:v>1.4</c:v>
                </c:pt>
                <c:pt idx="7">
                  <c:v>5.8</c:v>
                </c:pt>
                <c:pt idx="8">
                  <c:v>4.3</c:v>
                </c:pt>
                <c:pt idx="9">
                  <c:v>2.2999999999999998</c:v>
                </c:pt>
              </c:numCache>
            </c:numRef>
          </c:val>
        </c:ser>
        <c:ser>
          <c:idx val="1"/>
          <c:order val="1"/>
          <c:tx>
            <c:strRef>
              <c:f>Лист1!$C$1</c:f>
              <c:strCache>
                <c:ptCount val="1"/>
                <c:pt idx="0">
                  <c:v>2018 год</c:v>
                </c:pt>
              </c:strCache>
            </c:strRef>
          </c:tx>
          <c:spPr>
            <a:solidFill>
              <a:sysClr val="window" lastClr="FFFFFF">
                <a:lumMod val="65000"/>
              </a:sysClr>
            </a:solidFill>
            <a:ln>
              <a:noFill/>
            </a:ln>
          </c:spPr>
          <c:invertIfNegative val="0"/>
          <c:dLbls>
            <c:dLbl>
              <c:idx val="0"/>
              <c:layout>
                <c:manualLayout>
                  <c:x val="1.5712682379349044E-2"/>
                  <c:y val="-3.9320927581829034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46801346801348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467963563378109E-2"/>
                  <c:y val="2.90486564996368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88686515195706E-2"/>
                  <c:y val="4.101959165216712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370762478219633E-2"/>
                  <c:y val="1.13314447592068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230596175478062E-2"/>
                  <c:y val="7.207215245403192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574074074074075E-2"/>
                  <c:y val="3.9682539682539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166280685502657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7226890756302534E-3"/>
                  <c:y val="-2.904731503156761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344537815126074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Промышленность</c:v>
                </c:pt>
                <c:pt idx="1">
                  <c:v>Сельское хозяйство</c:v>
                </c:pt>
                <c:pt idx="2">
                  <c:v>Транспорт</c:v>
                </c:pt>
                <c:pt idx="3">
                  <c:v>Связь</c:v>
                </c:pt>
                <c:pt idx="4">
                  <c:v>Строительство</c:v>
                </c:pt>
                <c:pt idx="5">
                  <c:v>Торговля и общепит</c:v>
                </c:pt>
                <c:pt idx="6">
                  <c:v>Общая коммерческая деятельность</c:v>
                </c:pt>
                <c:pt idx="7">
                  <c:v>Здравоохранение и социальное обеспечение</c:v>
                </c:pt>
                <c:pt idx="8">
                  <c:v>Культура и искусство</c:v>
                </c:pt>
                <c:pt idx="9">
                  <c:v>Отдых и туризм</c:v>
                </c:pt>
              </c:strCache>
            </c:strRef>
          </c:cat>
          <c:val>
            <c:numRef>
              <c:f>Лист1!$C$2:$C$11</c:f>
              <c:numCache>
                <c:formatCode>#,##0.0</c:formatCode>
                <c:ptCount val="10"/>
                <c:pt idx="0">
                  <c:v>26.6</c:v>
                </c:pt>
                <c:pt idx="1">
                  <c:v>155</c:v>
                </c:pt>
                <c:pt idx="2">
                  <c:v>4.9000000000000004</c:v>
                </c:pt>
                <c:pt idx="3">
                  <c:v>1.1000000000000001</c:v>
                </c:pt>
                <c:pt idx="4">
                  <c:v>7.7</c:v>
                </c:pt>
                <c:pt idx="5">
                  <c:v>54.4</c:v>
                </c:pt>
                <c:pt idx="6">
                  <c:v>15.1</c:v>
                </c:pt>
                <c:pt idx="7">
                  <c:v>6</c:v>
                </c:pt>
                <c:pt idx="8">
                  <c:v>0.5</c:v>
                </c:pt>
                <c:pt idx="9">
                  <c:v>1.5</c:v>
                </c:pt>
              </c:numCache>
            </c:numRef>
          </c:val>
        </c:ser>
        <c:dLbls>
          <c:showLegendKey val="0"/>
          <c:showVal val="0"/>
          <c:showCatName val="0"/>
          <c:showSerName val="0"/>
          <c:showPercent val="0"/>
          <c:showBubbleSize val="0"/>
        </c:dLbls>
        <c:gapWidth val="150"/>
        <c:shape val="cylinder"/>
        <c:axId val="313608448"/>
        <c:axId val="313608840"/>
        <c:axId val="0"/>
      </c:bar3DChart>
      <c:catAx>
        <c:axId val="313608448"/>
        <c:scaling>
          <c:orientation val="minMax"/>
        </c:scaling>
        <c:delete val="0"/>
        <c:axPos val="b"/>
        <c:numFmt formatCode="General" sourceLinked="1"/>
        <c:majorTickMark val="out"/>
        <c:minorTickMark val="none"/>
        <c:tickLblPos val="low"/>
        <c:txPr>
          <a:bodyPr rot="-5400000" vert="horz"/>
          <a:lstStyle/>
          <a:p>
            <a:pPr>
              <a:defRPr sz="1010" b="1">
                <a:latin typeface="Times New Roman" pitchFamily="18" charset="0"/>
                <a:cs typeface="Times New Roman" pitchFamily="18" charset="0"/>
              </a:defRPr>
            </a:pPr>
            <a:endParaRPr lang="ru-RU"/>
          </a:p>
        </c:txPr>
        <c:crossAx val="313608840"/>
        <c:crosses val="autoZero"/>
        <c:auto val="1"/>
        <c:lblAlgn val="ctr"/>
        <c:lblOffset val="100"/>
        <c:noMultiLvlLbl val="0"/>
      </c:catAx>
      <c:valAx>
        <c:axId val="313608840"/>
        <c:scaling>
          <c:orientation val="minMax"/>
          <c:max val="80"/>
          <c:min val="0"/>
        </c:scaling>
        <c:delete val="0"/>
        <c:axPos val="l"/>
        <c:numFmt formatCode="#,##0.0"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313608448"/>
        <c:crosses val="autoZero"/>
        <c:crossBetween val="between"/>
        <c:majorUnit val="20"/>
      </c:valAx>
      <c:spPr>
        <a:noFill/>
        <a:ln w="25400">
          <a:noFill/>
        </a:ln>
      </c:spPr>
    </c:plotArea>
    <c:legend>
      <c:legendPos val="l"/>
      <c:layout>
        <c:manualLayout>
          <c:xMode val="edge"/>
          <c:yMode val="edge"/>
          <c:x val="0.33579849577626814"/>
          <c:y val="0.88446357803008258"/>
          <c:w val="0.28205946859382308"/>
          <c:h val="9.4774558408957224E-2"/>
        </c:manualLayout>
      </c:layout>
      <c:overlay val="0"/>
      <c:txPr>
        <a:bodyPr/>
        <a:lstStyle/>
        <a:p>
          <a:pPr>
            <a:defRPr sz="100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розничного товарооборота,%</a:t>
            </a:r>
          </a:p>
        </c:rich>
      </c:tx>
      <c:layout>
        <c:manualLayout>
          <c:xMode val="edge"/>
          <c:yMode val="edge"/>
          <c:x val="0.25623481934230785"/>
          <c:y val="0"/>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25067912861451724"/>
          <c:y val="0.15440677058225327"/>
          <c:w val="0.71892903285541643"/>
          <c:h val="0.62978861788618135"/>
        </c:manualLayout>
      </c:layout>
      <c:bar3DChart>
        <c:barDir val="col"/>
        <c:grouping val="clustered"/>
        <c:varyColors val="0"/>
        <c:ser>
          <c:idx val="0"/>
          <c:order val="0"/>
          <c:tx>
            <c:strRef>
              <c:f>Лист1!$B$1</c:f>
              <c:strCache>
                <c:ptCount val="1"/>
                <c:pt idx="0">
                  <c:v>в текущих ценах</c:v>
                </c:pt>
              </c:strCache>
            </c:strRef>
          </c:tx>
          <c:spPr>
            <a:solidFill>
              <a:schemeClr val="bg1">
                <a:lumMod val="65000"/>
              </a:schemeClr>
            </a:solidFill>
            <a:ln w="12700">
              <a:solidFill>
                <a:schemeClr val="tx1"/>
              </a:solidFill>
            </a:ln>
          </c:spPr>
          <c:invertIfNegative val="0"/>
          <c:dPt>
            <c:idx val="0"/>
            <c:invertIfNegative val="0"/>
            <c:bubble3D val="0"/>
            <c:spPr>
              <a:solidFill>
                <a:schemeClr val="bg1">
                  <a:lumMod val="85000"/>
                </a:schemeClr>
              </a:solidFill>
              <a:ln w="12700">
                <a:solidFill>
                  <a:schemeClr val="tx1"/>
                </a:solidFill>
              </a:ln>
            </c:spPr>
          </c:dPt>
          <c:dPt>
            <c:idx val="1"/>
            <c:invertIfNegative val="0"/>
            <c:bubble3D val="0"/>
            <c:spPr>
              <a:solidFill>
                <a:schemeClr val="bg1">
                  <a:lumMod val="85000"/>
                </a:schemeClr>
              </a:solidFill>
              <a:ln w="12700">
                <a:solidFill>
                  <a:schemeClr val="tx1"/>
                </a:solidFill>
              </a:ln>
            </c:spPr>
          </c:dPt>
          <c:dLbls>
            <c:dLbl>
              <c:idx val="0"/>
              <c:layout>
                <c:manualLayout>
                  <c:x val="7.3742166593997105E-3"/>
                  <c:y val="1.8957345971563982E-2"/>
                </c:manualLayout>
              </c:layout>
              <c:tx>
                <c:rich>
                  <a:bodyPr/>
                  <a:lstStyle/>
                  <a:p>
                    <a:r>
                      <a:rPr lang="ru-RU">
                        <a:solidFill>
                          <a:sysClr val="windowText" lastClr="000000"/>
                        </a:solidFill>
                      </a:rPr>
                      <a:t>+24,9*</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419932124894034E-3"/>
                  <c:y val="2.2315603406717451E-2"/>
                </c:manualLayout>
              </c:layout>
              <c:tx>
                <c:rich>
                  <a:bodyPr/>
                  <a:lstStyle/>
                  <a:p>
                    <a:pPr>
                      <a:defRPr b="1">
                        <a:solidFill>
                          <a:sysClr val="windowText" lastClr="000000"/>
                        </a:solidFill>
                      </a:defRPr>
                    </a:pPr>
                    <a:r>
                      <a:rPr lang="ru-RU">
                        <a:solidFill>
                          <a:sysClr val="windowText" lastClr="000000"/>
                        </a:solidFill>
                      </a:rPr>
                      <a:t>+23,7*</a:t>
                    </a:r>
                  </a:p>
                </c:rich>
              </c:tx>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Лист1!$B$2:$B$3</c:f>
              <c:numCache>
                <c:formatCode>General</c:formatCode>
                <c:ptCount val="2"/>
                <c:pt idx="0" formatCode="0.0">
                  <c:v>124.9</c:v>
                </c:pt>
                <c:pt idx="1">
                  <c:v>123.7</c:v>
                </c:pt>
              </c:numCache>
            </c:numRef>
          </c:val>
        </c:ser>
        <c:ser>
          <c:idx val="1"/>
          <c:order val="1"/>
          <c:tx>
            <c:strRef>
              <c:f>Лист1!$C$1</c:f>
              <c:strCache>
                <c:ptCount val="1"/>
                <c:pt idx="0">
                  <c:v>в сопоставимых ценах</c:v>
                </c:pt>
              </c:strCache>
            </c:strRef>
          </c:tx>
          <c:spPr>
            <a:solidFill>
              <a:schemeClr val="bg1">
                <a:lumMod val="50000"/>
              </a:schemeClr>
            </a:solidFill>
            <a:ln>
              <a:solidFill>
                <a:sysClr val="windowText" lastClr="000000"/>
              </a:solidFill>
            </a:ln>
          </c:spPr>
          <c:invertIfNegative val="0"/>
          <c:dLbls>
            <c:dLbl>
              <c:idx val="0"/>
              <c:layout>
                <c:manualLayout>
                  <c:x val="3.3176878948764851E-3"/>
                  <c:y val="1.9690761403639803E-2"/>
                </c:manualLayout>
              </c:layout>
              <c:tx>
                <c:rich>
                  <a:bodyPr/>
                  <a:lstStyle/>
                  <a:p>
                    <a:r>
                      <a:rPr lang="ru-RU"/>
                      <a:t>+13,4*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665296554911758E-2"/>
                  <c:y val="3.0751187747101252E-2"/>
                </c:manualLayout>
              </c:layout>
              <c:tx>
                <c:rich>
                  <a:bodyPr/>
                  <a:lstStyle/>
                  <a:p>
                    <a:r>
                      <a:rPr lang="ru-RU"/>
                      <a:t>+10,4*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Лист1!$C$2:$C$3</c:f>
              <c:numCache>
                <c:formatCode>0.0</c:formatCode>
                <c:ptCount val="2"/>
                <c:pt idx="0">
                  <c:v>113.4</c:v>
                </c:pt>
                <c:pt idx="1">
                  <c:v>111.9</c:v>
                </c:pt>
              </c:numCache>
            </c:numRef>
          </c:val>
        </c:ser>
        <c:dLbls>
          <c:showLegendKey val="0"/>
          <c:showVal val="1"/>
          <c:showCatName val="0"/>
          <c:showSerName val="0"/>
          <c:showPercent val="0"/>
          <c:showBubbleSize val="0"/>
        </c:dLbls>
        <c:gapWidth val="150"/>
        <c:shape val="cylinder"/>
        <c:axId val="313609624"/>
        <c:axId val="313610016"/>
        <c:axId val="0"/>
      </c:bar3DChart>
      <c:catAx>
        <c:axId val="313609624"/>
        <c:scaling>
          <c:orientation val="minMax"/>
        </c:scaling>
        <c:delete val="0"/>
        <c:axPos val="b"/>
        <c:numFmt formatCode="General" sourceLinked="0"/>
        <c:majorTickMark val="out"/>
        <c:minorTickMark val="none"/>
        <c:tickLblPos val="nextTo"/>
        <c:txPr>
          <a:bodyPr/>
          <a:lstStyle/>
          <a:p>
            <a:pPr>
              <a:defRPr sz="1000" b="1"/>
            </a:pPr>
            <a:endParaRPr lang="ru-RU"/>
          </a:p>
        </c:txPr>
        <c:crossAx val="313610016"/>
        <c:crosses val="autoZero"/>
        <c:auto val="1"/>
        <c:lblAlgn val="ctr"/>
        <c:lblOffset val="100"/>
        <c:noMultiLvlLbl val="0"/>
      </c:catAx>
      <c:valAx>
        <c:axId val="313610016"/>
        <c:scaling>
          <c:orientation val="minMax"/>
          <c:min val="0"/>
        </c:scaling>
        <c:delete val="0"/>
        <c:axPos val="l"/>
        <c:title>
          <c:tx>
            <c:rich>
              <a:bodyPr rot="0" vert="horz"/>
              <a:lstStyle/>
              <a:p>
                <a:pPr>
                  <a:defRPr/>
                </a:pPr>
                <a:r>
                  <a:rPr lang="ru-RU"/>
                  <a:t>*-темп прироста (спада),%</a:t>
                </a:r>
              </a:p>
            </c:rich>
          </c:tx>
          <c:layout>
            <c:manualLayout>
              <c:xMode val="edge"/>
              <c:yMode val="edge"/>
              <c:x val="1.1607349081364901E-3"/>
              <c:y val="0.37602235204471884"/>
            </c:manualLayout>
          </c:layout>
          <c:overlay val="0"/>
        </c:title>
        <c:numFmt formatCode="0.0" sourceLinked="1"/>
        <c:majorTickMark val="out"/>
        <c:minorTickMark val="none"/>
        <c:tickLblPos val="nextTo"/>
        <c:txPr>
          <a:bodyPr/>
          <a:lstStyle/>
          <a:p>
            <a:pPr>
              <a:defRPr b="1"/>
            </a:pPr>
            <a:endParaRPr lang="ru-RU"/>
          </a:p>
        </c:txPr>
        <c:crossAx val="313609624"/>
        <c:crosses val="autoZero"/>
        <c:crossBetween val="between"/>
      </c:valAx>
    </c:plotArea>
    <c:legend>
      <c:legendPos val="b"/>
      <c:layout>
        <c:manualLayout>
          <c:xMode val="edge"/>
          <c:yMode val="edge"/>
          <c:x val="0.20475461793690883"/>
          <c:y val="0.91900288073745517"/>
          <c:w val="0.79524532560465777"/>
          <c:h val="7.4678445682094446E-2"/>
        </c:manualLayout>
      </c:layout>
      <c:overlay val="0"/>
      <c:txPr>
        <a:bodyPr/>
        <a:lstStyle/>
        <a:p>
          <a:pPr>
            <a:defRPr b="1"/>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Товарная структура розничного товарооборота, %</a:t>
            </a:r>
          </a:p>
        </c:rich>
      </c:tx>
      <c:layout>
        <c:manualLayout>
          <c:xMode val="edge"/>
          <c:yMode val="edge"/>
          <c:x val="0.1919772670231456"/>
          <c:y val="0"/>
        </c:manualLayout>
      </c:layout>
      <c:overlay val="0"/>
    </c:title>
    <c:autoTitleDeleted val="0"/>
    <c:plotArea>
      <c:layout>
        <c:manualLayout>
          <c:layoutTarget val="inner"/>
          <c:xMode val="edge"/>
          <c:yMode val="edge"/>
          <c:x val="8.2465166130761006E-2"/>
          <c:y val="0.26060576783730288"/>
          <c:w val="0.91582948125321062"/>
          <c:h val="0.38147299769349896"/>
        </c:manualLayout>
      </c:layout>
      <c:barChart>
        <c:barDir val="col"/>
        <c:grouping val="clustered"/>
        <c:varyColors val="0"/>
        <c:ser>
          <c:idx val="0"/>
          <c:order val="0"/>
          <c:tx>
            <c:strRef>
              <c:f>Лист1!$B$1</c:f>
              <c:strCache>
                <c:ptCount val="1"/>
                <c:pt idx="0">
                  <c:v>Продовольственные товары</c:v>
                </c:pt>
              </c:strCache>
            </c:strRef>
          </c:tx>
          <c:spPr>
            <a:solidFill>
              <a:schemeClr val="bg1">
                <a:lumMod val="85000"/>
              </a:schemeClr>
            </a:solidFill>
            <a:ln>
              <a:solidFill>
                <a:schemeClr val="tx1"/>
              </a:solidFill>
            </a:ln>
          </c:spPr>
          <c:invertIfNegative val="0"/>
          <c:dLbls>
            <c:dLbl>
              <c:idx val="0"/>
              <c:layout>
                <c:manualLayout>
                  <c:x val="4.27578834847675E-3"/>
                  <c:y val="2.6157755293855948E-2"/>
                </c:manualLayout>
              </c:layout>
              <c:tx>
                <c:rich>
                  <a:bodyPr/>
                  <a:lstStyle/>
                  <a:p>
                    <a:r>
                      <a:rPr lang="ru-RU"/>
                      <a:t>46,1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031879032217107E-4"/>
                  <c:y val="2.5420874988110881E-2"/>
                </c:manualLayout>
              </c:layout>
              <c:tx>
                <c:rich>
                  <a:bodyPr/>
                  <a:lstStyle/>
                  <a:p>
                    <a:r>
                      <a:rPr lang="ru-RU"/>
                      <a:t>42,8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Лист1!$B$2:$B$3</c:f>
              <c:numCache>
                <c:formatCode>0.0</c:formatCode>
                <c:ptCount val="2"/>
                <c:pt idx="0">
                  <c:v>46.1</c:v>
                </c:pt>
                <c:pt idx="1">
                  <c:v>42.8</c:v>
                </c:pt>
              </c:numCache>
            </c:numRef>
          </c:val>
        </c:ser>
        <c:ser>
          <c:idx val="1"/>
          <c:order val="1"/>
          <c:tx>
            <c:strRef>
              <c:f>Лист1!$C$1</c:f>
              <c:strCache>
                <c:ptCount val="1"/>
                <c:pt idx="0">
                  <c:v>Непродовольственные товары</c:v>
                </c:pt>
              </c:strCache>
            </c:strRef>
          </c:tx>
          <c:spPr>
            <a:solidFill>
              <a:schemeClr val="tx1">
                <a:lumMod val="65000"/>
                <a:lumOff val="35000"/>
              </a:schemeClr>
            </a:solidFill>
            <a:ln>
              <a:solidFill>
                <a:schemeClr val="bg2">
                  <a:lumMod val="25000"/>
                </a:schemeClr>
              </a:solidFill>
            </a:ln>
          </c:spPr>
          <c:invertIfNegative val="0"/>
          <c:dLbls>
            <c:dLbl>
              <c:idx val="0"/>
              <c:layout>
                <c:manualLayout>
                  <c:x val="0"/>
                  <c:y val="3.4877007058478258E-2"/>
                </c:manualLayout>
              </c:layout>
              <c:tx>
                <c:rich>
                  <a:bodyPr/>
                  <a:lstStyle/>
                  <a:p>
                    <a:r>
                      <a:rPr lang="ru-RU"/>
                      <a:t>53,9</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378941742383802E-3"/>
                  <c:y val="3.4877007058478258E-2"/>
                </c:manualLayout>
              </c:layout>
              <c:tx>
                <c:rich>
                  <a:bodyPr/>
                  <a:lstStyle/>
                  <a:p>
                    <a:r>
                      <a:rPr lang="ru-RU"/>
                      <a:t>57,2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Лист1!$C$2:$C$3</c:f>
              <c:numCache>
                <c:formatCode>0.0</c:formatCode>
                <c:ptCount val="2"/>
                <c:pt idx="0">
                  <c:v>53.9</c:v>
                </c:pt>
                <c:pt idx="1">
                  <c:v>57.2</c:v>
                </c:pt>
              </c:numCache>
            </c:numRef>
          </c:val>
        </c:ser>
        <c:dLbls>
          <c:showLegendKey val="0"/>
          <c:showVal val="0"/>
          <c:showCatName val="0"/>
          <c:showSerName val="0"/>
          <c:showPercent val="0"/>
          <c:showBubbleSize val="0"/>
        </c:dLbls>
        <c:gapWidth val="150"/>
        <c:axId val="313610408"/>
        <c:axId val="319950384"/>
      </c:barChart>
      <c:catAx>
        <c:axId val="313610408"/>
        <c:scaling>
          <c:orientation val="minMax"/>
        </c:scaling>
        <c:delete val="0"/>
        <c:axPos val="b"/>
        <c:numFmt formatCode="General" sourceLinked="0"/>
        <c:majorTickMark val="out"/>
        <c:minorTickMark val="none"/>
        <c:tickLblPos val="nextTo"/>
        <c:txPr>
          <a:bodyPr/>
          <a:lstStyle/>
          <a:p>
            <a:pPr>
              <a:defRPr sz="1050" b="1"/>
            </a:pPr>
            <a:endParaRPr lang="ru-RU"/>
          </a:p>
        </c:txPr>
        <c:crossAx val="319950384"/>
        <c:crosses val="autoZero"/>
        <c:auto val="1"/>
        <c:lblAlgn val="ctr"/>
        <c:lblOffset val="100"/>
        <c:noMultiLvlLbl val="0"/>
      </c:catAx>
      <c:valAx>
        <c:axId val="319950384"/>
        <c:scaling>
          <c:orientation val="minMax"/>
          <c:max val="60"/>
          <c:min val="0"/>
        </c:scaling>
        <c:delete val="0"/>
        <c:axPos val="l"/>
        <c:numFmt formatCode="0.0" sourceLinked="1"/>
        <c:majorTickMark val="out"/>
        <c:minorTickMark val="none"/>
        <c:tickLblPos val="nextTo"/>
        <c:txPr>
          <a:bodyPr/>
          <a:lstStyle/>
          <a:p>
            <a:pPr>
              <a:defRPr b="1"/>
            </a:pPr>
            <a:endParaRPr lang="ru-RU"/>
          </a:p>
        </c:txPr>
        <c:crossAx val="313610408"/>
        <c:crosses val="autoZero"/>
        <c:crossBetween val="between"/>
        <c:majorUnit val="20"/>
      </c:valAx>
    </c:plotArea>
    <c:legend>
      <c:legendPos val="b"/>
      <c:layout>
        <c:manualLayout>
          <c:xMode val="edge"/>
          <c:yMode val="edge"/>
          <c:x val="0.14398629431771229"/>
          <c:y val="0.85317414127581881"/>
          <c:w val="0.73567025928280982"/>
          <c:h val="0.14046775026927291"/>
        </c:manualLayout>
      </c:layout>
      <c:overlay val="0"/>
      <c:txPr>
        <a:bodyPr/>
        <a:lstStyle/>
        <a:p>
          <a:pPr>
            <a:defRPr sz="1050" b="1"/>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0"/>
    <c:view3D>
      <c:rotX val="0"/>
      <c:rotY val="0"/>
      <c:rAngAx val="0"/>
    </c:view3D>
    <c:floor>
      <c:thickness val="0"/>
      <c:spPr>
        <a:effectLst/>
      </c:spPr>
    </c:floor>
    <c:sideWall>
      <c:thickness val="0"/>
    </c:sideWall>
    <c:backWall>
      <c:thickness val="0"/>
    </c:backWall>
    <c:plotArea>
      <c:layout>
        <c:manualLayout>
          <c:layoutTarget val="inner"/>
          <c:xMode val="edge"/>
          <c:yMode val="edge"/>
          <c:x val="0.29344505923246988"/>
          <c:y val="4.4061302681992306E-2"/>
          <c:w val="0.65161879944863565"/>
          <c:h val="0.64582375478929521"/>
        </c:manualLayout>
      </c:layout>
      <c:bar3DChart>
        <c:barDir val="col"/>
        <c:grouping val="clustered"/>
        <c:varyColors val="0"/>
        <c:ser>
          <c:idx val="0"/>
          <c:order val="0"/>
          <c:tx>
            <c:strRef>
              <c:f>Лист1!$B$1</c:f>
              <c:strCache>
                <c:ptCount val="1"/>
                <c:pt idx="0">
                  <c:v>в текущих ценах</c:v>
                </c:pt>
              </c:strCache>
            </c:strRef>
          </c:tx>
          <c:spPr>
            <a:solidFill>
              <a:schemeClr val="bg1">
                <a:lumMod val="85000"/>
              </a:schemeClr>
            </a:solidFill>
            <a:ln w="12700">
              <a:solidFill>
                <a:schemeClr val="tx1">
                  <a:lumMod val="65000"/>
                  <a:lumOff val="35000"/>
                </a:schemeClr>
              </a:solidFill>
            </a:ln>
          </c:spPr>
          <c:invertIfNegative val="0"/>
          <c:dLbls>
            <c:dLbl>
              <c:idx val="0"/>
              <c:layout>
                <c:manualLayout>
                  <c:x val="6.2598425196850414E-3"/>
                  <c:y val="5.6068591426071922E-2"/>
                </c:manualLayout>
              </c:layout>
              <c:tx>
                <c:rich>
                  <a:bodyPr/>
                  <a:lstStyle/>
                  <a:p>
                    <a:r>
                      <a:rPr lang="ru-RU"/>
                      <a:t>+0,0*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860750514293852E-3"/>
                  <c:y val="2.6386701662292004E-4"/>
                </c:manualLayout>
              </c:layout>
              <c:tx>
                <c:rich>
                  <a:bodyPr/>
                  <a:lstStyle/>
                  <a:p>
                    <a:r>
                      <a:rPr lang="ru-RU"/>
                      <a:t>+2,7*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Лист1!$B$2:$B$3</c:f>
              <c:numCache>
                <c:formatCode>0.0</c:formatCode>
                <c:ptCount val="2"/>
                <c:pt idx="0">
                  <c:v>100</c:v>
                </c:pt>
                <c:pt idx="1">
                  <c:v>102.7</c:v>
                </c:pt>
              </c:numCache>
            </c:numRef>
          </c:val>
        </c:ser>
        <c:ser>
          <c:idx val="1"/>
          <c:order val="1"/>
          <c:tx>
            <c:strRef>
              <c:f>Лист1!$C$1</c:f>
              <c:strCache>
                <c:ptCount val="1"/>
                <c:pt idx="0">
                  <c:v>в сопоставимых ценах</c:v>
                </c:pt>
              </c:strCache>
            </c:strRef>
          </c:tx>
          <c:spPr>
            <a:solidFill>
              <a:schemeClr val="tx1">
                <a:lumMod val="65000"/>
                <a:lumOff val="35000"/>
              </a:schemeClr>
            </a:solidFill>
            <a:ln>
              <a:solidFill>
                <a:schemeClr val="tx1"/>
              </a:solidFill>
            </a:ln>
          </c:spPr>
          <c:invertIfNegative val="0"/>
          <c:dLbls>
            <c:dLbl>
              <c:idx val="0"/>
              <c:layout>
                <c:manualLayout>
                  <c:x val="4.0678867844222179E-3"/>
                  <c:y val="4.2600874890638914E-2"/>
                </c:manualLayout>
              </c:layout>
              <c:tx>
                <c:rich>
                  <a:bodyPr/>
                  <a:lstStyle/>
                  <a:p>
                    <a:r>
                      <a:rPr lang="ru-RU"/>
                      <a:t>-1,0*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2545931758530207E-3"/>
                  <c:y val="4.0503237095363104E-2"/>
                </c:manualLayout>
              </c:layout>
              <c:tx>
                <c:rich>
                  <a:bodyPr/>
                  <a:lstStyle/>
                  <a:p>
                    <a:r>
                      <a:rPr lang="ru-RU"/>
                      <a:t>-0,4*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январь-декабрь 2017 года</c:v>
                </c:pt>
                <c:pt idx="1">
                  <c:v>январь-декабрь 2018 года</c:v>
                </c:pt>
              </c:strCache>
            </c:strRef>
          </c:cat>
          <c:val>
            <c:numRef>
              <c:f>Лист1!$C$2:$C$3</c:f>
              <c:numCache>
                <c:formatCode>0.0</c:formatCode>
                <c:ptCount val="2"/>
                <c:pt idx="0">
                  <c:v>99</c:v>
                </c:pt>
                <c:pt idx="1">
                  <c:v>100.1</c:v>
                </c:pt>
              </c:numCache>
            </c:numRef>
          </c:val>
        </c:ser>
        <c:dLbls>
          <c:showLegendKey val="0"/>
          <c:showVal val="1"/>
          <c:showCatName val="0"/>
          <c:showSerName val="0"/>
          <c:showPercent val="0"/>
          <c:showBubbleSize val="0"/>
        </c:dLbls>
        <c:gapWidth val="150"/>
        <c:shape val="cylinder"/>
        <c:axId val="319951168"/>
        <c:axId val="319951560"/>
        <c:axId val="0"/>
      </c:bar3DChart>
      <c:catAx>
        <c:axId val="319951168"/>
        <c:scaling>
          <c:orientation val="minMax"/>
        </c:scaling>
        <c:delete val="0"/>
        <c:axPos val="b"/>
        <c:numFmt formatCode="General" sourceLinked="0"/>
        <c:majorTickMark val="out"/>
        <c:minorTickMark val="none"/>
        <c:tickLblPos val="nextTo"/>
        <c:spPr>
          <a:noFill/>
        </c:spPr>
        <c:txPr>
          <a:bodyPr/>
          <a:lstStyle/>
          <a:p>
            <a:pPr>
              <a:defRPr b="1">
                <a:latin typeface="Times New Roman" pitchFamily="18" charset="0"/>
                <a:cs typeface="Times New Roman" pitchFamily="18" charset="0"/>
              </a:defRPr>
            </a:pPr>
            <a:endParaRPr lang="ru-RU"/>
          </a:p>
        </c:txPr>
        <c:crossAx val="319951560"/>
        <c:crosses val="autoZero"/>
        <c:auto val="1"/>
        <c:lblAlgn val="ctr"/>
        <c:lblOffset val="100"/>
        <c:noMultiLvlLbl val="0"/>
      </c:catAx>
      <c:valAx>
        <c:axId val="319951560"/>
        <c:scaling>
          <c:orientation val="minMax"/>
        </c:scaling>
        <c:delete val="0"/>
        <c:axPos val="l"/>
        <c:title>
          <c:tx>
            <c:rich>
              <a:bodyPr rot="0" vert="horz"/>
              <a:lstStyle/>
              <a:p>
                <a:pPr>
                  <a:defRPr sz="800">
                    <a:latin typeface="Times New Roman" pitchFamily="18" charset="0"/>
                    <a:cs typeface="Times New Roman" pitchFamily="18" charset="0"/>
                  </a:defRPr>
                </a:pPr>
                <a:r>
                  <a:rPr lang="ru-RU" sz="800">
                    <a:latin typeface="Times New Roman" pitchFamily="18" charset="0"/>
                    <a:cs typeface="Times New Roman" pitchFamily="18" charset="0"/>
                  </a:rPr>
                  <a:t>*-темп прироста (спада),%</a:t>
                </a:r>
              </a:p>
            </c:rich>
          </c:tx>
          <c:layout>
            <c:manualLayout>
              <c:xMode val="edge"/>
              <c:yMode val="edge"/>
              <c:x val="4.1974706213366485E-2"/>
              <c:y val="0.32975301164277548"/>
            </c:manualLayout>
          </c:layout>
          <c:overlay val="0"/>
        </c:title>
        <c:numFmt formatCode="0.0"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319951168"/>
        <c:crosses val="autoZero"/>
        <c:crossBetween val="between"/>
      </c:valAx>
    </c:plotArea>
    <c:legend>
      <c:legendPos val="b"/>
      <c:layout>
        <c:manualLayout>
          <c:xMode val="edge"/>
          <c:yMode val="edge"/>
          <c:x val="0.34374547776122577"/>
          <c:y val="0.89876675415573049"/>
          <c:w val="0.53322958785557262"/>
          <c:h val="9.8474890638671764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a:t>январь-декабрь 2017 года</a:t>
            </a:r>
          </a:p>
        </c:rich>
      </c:tx>
      <c:layout>
        <c:manualLayout>
          <c:xMode val="edge"/>
          <c:yMode val="edge"/>
          <c:x val="0.20407543235177794"/>
          <c:y val="2.7777777777780434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2319240303295422"/>
          <c:w val="0.78514101767819267"/>
          <c:h val="0.67021799358416323"/>
        </c:manualLayout>
      </c:layout>
      <c:pie3DChart>
        <c:varyColors val="1"/>
        <c:ser>
          <c:idx val="0"/>
          <c:order val="0"/>
          <c:tx>
            <c:strRef>
              <c:f>Лист1!$B$1</c:f>
              <c:strCache>
                <c:ptCount val="1"/>
                <c:pt idx="0">
                  <c:v>январь-декабрь 2017 года</c:v>
                </c:pt>
              </c:strCache>
            </c:strRef>
          </c:tx>
          <c:spPr>
            <a:solidFill>
              <a:srgbClr val="7030A0"/>
            </a:solidFill>
            <a:ln>
              <a:solidFill>
                <a:srgbClr val="EEECE1">
                  <a:lumMod val="50000"/>
                </a:srgbClr>
              </a:solidFill>
            </a:ln>
          </c:spPr>
          <c:dPt>
            <c:idx val="0"/>
            <c:bubble3D val="0"/>
            <c:explosion val="11"/>
            <c:spPr>
              <a:solidFill>
                <a:sysClr val="window" lastClr="FFFFFF">
                  <a:lumMod val="85000"/>
                </a:sysClr>
              </a:solidFill>
              <a:ln>
                <a:solidFill>
                  <a:sysClr val="windowText" lastClr="000000"/>
                </a:solidFill>
              </a:ln>
            </c:spPr>
          </c:dPt>
          <c:dPt>
            <c:idx val="1"/>
            <c:bubble3D val="0"/>
            <c:spPr>
              <a:blipFill>
                <a:blip xmlns:r="http://schemas.openxmlformats.org/officeDocument/2006/relationships" r:embed="rId2"/>
                <a:tile tx="0" ty="0" sx="100000" sy="100000" flip="none" algn="tl"/>
              </a:blipFill>
              <a:ln>
                <a:solidFill>
                  <a:sysClr val="windowText" lastClr="000000"/>
                </a:solidFill>
              </a:ln>
            </c:spPr>
          </c:dPt>
          <c:dLbls>
            <c:dLbl>
              <c:idx val="0"/>
              <c:layout>
                <c:manualLayout>
                  <c:x val="5.7500994193907834E-2"/>
                  <c:y val="0.1955526392534267"/>
                </c:manualLayout>
              </c:layout>
              <c:tx>
                <c:rich>
                  <a:bodyPr/>
                  <a:lstStyle/>
                  <a:p>
                    <a:r>
                      <a:rPr lang="en-US"/>
                      <a:t>51,4</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794380664249031E-2"/>
                  <c:y val="-8.5223097112861024E-2"/>
                </c:manualLayout>
              </c:layout>
              <c:tx>
                <c:rich>
                  <a:bodyPr/>
                  <a:lstStyle/>
                  <a:p>
                    <a:r>
                      <a:rPr lang="en-US">
                        <a:solidFill>
                          <a:sysClr val="windowText" lastClr="000000"/>
                        </a:solidFill>
                      </a:rPr>
                      <a:t>48,6</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51.4</c:v>
                </c:pt>
                <c:pt idx="1">
                  <c:v>48.4</c:v>
                </c:pt>
              </c:numCache>
            </c:numRef>
          </c:val>
        </c:ser>
        <c:dLbls>
          <c:showLegendKey val="0"/>
          <c:showVal val="0"/>
          <c:showCatName val="0"/>
          <c:showSerName val="0"/>
          <c:showPercent val="0"/>
          <c:showBubbleSize val="0"/>
          <c:showLeaderLines val="1"/>
        </c:dLbls>
      </c:pie3DChart>
      <c:spPr>
        <a:noFill/>
        <a:ln w="25395">
          <a:noFill/>
        </a:ln>
      </c:spPr>
    </c:plotArea>
    <c:legend>
      <c:legendPos val="r"/>
      <c:layout>
        <c:manualLayout>
          <c:xMode val="edge"/>
          <c:yMode val="edge"/>
          <c:x val="0.64057439101104097"/>
          <c:y val="0.12864975211431903"/>
          <c:w val="0.35942560898897347"/>
          <c:h val="0.55422863808690581"/>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a:t>январь-декабрь 2018 года</a:t>
            </a:r>
          </a:p>
        </c:rich>
      </c:tx>
      <c:layout>
        <c:manualLayout>
          <c:xMode val="edge"/>
          <c:yMode val="edge"/>
          <c:x val="0.17448863763824393"/>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7527559055118119E-2"/>
          <c:y val="0.27177907109437432"/>
          <c:w val="0.8127445497884197"/>
          <c:h val="0.69034653277036018"/>
        </c:manualLayout>
      </c:layout>
      <c:pie3DChart>
        <c:varyColors val="1"/>
        <c:ser>
          <c:idx val="0"/>
          <c:order val="0"/>
          <c:tx>
            <c:strRef>
              <c:f>Лист1!$B$1</c:f>
              <c:strCache>
                <c:ptCount val="1"/>
                <c:pt idx="0">
                  <c:v>январь-декабрь 2018 года</c:v>
                </c:pt>
              </c:strCache>
            </c:strRef>
          </c:tx>
          <c:spPr>
            <a:solidFill>
              <a:srgbClr val="7030A0"/>
            </a:solidFill>
          </c:spPr>
          <c:dPt>
            <c:idx val="0"/>
            <c:bubble3D val="0"/>
            <c:explosion val="7"/>
            <c:spPr>
              <a:solidFill>
                <a:sysClr val="window" lastClr="FFFFFF">
                  <a:lumMod val="85000"/>
                </a:sysClr>
              </a:solidFill>
              <a:ln>
                <a:solidFill>
                  <a:sysClr val="windowText" lastClr="000000"/>
                </a:solidFill>
              </a:ln>
            </c:spPr>
          </c:dPt>
          <c:dPt>
            <c:idx val="1"/>
            <c:bubble3D val="0"/>
            <c:explosion val="2"/>
            <c:spPr>
              <a:blipFill>
                <a:blip xmlns:r="http://schemas.openxmlformats.org/officeDocument/2006/relationships" r:embed="rId2"/>
                <a:tile tx="0" ty="0" sx="100000" sy="100000" flip="none" algn="tl"/>
              </a:blipFill>
              <a:ln>
                <a:solidFill>
                  <a:sysClr val="windowText" lastClr="000000"/>
                </a:solidFill>
              </a:ln>
            </c:spPr>
          </c:dPt>
          <c:dLbls>
            <c:dLbl>
              <c:idx val="0"/>
              <c:layout>
                <c:manualLayout>
                  <c:x val="7.656457228560716E-2"/>
                  <c:y val="0.22373312031648221"/>
                </c:manualLayout>
              </c:layout>
              <c:tx>
                <c:rich>
                  <a:bodyPr/>
                  <a:lstStyle/>
                  <a:p>
                    <a:r>
                      <a:rPr lang="en-US"/>
                      <a:t>51,3</a:t>
                    </a:r>
                  </a:p>
                  <a:p>
                    <a:endParaRPr 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559391614509732E-2"/>
                  <c:y val="-0.25507854996387963"/>
                </c:manualLayout>
              </c:layout>
              <c:tx>
                <c:rich>
                  <a:bodyPr/>
                  <a:lstStyle/>
                  <a:p>
                    <a:r>
                      <a:rPr lang="en-US"/>
                      <a:t>48,7</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51.5</c:v>
                </c:pt>
                <c:pt idx="1">
                  <c:v>48.5</c:v>
                </c:pt>
              </c:numCache>
            </c:numRef>
          </c:val>
        </c:ser>
        <c:dLbls>
          <c:showLegendKey val="0"/>
          <c:showVal val="0"/>
          <c:showCatName val="0"/>
          <c:showSerName val="0"/>
          <c:showPercent val="0"/>
          <c:showBubbleSize val="0"/>
          <c:showLeaderLines val="1"/>
        </c:dLbls>
      </c:pie3DChart>
      <c:spPr>
        <a:noFill/>
        <a:ln w="25395">
          <a:noFill/>
        </a:ln>
      </c:spPr>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Величина среднемесячной номинальной заработной платы (СНЗП)</a:t>
            </a:r>
          </a:p>
        </c:rich>
      </c:tx>
      <c:layout>
        <c:manualLayout>
          <c:xMode val="edge"/>
          <c:yMode val="edge"/>
          <c:x val="0.1226937466595422"/>
          <c:y val="0"/>
        </c:manualLayout>
      </c:layout>
      <c:overlay val="1"/>
      <c:spPr>
        <a:noFill/>
      </c:spPr>
    </c:title>
    <c:autoTitleDeleted val="0"/>
    <c:plotArea>
      <c:layout>
        <c:manualLayout>
          <c:layoutTarget val="inner"/>
          <c:xMode val="edge"/>
          <c:yMode val="edge"/>
          <c:x val="0.35800861430783126"/>
          <c:y val="0.13206022000058967"/>
          <c:w val="0.64199144000640895"/>
          <c:h val="0.44296958880139975"/>
        </c:manualLayout>
      </c:layout>
      <c:barChart>
        <c:barDir val="col"/>
        <c:grouping val="clustered"/>
        <c:varyColors val="0"/>
        <c:ser>
          <c:idx val="0"/>
          <c:order val="0"/>
          <c:tx>
            <c:strRef>
              <c:f>Лист1!$B$2</c:f>
              <c:strCache>
                <c:ptCount val="1"/>
                <c:pt idx="0">
                  <c:v>СНЗП в целом по республике</c:v>
                </c:pt>
              </c:strCache>
            </c:strRef>
          </c:tx>
          <c:spPr>
            <a:solidFill>
              <a:sysClr val="window" lastClr="FFFFFF">
                <a:lumMod val="85000"/>
              </a:sysClr>
            </a:solidFill>
            <a:ln>
              <a:solidFill>
                <a:sysClr val="windowText" lastClr="000000"/>
              </a:solidFill>
            </a:ln>
          </c:spPr>
          <c:invertIfNegative val="0"/>
          <c:dLbls>
            <c:dLbl>
              <c:idx val="0"/>
              <c:layout>
                <c:manualLayout>
                  <c:x val="-8.0664262237131693E-3"/>
                  <c:y val="1.4504120852897401E-2"/>
                </c:manualLayout>
              </c:layout>
              <c:tx>
                <c:rich>
                  <a:bodyPr/>
                  <a:lstStyle/>
                  <a:p>
                    <a:r>
                      <a:rPr lang="ru-RU" b="1"/>
                      <a:t>-4,4*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321926105390683E-2"/>
                  <c:y val="-1.8524164479440091E-2"/>
                </c:manualLayout>
              </c:layout>
              <c:tx>
                <c:rich>
                  <a:bodyPr/>
                  <a:lstStyle/>
                  <a:p>
                    <a:r>
                      <a:rPr lang="ru-RU" b="1"/>
                      <a:t>-13,1**</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345749672792779E-2"/>
                  <c:y val="8.218408601065005E-3"/>
                </c:manualLayout>
              </c:layout>
              <c:tx>
                <c:rich>
                  <a:bodyPr/>
                  <a:lstStyle/>
                  <a:p>
                    <a:r>
                      <a:rPr lang="ru-RU" b="1"/>
                      <a:t>-3,1*</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726488424649752E-2"/>
                  <c:y val="1.8101595825401821E-2"/>
                </c:manualLayout>
              </c:layout>
              <c:tx>
                <c:rich>
                  <a:bodyPr/>
                  <a:lstStyle/>
                  <a:p>
                    <a:r>
                      <a:rPr lang="ru-RU" b="1"/>
                      <a:t>-10,3**</a:t>
                    </a:r>
                  </a:p>
                </c:rich>
              </c:tx>
              <c:showLegendKey val="0"/>
              <c:showVal val="1"/>
              <c:showCatName val="0"/>
              <c:showSerName val="0"/>
              <c:showPercent val="0"/>
              <c:showBubbleSize val="0"/>
              <c:extLst>
                <c:ext xmlns:c15="http://schemas.microsoft.com/office/drawing/2012/chart" uri="{CE6537A1-D6FC-4f65-9D91-7224C49458BB}">
                  <c15:layout/>
                </c:ext>
              </c:extLst>
            </c:dLbl>
            <c:spPr>
              <a:noFill/>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2017 год руб. ПМР</c:v>
                </c:pt>
                <c:pt idx="1">
                  <c:v>дол. США</c:v>
                </c:pt>
                <c:pt idx="2">
                  <c:v>2018 год руб. ПМР</c:v>
                </c:pt>
                <c:pt idx="3">
                  <c:v>дол. США</c:v>
                </c:pt>
              </c:strCache>
            </c:strRef>
          </c:cat>
          <c:val>
            <c:numRef>
              <c:f>Лист1!$B$3:$B$6</c:f>
              <c:numCache>
                <c:formatCode>General</c:formatCode>
                <c:ptCount val="4"/>
                <c:pt idx="0">
                  <c:v>3912</c:v>
                </c:pt>
                <c:pt idx="1">
                  <c:v>292</c:v>
                </c:pt>
                <c:pt idx="2">
                  <c:v>4211</c:v>
                </c:pt>
                <c:pt idx="3">
                  <c:v>262</c:v>
                </c:pt>
              </c:numCache>
            </c:numRef>
          </c:val>
        </c:ser>
        <c:ser>
          <c:idx val="1"/>
          <c:order val="1"/>
          <c:tx>
            <c:strRef>
              <c:f>Лист1!$C$2</c:f>
              <c:strCache>
                <c:ptCount val="1"/>
                <c:pt idx="0">
                  <c:v>СНЗП по крупным предприятиям республики</c:v>
                </c:pt>
              </c:strCache>
            </c:strRef>
          </c:tx>
          <c:spPr>
            <a:solidFill>
              <a:sysClr val="window" lastClr="FFFFFF">
                <a:lumMod val="65000"/>
              </a:sysClr>
            </a:solidFill>
            <a:ln>
              <a:solidFill>
                <a:sysClr val="windowText" lastClr="000000"/>
              </a:solidFill>
            </a:ln>
          </c:spPr>
          <c:invertIfNegative val="0"/>
          <c:dLbls>
            <c:dLbl>
              <c:idx val="0"/>
              <c:layout>
                <c:manualLayout>
                  <c:x val="6.3943236384602113E-3"/>
                  <c:y val="1.4839341582481276E-2"/>
                </c:manualLayout>
              </c:layout>
              <c:tx>
                <c:rich>
                  <a:bodyPr/>
                  <a:lstStyle/>
                  <a:p>
                    <a:r>
                      <a:rPr lang="ru-RU" b="1"/>
                      <a:t>-4,3*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1730264486170123E-3"/>
                  <c:y val="7.3362029746282531E-3"/>
                </c:manualLayout>
              </c:layout>
              <c:tx>
                <c:rich>
                  <a:bodyPr/>
                  <a:lstStyle/>
                  <a:p>
                    <a:r>
                      <a:rPr lang="ru-RU" b="1"/>
                      <a:t>-12,9**</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232809825979672E-2"/>
                </c:manualLayout>
              </c:layout>
              <c:tx>
                <c:rich>
                  <a:bodyPr/>
                  <a:lstStyle/>
                  <a:p>
                    <a:r>
                      <a:rPr lang="ru-RU" b="1"/>
                      <a:t>-2,0*</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557308610075284E-5"/>
                  <c:y val="-1.3640506830446007E-2"/>
                </c:manualLayout>
              </c:layout>
              <c:tx>
                <c:rich>
                  <a:bodyPr/>
                  <a:lstStyle/>
                  <a:p>
                    <a:r>
                      <a:rPr lang="ru-RU" b="1"/>
                      <a:t>-9,1**</a:t>
                    </a:r>
                  </a:p>
                </c:rich>
              </c:tx>
              <c:showLegendKey val="0"/>
              <c:showVal val="1"/>
              <c:showCatName val="0"/>
              <c:showSerName val="0"/>
              <c:showPercent val="0"/>
              <c:showBubbleSize val="0"/>
              <c:extLst>
                <c:ext xmlns:c15="http://schemas.microsoft.com/office/drawing/2012/chart" uri="{CE6537A1-D6FC-4f65-9D91-7224C49458BB}">
                  <c15:layout/>
                </c:ext>
              </c:extLst>
            </c:dLbl>
            <c:spPr>
              <a:noFill/>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2017 год руб. ПМР</c:v>
                </c:pt>
                <c:pt idx="1">
                  <c:v>дол. США</c:v>
                </c:pt>
                <c:pt idx="2">
                  <c:v>2018 год руб. ПМР</c:v>
                </c:pt>
                <c:pt idx="3">
                  <c:v>дол. США</c:v>
                </c:pt>
              </c:strCache>
            </c:strRef>
          </c:cat>
          <c:val>
            <c:numRef>
              <c:f>Лист1!$C$3:$C$6</c:f>
              <c:numCache>
                <c:formatCode>General</c:formatCode>
                <c:ptCount val="4"/>
                <c:pt idx="0">
                  <c:v>3976</c:v>
                </c:pt>
                <c:pt idx="1">
                  <c:v>297</c:v>
                </c:pt>
                <c:pt idx="2">
                  <c:v>4328</c:v>
                </c:pt>
                <c:pt idx="3">
                  <c:v>270</c:v>
                </c:pt>
              </c:numCache>
            </c:numRef>
          </c:val>
        </c:ser>
        <c:ser>
          <c:idx val="2"/>
          <c:order val="2"/>
          <c:tx>
            <c:strRef>
              <c:f>Лист1!$D$2</c:f>
              <c:strCache>
                <c:ptCount val="1"/>
                <c:pt idx="0">
                  <c:v>СНЗП в организациях малого предпринимательства</c:v>
                </c:pt>
              </c:strCache>
            </c:strRef>
          </c:tx>
          <c:spPr>
            <a:solidFill>
              <a:srgbClr val="4BACC6">
                <a:lumMod val="75000"/>
              </a:srgbClr>
            </a:solidFill>
            <a:ln>
              <a:solidFill>
                <a:sysClr val="windowText" lastClr="000000"/>
              </a:solidFill>
            </a:ln>
          </c:spPr>
          <c:invertIfNegative val="0"/>
          <c:dLbls>
            <c:dLbl>
              <c:idx val="0"/>
              <c:layout>
                <c:manualLayout>
                  <c:x val="1.4220194683040381E-2"/>
                  <c:y val="1.1321141782513831E-2"/>
                </c:manualLayout>
              </c:layout>
              <c:tx>
                <c:rich>
                  <a:bodyPr/>
                  <a:lstStyle/>
                  <a:p>
                    <a:r>
                      <a:rPr lang="ru-RU" b="1"/>
                      <a:t>+1,4*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561545191466574E-2"/>
                  <c:y val="1.066666666666668E-2"/>
                </c:manualLayout>
              </c:layout>
              <c:tx>
                <c:rich>
                  <a:bodyPr/>
                  <a:lstStyle/>
                  <a:p>
                    <a:r>
                      <a:rPr lang="ru-RU" b="1"/>
                      <a:t>-7,6**</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210142001480578E-2"/>
                  <c:y val="1.7619726317593089E-2"/>
                </c:manualLayout>
              </c:layout>
              <c:tx>
                <c:rich>
                  <a:bodyPr/>
                  <a:lstStyle/>
                  <a:p>
                    <a:r>
                      <a:rPr lang="ru-RU" b="1"/>
                      <a:t>-8,4*</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120753144766847E-2"/>
                  <c:y val="3.6146242955430452E-3"/>
                </c:manualLayout>
              </c:layout>
              <c:tx>
                <c:rich>
                  <a:bodyPr/>
                  <a:lstStyle/>
                  <a:p>
                    <a:r>
                      <a:rPr lang="ru-RU" b="1"/>
                      <a:t>-15,2**</a:t>
                    </a:r>
                  </a:p>
                </c:rich>
              </c:tx>
              <c:showLegendKey val="0"/>
              <c:showVal val="1"/>
              <c:showCatName val="0"/>
              <c:showSerName val="0"/>
              <c:showPercent val="0"/>
              <c:showBubbleSize val="0"/>
              <c:extLst>
                <c:ext xmlns:c15="http://schemas.microsoft.com/office/drawing/2012/chart" uri="{CE6537A1-D6FC-4f65-9D91-7224C49458BB}">
                  <c15:layout/>
                </c:ext>
              </c:extLst>
            </c:dLbl>
            <c:spPr>
              <a:noFill/>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2017 год руб. ПМР</c:v>
                </c:pt>
                <c:pt idx="1">
                  <c:v>дол. США</c:v>
                </c:pt>
                <c:pt idx="2">
                  <c:v>2018 год руб. ПМР</c:v>
                </c:pt>
                <c:pt idx="3">
                  <c:v>дол. США</c:v>
                </c:pt>
              </c:strCache>
            </c:strRef>
          </c:cat>
          <c:val>
            <c:numRef>
              <c:f>Лист1!$D$3:$D$6</c:f>
              <c:numCache>
                <c:formatCode>General</c:formatCode>
                <c:ptCount val="4"/>
                <c:pt idx="0">
                  <c:v>3420</c:v>
                </c:pt>
                <c:pt idx="1">
                  <c:v>256</c:v>
                </c:pt>
                <c:pt idx="2">
                  <c:v>3479</c:v>
                </c:pt>
                <c:pt idx="3">
                  <c:v>217</c:v>
                </c:pt>
              </c:numCache>
            </c:numRef>
          </c:val>
        </c:ser>
        <c:dLbls>
          <c:showLegendKey val="0"/>
          <c:showVal val="0"/>
          <c:showCatName val="0"/>
          <c:showSerName val="0"/>
          <c:showPercent val="0"/>
          <c:showBubbleSize val="0"/>
        </c:dLbls>
        <c:gapWidth val="150"/>
        <c:axId val="319953128"/>
        <c:axId val="319953520"/>
      </c:barChart>
      <c:catAx>
        <c:axId val="319953128"/>
        <c:scaling>
          <c:orientation val="minMax"/>
        </c:scaling>
        <c:delete val="0"/>
        <c:axPos val="b"/>
        <c:numFmt formatCode="General" sourceLinked="1"/>
        <c:majorTickMark val="out"/>
        <c:minorTickMark val="none"/>
        <c:tickLblPos val="nextTo"/>
        <c:crossAx val="319953520"/>
        <c:crosses val="autoZero"/>
        <c:auto val="1"/>
        <c:lblAlgn val="ctr"/>
        <c:lblOffset val="100"/>
        <c:noMultiLvlLbl val="0"/>
      </c:catAx>
      <c:valAx>
        <c:axId val="319953520"/>
        <c:scaling>
          <c:orientation val="minMax"/>
          <c:max val="4500"/>
          <c:min val="0"/>
        </c:scaling>
        <c:delete val="0"/>
        <c:axPos val="l"/>
        <c:title>
          <c:tx>
            <c:rich>
              <a:bodyPr rot="0" vert="horz"/>
              <a:lstStyle/>
              <a:p>
                <a:pPr>
                  <a:defRPr sz="900"/>
                </a:pPr>
                <a:r>
                  <a:rPr lang="ru-RU" sz="900"/>
                  <a:t>* - Прирост/спад реальной заработной платы, %</a:t>
                </a:r>
              </a:p>
              <a:p>
                <a:pPr>
                  <a:defRPr sz="900"/>
                </a:pPr>
                <a:r>
                  <a:rPr lang="ru-RU" sz="900"/>
                  <a:t>** - прирост/спад заработной платы в долларовом эквиваленте, %</a:t>
                </a:r>
              </a:p>
              <a:p>
                <a:pPr>
                  <a:defRPr sz="900"/>
                </a:pPr>
                <a:endParaRPr lang="ru-RU" sz="900"/>
              </a:p>
            </c:rich>
          </c:tx>
          <c:layout>
            <c:manualLayout>
              <c:xMode val="edge"/>
              <c:yMode val="edge"/>
              <c:x val="3.9248411705546202E-2"/>
              <c:y val="0.17392138121463141"/>
            </c:manualLayout>
          </c:layout>
          <c:overlay val="0"/>
        </c:title>
        <c:numFmt formatCode="General" sourceLinked="1"/>
        <c:majorTickMark val="out"/>
        <c:minorTickMark val="none"/>
        <c:tickLblPos val="nextTo"/>
        <c:txPr>
          <a:bodyPr/>
          <a:lstStyle/>
          <a:p>
            <a:pPr>
              <a:defRPr b="1"/>
            </a:pPr>
            <a:endParaRPr lang="ru-RU"/>
          </a:p>
        </c:txPr>
        <c:crossAx val="319953128"/>
        <c:crosses val="autoZero"/>
        <c:crossBetween val="between"/>
      </c:valAx>
      <c:dTable>
        <c:showHorzBorder val="1"/>
        <c:showVertBorder val="1"/>
        <c:showOutline val="1"/>
        <c:showKeys val="1"/>
        <c:txPr>
          <a:bodyPr/>
          <a:lstStyle/>
          <a:p>
            <a:pPr rtl="0">
              <a:defRPr sz="900" b="1"/>
            </a:pPr>
            <a:endParaRPr lang="ru-RU"/>
          </a:p>
        </c:txPr>
      </c:dTable>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b="1"/>
              <a:t>Динамика оплаты труда в разрезе отраслей экономики, руб. ПМР</a:t>
            </a:r>
          </a:p>
          <a:p>
            <a:pPr>
              <a:defRPr/>
            </a:pPr>
            <a:r>
              <a:rPr lang="ru-RU" b="0" i="1"/>
              <a:t>(без учета</a:t>
            </a:r>
            <a:r>
              <a:rPr lang="ru-RU" b="0" i="1" baseline="0"/>
              <a:t> субъектов малого предпринимательства и силовых структур)</a:t>
            </a:r>
            <a:endParaRPr lang="ru-RU" b="0" i="1"/>
          </a:p>
        </c:rich>
      </c:tx>
      <c:layout>
        <c:manualLayout>
          <c:xMode val="edge"/>
          <c:yMode val="edge"/>
          <c:x val="0.14169281471395018"/>
          <c:y val="2.2513307331910692E-3"/>
        </c:manualLayout>
      </c:layout>
      <c:overlay val="0"/>
      <c:spPr>
        <a:noFill/>
        <a:ln w="25176">
          <a:noFill/>
        </a:ln>
      </c:spPr>
    </c:title>
    <c:autoTitleDeleted val="0"/>
    <c:plotArea>
      <c:layout>
        <c:manualLayout>
          <c:layoutTarget val="inner"/>
          <c:xMode val="edge"/>
          <c:yMode val="edge"/>
          <c:x val="7.0115288220551381E-2"/>
          <c:y val="9.26263889911004E-2"/>
          <c:w val="0.92988471177944854"/>
          <c:h val="0.40752937424878038"/>
        </c:manualLayout>
      </c:layout>
      <c:barChart>
        <c:barDir val="col"/>
        <c:grouping val="clustered"/>
        <c:varyColors val="0"/>
        <c:ser>
          <c:idx val="0"/>
          <c:order val="0"/>
          <c:tx>
            <c:strRef>
              <c:f>Sheet1!$A$2</c:f>
              <c:strCache>
                <c:ptCount val="1"/>
                <c:pt idx="0">
                  <c:v>2017 год</c:v>
                </c:pt>
              </c:strCache>
            </c:strRef>
          </c:tx>
          <c:spPr>
            <a:solidFill>
              <a:sysClr val="window" lastClr="FFFFFF">
                <a:lumMod val="75000"/>
              </a:sysClr>
            </a:solidFill>
            <a:ln w="24130">
              <a:solidFill>
                <a:srgbClr val="000080"/>
              </a:solidFill>
              <a:prstDash val="solid"/>
            </a:ln>
          </c:spPr>
          <c:invertIfNegative val="0"/>
          <c:dLbls>
            <c:dLbl>
              <c:idx val="0"/>
              <c:layout>
                <c:manualLayout>
                  <c:x val="-4.9743255777238513E-3"/>
                  <c:y val="-2.377167807295125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3908787717324801E-3"/>
                  <c:y val="1.66465523585255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1457580960274701E-3"/>
                  <c:y val="1.06186376235680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6194817753044708E-3"/>
                  <c:y val="8.0825177226678748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906419592288114E-2"/>
                  <c:y val="1.06924718522334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7371775896434014E-3"/>
                  <c:y val="9.588637868864574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065912813529665E-2"/>
                  <c:y val="1.34984178379571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225287628520525E-2"/>
                  <c:y val="2.55032256481958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7.8950131233595823E-3"/>
                  <c:y val="4.11607427576225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1766739683855526E-2"/>
                  <c:y val="1.70944636593323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1828909547717564E-3"/>
                  <c:y val="7.73222097873640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1498510054664153E-2"/>
                  <c:y val="1.03451320921333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8230813253606524E-3"/>
                  <c:y val="1.18257414084923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6.4150928502358434E-3"/>
                  <c:y val="1.49338926092182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1.4032719594261242E-2"/>
                  <c:y val="1.48909657320872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8.1545596274150266E-3"/>
                  <c:y val="6.15007236245003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8.1828192528565508E-3"/>
                  <c:y val="9.712512571442826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2.4767251501365644E-2"/>
                  <c:y val="3.8320210667346692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7094017094017103E-2"/>
                  <c:y val="4.7144169871847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Sheet1!$B$2:$R$2</c:f>
              <c:numCache>
                <c:formatCode>0</c:formatCode>
                <c:ptCount val="17"/>
                <c:pt idx="0" formatCode="General">
                  <c:v>5327</c:v>
                </c:pt>
                <c:pt idx="1">
                  <c:v>3471</c:v>
                </c:pt>
                <c:pt idx="2" formatCode="General">
                  <c:v>2223</c:v>
                </c:pt>
                <c:pt idx="3" formatCode="General">
                  <c:v>4128</c:v>
                </c:pt>
                <c:pt idx="4" formatCode="General">
                  <c:v>7498</c:v>
                </c:pt>
                <c:pt idx="5" formatCode="General">
                  <c:v>4671</c:v>
                </c:pt>
                <c:pt idx="6" formatCode="General">
                  <c:v>2074</c:v>
                </c:pt>
                <c:pt idx="7">
                  <c:v>3968</c:v>
                </c:pt>
                <c:pt idx="8">
                  <c:v>4051</c:v>
                </c:pt>
                <c:pt idx="9">
                  <c:v>3886</c:v>
                </c:pt>
                <c:pt idx="10">
                  <c:v>4176</c:v>
                </c:pt>
                <c:pt idx="11">
                  <c:v>2742</c:v>
                </c:pt>
                <c:pt idx="12">
                  <c:v>2700</c:v>
                </c:pt>
                <c:pt idx="13">
                  <c:v>2469</c:v>
                </c:pt>
                <c:pt idx="14">
                  <c:v>3912</c:v>
                </c:pt>
                <c:pt idx="15">
                  <c:v>7307</c:v>
                </c:pt>
                <c:pt idx="16">
                  <c:v>7136</c:v>
                </c:pt>
              </c:numCache>
            </c:numRef>
          </c:val>
        </c:ser>
        <c:ser>
          <c:idx val="1"/>
          <c:order val="1"/>
          <c:tx>
            <c:strRef>
              <c:f>Sheet1!$A$3</c:f>
              <c:strCache>
                <c:ptCount val="1"/>
                <c:pt idx="0">
                  <c:v>2018 год</c:v>
                </c:pt>
              </c:strCache>
            </c:strRef>
          </c:tx>
          <c:spPr>
            <a:solidFill>
              <a:sysClr val="window" lastClr="FFFFFF">
                <a:lumMod val="50000"/>
              </a:sysClr>
            </a:solidFill>
            <a:ln w="24130">
              <a:solidFill>
                <a:sysClr val="windowText" lastClr="000000"/>
              </a:solidFill>
              <a:prstDash val="solid"/>
            </a:ln>
          </c:spPr>
          <c:invertIfNegative val="0"/>
          <c:dLbls>
            <c:dLbl>
              <c:idx val="0"/>
              <c:layout>
                <c:manualLayout>
                  <c:x val="1.4470033351094258E-2"/>
                  <c:y val="9.546937473937276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867641544806917E-2"/>
                  <c:y val="1.56229303112811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766739683855562E-2"/>
                  <c:y val="5.41884367257838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4418921319045648E-3"/>
                  <c:y val="1.12784850491822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174688690229878E-3"/>
                  <c:y val="1.66119655603797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572494227695222E-2"/>
                  <c:y val="1.58110726813354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053953782093018E-2"/>
                  <c:y val="1.24115093089999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001124859392641E-2"/>
                  <c:y val="9.388721269654379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5403271959427467E-3"/>
                  <c:y val="9.58692079377928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0050125313283212E-3"/>
                  <c:y val="9.495915814261684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7713733151777079E-2"/>
                  <c:y val="3.508720288468665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5526611805103392E-3"/>
                  <c:y val="5.99749797630437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1.3848953091389903E-2"/>
                  <c:y val="5.59398533127284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1.0030588281728167E-2"/>
                  <c:y val="1.12407093973070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1.1783668676904875E-6"/>
                  <c:y val="8.358955454285672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4.668679572948118E-3"/>
                  <c:y val="9.816027669438516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3.6091804313934492E-3"/>
                  <c:y val="1.31093776829298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7.0281166751537125E-3"/>
                  <c:y val="8.3750312156056512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5.7439935392691434E-3"/>
                  <c:y val="4.8113482670014723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Sheet1!$B$3:$R$3</c:f>
              <c:numCache>
                <c:formatCode>0</c:formatCode>
                <c:ptCount val="17"/>
                <c:pt idx="0" formatCode="General">
                  <c:v>6013</c:v>
                </c:pt>
                <c:pt idx="1">
                  <c:v>3879</c:v>
                </c:pt>
                <c:pt idx="2" formatCode="General">
                  <c:v>2412</c:v>
                </c:pt>
                <c:pt idx="3" formatCode="General">
                  <c:v>4485</c:v>
                </c:pt>
                <c:pt idx="4" formatCode="General">
                  <c:v>8100</c:v>
                </c:pt>
                <c:pt idx="5" formatCode="General">
                  <c:v>4841</c:v>
                </c:pt>
                <c:pt idx="6" formatCode="General">
                  <c:v>2214</c:v>
                </c:pt>
                <c:pt idx="7">
                  <c:v>4276</c:v>
                </c:pt>
                <c:pt idx="8">
                  <c:v>4214</c:v>
                </c:pt>
                <c:pt idx="9">
                  <c:v>4203</c:v>
                </c:pt>
                <c:pt idx="10">
                  <c:v>4271</c:v>
                </c:pt>
                <c:pt idx="11">
                  <c:v>2862</c:v>
                </c:pt>
                <c:pt idx="12">
                  <c:v>2850</c:v>
                </c:pt>
                <c:pt idx="13">
                  <c:v>2557</c:v>
                </c:pt>
                <c:pt idx="14">
                  <c:v>4500</c:v>
                </c:pt>
                <c:pt idx="15">
                  <c:v>8137</c:v>
                </c:pt>
                <c:pt idx="16">
                  <c:v>8135</c:v>
                </c:pt>
              </c:numCache>
            </c:numRef>
          </c:val>
        </c:ser>
        <c:dLbls>
          <c:showLegendKey val="0"/>
          <c:showVal val="0"/>
          <c:showCatName val="0"/>
          <c:showSerName val="0"/>
          <c:showPercent val="0"/>
          <c:showBubbleSize val="0"/>
        </c:dLbls>
        <c:gapWidth val="150"/>
        <c:axId val="308529992"/>
        <c:axId val="308530384"/>
      </c:barChart>
      <c:lineChart>
        <c:grouping val="standard"/>
        <c:varyColors val="0"/>
        <c:ser>
          <c:idx val="2"/>
          <c:order val="2"/>
          <c:tx>
            <c:strRef>
              <c:f>Sheet1!$A$4</c:f>
              <c:strCache>
                <c:ptCount val="1"/>
                <c:pt idx="0">
                  <c:v>средняя заработная плата в целом по республике за 2018 год</c:v>
                </c:pt>
              </c:strCache>
            </c:strRef>
          </c:tx>
          <c:spPr>
            <a:ln w="24130">
              <a:solidFill>
                <a:sysClr val="windowText" lastClr="000000"/>
              </a:solidFill>
              <a:prstDash val="solid"/>
            </a:ln>
          </c:spPr>
          <c:marker>
            <c:symbol val="triangle"/>
            <c:size val="2"/>
            <c:spPr>
              <a:solidFill>
                <a:sysClr val="windowText" lastClr="000000"/>
              </a:solidFill>
              <a:ln>
                <a:solidFill>
                  <a:sysClr val="windowText" lastClr="000000"/>
                </a:solidFill>
                <a:prstDash val="solid"/>
              </a:ln>
            </c:spPr>
          </c:marker>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Sheet1!$B$4:$R$4</c:f>
              <c:numCache>
                <c:formatCode>General</c:formatCode>
                <c:ptCount val="17"/>
                <c:pt idx="0">
                  <c:v>4328</c:v>
                </c:pt>
                <c:pt idx="1">
                  <c:v>4328</c:v>
                </c:pt>
                <c:pt idx="2">
                  <c:v>4328</c:v>
                </c:pt>
                <c:pt idx="3">
                  <c:v>4328</c:v>
                </c:pt>
                <c:pt idx="4">
                  <c:v>4328</c:v>
                </c:pt>
                <c:pt idx="5">
                  <c:v>4328</c:v>
                </c:pt>
                <c:pt idx="6">
                  <c:v>4328</c:v>
                </c:pt>
                <c:pt idx="7">
                  <c:v>4328</c:v>
                </c:pt>
                <c:pt idx="8">
                  <c:v>4328</c:v>
                </c:pt>
                <c:pt idx="9">
                  <c:v>4328</c:v>
                </c:pt>
                <c:pt idx="10">
                  <c:v>4328</c:v>
                </c:pt>
                <c:pt idx="11">
                  <c:v>4328</c:v>
                </c:pt>
                <c:pt idx="12">
                  <c:v>4328</c:v>
                </c:pt>
                <c:pt idx="13">
                  <c:v>4328</c:v>
                </c:pt>
                <c:pt idx="14">
                  <c:v>4328</c:v>
                </c:pt>
                <c:pt idx="15">
                  <c:v>4328</c:v>
                </c:pt>
                <c:pt idx="16">
                  <c:v>4328</c:v>
                </c:pt>
              </c:numCache>
            </c:numRef>
          </c:val>
          <c:smooth val="0"/>
        </c:ser>
        <c:dLbls>
          <c:showLegendKey val="0"/>
          <c:showVal val="0"/>
          <c:showCatName val="0"/>
          <c:showSerName val="0"/>
          <c:showPercent val="0"/>
          <c:showBubbleSize val="0"/>
        </c:dLbls>
        <c:marker val="1"/>
        <c:smooth val="0"/>
        <c:axId val="308531168"/>
        <c:axId val="308530776"/>
      </c:lineChart>
      <c:catAx>
        <c:axId val="308529992"/>
        <c:scaling>
          <c:orientation val="minMax"/>
        </c:scaling>
        <c:delete val="0"/>
        <c:axPos val="b"/>
        <c:numFmt formatCode="General" sourceLinked="1"/>
        <c:majorTickMark val="out"/>
        <c:minorTickMark val="none"/>
        <c:tickLblPos val="nextTo"/>
        <c:spPr>
          <a:ln w="3016">
            <a:solidFill>
              <a:srgbClr val="000000"/>
            </a:solidFill>
            <a:prstDash val="solid"/>
          </a:ln>
        </c:spPr>
        <c:txPr>
          <a:bodyPr rot="-5400000" vert="horz"/>
          <a:lstStyle/>
          <a:p>
            <a:pPr>
              <a:defRPr/>
            </a:pPr>
            <a:endParaRPr lang="ru-RU"/>
          </a:p>
        </c:txPr>
        <c:crossAx val="308530384"/>
        <c:crosses val="autoZero"/>
        <c:auto val="1"/>
        <c:lblAlgn val="ctr"/>
        <c:lblOffset val="200"/>
        <c:tickLblSkip val="1"/>
        <c:tickMarkSkip val="1"/>
        <c:noMultiLvlLbl val="0"/>
      </c:catAx>
      <c:valAx>
        <c:axId val="308530384"/>
        <c:scaling>
          <c:orientation val="minMax"/>
          <c:max val="8500"/>
          <c:min val="1500"/>
        </c:scaling>
        <c:delete val="0"/>
        <c:axPos val="l"/>
        <c:numFmt formatCode="General" sourceLinked="0"/>
        <c:majorTickMark val="out"/>
        <c:minorTickMark val="none"/>
        <c:tickLblPos val="nextTo"/>
        <c:spPr>
          <a:ln w="3016">
            <a:solidFill>
              <a:srgbClr val="000000"/>
            </a:solidFill>
            <a:prstDash val="solid"/>
          </a:ln>
        </c:spPr>
        <c:txPr>
          <a:bodyPr rot="0" vert="horz"/>
          <a:lstStyle/>
          <a:p>
            <a:pPr>
              <a:defRPr/>
            </a:pPr>
            <a:endParaRPr lang="ru-RU"/>
          </a:p>
        </c:txPr>
        <c:crossAx val="308529992"/>
        <c:crosses val="autoZero"/>
        <c:crossBetween val="between"/>
        <c:majorUnit val="500"/>
      </c:valAx>
      <c:valAx>
        <c:axId val="308530776"/>
        <c:scaling>
          <c:orientation val="minMax"/>
          <c:max val="8000"/>
          <c:min val="1000"/>
        </c:scaling>
        <c:delete val="1"/>
        <c:axPos val="r"/>
        <c:numFmt formatCode="General" sourceLinked="1"/>
        <c:majorTickMark val="out"/>
        <c:minorTickMark val="none"/>
        <c:tickLblPos val="nextTo"/>
        <c:crossAx val="308531168"/>
        <c:crosses val="max"/>
        <c:crossBetween val="between"/>
        <c:majorUnit val="1000"/>
      </c:valAx>
      <c:catAx>
        <c:axId val="308531168"/>
        <c:scaling>
          <c:orientation val="minMax"/>
        </c:scaling>
        <c:delete val="1"/>
        <c:axPos val="b"/>
        <c:numFmt formatCode="General" sourceLinked="1"/>
        <c:majorTickMark val="out"/>
        <c:minorTickMark val="none"/>
        <c:tickLblPos val="nextTo"/>
        <c:crossAx val="308530776"/>
        <c:crosses val="autoZero"/>
        <c:auto val="1"/>
        <c:lblAlgn val="ctr"/>
        <c:lblOffset val="100"/>
        <c:noMultiLvlLbl val="0"/>
      </c:catAx>
    </c:plotArea>
    <c:legend>
      <c:legendPos val="r"/>
      <c:layout>
        <c:manualLayout>
          <c:xMode val="edge"/>
          <c:yMode val="edge"/>
          <c:x val="0"/>
          <c:y val="0.93133858267716541"/>
          <c:w val="1"/>
          <c:h val="4.9874353288987407E-2"/>
        </c:manualLayout>
      </c:layout>
      <c:overlay val="0"/>
      <c:spPr>
        <a:solidFill>
          <a:srgbClr val="FFFFFF"/>
        </a:solidFill>
        <a:ln w="3016">
          <a:noFill/>
          <a:prstDash val="solid"/>
        </a:ln>
      </c:spPr>
      <c:txPr>
        <a:bodyPr/>
        <a:lstStyle/>
        <a:p>
          <a:pPr>
            <a:defRPr sz="1050"/>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300">
                <a:solidFill>
                  <a:sysClr val="windowText" lastClr="000000"/>
                </a:solidFill>
                <a:latin typeface="Times New Roman" pitchFamily="18" charset="0"/>
                <a:cs typeface="Times New Roman" pitchFamily="18" charset="0"/>
              </a:rPr>
              <a:t>Структура ВДС  отраслей рыночных услуг, %</a:t>
            </a:r>
          </a:p>
        </c:rich>
      </c:tx>
      <c:layout>
        <c:manualLayout>
          <c:xMode val="edge"/>
          <c:yMode val="edge"/>
          <c:x val="0.28173026448616828"/>
          <c:y val="0"/>
        </c:manualLayout>
      </c:layout>
      <c:overlay val="0"/>
    </c:title>
    <c:autoTitleDeleted val="0"/>
    <c:plotArea>
      <c:layout>
        <c:manualLayout>
          <c:layoutTarget val="inner"/>
          <c:xMode val="edge"/>
          <c:yMode val="edge"/>
          <c:x val="8.0106837606837608E-2"/>
          <c:y val="0.11407494623919674"/>
          <c:w val="0.90976944058463283"/>
          <c:h val="0.34103629569668281"/>
        </c:manualLayout>
      </c:layout>
      <c:barChart>
        <c:barDir val="col"/>
        <c:grouping val="clustered"/>
        <c:varyColors val="0"/>
        <c:ser>
          <c:idx val="0"/>
          <c:order val="0"/>
          <c:tx>
            <c:strRef>
              <c:f>Лист1!$B$1</c:f>
              <c:strCache>
                <c:ptCount val="1"/>
                <c:pt idx="0">
                  <c:v>январь- декабрь 2017года</c:v>
                </c:pt>
              </c:strCache>
            </c:strRef>
          </c:tx>
          <c:spPr>
            <a:solidFill>
              <a:sysClr val="windowText" lastClr="000000">
                <a:lumMod val="75000"/>
                <a:lumOff val="25000"/>
              </a:sysClr>
            </a:solidFill>
            <a:ln>
              <a:solidFill>
                <a:sysClr val="windowText" lastClr="000000"/>
              </a:solidFill>
            </a:ln>
          </c:spPr>
          <c:invertIfNegative val="0"/>
          <c:dLbls>
            <c:dLbl>
              <c:idx val="0"/>
              <c:layout>
                <c:manualLayout>
                  <c:x val="-6.2689279224712414E-3"/>
                  <c:y val="1.103572333832103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1730015229577804E-3"/>
                  <c:y val="7.729468599034187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5145130181149613E-3"/>
                  <c:y val="1.120454129280425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893496677426279E-2"/>
                  <c:y val="1.830094234499083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9.302325581395322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4122853162862929E-3"/>
                  <c:y val="1.723719052796025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5515766969535226E-3"/>
                  <c:y val="8.618595263980120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7254232337161067E-3"/>
                  <c:y val="6.835622291399985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5515766969535226E-3"/>
                  <c:y val="1.24029729403253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3643342016774665E-3"/>
                  <c:y val="1.67475593088298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0653332817849487E-5"/>
                  <c:y val="9.302325581395350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98">
                <a:noFill/>
              </a:ln>
            </c:spPr>
            <c:txPr>
              <a:bodyPr rot="-5400000" vert="horz"/>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Лист1!$B$2:$B$12</c:f>
              <c:numCache>
                <c:formatCode>0.0</c:formatCode>
                <c:ptCount val="11"/>
                <c:pt idx="0">
                  <c:v>2.71</c:v>
                </c:pt>
                <c:pt idx="1">
                  <c:v>2.9299999999999997</c:v>
                </c:pt>
                <c:pt idx="2">
                  <c:v>13.62</c:v>
                </c:pt>
                <c:pt idx="3">
                  <c:v>1.43</c:v>
                </c:pt>
                <c:pt idx="4">
                  <c:v>0.28000000000000008</c:v>
                </c:pt>
                <c:pt idx="5">
                  <c:v>2.9299999999999997</c:v>
                </c:pt>
                <c:pt idx="6">
                  <c:v>0.42000000000000032</c:v>
                </c:pt>
                <c:pt idx="7">
                  <c:v>3.51</c:v>
                </c:pt>
                <c:pt idx="8">
                  <c:v>0.48000000000000032</c:v>
                </c:pt>
                <c:pt idx="9">
                  <c:v>0.23</c:v>
                </c:pt>
                <c:pt idx="10">
                  <c:v>2.61</c:v>
                </c:pt>
              </c:numCache>
            </c:numRef>
          </c:val>
        </c:ser>
        <c:ser>
          <c:idx val="1"/>
          <c:order val="1"/>
          <c:tx>
            <c:strRef>
              <c:f>Лист1!$C$1</c:f>
              <c:strCache>
                <c:ptCount val="1"/>
                <c:pt idx="0">
                  <c:v>январь-декабрь 2018 года</c:v>
                </c:pt>
              </c:strCache>
            </c:strRef>
          </c:tx>
          <c:spPr>
            <a:solidFill>
              <a:sysClr val="window" lastClr="FFFFFF">
                <a:lumMod val="85000"/>
              </a:sysClr>
            </a:solidFill>
            <a:ln>
              <a:solidFill>
                <a:sysClr val="windowText" lastClr="000000"/>
              </a:solidFill>
            </a:ln>
          </c:spPr>
          <c:invertIfNegative val="0"/>
          <c:dLbls>
            <c:dLbl>
              <c:idx val="0"/>
              <c:layout>
                <c:manualLayout>
                  <c:x val="-2.0985597954101889E-3"/>
                  <c:y val="9.255852364248870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853893263342425E-3"/>
                  <c:y val="3.98328713583706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616057608184104E-3"/>
                  <c:y val="7.469767213677879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241133319873868E-4"/>
                  <c:y val="6.73256964374791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135230223426775E-2"/>
                  <c:y val="1.838611035330816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5136281041792844E-4"/>
                  <c:y val="9.866804032673766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197388787939981E-3"/>
                  <c:y val="7.8851358533454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69755703614001E-4"/>
                  <c:y val="1.413561622554165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6264216972878936E-3"/>
                  <c:y val="1.211535473953606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1624268120331113E-3"/>
                  <c:y val="1.41264584917539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9.5262130695201552E-4"/>
                  <c:y val="8.568695268231670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98">
                <a:noFill/>
              </a:ln>
            </c:spPr>
            <c:txPr>
              <a:bodyPr rot="-5400000" vert="horz"/>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Лист1!$C$2:$C$12</c:f>
              <c:numCache>
                <c:formatCode>0.0</c:formatCode>
                <c:ptCount val="11"/>
                <c:pt idx="0">
                  <c:v>2.54</c:v>
                </c:pt>
                <c:pt idx="1">
                  <c:v>2.52</c:v>
                </c:pt>
                <c:pt idx="2">
                  <c:v>14.47</c:v>
                </c:pt>
                <c:pt idx="3">
                  <c:v>1.42</c:v>
                </c:pt>
                <c:pt idx="4">
                  <c:v>0.30000000000000032</c:v>
                </c:pt>
                <c:pt idx="5">
                  <c:v>2.8699999999999997</c:v>
                </c:pt>
                <c:pt idx="6">
                  <c:v>0.3900000000000024</c:v>
                </c:pt>
                <c:pt idx="7">
                  <c:v>2.9299999999999997</c:v>
                </c:pt>
                <c:pt idx="8">
                  <c:v>0.56999999999999995</c:v>
                </c:pt>
                <c:pt idx="9">
                  <c:v>0.18000000000000024</c:v>
                </c:pt>
                <c:pt idx="10">
                  <c:v>3.23</c:v>
                </c:pt>
              </c:numCache>
            </c:numRef>
          </c:val>
        </c:ser>
        <c:dLbls>
          <c:showLegendKey val="0"/>
          <c:showVal val="1"/>
          <c:showCatName val="0"/>
          <c:showSerName val="0"/>
          <c:showPercent val="0"/>
          <c:showBubbleSize val="0"/>
        </c:dLbls>
        <c:gapWidth val="150"/>
        <c:axId val="208981112"/>
        <c:axId val="208980720"/>
      </c:barChart>
      <c:catAx>
        <c:axId val="208981112"/>
        <c:scaling>
          <c:orientation val="minMax"/>
        </c:scaling>
        <c:delete val="0"/>
        <c:axPos val="b"/>
        <c:numFmt formatCode="General" sourceLinked="0"/>
        <c:majorTickMark val="out"/>
        <c:minorTickMark val="none"/>
        <c:tickLblPos val="nextTo"/>
        <c:txPr>
          <a:bodyPr rot="5400000" vert="horz"/>
          <a:lstStyle/>
          <a:p>
            <a:pPr>
              <a:defRPr b="1">
                <a:latin typeface="Times New Roman" pitchFamily="18" charset="0"/>
                <a:cs typeface="Times New Roman" pitchFamily="18" charset="0"/>
              </a:defRPr>
            </a:pPr>
            <a:endParaRPr lang="ru-RU"/>
          </a:p>
        </c:txPr>
        <c:crossAx val="208980720"/>
        <c:crosses val="autoZero"/>
        <c:auto val="1"/>
        <c:lblAlgn val="ctr"/>
        <c:lblOffset val="100"/>
        <c:noMultiLvlLbl val="0"/>
      </c:catAx>
      <c:valAx>
        <c:axId val="208980720"/>
        <c:scaling>
          <c:orientation val="minMax"/>
        </c:scaling>
        <c:delete val="0"/>
        <c:axPos val="l"/>
        <c:numFmt formatCode="0.0"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08981112"/>
        <c:crosses val="autoZero"/>
        <c:crossBetween val="between"/>
      </c:valAx>
    </c:plotArea>
    <c:legend>
      <c:legendPos val="b"/>
      <c:layout>
        <c:manualLayout>
          <c:xMode val="edge"/>
          <c:yMode val="edge"/>
          <c:x val="0.19781972693152769"/>
          <c:y val="0.9445011373578307"/>
          <c:w val="0.5885511298058359"/>
          <c:h val="5.54988626421693E-2"/>
        </c:manualLayout>
      </c:layout>
      <c:overlay val="0"/>
      <c:txPr>
        <a:bodyPr/>
        <a:lstStyle/>
        <a:p>
          <a:pPr>
            <a:defRPr sz="105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0" b="1" i="0" u="none" strike="noStrike" baseline="0">
                <a:solidFill>
                  <a:srgbClr val="000000"/>
                </a:solidFill>
                <a:latin typeface="Times New Roman"/>
                <a:ea typeface="Times New Roman"/>
                <a:cs typeface="Times New Roman"/>
              </a:defRPr>
            </a:pPr>
            <a:r>
              <a:rPr lang="ru-RU" sz="1070"/>
              <a:t>Динамика оплаты труда в организациях внебюджетного сектора, руб. ПМР</a:t>
            </a:r>
          </a:p>
          <a:p>
            <a:pPr>
              <a:defRPr sz="1070" b="1" i="0" u="none" strike="noStrike" baseline="0">
                <a:solidFill>
                  <a:srgbClr val="000000"/>
                </a:solidFill>
                <a:latin typeface="Times New Roman"/>
                <a:ea typeface="Times New Roman"/>
                <a:cs typeface="Times New Roman"/>
              </a:defRPr>
            </a:pPr>
            <a:r>
              <a:rPr lang="ru-RU" sz="1070" b="0" i="1">
                <a:solidFill>
                  <a:sysClr val="windowText" lastClr="000000"/>
                </a:solidFill>
              </a:rPr>
              <a:t>(</a:t>
            </a:r>
            <a:r>
              <a:rPr lang="ru-RU" sz="1070" b="0" i="1" baseline="0">
                <a:solidFill>
                  <a:sysClr val="windowText" lastClr="000000"/>
                </a:solidFill>
              </a:rPr>
              <a:t> без субъектов малого предпринимательства и силовых структур)</a:t>
            </a:r>
            <a:endParaRPr lang="ru-RU" sz="1070" b="0" i="1">
              <a:solidFill>
                <a:sysClr val="windowText" lastClr="000000"/>
              </a:solidFill>
            </a:endParaRPr>
          </a:p>
        </c:rich>
      </c:tx>
      <c:layout>
        <c:manualLayout>
          <c:xMode val="edge"/>
          <c:yMode val="edge"/>
          <c:x val="0.12336664647688507"/>
          <c:y val="5.695178513644702E-4"/>
        </c:manualLayout>
      </c:layout>
      <c:overlay val="0"/>
      <c:spPr>
        <a:noFill/>
        <a:ln w="23940">
          <a:noFill/>
        </a:ln>
      </c:spPr>
    </c:title>
    <c:autoTitleDeleted val="0"/>
    <c:plotArea>
      <c:layout>
        <c:manualLayout>
          <c:layoutTarget val="inner"/>
          <c:xMode val="edge"/>
          <c:yMode val="edge"/>
          <c:x val="8.4905612759943544E-2"/>
          <c:y val="0.11535492994882489"/>
          <c:w val="0.88247863247865665"/>
          <c:h val="0.31059816153117847"/>
        </c:manualLayout>
      </c:layout>
      <c:barChart>
        <c:barDir val="col"/>
        <c:grouping val="clustered"/>
        <c:varyColors val="0"/>
        <c:ser>
          <c:idx val="0"/>
          <c:order val="0"/>
          <c:tx>
            <c:strRef>
              <c:f>Sheet1!$A$2</c:f>
              <c:strCache>
                <c:ptCount val="1"/>
                <c:pt idx="0">
                  <c:v>2017 год</c:v>
                </c:pt>
              </c:strCache>
            </c:strRef>
          </c:tx>
          <c:spPr>
            <a:solidFill>
              <a:srgbClr val="EEECE1">
                <a:lumMod val="90000"/>
              </a:srgbClr>
            </a:solidFill>
            <a:ln w="22946">
              <a:solidFill>
                <a:sysClr val="windowText" lastClr="000000"/>
              </a:solidFill>
              <a:prstDash val="solid"/>
            </a:ln>
          </c:spPr>
          <c:invertIfNegative val="0"/>
          <c:dLbls>
            <c:dLbl>
              <c:idx val="0"/>
              <c:layout>
                <c:manualLayout>
                  <c:x val="-1.8904367723265559E-3"/>
                  <c:y val="-1.05504620141660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820681068712919E-2"/>
                  <c:y val="1.35181389997483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4102564102564534E-3"/>
                  <c:y val="7.868023346396768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91426071741028E-2"/>
                  <c:y val="1.15233883435805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940305538730741E-2"/>
                  <c:y val="8.71606802574335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5470085470085496E-3"/>
                  <c:y val="1.61233955344625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683760683760877E-2"/>
                  <c:y val="1.50579465238076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4102564102564534E-3"/>
                  <c:y val="1.32726902287898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7.529611683155058E-3"/>
                  <c:y val="1.31123335610445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8106534760077748E-3"/>
                  <c:y val="1.53769819868406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0684097180160173E-2"/>
                  <c:y val="1.35181389997483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8.474694087896550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8.5471767952083003E-3"/>
                  <c:y val="1.28601733002555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1.1935190793458724E-2"/>
                  <c:y val="8.046596915111756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1.1259842519685041E-2"/>
                  <c:y val="8.636249235968876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8.5470085470085496E-3"/>
                  <c:y val="1.41499778281139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3.2731004778248876E-2"/>
                  <c:y val="1.4115221898632541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5.4680833165085117E-2"/>
                  <c:y val="-9.0422171804795479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5.5555555555555455E-2"/>
                  <c:y val="-7.768361581921300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0">
                    <a:solidFill>
                      <a:schemeClr val="accent1">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Sheet1!$B$2:$Q$2</c:f>
              <c:numCache>
                <c:formatCode>0</c:formatCode>
                <c:ptCount val="16"/>
                <c:pt idx="0" formatCode="General">
                  <c:v>5327</c:v>
                </c:pt>
                <c:pt idx="1">
                  <c:v>3654</c:v>
                </c:pt>
                <c:pt idx="2" formatCode="General">
                  <c:v>2223</c:v>
                </c:pt>
                <c:pt idx="3" formatCode="General">
                  <c:v>4128</c:v>
                </c:pt>
                <c:pt idx="4" formatCode="General">
                  <c:v>7498</c:v>
                </c:pt>
                <c:pt idx="5" formatCode="General">
                  <c:v>4671</c:v>
                </c:pt>
                <c:pt idx="6">
                  <c:v>4064</c:v>
                </c:pt>
                <c:pt idx="7">
                  <c:v>3886</c:v>
                </c:pt>
                <c:pt idx="8">
                  <c:v>4206</c:v>
                </c:pt>
                <c:pt idx="9">
                  <c:v>2852</c:v>
                </c:pt>
                <c:pt idx="10">
                  <c:v>4774</c:v>
                </c:pt>
                <c:pt idx="11">
                  <c:v>5431</c:v>
                </c:pt>
                <c:pt idx="12">
                  <c:v>2789</c:v>
                </c:pt>
                <c:pt idx="13">
                  <c:v>8093</c:v>
                </c:pt>
                <c:pt idx="14">
                  <c:v>7307</c:v>
                </c:pt>
                <c:pt idx="15">
                  <c:v>7136</c:v>
                </c:pt>
              </c:numCache>
            </c:numRef>
          </c:val>
        </c:ser>
        <c:ser>
          <c:idx val="1"/>
          <c:order val="1"/>
          <c:tx>
            <c:strRef>
              <c:f>Sheet1!$A$3</c:f>
              <c:strCache>
                <c:ptCount val="1"/>
                <c:pt idx="0">
                  <c:v>2018 год</c:v>
                </c:pt>
              </c:strCache>
            </c:strRef>
          </c:tx>
          <c:spPr>
            <a:solidFill>
              <a:srgbClr val="EEECE1">
                <a:lumMod val="50000"/>
              </a:srgbClr>
            </a:solidFill>
            <a:ln w="22946">
              <a:solidFill>
                <a:sysClr val="windowText" lastClr="000000"/>
              </a:solidFill>
              <a:prstDash val="solid"/>
            </a:ln>
          </c:spPr>
          <c:invertIfNegative val="0"/>
          <c:dLbls>
            <c:dLbl>
              <c:idx val="0"/>
              <c:layout>
                <c:manualLayout>
                  <c:x val="1.7246618211185161E-2"/>
                  <c:y val="8.783182924052302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9656773672523267E-3"/>
                  <c:y val="1.04464339217871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82051282051282E-2"/>
                  <c:y val="5.40442718632775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79480449559203E-2"/>
                  <c:y val="1.23858147868502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7259236826165909E-3"/>
                  <c:y val="1.12597226716523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048085335486921E-2"/>
                  <c:y val="1.17570920073346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8331987347735392E-3"/>
                  <c:y val="1.42005536979113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683760683760877E-2"/>
                  <c:y val="1.15188341183381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5641025641026098E-2"/>
                  <c:y val="1.105430314361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1322767346390205E-3"/>
                  <c:y val="1.12963961696568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4100881620567504E-3"/>
                  <c:y val="2.388810987667641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7094017094017103E-2"/>
                  <c:y val="1.72844832752072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1.0698061780738947E-2"/>
                  <c:y val="6.32941430266423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1.39076451060055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8.5470085470085496E-3"/>
                  <c:y val="6.913793310082984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1.2869473046638715E-2"/>
                  <c:y val="8.898237035439076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0"/>
                  <c:y val="5.4305540574551472E-3"/>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5.0789925297799313E-2"/>
                  <c:y val="3.1765203078430292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3.4188034188034191E-2"/>
                  <c:y val="-3.41936918902085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solidFill>
                      <a:schemeClr val="tx1">
                        <a:lumMod val="95000"/>
                        <a:lumOff val="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Sheet1!$B$3:$Q$3</c:f>
              <c:numCache>
                <c:formatCode>0</c:formatCode>
                <c:ptCount val="16"/>
                <c:pt idx="0" formatCode="General">
                  <c:v>6013</c:v>
                </c:pt>
                <c:pt idx="1">
                  <c:v>4092</c:v>
                </c:pt>
                <c:pt idx="2" formatCode="General">
                  <c:v>2412</c:v>
                </c:pt>
                <c:pt idx="3" formatCode="General">
                  <c:v>4485</c:v>
                </c:pt>
                <c:pt idx="4" formatCode="General">
                  <c:v>8100</c:v>
                </c:pt>
                <c:pt idx="5" formatCode="General">
                  <c:v>4841</c:v>
                </c:pt>
                <c:pt idx="6">
                  <c:v>4369</c:v>
                </c:pt>
                <c:pt idx="7">
                  <c:v>4203</c:v>
                </c:pt>
                <c:pt idx="8">
                  <c:v>4313</c:v>
                </c:pt>
                <c:pt idx="9">
                  <c:v>2996</c:v>
                </c:pt>
                <c:pt idx="10">
                  <c:v>5304</c:v>
                </c:pt>
                <c:pt idx="11">
                  <c:v>5277</c:v>
                </c:pt>
                <c:pt idx="12">
                  <c:v>2909</c:v>
                </c:pt>
                <c:pt idx="13">
                  <c:v>9941</c:v>
                </c:pt>
                <c:pt idx="14">
                  <c:v>8137</c:v>
                </c:pt>
                <c:pt idx="15">
                  <c:v>8135</c:v>
                </c:pt>
              </c:numCache>
            </c:numRef>
          </c:val>
        </c:ser>
        <c:dLbls>
          <c:showLegendKey val="0"/>
          <c:showVal val="0"/>
          <c:showCatName val="0"/>
          <c:showSerName val="0"/>
          <c:showPercent val="0"/>
          <c:showBubbleSize val="0"/>
        </c:dLbls>
        <c:gapWidth val="150"/>
        <c:axId val="308531952"/>
        <c:axId val="308532344"/>
      </c:barChart>
      <c:lineChart>
        <c:grouping val="standard"/>
        <c:varyColors val="0"/>
        <c:ser>
          <c:idx val="2"/>
          <c:order val="2"/>
          <c:tx>
            <c:strRef>
              <c:f>Sheet1!$A$4</c:f>
              <c:strCache>
                <c:ptCount val="1"/>
                <c:pt idx="0">
                  <c:v>средняя зарплата во внебюджетном секторе республики  республике за 2018 год</c:v>
                </c:pt>
              </c:strCache>
            </c:strRef>
          </c:tx>
          <c:spPr>
            <a:ln w="22946">
              <a:solidFill>
                <a:sysClr val="windowText" lastClr="000000"/>
              </a:solidFill>
              <a:prstDash val="solid"/>
            </a:ln>
          </c:spPr>
          <c:marker>
            <c:symbol val="triangle"/>
            <c:size val="3"/>
            <c:spPr>
              <a:solidFill>
                <a:sysClr val="windowText" lastClr="000000"/>
              </a:solidFill>
              <a:ln>
                <a:solidFill>
                  <a:sysClr val="windowText" lastClr="000000"/>
                </a:solidFill>
                <a:prstDash val="solid"/>
              </a:ln>
            </c:spPr>
          </c:marker>
          <c:dLbls>
            <c:delete val="1"/>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Sheet1!$B$4:$Q$4</c:f>
              <c:numCache>
                <c:formatCode>General</c:formatCode>
                <c:ptCount val="16"/>
                <c:pt idx="0">
                  <c:v>5587</c:v>
                </c:pt>
                <c:pt idx="1">
                  <c:v>5587</c:v>
                </c:pt>
                <c:pt idx="2">
                  <c:v>5587</c:v>
                </c:pt>
                <c:pt idx="3">
                  <c:v>5587</c:v>
                </c:pt>
                <c:pt idx="4">
                  <c:v>5587</c:v>
                </c:pt>
                <c:pt idx="5">
                  <c:v>5587</c:v>
                </c:pt>
                <c:pt idx="6">
                  <c:v>5587</c:v>
                </c:pt>
                <c:pt idx="7">
                  <c:v>5587</c:v>
                </c:pt>
                <c:pt idx="8">
                  <c:v>5587</c:v>
                </c:pt>
                <c:pt idx="9">
                  <c:v>5587</c:v>
                </c:pt>
                <c:pt idx="10">
                  <c:v>5587</c:v>
                </c:pt>
                <c:pt idx="11">
                  <c:v>5587</c:v>
                </c:pt>
                <c:pt idx="12">
                  <c:v>5587</c:v>
                </c:pt>
                <c:pt idx="13">
                  <c:v>5587</c:v>
                </c:pt>
                <c:pt idx="14">
                  <c:v>5587</c:v>
                </c:pt>
                <c:pt idx="15">
                  <c:v>5587</c:v>
                </c:pt>
              </c:numCache>
            </c:numRef>
          </c:val>
          <c:smooth val="0"/>
        </c:ser>
        <c:dLbls>
          <c:showLegendKey val="0"/>
          <c:showVal val="1"/>
          <c:showCatName val="0"/>
          <c:showSerName val="0"/>
          <c:showPercent val="0"/>
          <c:showBubbleSize val="0"/>
        </c:dLbls>
        <c:marker val="1"/>
        <c:smooth val="0"/>
        <c:axId val="308531952"/>
        <c:axId val="308532344"/>
      </c:lineChart>
      <c:catAx>
        <c:axId val="308531952"/>
        <c:scaling>
          <c:orientation val="minMax"/>
        </c:scaling>
        <c:delete val="0"/>
        <c:axPos val="b"/>
        <c:numFmt formatCode="General" sourceLinked="1"/>
        <c:majorTickMark val="out"/>
        <c:minorTickMark val="none"/>
        <c:tickLblPos val="nextTo"/>
        <c:spPr>
          <a:ln w="2868">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308532344"/>
        <c:crosses val="autoZero"/>
        <c:auto val="1"/>
        <c:lblAlgn val="ctr"/>
        <c:lblOffset val="200"/>
        <c:tickLblSkip val="1"/>
        <c:tickMarkSkip val="1"/>
        <c:noMultiLvlLbl val="0"/>
      </c:catAx>
      <c:valAx>
        <c:axId val="308532344"/>
        <c:scaling>
          <c:orientation val="minMax"/>
          <c:max val="11000"/>
          <c:min val="1500"/>
        </c:scaling>
        <c:delete val="0"/>
        <c:axPos val="l"/>
        <c:numFmt formatCode="General" sourceLinked="0"/>
        <c:majorTickMark val="out"/>
        <c:minorTickMark val="none"/>
        <c:tickLblPos val="nextTo"/>
        <c:spPr>
          <a:ln w="286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08531952"/>
        <c:crosses val="autoZero"/>
        <c:crossBetween val="between"/>
        <c:majorUnit val="1000"/>
        <c:minorUnit val="500"/>
      </c:valAx>
      <c:spPr>
        <a:solidFill>
          <a:srgbClr val="FFFFFF"/>
        </a:solidFill>
        <a:ln w="2868">
          <a:noFill/>
          <a:prstDash val="solid"/>
        </a:ln>
      </c:spPr>
    </c:plotArea>
    <c:legend>
      <c:legendPos val="r"/>
      <c:layout>
        <c:manualLayout>
          <c:xMode val="edge"/>
          <c:yMode val="edge"/>
          <c:x val="1.4099703883168448E-2"/>
          <c:y val="0.89859849710566997"/>
          <c:w val="0.95616090653342611"/>
          <c:h val="0.10140150289432998"/>
        </c:manualLayout>
      </c:layout>
      <c:overlay val="0"/>
      <c:spPr>
        <a:solidFill>
          <a:srgbClr val="FFFFFF"/>
        </a:solidFill>
        <a:ln w="2868">
          <a:noFill/>
          <a:prstDash val="solid"/>
        </a:ln>
      </c:spPr>
      <c:txPr>
        <a:bodyPr/>
        <a:lstStyle/>
        <a:p>
          <a:pPr>
            <a:defRPr sz="105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9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0"/>
      <c:rotY val="0"/>
      <c:rAngAx val="0"/>
    </c:view3D>
    <c:floor>
      <c:thickness val="0"/>
    </c:floor>
    <c:sideWall>
      <c:thickness val="0"/>
      <c:spPr>
        <a:noFill/>
      </c:spPr>
    </c:sideWall>
    <c:backWall>
      <c:thickness val="0"/>
      <c:spPr>
        <a:noFill/>
      </c:spPr>
    </c:backWall>
    <c:plotArea>
      <c:layout>
        <c:manualLayout>
          <c:layoutTarget val="inner"/>
          <c:xMode val="edge"/>
          <c:yMode val="edge"/>
          <c:x val="7.7457364341085411E-2"/>
          <c:y val="6.0327074500302884E-2"/>
          <c:w val="0.91619996337667164"/>
          <c:h val="0.3991697545159798"/>
        </c:manualLayout>
      </c:layout>
      <c:bar3DChart>
        <c:barDir val="col"/>
        <c:grouping val="clustered"/>
        <c:varyColors val="0"/>
        <c:ser>
          <c:idx val="0"/>
          <c:order val="0"/>
          <c:tx>
            <c:strRef>
              <c:f>Лист1!$B$1</c:f>
              <c:strCache>
                <c:ptCount val="1"/>
                <c:pt idx="0">
                  <c:v>2017 год</c:v>
                </c:pt>
              </c:strCache>
            </c:strRef>
          </c:tx>
          <c:spPr>
            <a:solidFill>
              <a:sysClr val="window" lastClr="FFFFFF">
                <a:lumMod val="85000"/>
              </a:sysClr>
            </a:solidFill>
            <a:ln>
              <a:solidFill>
                <a:sysClr val="windowText" lastClr="000000"/>
              </a:solidFill>
            </a:ln>
          </c:spPr>
          <c:invertIfNegative val="0"/>
          <c:dLbls>
            <c:delete val="1"/>
          </c:dLbls>
          <c:cat>
            <c:strRef>
              <c:f>Лист1!$A$2:$A$11</c:f>
              <c:strCache>
                <c:ptCount val="10"/>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Промышленность строительных материалов</c:v>
                </c:pt>
                <c:pt idx="6">
                  <c:v>Легкая промышленность</c:v>
                </c:pt>
                <c:pt idx="7">
                  <c:v>Пищевая промышленность</c:v>
                </c:pt>
                <c:pt idx="8">
                  <c:v>Мукомольно-крупянная</c:v>
                </c:pt>
                <c:pt idx="9">
                  <c:v>Полиграфическая промышленность</c:v>
                </c:pt>
              </c:strCache>
            </c:strRef>
          </c:cat>
          <c:val>
            <c:numRef>
              <c:f>Лист1!$B$2:$B$11</c:f>
              <c:numCache>
                <c:formatCode>#,##0</c:formatCode>
                <c:ptCount val="10"/>
                <c:pt idx="0">
                  <c:v>6227</c:v>
                </c:pt>
                <c:pt idx="1">
                  <c:v>6505</c:v>
                </c:pt>
                <c:pt idx="2">
                  <c:v>4293</c:v>
                </c:pt>
                <c:pt idx="3">
                  <c:v>5779</c:v>
                </c:pt>
                <c:pt idx="4">
                  <c:v>4407</c:v>
                </c:pt>
                <c:pt idx="5">
                  <c:v>4480</c:v>
                </c:pt>
                <c:pt idx="6">
                  <c:v>4442</c:v>
                </c:pt>
                <c:pt idx="7">
                  <c:v>4849</c:v>
                </c:pt>
                <c:pt idx="8">
                  <c:v>4430</c:v>
                </c:pt>
                <c:pt idx="9">
                  <c:v>3828</c:v>
                </c:pt>
              </c:numCache>
            </c:numRef>
          </c:val>
        </c:ser>
        <c:ser>
          <c:idx val="1"/>
          <c:order val="1"/>
          <c:tx>
            <c:strRef>
              <c:f>Лист1!$C$1</c:f>
              <c:strCache>
                <c:ptCount val="1"/>
                <c:pt idx="0">
                  <c:v>2018 год</c:v>
                </c:pt>
              </c:strCache>
            </c:strRef>
          </c:tx>
          <c:spPr>
            <a:solidFill>
              <a:sysClr val="window" lastClr="FFFFFF">
                <a:lumMod val="65000"/>
              </a:sysClr>
            </a:solidFill>
            <a:ln>
              <a:solidFill>
                <a:sysClr val="windowText" lastClr="000000"/>
              </a:solidFill>
            </a:ln>
          </c:spPr>
          <c:invertIfNegative val="0"/>
          <c:dLbls>
            <c:dLbl>
              <c:idx val="0"/>
              <c:layout>
                <c:manualLayout>
                  <c:x val="-3.0005086573480651E-3"/>
                  <c:y val="2.1718774123822771E-2"/>
                </c:manualLayout>
              </c:layout>
              <c:tx>
                <c:rich>
                  <a:bodyPr/>
                  <a:lstStyle/>
                  <a:p>
                    <a:r>
                      <a:rPr lang="en-US" sz="800" b="1"/>
                      <a:t>105,0*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504995015157994E-3"/>
                  <c:y val="1.9008028408213962E-2"/>
                </c:manualLayout>
              </c:layout>
              <c:tx>
                <c:rich>
                  <a:bodyPr/>
                  <a:lstStyle/>
                  <a:p>
                    <a:r>
                      <a:rPr lang="en-US" sz="800" b="1"/>
                      <a:t>124,2*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065657490488891E-3"/>
                  <c:y val="1.6244403273120281E-2"/>
                </c:manualLayout>
              </c:layout>
              <c:tx>
                <c:rich>
                  <a:bodyPr/>
                  <a:lstStyle/>
                  <a:p>
                    <a:r>
                      <a:rPr lang="en-US" sz="800" b="1"/>
                      <a:t>116,6*</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9894606197482356E-3"/>
                  <c:y val="1.3452215531882021E-2"/>
                </c:manualLayout>
              </c:layout>
              <c:tx>
                <c:rich>
                  <a:bodyPr/>
                  <a:lstStyle/>
                  <a:p>
                    <a:r>
                      <a:rPr lang="en-US" sz="800" b="1"/>
                      <a:t>116,8*</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3503224887587759E-3"/>
                  <c:y val="5.8151922186197311E-3"/>
                </c:manualLayout>
              </c:layout>
              <c:tx>
                <c:rich>
                  <a:bodyPr/>
                  <a:lstStyle/>
                  <a:p>
                    <a:r>
                      <a:rPr lang="en-US" sz="800" b="1"/>
                      <a:t>109,8*</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9603247268510094E-3"/>
                  <c:y val="4.9409448818897904E-3"/>
                </c:manualLayout>
              </c:layout>
              <c:tx>
                <c:rich>
                  <a:bodyPr/>
                  <a:lstStyle/>
                  <a:p>
                    <a:r>
                      <a:rPr lang="en-US" sz="800" b="1"/>
                      <a:t>122,4*</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7739119819326147E-3"/>
                  <c:y val="1.2548633626679019E-2"/>
                </c:manualLayout>
              </c:layout>
              <c:tx>
                <c:rich>
                  <a:bodyPr/>
                  <a:lstStyle/>
                  <a:p>
                    <a:r>
                      <a:rPr lang="en-US" sz="800" b="1"/>
                      <a:t>115,8*</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170624020834598E-2"/>
                  <c:y val="6.1178014512891813E-3"/>
                </c:manualLayout>
              </c:layout>
              <c:tx>
                <c:rich>
                  <a:bodyPr/>
                  <a:lstStyle/>
                  <a:p>
                    <a:r>
                      <a:rPr lang="en-US" sz="800" b="1"/>
                      <a:t>109,8*</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0248184093267694E-2"/>
                  <c:y val="9.1025937934230347E-3"/>
                </c:manualLayout>
              </c:layout>
              <c:tx>
                <c:rich>
                  <a:bodyPr/>
                  <a:lstStyle/>
                  <a:p>
                    <a:r>
                      <a:rPr lang="en-US" sz="800" b="1"/>
                      <a:t>112,3*</a:t>
                    </a:r>
                  </a:p>
                </c:rich>
              </c:tx>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2581171539604256E-2"/>
                  <c:y val="1.5142041068395861E-3"/>
                </c:manualLayout>
              </c:layout>
              <c:tx>
                <c:rich>
                  <a:bodyPr/>
                  <a:lstStyle/>
                  <a:p>
                    <a:r>
                      <a:rPr lang="en-US" sz="800" b="1"/>
                      <a:t>112,1*</a:t>
                    </a:r>
                  </a:p>
                </c:rich>
              </c:tx>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1978758469144845E-2"/>
                  <c:y val="-2.5806451612903236E-2"/>
                </c:manualLayout>
              </c:layout>
              <c:tx>
                <c:rich>
                  <a:bodyPr/>
                  <a:lstStyle/>
                  <a:p>
                    <a:r>
                      <a:rPr lang="ru-RU" sz="800" b="1"/>
                      <a:t>90,4*</a:t>
                    </a:r>
                    <a:endParaRPr lang="en-US" sz="800" b="1"/>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Промышленность строительных материалов</c:v>
                </c:pt>
                <c:pt idx="6">
                  <c:v>Легкая промышленность</c:v>
                </c:pt>
                <c:pt idx="7">
                  <c:v>Пищевая промышленность</c:v>
                </c:pt>
                <c:pt idx="8">
                  <c:v>Мукомольно-крупянная</c:v>
                </c:pt>
                <c:pt idx="9">
                  <c:v>Полиграфическая промышленность</c:v>
                </c:pt>
              </c:strCache>
            </c:strRef>
          </c:cat>
          <c:val>
            <c:numRef>
              <c:f>Лист1!$C$2:$C$11</c:f>
              <c:numCache>
                <c:formatCode>#,##0</c:formatCode>
                <c:ptCount val="10"/>
                <c:pt idx="0">
                  <c:v>6540</c:v>
                </c:pt>
                <c:pt idx="1">
                  <c:v>8081</c:v>
                </c:pt>
                <c:pt idx="2">
                  <c:v>5005</c:v>
                </c:pt>
                <c:pt idx="3">
                  <c:v>6748</c:v>
                </c:pt>
                <c:pt idx="4">
                  <c:v>4840</c:v>
                </c:pt>
                <c:pt idx="5">
                  <c:v>5482</c:v>
                </c:pt>
                <c:pt idx="6">
                  <c:v>5145</c:v>
                </c:pt>
                <c:pt idx="7">
                  <c:v>5324</c:v>
                </c:pt>
                <c:pt idx="8">
                  <c:v>4975</c:v>
                </c:pt>
                <c:pt idx="9">
                  <c:v>4292</c:v>
                </c:pt>
              </c:numCache>
            </c:numRef>
          </c:val>
        </c:ser>
        <c:dLbls>
          <c:showLegendKey val="0"/>
          <c:showVal val="1"/>
          <c:showCatName val="0"/>
          <c:showSerName val="0"/>
          <c:showPercent val="0"/>
          <c:showBubbleSize val="0"/>
        </c:dLbls>
        <c:gapWidth val="150"/>
        <c:shape val="cylinder"/>
        <c:axId val="308533128"/>
        <c:axId val="321285200"/>
        <c:axId val="0"/>
      </c:bar3DChart>
      <c:catAx>
        <c:axId val="308533128"/>
        <c:scaling>
          <c:orientation val="minMax"/>
        </c:scaling>
        <c:delete val="0"/>
        <c:axPos val="b"/>
        <c:numFmt formatCode="General" sourceLinked="0"/>
        <c:majorTickMark val="out"/>
        <c:minorTickMark val="none"/>
        <c:tickLblPos val="nextTo"/>
        <c:txPr>
          <a:bodyPr rot="-5400000" vert="horz"/>
          <a:lstStyle/>
          <a:p>
            <a:pPr>
              <a:defRPr sz="850" b="0"/>
            </a:pPr>
            <a:endParaRPr lang="ru-RU"/>
          </a:p>
        </c:txPr>
        <c:crossAx val="321285200"/>
        <c:crosses val="autoZero"/>
        <c:auto val="1"/>
        <c:lblAlgn val="ctr"/>
        <c:lblOffset val="100"/>
        <c:noMultiLvlLbl val="0"/>
      </c:catAx>
      <c:valAx>
        <c:axId val="321285200"/>
        <c:scaling>
          <c:orientation val="minMax"/>
          <c:max val="8000"/>
          <c:min val="2000"/>
        </c:scaling>
        <c:delete val="0"/>
        <c:axPos val="l"/>
        <c:title>
          <c:tx>
            <c:rich>
              <a:bodyPr rot="0" vert="horz"/>
              <a:lstStyle/>
              <a:p>
                <a:pPr algn="just">
                  <a:defRPr sz="900" b="0" i="1"/>
                </a:pPr>
                <a:r>
                  <a:rPr lang="ru-RU" sz="850" b="0" i="1"/>
                  <a:t>* - темп роста</a:t>
                </a:r>
              </a:p>
              <a:p>
                <a:pPr algn="just">
                  <a:defRPr sz="900" b="0" i="1"/>
                </a:pPr>
                <a:r>
                  <a:rPr lang="ru-RU" sz="850" b="0" i="1"/>
                  <a:t>2018 г. к</a:t>
                </a:r>
                <a:r>
                  <a:rPr lang="ru-RU" sz="850" b="0" i="1" baseline="0"/>
                  <a:t> </a:t>
                </a:r>
                <a:r>
                  <a:rPr lang="ru-RU" sz="850" b="0" i="1"/>
                  <a:t>2017 г., %</a:t>
                </a:r>
              </a:p>
            </c:rich>
          </c:tx>
          <c:layout>
            <c:manualLayout>
              <c:xMode val="edge"/>
              <c:yMode val="edge"/>
              <c:x val="2.48062015503876E-2"/>
              <c:y val="0.87827260458839573"/>
            </c:manualLayout>
          </c:layout>
          <c:overlay val="0"/>
        </c:title>
        <c:numFmt formatCode="#,##0" sourceLinked="1"/>
        <c:majorTickMark val="out"/>
        <c:minorTickMark val="none"/>
        <c:tickLblPos val="nextTo"/>
        <c:crossAx val="308533128"/>
        <c:crosses val="autoZero"/>
        <c:crossBetween val="between"/>
        <c:majorUnit val="2000"/>
      </c:valAx>
      <c:spPr>
        <a:noFill/>
        <a:ln>
          <a:noFill/>
        </a:ln>
      </c:spPr>
    </c:plotArea>
    <c:legend>
      <c:legendPos val="b"/>
      <c:layout>
        <c:manualLayout>
          <c:xMode val="edge"/>
          <c:yMode val="edge"/>
          <c:x val="0.31526647541150382"/>
          <c:y val="0.92949004856174355"/>
          <c:w val="0.5767316527294668"/>
          <c:h val="6.8687770304015683E-2"/>
        </c:manualLayout>
      </c:layout>
      <c:overlay val="0"/>
      <c:spPr>
        <a:ln>
          <a:noFill/>
        </a:ln>
      </c:spPr>
      <c:txPr>
        <a:bodyPr/>
        <a:lstStyle/>
        <a:p>
          <a:pPr>
            <a:defRPr sz="105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оплаты труда в организациях бюджетного сектора,</a:t>
            </a:r>
          </a:p>
          <a:p>
            <a:pPr>
              <a:defRPr sz="1200"/>
            </a:pPr>
            <a:r>
              <a:rPr lang="ru-RU" sz="1200"/>
              <a:t> руб. ПМР</a:t>
            </a:r>
            <a:endParaRPr lang="ru-RU" sz="1200">
              <a:solidFill>
                <a:srgbClr val="FF0000"/>
              </a:solidFill>
            </a:endParaRPr>
          </a:p>
        </c:rich>
      </c:tx>
      <c:layout>
        <c:manualLayout>
          <c:xMode val="edge"/>
          <c:yMode val="edge"/>
          <c:x val="0.17442713861394291"/>
          <c:y val="1.4262930737476431E-2"/>
        </c:manualLayout>
      </c:layout>
      <c:overlay val="0"/>
      <c:spPr>
        <a:noFill/>
      </c:spPr>
    </c:title>
    <c:autoTitleDeleted val="0"/>
    <c:plotArea>
      <c:layout>
        <c:manualLayout>
          <c:layoutTarget val="inner"/>
          <c:xMode val="edge"/>
          <c:yMode val="edge"/>
          <c:x val="8.0106894708711948E-2"/>
          <c:y val="0.10468856027143029"/>
          <c:w val="0.92520958083832339"/>
          <c:h val="0.4076382337649323"/>
        </c:manualLayout>
      </c:layout>
      <c:barChart>
        <c:barDir val="col"/>
        <c:grouping val="clustered"/>
        <c:varyColors val="0"/>
        <c:ser>
          <c:idx val="0"/>
          <c:order val="0"/>
          <c:tx>
            <c:strRef>
              <c:f>Лист1!$B$1</c:f>
              <c:strCache>
                <c:ptCount val="1"/>
                <c:pt idx="0">
                  <c:v>2017 год</c:v>
                </c:pt>
              </c:strCache>
            </c:strRef>
          </c:tx>
          <c:spPr>
            <a:blipFill>
              <a:blip xmlns:r="http://schemas.openxmlformats.org/officeDocument/2006/relationships" r:embed="rId2"/>
              <a:tile tx="0" ty="0" sx="100000" sy="100000" flip="none" algn="tl"/>
            </a:blipFill>
            <a:ln>
              <a:solidFill>
                <a:sysClr val="windowText" lastClr="000000"/>
              </a:solidFill>
            </a:ln>
          </c:spPr>
          <c:invertIfNegative val="0"/>
          <c:dLbls>
            <c:dLbl>
              <c:idx val="0"/>
              <c:layout>
                <c:manualLayout>
                  <c:x val="-8.7394420432883226E-3"/>
                  <c:y val="1.43276358747839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161949692151655E-2"/>
                  <c:y val="1.04649978454185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2058817340510534E-3"/>
                  <c:y val="1.03504257089816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1642853836215422E-2"/>
                  <c:y val="3.61121567121183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9282669169293533E-3"/>
                  <c:y val="1.377632673964542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901770496218936E-2"/>
                  <c:y val="1.15531656103963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5951762710580748E-3"/>
                  <c:y val="1.3686191665066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075566983843581E-2"/>
                  <c:y val="1.04180270149158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000551307355955E-2"/>
                  <c:y val="1.31330225512855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9.4606025663149188E-3"/>
                  <c:y val="1.15955654796884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8.0778600279755447E-3"/>
                  <c:y val="1.45238681102362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9879554072309639E-3"/>
                  <c:y val="7.7831315861637534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3665352226482323E-2"/>
                  <c:y val="8.4952307790795746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0449320794148381E-2"/>
                  <c:y val="6.7903816060997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0" i="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Сельское хозяйство</c:v>
                </c:pt>
                <c:pt idx="1">
                  <c:v>Торговля и общепит</c:v>
                </c:pt>
                <c:pt idx="2">
                  <c:v>Геология и метрология</c:v>
                </c:pt>
                <c:pt idx="3">
                  <c:v>Редакции и издательства</c:v>
                </c:pt>
                <c:pt idx="4">
                  <c:v>Жилищно-ком. Хозяйство</c:v>
                </c:pt>
                <c:pt idx="5">
                  <c:v>Социальное обеспечение</c:v>
                </c:pt>
                <c:pt idx="6">
                  <c:v>Здравоохранение</c:v>
                </c:pt>
                <c:pt idx="7">
                  <c:v>Образование</c:v>
                </c:pt>
                <c:pt idx="8">
                  <c:v>Культура и искусство</c:v>
                </c:pt>
                <c:pt idx="9">
                  <c:v>Физкультура, отдых, туризм</c:v>
                </c:pt>
                <c:pt idx="10">
                  <c:v>Наука и научное обслуживание</c:v>
                </c:pt>
              </c:strCache>
            </c:strRef>
          </c:cat>
          <c:val>
            <c:numRef>
              <c:f>Лист1!$B$2:$B$12</c:f>
              <c:numCache>
                <c:formatCode>#,##0</c:formatCode>
                <c:ptCount val="11"/>
                <c:pt idx="0">
                  <c:v>2407</c:v>
                </c:pt>
                <c:pt idx="1">
                  <c:v>1778</c:v>
                </c:pt>
                <c:pt idx="2">
                  <c:v>2074</c:v>
                </c:pt>
                <c:pt idx="3">
                  <c:v>4051</c:v>
                </c:pt>
                <c:pt idx="4">
                  <c:v>2331</c:v>
                </c:pt>
                <c:pt idx="5">
                  <c:v>2131</c:v>
                </c:pt>
                <c:pt idx="6">
                  <c:v>2681</c:v>
                </c:pt>
                <c:pt idx="7">
                  <c:v>2676</c:v>
                </c:pt>
                <c:pt idx="8">
                  <c:v>2447</c:v>
                </c:pt>
                <c:pt idx="9">
                  <c:v>2449</c:v>
                </c:pt>
                <c:pt idx="10">
                  <c:v>2912</c:v>
                </c:pt>
              </c:numCache>
            </c:numRef>
          </c:val>
        </c:ser>
        <c:ser>
          <c:idx val="1"/>
          <c:order val="1"/>
          <c:tx>
            <c:strRef>
              <c:f>Лист1!$C$1</c:f>
              <c:strCache>
                <c:ptCount val="1"/>
                <c:pt idx="0">
                  <c:v>2018 год</c:v>
                </c:pt>
              </c:strCache>
            </c:strRef>
          </c:tx>
          <c:spPr>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0" scaled="1"/>
              <a:tileRect/>
            </a:gradFill>
            <a:ln>
              <a:solidFill>
                <a:sysClr val="windowText" lastClr="000000"/>
              </a:solidFill>
            </a:ln>
          </c:spPr>
          <c:invertIfNegative val="0"/>
          <c:dLbls>
            <c:dLbl>
              <c:idx val="0"/>
              <c:layout>
                <c:manualLayout>
                  <c:x val="9.08066342054651E-3"/>
                  <c:y val="6.161058225930713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308563781210937E-3"/>
                  <c:y val="6.86358107675564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655828497119489E-2"/>
                  <c:y val="5.440368734396170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249472891249382E-2"/>
                  <c:y val="3.59180590231099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967662246388283E-2"/>
                  <c:y val="-1.2291146533512581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5032131539411531E-3"/>
                  <c:y val="1.08016348702680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5102370621631491E-3"/>
                  <c:y val="7.79386723001091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1118059734783298E-3"/>
                  <c:y val="9.75276870878945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0377540327501818E-2"/>
                  <c:y val="7.62588822738619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0803940795481805E-2"/>
                  <c:y val="4.68366827280920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9.2811541261778405E-3"/>
                  <c:y val="8.074587691464126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2098965983073386E-2"/>
                  <c:y val="7.5846489338087702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9587103850824878E-4"/>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2539184952978056E-2"/>
                  <c:y val="9.501187648456057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i="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Сельское хозяйство</c:v>
                </c:pt>
                <c:pt idx="1">
                  <c:v>Торговля и общепит</c:v>
                </c:pt>
                <c:pt idx="2">
                  <c:v>Геология и метрология</c:v>
                </c:pt>
                <c:pt idx="3">
                  <c:v>Редакции и издательства</c:v>
                </c:pt>
                <c:pt idx="4">
                  <c:v>Жилищно-ком. Хозяйство</c:v>
                </c:pt>
                <c:pt idx="5">
                  <c:v>Социальное обеспечение</c:v>
                </c:pt>
                <c:pt idx="6">
                  <c:v>Здравоохранение</c:v>
                </c:pt>
                <c:pt idx="7">
                  <c:v>Образование</c:v>
                </c:pt>
                <c:pt idx="8">
                  <c:v>Культура и искусство</c:v>
                </c:pt>
                <c:pt idx="9">
                  <c:v>Физкультура, отдых, туризм</c:v>
                </c:pt>
                <c:pt idx="10">
                  <c:v>Наука и научное обслуживание</c:v>
                </c:pt>
              </c:strCache>
            </c:strRef>
          </c:cat>
          <c:val>
            <c:numRef>
              <c:f>Лист1!$C$2:$C$12</c:f>
              <c:numCache>
                <c:formatCode>#,##0</c:formatCode>
                <c:ptCount val="11"/>
                <c:pt idx="0">
                  <c:v>2532</c:v>
                </c:pt>
                <c:pt idx="1">
                  <c:v>1957</c:v>
                </c:pt>
                <c:pt idx="2">
                  <c:v>2214</c:v>
                </c:pt>
                <c:pt idx="3">
                  <c:v>4214</c:v>
                </c:pt>
                <c:pt idx="4">
                  <c:v>2164</c:v>
                </c:pt>
                <c:pt idx="5">
                  <c:v>2422</c:v>
                </c:pt>
                <c:pt idx="6">
                  <c:v>2779</c:v>
                </c:pt>
                <c:pt idx="7">
                  <c:v>2832</c:v>
                </c:pt>
                <c:pt idx="8">
                  <c:v>2533</c:v>
                </c:pt>
                <c:pt idx="9">
                  <c:v>2565</c:v>
                </c:pt>
                <c:pt idx="10">
                  <c:v>3069</c:v>
                </c:pt>
              </c:numCache>
            </c:numRef>
          </c:val>
        </c:ser>
        <c:dLbls>
          <c:showLegendKey val="0"/>
          <c:showVal val="1"/>
          <c:showCatName val="0"/>
          <c:showSerName val="0"/>
          <c:showPercent val="0"/>
          <c:showBubbleSize val="0"/>
        </c:dLbls>
        <c:gapWidth val="150"/>
        <c:axId val="321285984"/>
        <c:axId val="321286376"/>
      </c:barChart>
      <c:lineChart>
        <c:grouping val="standard"/>
        <c:varyColors val="0"/>
        <c:ser>
          <c:idx val="2"/>
          <c:order val="2"/>
          <c:tx>
            <c:strRef>
              <c:f>Лист1!$D$1</c:f>
              <c:strCache>
                <c:ptCount val="1"/>
                <c:pt idx="0">
                  <c:v>Средняя заработная плата по республике за 2018 год</c:v>
                </c:pt>
              </c:strCache>
            </c:strRef>
          </c:tx>
          <c:spPr>
            <a:ln w="31750">
              <a:solidFill>
                <a:sysClr val="windowText" lastClr="000000"/>
              </a:solidFill>
            </a:ln>
          </c:spPr>
          <c:marker>
            <c:symbol val="triangle"/>
            <c:size val="3"/>
            <c:spPr>
              <a:solidFill>
                <a:schemeClr val="tx1"/>
              </a:solidFill>
              <a:ln>
                <a:solidFill>
                  <a:schemeClr val="tx1"/>
                </a:solidFill>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0"/>
                  <c:y val="-2.9850746268656792E-2"/>
                </c:manualLayout>
              </c:layout>
              <c:spPr/>
              <c:txPr>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Сельское хозяйство</c:v>
                </c:pt>
                <c:pt idx="1">
                  <c:v>Торговля и общепит</c:v>
                </c:pt>
                <c:pt idx="2">
                  <c:v>Геология и метрология</c:v>
                </c:pt>
                <c:pt idx="3">
                  <c:v>Редакции и издательства</c:v>
                </c:pt>
                <c:pt idx="4">
                  <c:v>Жилищно-ком. Хозяйство</c:v>
                </c:pt>
                <c:pt idx="5">
                  <c:v>Социальное обеспечение</c:v>
                </c:pt>
                <c:pt idx="6">
                  <c:v>Здравоохранение</c:v>
                </c:pt>
                <c:pt idx="7">
                  <c:v>Образование</c:v>
                </c:pt>
                <c:pt idx="8">
                  <c:v>Культура и искусство</c:v>
                </c:pt>
                <c:pt idx="9">
                  <c:v>Физкультура, отдых, туризм</c:v>
                </c:pt>
                <c:pt idx="10">
                  <c:v>Наука и научное обслуживание</c:v>
                </c:pt>
              </c:strCache>
            </c:strRef>
          </c:cat>
          <c:val>
            <c:numRef>
              <c:f>Лист1!$D$2:$D$12</c:f>
              <c:numCache>
                <c:formatCode>#,##0</c:formatCode>
                <c:ptCount val="11"/>
                <c:pt idx="0">
                  <c:v>4328</c:v>
                </c:pt>
                <c:pt idx="1">
                  <c:v>4328</c:v>
                </c:pt>
                <c:pt idx="2">
                  <c:v>4328</c:v>
                </c:pt>
                <c:pt idx="3">
                  <c:v>4328</c:v>
                </c:pt>
                <c:pt idx="4">
                  <c:v>4328</c:v>
                </c:pt>
                <c:pt idx="5">
                  <c:v>4328</c:v>
                </c:pt>
                <c:pt idx="6">
                  <c:v>4328</c:v>
                </c:pt>
                <c:pt idx="7">
                  <c:v>4328</c:v>
                </c:pt>
                <c:pt idx="8">
                  <c:v>4328</c:v>
                </c:pt>
                <c:pt idx="9">
                  <c:v>4328</c:v>
                </c:pt>
                <c:pt idx="10">
                  <c:v>4328</c:v>
                </c:pt>
              </c:numCache>
            </c:numRef>
          </c:val>
          <c:smooth val="0"/>
        </c:ser>
        <c:dLbls>
          <c:showLegendKey val="0"/>
          <c:showVal val="0"/>
          <c:showCatName val="0"/>
          <c:showSerName val="0"/>
          <c:showPercent val="0"/>
          <c:showBubbleSize val="0"/>
        </c:dLbls>
        <c:marker val="1"/>
        <c:smooth val="0"/>
        <c:axId val="321285984"/>
        <c:axId val="321286376"/>
      </c:lineChart>
      <c:catAx>
        <c:axId val="321285984"/>
        <c:scaling>
          <c:orientation val="minMax"/>
        </c:scaling>
        <c:delete val="0"/>
        <c:axPos val="b"/>
        <c:numFmt formatCode="General" sourceLinked="1"/>
        <c:majorTickMark val="out"/>
        <c:minorTickMark val="none"/>
        <c:tickLblPos val="nextTo"/>
        <c:txPr>
          <a:bodyPr rot="-5400000" vert="horz"/>
          <a:lstStyle/>
          <a:p>
            <a:pPr>
              <a:defRPr b="0" i="0"/>
            </a:pPr>
            <a:endParaRPr lang="ru-RU"/>
          </a:p>
        </c:txPr>
        <c:crossAx val="321286376"/>
        <c:crosses val="autoZero"/>
        <c:auto val="1"/>
        <c:lblAlgn val="ctr"/>
        <c:lblOffset val="100"/>
        <c:noMultiLvlLbl val="0"/>
      </c:catAx>
      <c:valAx>
        <c:axId val="321286376"/>
        <c:scaling>
          <c:orientation val="minMax"/>
        </c:scaling>
        <c:delete val="0"/>
        <c:axPos val="l"/>
        <c:numFmt formatCode="#,##0" sourceLinked="1"/>
        <c:majorTickMark val="out"/>
        <c:minorTickMark val="none"/>
        <c:tickLblPos val="nextTo"/>
        <c:txPr>
          <a:bodyPr/>
          <a:lstStyle/>
          <a:p>
            <a:pPr>
              <a:defRPr b="0"/>
            </a:pPr>
            <a:endParaRPr lang="ru-RU"/>
          </a:p>
        </c:txPr>
        <c:crossAx val="321285984"/>
        <c:crosses val="autoZero"/>
        <c:crossBetween val="between"/>
      </c:valAx>
    </c:plotArea>
    <c:legend>
      <c:legendPos val="b"/>
      <c:layout>
        <c:manualLayout>
          <c:xMode val="edge"/>
          <c:yMode val="edge"/>
          <c:x val="0"/>
          <c:y val="0.94167441264965013"/>
          <c:w val="0.89999991583093797"/>
          <c:h val="5.5168043019012881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среднегодовой назначенной месячной пенсии и величины прожиточного минимума пенсионера</a:t>
            </a:r>
            <a:endParaRPr lang="ru-RU" sz="1200" b="0">
              <a:solidFill>
                <a:srgbClr val="FF0000"/>
              </a:solidFill>
              <a:latin typeface="Times New Roman" pitchFamily="18" charset="0"/>
              <a:cs typeface="Times New Roman" pitchFamily="18" charset="0"/>
            </a:endParaRPr>
          </a:p>
        </c:rich>
      </c:tx>
      <c:layout>
        <c:manualLayout>
          <c:xMode val="edge"/>
          <c:yMode val="edge"/>
          <c:x val="0.16721241305511236"/>
          <c:y val="0"/>
        </c:manualLayout>
      </c:layout>
      <c:overlay val="0"/>
      <c:spPr>
        <a:noFill/>
      </c:spPr>
    </c:title>
    <c:autoTitleDeleted val="0"/>
    <c:plotArea>
      <c:layout/>
      <c:barChart>
        <c:barDir val="col"/>
        <c:grouping val="clustered"/>
        <c:varyColors val="0"/>
        <c:ser>
          <c:idx val="0"/>
          <c:order val="0"/>
          <c:tx>
            <c:strRef>
              <c:f>Лист1!$B$1</c:f>
              <c:strCache>
                <c:ptCount val="1"/>
                <c:pt idx="0">
                  <c:v>Среднегодовой размер назначенных пенсий, руб. ПМР</c:v>
                </c:pt>
              </c:strCache>
            </c:strRef>
          </c:tx>
          <c:spPr>
            <a:solidFill>
              <a:sysClr val="window" lastClr="FFFFFF">
                <a:lumMod val="75000"/>
              </a:sysClr>
            </a:solidFill>
          </c:spPr>
          <c:invertIfNegative val="0"/>
          <c:dLbls>
            <c:dLbl>
              <c:idx val="0"/>
              <c:layout>
                <c:manualLayout>
                  <c:x val="2.3148148148148147E-3"/>
                  <c:y val="-1.1904761904761921E-2"/>
                </c:manualLayout>
              </c:layout>
              <c:tx>
                <c:rich>
                  <a:bodyPr/>
                  <a:lstStyle/>
                  <a:p>
                    <a:r>
                      <a:rPr lang="en-US" b="1">
                        <a:latin typeface="Times New Roman" pitchFamily="18" charset="0"/>
                        <a:cs typeface="Times New Roman" pitchFamily="18" charset="0"/>
                      </a:rPr>
                      <a:t>-0,5%</a:t>
                    </a:r>
                    <a:r>
                      <a:rPr lang="en-US" b="1" baseline="0">
                        <a:latin typeface="Times New Roman" pitchFamily="18" charset="0"/>
                        <a:cs typeface="Times New Roman" pitchFamily="18" charset="0"/>
                      </a:rPr>
                      <a:t>*</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latin typeface="Times New Roman" pitchFamily="18" charset="0"/>
                        <a:cs typeface="Times New Roman" pitchFamily="18" charset="0"/>
                      </a:rPr>
                      <a:t>-0,9%*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#,##0.0</c:formatCode>
                <c:ptCount val="2"/>
                <c:pt idx="0">
                  <c:v>1348</c:v>
                </c:pt>
                <c:pt idx="1">
                  <c:v>1335.4</c:v>
                </c:pt>
              </c:numCache>
            </c:numRef>
          </c:val>
        </c:ser>
        <c:ser>
          <c:idx val="1"/>
          <c:order val="1"/>
          <c:tx>
            <c:strRef>
              <c:f>Лист1!$C$1</c:f>
              <c:strCache>
                <c:ptCount val="1"/>
                <c:pt idx="0">
                  <c:v>Прожиточный минимум пенсионера, руб. ПМР</c:v>
                </c:pt>
              </c:strCache>
            </c:strRef>
          </c:tx>
          <c:spPr>
            <a:solidFill>
              <a:sysClr val="window" lastClr="FFFFFF">
                <a:lumMod val="50000"/>
              </a:sysClr>
            </a:solidFill>
          </c:spPr>
          <c:invertIfNegative val="0"/>
          <c:dLbls>
            <c:dLbl>
              <c:idx val="0"/>
              <c:layout>
                <c:manualLayout>
                  <c:x val="6.9444444444447494E-3"/>
                  <c:y val="0"/>
                </c:manualLayout>
              </c:layout>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#,##0.0</c:formatCode>
                <c:ptCount val="2"/>
                <c:pt idx="0">
                  <c:v>1140.4000000000001</c:v>
                </c:pt>
                <c:pt idx="1">
                  <c:v>1223.3</c:v>
                </c:pt>
              </c:numCache>
            </c:numRef>
          </c:val>
        </c:ser>
        <c:dLbls>
          <c:showLegendKey val="0"/>
          <c:showVal val="0"/>
          <c:showCatName val="0"/>
          <c:showSerName val="0"/>
          <c:showPercent val="0"/>
          <c:showBubbleSize val="0"/>
        </c:dLbls>
        <c:gapWidth val="150"/>
        <c:axId val="321287160"/>
        <c:axId val="321287552"/>
      </c:barChart>
      <c:catAx>
        <c:axId val="321287160"/>
        <c:scaling>
          <c:orientation val="minMax"/>
        </c:scaling>
        <c:delete val="0"/>
        <c:axPos val="b"/>
        <c:numFmt formatCode="General" sourceLinked="1"/>
        <c:majorTickMark val="out"/>
        <c:minorTickMark val="none"/>
        <c:tickLblPos val="nextTo"/>
        <c:crossAx val="321287552"/>
        <c:crosses val="autoZero"/>
        <c:auto val="1"/>
        <c:lblAlgn val="ctr"/>
        <c:lblOffset val="100"/>
        <c:noMultiLvlLbl val="0"/>
      </c:catAx>
      <c:valAx>
        <c:axId val="321287552"/>
        <c:scaling>
          <c:orientation val="minMax"/>
          <c:max val="1500"/>
          <c:min val="0"/>
        </c:scaling>
        <c:delete val="0"/>
        <c:axPos val="l"/>
        <c:title>
          <c:tx>
            <c:rich>
              <a:bodyPr rot="0" vert="horz"/>
              <a:lstStyle/>
              <a:p>
                <a:pPr>
                  <a:defRPr i="1">
                    <a:latin typeface="Times New Roman" pitchFamily="18" charset="0"/>
                    <a:cs typeface="Times New Roman" pitchFamily="18" charset="0"/>
                  </a:defRPr>
                </a:pPr>
                <a:r>
                  <a:rPr lang="ru-RU" b="0" i="1">
                    <a:latin typeface="Times New Roman" pitchFamily="18" charset="0"/>
                    <a:cs typeface="Times New Roman" pitchFamily="18" charset="0"/>
                  </a:rPr>
                  <a:t>* -</a:t>
                </a:r>
                <a:r>
                  <a:rPr lang="ru-RU" b="0" i="1" baseline="0">
                    <a:latin typeface="Times New Roman" pitchFamily="18" charset="0"/>
                    <a:cs typeface="Times New Roman" pitchFamily="18" charset="0"/>
                  </a:rPr>
                  <a:t> темп прироста</a:t>
                </a:r>
                <a:endParaRPr lang="ru-RU" b="0" i="1">
                  <a:latin typeface="Times New Roman" pitchFamily="18" charset="0"/>
                  <a:cs typeface="Times New Roman" pitchFamily="18" charset="0"/>
                </a:endParaRPr>
              </a:p>
            </c:rich>
          </c:tx>
          <c:layout>
            <c:manualLayout>
              <c:xMode val="edge"/>
              <c:yMode val="edge"/>
              <c:x val="7.5734971330831791E-2"/>
              <c:y val="0.56129257122211951"/>
            </c:manualLayout>
          </c:layout>
          <c:overlay val="0"/>
        </c:title>
        <c:numFmt formatCode="#,##0.0"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321287160"/>
        <c:crosses val="autoZero"/>
        <c:crossBetween val="between"/>
        <c:majorUnit val="3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Структура прожиточного минимума, руб.</a:t>
            </a:r>
          </a:p>
        </c:rich>
      </c:tx>
      <c:layout>
        <c:manualLayout>
          <c:xMode val="edge"/>
          <c:yMode val="edge"/>
          <c:x val="0.25523731408572997"/>
          <c:y val="0"/>
        </c:manualLayout>
      </c:layout>
      <c:overlay val="1"/>
      <c:spPr>
        <a:noFill/>
      </c:spPr>
    </c:title>
    <c:autoTitleDeleted val="0"/>
    <c:plotArea>
      <c:layout>
        <c:manualLayout>
          <c:layoutTarget val="inner"/>
          <c:xMode val="edge"/>
          <c:yMode val="edge"/>
          <c:x val="9.8694043452905278E-2"/>
          <c:y val="0.1654983127109145"/>
          <c:w val="0.57758019830854479"/>
          <c:h val="0.6904472655203816"/>
        </c:manualLayout>
      </c:layout>
      <c:barChart>
        <c:barDir val="col"/>
        <c:grouping val="percentStacked"/>
        <c:varyColors val="0"/>
        <c:ser>
          <c:idx val="0"/>
          <c:order val="0"/>
          <c:tx>
            <c:strRef>
              <c:f>Лист1!$B$1</c:f>
              <c:strCache>
                <c:ptCount val="1"/>
                <c:pt idx="0">
                  <c:v>питание</c:v>
                </c:pt>
              </c:strCache>
            </c:strRef>
          </c:tx>
          <c:spPr>
            <a:solidFill>
              <a:schemeClr val="bg1">
                <a:lumMod val="50000"/>
              </a:schemeClr>
            </a:solidFill>
          </c:spPr>
          <c:invertIfNegative val="0"/>
          <c:dLbls>
            <c:dLbl>
              <c:idx val="0"/>
              <c:layout/>
              <c:tx>
                <c:rich>
                  <a:bodyPr/>
                  <a:lstStyle/>
                  <a:p>
                    <a:r>
                      <a:rPr lang="en-US" b="1"/>
                      <a:t>620;</a:t>
                    </a:r>
                  </a:p>
                  <a:p>
                    <a:r>
                      <a:rPr lang="en-US" b="1"/>
                      <a:t>45,8%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703;</a:t>
                    </a:r>
                  </a:p>
                  <a:p>
                    <a:r>
                      <a:rPr lang="en-US" b="1"/>
                      <a:t>48,5%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0.0</c:formatCode>
                <c:ptCount val="2"/>
                <c:pt idx="0">
                  <c:v>45.8</c:v>
                </c:pt>
                <c:pt idx="1">
                  <c:v>48.5</c:v>
                </c:pt>
              </c:numCache>
            </c:numRef>
          </c:val>
        </c:ser>
        <c:ser>
          <c:idx val="1"/>
          <c:order val="1"/>
          <c:tx>
            <c:strRef>
              <c:f>Лист1!$C$1</c:f>
              <c:strCache>
                <c:ptCount val="1"/>
                <c:pt idx="0">
                  <c:v>непродовольственные товары</c:v>
                </c:pt>
              </c:strCache>
            </c:strRef>
          </c:tx>
          <c:spPr>
            <a:solidFill>
              <a:schemeClr val="bg1">
                <a:lumMod val="75000"/>
              </a:schemeClr>
            </a:solidFill>
          </c:spPr>
          <c:invertIfNegative val="0"/>
          <c:dLbls>
            <c:dLbl>
              <c:idx val="0"/>
              <c:layout/>
              <c:tx>
                <c:rich>
                  <a:bodyPr/>
                  <a:lstStyle/>
                  <a:p>
                    <a:r>
                      <a:rPr lang="en-US" b="1"/>
                      <a:t>288;</a:t>
                    </a:r>
                  </a:p>
                  <a:p>
                    <a:r>
                      <a:rPr lang="en-US" b="1"/>
                      <a:t>21,2%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299;</a:t>
                    </a:r>
                  </a:p>
                  <a:p>
                    <a:r>
                      <a:rPr lang="en-US" b="1"/>
                      <a:t>20,6%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0.0</c:formatCode>
                <c:ptCount val="2"/>
                <c:pt idx="0">
                  <c:v>21.2</c:v>
                </c:pt>
                <c:pt idx="1">
                  <c:v>20.7</c:v>
                </c:pt>
              </c:numCache>
            </c:numRef>
          </c:val>
        </c:ser>
        <c:ser>
          <c:idx val="2"/>
          <c:order val="2"/>
          <c:tx>
            <c:strRef>
              <c:f>Лист1!$D$1</c:f>
              <c:strCache>
                <c:ptCount val="1"/>
                <c:pt idx="0">
                  <c:v>услуги</c:v>
                </c:pt>
              </c:strCache>
            </c:strRef>
          </c:tx>
          <c:spPr>
            <a:solidFill>
              <a:schemeClr val="accent5">
                <a:lumMod val="20000"/>
                <a:lumOff val="80000"/>
              </a:schemeClr>
            </a:solidFill>
          </c:spPr>
          <c:invertIfNegative val="0"/>
          <c:dLbls>
            <c:dLbl>
              <c:idx val="0"/>
              <c:layout>
                <c:manualLayout>
                  <c:x val="2.3148148148148147E-3"/>
                  <c:y val="2.1030494216614092E-2"/>
                </c:manualLayout>
              </c:layout>
              <c:tx>
                <c:rich>
                  <a:bodyPr/>
                  <a:lstStyle/>
                  <a:p>
                    <a:r>
                      <a:rPr lang="en-US" b="1"/>
                      <a:t>423;</a:t>
                    </a:r>
                  </a:p>
                  <a:p>
                    <a:r>
                      <a:rPr lang="en-US" b="1"/>
                      <a:t>31,2%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0278833967046894E-2"/>
                </c:manualLayout>
              </c:layout>
              <c:tx>
                <c:rich>
                  <a:bodyPr/>
                  <a:lstStyle/>
                  <a:p>
                    <a:r>
                      <a:rPr lang="en-US" b="1"/>
                      <a:t>423;</a:t>
                    </a:r>
                  </a:p>
                  <a:p>
                    <a:r>
                      <a:rPr lang="en-US" b="1"/>
                      <a:t>29,2%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Лист1!$D$2:$D$3</c:f>
              <c:numCache>
                <c:formatCode>0.0</c:formatCode>
                <c:ptCount val="2"/>
                <c:pt idx="0">
                  <c:v>31.2</c:v>
                </c:pt>
                <c:pt idx="1">
                  <c:v>29.1</c:v>
                </c:pt>
              </c:numCache>
            </c:numRef>
          </c:val>
        </c:ser>
        <c:ser>
          <c:idx val="3"/>
          <c:order val="3"/>
          <c:tx>
            <c:strRef>
              <c:f>Лист1!$E$1</c:f>
              <c:strCache>
                <c:ptCount val="1"/>
                <c:pt idx="0">
                  <c:v>обязательные платежи и сборы</c:v>
                </c:pt>
              </c:strCache>
            </c:strRef>
          </c:tx>
          <c:spPr>
            <a:solidFill>
              <a:schemeClr val="accent6">
                <a:lumMod val="20000"/>
                <a:lumOff val="80000"/>
              </a:schemeClr>
            </a:solidFill>
          </c:spPr>
          <c:invertIfNegative val="0"/>
          <c:dLbls>
            <c:dLbl>
              <c:idx val="0"/>
              <c:layout>
                <c:manualLayout>
                  <c:x val="2.3146325459317612E-3"/>
                  <c:y val="-2.5236593059936911E-2"/>
                </c:manualLayout>
              </c:layout>
              <c:tx>
                <c:rich>
                  <a:bodyPr/>
                  <a:lstStyle/>
                  <a:p>
                    <a:r>
                      <a:rPr lang="en-US" b="1"/>
                      <a:t>24;</a:t>
                    </a:r>
                  </a:p>
                  <a:p>
                    <a:r>
                      <a:rPr lang="en-US" b="1"/>
                      <a:t>1,8%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8148148148147E-3"/>
                  <c:y val="-2.5236593059936911E-2"/>
                </c:manualLayout>
              </c:layout>
              <c:tx>
                <c:rich>
                  <a:bodyPr/>
                  <a:lstStyle/>
                  <a:p>
                    <a:r>
                      <a:rPr lang="en-US" b="1"/>
                      <a:t>25;</a:t>
                    </a:r>
                  </a:p>
                  <a:p>
                    <a:r>
                      <a:rPr lang="en-US" b="1"/>
                      <a:t>1,7%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Лист1!$E$2:$E$3</c:f>
              <c:numCache>
                <c:formatCode>0.0</c:formatCode>
                <c:ptCount val="2"/>
                <c:pt idx="0">
                  <c:v>1.8</c:v>
                </c:pt>
                <c:pt idx="1">
                  <c:v>1.7</c:v>
                </c:pt>
              </c:numCache>
            </c:numRef>
          </c:val>
        </c:ser>
        <c:dLbls>
          <c:showLegendKey val="0"/>
          <c:showVal val="0"/>
          <c:showCatName val="0"/>
          <c:showSerName val="0"/>
          <c:showPercent val="0"/>
          <c:showBubbleSize val="0"/>
        </c:dLbls>
        <c:gapWidth val="150"/>
        <c:overlap val="100"/>
        <c:axId val="321288728"/>
        <c:axId val="322726104"/>
      </c:barChart>
      <c:catAx>
        <c:axId val="321288728"/>
        <c:scaling>
          <c:orientation val="minMax"/>
        </c:scaling>
        <c:delete val="0"/>
        <c:axPos val="b"/>
        <c:numFmt formatCode="General" sourceLinked="0"/>
        <c:majorTickMark val="out"/>
        <c:minorTickMark val="none"/>
        <c:tickLblPos val="nextTo"/>
        <c:txPr>
          <a:bodyPr/>
          <a:lstStyle/>
          <a:p>
            <a:pPr>
              <a:defRPr sz="1000" b="1"/>
            </a:pPr>
            <a:endParaRPr lang="ru-RU"/>
          </a:p>
        </c:txPr>
        <c:crossAx val="322726104"/>
        <c:crosses val="autoZero"/>
        <c:auto val="1"/>
        <c:lblAlgn val="ctr"/>
        <c:lblOffset val="100"/>
        <c:noMultiLvlLbl val="0"/>
      </c:catAx>
      <c:valAx>
        <c:axId val="322726104"/>
        <c:scaling>
          <c:orientation val="minMax"/>
        </c:scaling>
        <c:delete val="0"/>
        <c:axPos val="l"/>
        <c:numFmt formatCode="0%" sourceLinked="1"/>
        <c:majorTickMark val="out"/>
        <c:minorTickMark val="none"/>
        <c:tickLblPos val="nextTo"/>
        <c:txPr>
          <a:bodyPr/>
          <a:lstStyle/>
          <a:p>
            <a:pPr>
              <a:defRPr sz="1000"/>
            </a:pPr>
            <a:endParaRPr lang="ru-RU"/>
          </a:p>
        </c:txPr>
        <c:crossAx val="321288728"/>
        <c:crosses val="autoZero"/>
        <c:crossBetween val="between"/>
      </c:valAx>
    </c:plotArea>
    <c:legend>
      <c:legendPos val="r"/>
      <c:layout>
        <c:manualLayout>
          <c:xMode val="edge"/>
          <c:yMode val="edge"/>
          <c:x val="0.68784831583552064"/>
          <c:y val="0.18439809309550834"/>
          <c:w val="0.29594798046077581"/>
          <c:h val="0.65841469816272968"/>
        </c:manualLayout>
      </c:layout>
      <c:overlay val="0"/>
      <c:txPr>
        <a:bodyPr/>
        <a:lstStyle/>
        <a:p>
          <a:pPr>
            <a:defRPr sz="1000" i="1"/>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2018 год</a:t>
            </a:r>
          </a:p>
        </c:rich>
      </c:tx>
      <c:layout>
        <c:manualLayout>
          <c:xMode val="edge"/>
          <c:yMode val="edge"/>
          <c:x val="0.36665147988577695"/>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5655838719085366E-2"/>
          <c:y val="3.4013605442177651E-2"/>
          <c:w val="0.61812410241173465"/>
          <c:h val="0.93108243668494362"/>
        </c:manualLayout>
      </c:layout>
      <c:pie3DChart>
        <c:varyColors val="1"/>
        <c:ser>
          <c:idx val="0"/>
          <c:order val="0"/>
          <c:tx>
            <c:strRef>
              <c:f>Лист1!$B$1</c:f>
              <c:strCache>
                <c:ptCount val="1"/>
                <c:pt idx="0">
                  <c:v>Столбец1</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plosion val="25"/>
          <c:dPt>
            <c:idx val="0"/>
            <c:bubble3D val="0"/>
            <c:spPr>
              <a:solidFill>
                <a:srgbClr val="E1E0E4"/>
              </a:solidFill>
            </c:spPr>
          </c:dPt>
          <c:dPt>
            <c:idx val="1"/>
            <c:bubble3D val="0"/>
            <c:spPr>
              <a:solidFill>
                <a:schemeClr val="tx1"/>
              </a:solidFill>
            </c:spPr>
          </c:dPt>
          <c:dLbls>
            <c:dLbl>
              <c:idx val="0"/>
              <c:layout>
                <c:manualLayout>
                  <c:x val="-3.4211264575535291E-2"/>
                  <c:y val="6.0393700787402124E-2"/>
                </c:manualLayout>
              </c:layout>
              <c:tx>
                <c:rich>
                  <a:bodyPr/>
                  <a:lstStyle/>
                  <a:p>
                    <a:r>
                      <a:rPr lang="en-US" sz="1000">
                        <a:latin typeface="Times New Roman" pitchFamily="18" charset="0"/>
                        <a:cs typeface="Times New Roman" pitchFamily="18" charset="0"/>
                      </a:rPr>
                      <a:t>98,1%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1520334151779416E-2"/>
                  <c:y val="-2.0127484064491927E-2"/>
                </c:manualLayout>
              </c:layout>
              <c:tx>
                <c:rich>
                  <a:bodyPr/>
                  <a:lstStyle/>
                  <a:p>
                    <a:r>
                      <a:rPr lang="en-US" sz="1000">
                        <a:latin typeface="Times New Roman" pitchFamily="18" charset="0"/>
                        <a:cs typeface="Times New Roman" pitchFamily="18" charset="0"/>
                      </a:rPr>
                      <a:t>1,9%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занятое население</c:v>
                </c:pt>
                <c:pt idx="1">
                  <c:v>лица ищущие работу</c:v>
                </c:pt>
              </c:strCache>
            </c:strRef>
          </c:cat>
          <c:val>
            <c:numRef>
              <c:f>Лист1!$B$2:$B$3</c:f>
              <c:numCache>
                <c:formatCode>General</c:formatCode>
                <c:ptCount val="2"/>
                <c:pt idx="0">
                  <c:v>134.5</c:v>
                </c:pt>
                <c:pt idx="1">
                  <c:v>2.6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099427735471505"/>
          <c:y val="0.37622475761959207"/>
          <c:w val="0.32514699813468401"/>
          <c:h val="0.39479565054368204"/>
        </c:manualLayout>
      </c:layout>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2017 год</a:t>
            </a:r>
          </a:p>
        </c:rich>
      </c:tx>
      <c:layout>
        <c:manualLayout>
          <c:xMode val="edge"/>
          <c:yMode val="edge"/>
          <c:x val="0.43237207889207846"/>
          <c:y val="4.6434494195688514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8960427374232496E-2"/>
          <c:y val="9.9451857991435327E-2"/>
          <c:w val="0.74186528934687146"/>
          <c:h val="0.90054814200856481"/>
        </c:manualLayout>
      </c:layout>
      <c:pie3DChart>
        <c:varyColors val="1"/>
        <c:ser>
          <c:idx val="0"/>
          <c:order val="0"/>
          <c:tx>
            <c:strRef>
              <c:f>Лист1!$B$1</c:f>
              <c:strCache>
                <c:ptCount val="1"/>
                <c:pt idx="0">
                  <c:v>2017 год</c:v>
                </c:pt>
              </c:strCache>
            </c:strRef>
          </c:tx>
          <c:explosion val="50"/>
          <c:dPt>
            <c:idx val="0"/>
            <c:bubble3D val="0"/>
            <c:explosion val="16"/>
            <c:spPr>
              <a:solidFill>
                <a:srgbClr val="E1E0E4"/>
              </a:solidFill>
            </c:spPr>
          </c:dPt>
          <c:dPt>
            <c:idx val="1"/>
            <c:bubble3D val="0"/>
            <c:spPr>
              <a:solidFill>
                <a:schemeClr val="tx1"/>
              </a:solidFill>
            </c:spPr>
          </c:dPt>
          <c:dLbls>
            <c:dLbl>
              <c:idx val="0"/>
              <c:layout>
                <c:manualLayout>
                  <c:x val="4.2872454448018493E-3"/>
                  <c:y val="0.33830845771145346"/>
                </c:manualLayout>
              </c:layout>
              <c:tx>
                <c:rich>
                  <a:bodyPr/>
                  <a:lstStyle/>
                  <a:p>
                    <a:r>
                      <a:rPr lang="en-US">
                        <a:latin typeface="Times New Roman" pitchFamily="18" charset="0"/>
                        <a:cs typeface="Times New Roman" pitchFamily="18" charset="0"/>
                      </a:rPr>
                      <a:t>96,3%</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1457663451232745E-2"/>
                  <c:y val="3.3165406562985604E-2"/>
                </c:manualLayout>
              </c:layout>
              <c:tx>
                <c:rich>
                  <a:bodyPr/>
                  <a:lstStyle/>
                  <a:p>
                    <a:r>
                      <a:rPr lang="en-US" sz="1000">
                        <a:latin typeface="Times New Roman" pitchFamily="18" charset="0"/>
                        <a:cs typeface="Times New Roman" pitchFamily="18" charset="0"/>
                      </a:rPr>
                      <a:t>3,7%</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занятое население</c:v>
                </c:pt>
                <c:pt idx="1">
                  <c:v>лица ищущие работу</c:v>
                </c:pt>
              </c:strCache>
            </c:strRef>
          </c:cat>
          <c:val>
            <c:numRef>
              <c:f>Лист1!$B$2:$B$3</c:f>
              <c:numCache>
                <c:formatCode>General</c:formatCode>
                <c:ptCount val="2"/>
                <c:pt idx="0">
                  <c:v>133.5</c:v>
                </c:pt>
                <c:pt idx="1">
                  <c:v>5.2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050"/>
            </a:pPr>
            <a:r>
              <a:rPr lang="ru-RU" sz="1050">
                <a:latin typeface="Times New Roman" pitchFamily="18" charset="0"/>
                <a:cs typeface="Times New Roman" pitchFamily="18" charset="0"/>
              </a:rPr>
              <a:t>Динамика численности граждан зарегистрированных в службе занятости (чел.) </a:t>
            </a:r>
          </a:p>
        </c:rich>
      </c:tx>
      <c:layout>
        <c:manualLayout>
          <c:xMode val="edge"/>
          <c:yMode val="edge"/>
          <c:x val="0.16635733908067091"/>
          <c:y val="2.1645124548110812E-2"/>
        </c:manualLayout>
      </c:layout>
      <c:overlay val="0"/>
      <c:spPr>
        <a:noFill/>
        <a:ln w="24908">
          <a:noFill/>
        </a:ln>
      </c:spPr>
    </c:title>
    <c:autoTitleDeleted val="0"/>
    <c:plotArea>
      <c:layout>
        <c:manualLayout>
          <c:layoutTarget val="inner"/>
          <c:xMode val="edge"/>
          <c:yMode val="edge"/>
          <c:x val="7.4587869362363918E-2"/>
          <c:y val="0.19235873293616076"/>
          <c:w val="0.91881281558313765"/>
          <c:h val="0.37230921606498191"/>
        </c:manualLayout>
      </c:layout>
      <c:barChart>
        <c:barDir val="col"/>
        <c:grouping val="clustered"/>
        <c:varyColors val="0"/>
        <c:ser>
          <c:idx val="0"/>
          <c:order val="0"/>
          <c:tx>
            <c:strRef>
              <c:f>Лист1!$B$1</c:f>
              <c:strCache>
                <c:ptCount val="1"/>
                <c:pt idx="0">
                  <c:v> 2017 год</c:v>
                </c:pt>
              </c:strCache>
            </c:strRef>
          </c:tx>
          <c:spPr>
            <a:solidFill>
              <a:srgbClr val="EEECE1">
                <a:lumMod val="90000"/>
                <a:alpha val="70000"/>
              </a:srgbClr>
            </a:solidFill>
            <a:ln>
              <a:solidFill>
                <a:sysClr val="windowText" lastClr="000000"/>
              </a:solidFill>
            </a:ln>
          </c:spPr>
          <c:invertIfNegative val="0"/>
          <c:dLbls>
            <c:dLbl>
              <c:idx val="0"/>
              <c:layout>
                <c:manualLayout>
                  <c:x val="-6.2208398133749114E-3"/>
                  <c:y val="1.556400044589046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36822963226099E-2"/>
                  <c:y val="1.53584968545598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44444444444979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556440580062648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4619994040408047E-3"/>
                  <c:y val="1.53584968545598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736132711250679E-3"/>
                  <c:y val="1.045572006201946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6031608284300396E-17"/>
                  <c:y val="1.556440580062644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0737765477606648E-3"/>
                  <c:y val="1.56045359194968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1472265422497941E-3"/>
                  <c:y val="1.027329917093693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1472265422498704E-3"/>
                  <c:y val="5.308525623486253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0384149104224988E-3"/>
                  <c:y val="4.95951519573575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9.6480163929742267E-4"/>
                  <c:y val="-5.336495100274994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4908">
                <a:noFill/>
              </a:ln>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  </c:v>
                </c:pt>
                <c:pt idx="5">
                  <c:v>июнь </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1730</c:v>
                </c:pt>
                <c:pt idx="1">
                  <c:v>1698</c:v>
                </c:pt>
                <c:pt idx="2">
                  <c:v>1389</c:v>
                </c:pt>
                <c:pt idx="3">
                  <c:v>736</c:v>
                </c:pt>
                <c:pt idx="4">
                  <c:v>862</c:v>
                </c:pt>
                <c:pt idx="5">
                  <c:v>754</c:v>
                </c:pt>
                <c:pt idx="6">
                  <c:v>753</c:v>
                </c:pt>
                <c:pt idx="7">
                  <c:v>734</c:v>
                </c:pt>
                <c:pt idx="8">
                  <c:v>730</c:v>
                </c:pt>
                <c:pt idx="9">
                  <c:v>712</c:v>
                </c:pt>
                <c:pt idx="10">
                  <c:v>874</c:v>
                </c:pt>
                <c:pt idx="11">
                  <c:v>803</c:v>
                </c:pt>
              </c:numCache>
            </c:numRef>
          </c:val>
        </c:ser>
        <c:ser>
          <c:idx val="1"/>
          <c:order val="1"/>
          <c:tx>
            <c:strRef>
              <c:f>Лист1!$C$1</c:f>
              <c:strCache>
                <c:ptCount val="1"/>
                <c:pt idx="0">
                  <c:v>2018 год</c:v>
                </c:pt>
              </c:strCache>
            </c:strRef>
          </c:tx>
          <c:spPr>
            <a:solidFill>
              <a:sysClr val="windowText" lastClr="000000">
                <a:lumMod val="65000"/>
                <a:lumOff val="35000"/>
                <a:alpha val="68000"/>
              </a:sysClr>
            </a:solidFill>
            <a:ln>
              <a:solidFill>
                <a:sysClr val="windowText" lastClr="000000"/>
              </a:solidFill>
            </a:ln>
          </c:spPr>
          <c:invertIfNegative val="0"/>
          <c:dLbls>
            <c:dLbl>
              <c:idx val="0"/>
              <c:layout>
                <c:manualLayout>
                  <c:x val="3.2795745010880378E-3"/>
                  <c:y val="-1.709401709401728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9444818620067496E-3"/>
                  <c:y val="-5.698454359871680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44444444444979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9444444444449792E-3"/>
                  <c:y val="1.556420233463046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9444444444449792E-3"/>
                  <c:y val="1.037613488975357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472840972638917E-3"/>
                  <c:y val="-3.0871141107364727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9444818620068415E-3"/>
                  <c:y val="1.525559305086866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3531877722127804E-3"/>
                  <c:y val="1.55640004458905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9444818620067496E-3"/>
                  <c:y val="1.5398615713576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9444818620067496E-3"/>
                  <c:y val="1.55644058006265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7.6681239106387421E-3"/>
                  <c:y val="4.736164736164911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6.9444818620067496E-3"/>
                  <c:y val="-5.273665116185175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4908">
                <a:noFill/>
              </a:ln>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  </c:v>
                </c:pt>
                <c:pt idx="5">
                  <c:v>июнь </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684</c:v>
                </c:pt>
                <c:pt idx="1">
                  <c:v>561</c:v>
                </c:pt>
                <c:pt idx="2">
                  <c:v>492</c:v>
                </c:pt>
                <c:pt idx="3">
                  <c:v>361</c:v>
                </c:pt>
                <c:pt idx="4">
                  <c:v>682</c:v>
                </c:pt>
                <c:pt idx="5">
                  <c:v>487</c:v>
                </c:pt>
                <c:pt idx="6">
                  <c:v>506</c:v>
                </c:pt>
                <c:pt idx="7">
                  <c:v>364</c:v>
                </c:pt>
                <c:pt idx="8">
                  <c:v>331</c:v>
                </c:pt>
                <c:pt idx="9">
                  <c:v>450</c:v>
                </c:pt>
                <c:pt idx="10">
                  <c:v>488</c:v>
                </c:pt>
                <c:pt idx="11">
                  <c:v>384</c:v>
                </c:pt>
              </c:numCache>
            </c:numRef>
          </c:val>
        </c:ser>
        <c:dLbls>
          <c:showLegendKey val="0"/>
          <c:showVal val="1"/>
          <c:showCatName val="0"/>
          <c:showSerName val="0"/>
          <c:showPercent val="0"/>
          <c:showBubbleSize val="0"/>
        </c:dLbls>
        <c:gapWidth val="150"/>
        <c:axId val="322727672"/>
        <c:axId val="322728064"/>
      </c:barChart>
      <c:catAx>
        <c:axId val="322727672"/>
        <c:scaling>
          <c:orientation val="minMax"/>
        </c:scaling>
        <c:delete val="0"/>
        <c:axPos val="b"/>
        <c:numFmt formatCode="General" sourceLinked="1"/>
        <c:majorTickMark val="cross"/>
        <c:minorTickMark val="none"/>
        <c:tickLblPos val="nextTo"/>
        <c:txPr>
          <a:bodyPr rot="-5400000" vert="horz"/>
          <a:lstStyle/>
          <a:p>
            <a:pPr>
              <a:defRPr b="0">
                <a:latin typeface="Times New Roman" pitchFamily="18" charset="0"/>
                <a:cs typeface="Times New Roman" pitchFamily="18" charset="0"/>
              </a:defRPr>
            </a:pPr>
            <a:endParaRPr lang="ru-RU"/>
          </a:p>
        </c:txPr>
        <c:crossAx val="322728064"/>
        <c:crosses val="autoZero"/>
        <c:auto val="1"/>
        <c:lblAlgn val="ctr"/>
        <c:lblOffset val="100"/>
        <c:noMultiLvlLbl val="0"/>
      </c:catAx>
      <c:valAx>
        <c:axId val="322728064"/>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22727672"/>
        <c:crosses val="autoZero"/>
        <c:crossBetween val="between"/>
      </c:valAx>
    </c:plotArea>
    <c:legend>
      <c:legendPos val="r"/>
      <c:layout>
        <c:manualLayout>
          <c:xMode val="edge"/>
          <c:yMode val="edge"/>
          <c:x val="0.22466260924227388"/>
          <c:y val="0.89898984849116081"/>
          <c:w val="0.5605779992897465"/>
          <c:h val="0.10101029038036913"/>
        </c:manualLayout>
      </c:layout>
      <c:overlay val="0"/>
      <c:txPr>
        <a:bodyPr/>
        <a:lstStyle/>
        <a:p>
          <a:pPr>
            <a:defRPr sz="115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Уровень регистрируемой безработицы, %</a:t>
            </a:r>
          </a:p>
        </c:rich>
      </c:tx>
      <c:layout>
        <c:manualLayout>
          <c:xMode val="edge"/>
          <c:yMode val="edge"/>
          <c:x val="0.22968197879857663"/>
          <c:y val="2.0689655172415052E-2"/>
        </c:manualLayout>
      </c:layout>
      <c:overlay val="0"/>
      <c:spPr>
        <a:noFill/>
        <a:ln w="25399">
          <a:noFill/>
        </a:ln>
      </c:spPr>
    </c:title>
    <c:autoTitleDeleted val="0"/>
    <c:view3D>
      <c:rotX val="0"/>
      <c:rotY val="40"/>
      <c:depthPercent val="100"/>
      <c:rAngAx val="1"/>
    </c:view3D>
    <c:floor>
      <c:thickness val="0"/>
    </c:floor>
    <c:sideWall>
      <c:thickness val="0"/>
    </c:sideWall>
    <c:backWall>
      <c:thickness val="0"/>
    </c:backWall>
    <c:plotArea>
      <c:layout>
        <c:manualLayout>
          <c:layoutTarget val="inner"/>
          <c:xMode val="edge"/>
          <c:yMode val="edge"/>
          <c:x val="0.26017331022530327"/>
          <c:y val="8.6931540434236565E-2"/>
          <c:w val="0.51600813329876261"/>
          <c:h val="0.86954733810136198"/>
        </c:manualLayout>
      </c:layout>
      <c:bar3DChart>
        <c:barDir val="bar"/>
        <c:grouping val="clustered"/>
        <c:varyColors val="0"/>
        <c:ser>
          <c:idx val="0"/>
          <c:order val="0"/>
          <c:tx>
            <c:strRef>
              <c:f>Лист1!$B$1</c:f>
              <c:strCache>
                <c:ptCount val="1"/>
                <c:pt idx="0">
                  <c:v>на 1.01.2019г.</c:v>
                </c:pt>
              </c:strCache>
            </c:strRef>
          </c:tx>
          <c:spPr>
            <a:solidFill>
              <a:sysClr val="windowText" lastClr="000000">
                <a:lumMod val="50000"/>
                <a:lumOff val="50000"/>
              </a:sysClr>
            </a:solidFill>
          </c:spPr>
          <c:invertIfNegative val="0"/>
          <c:dLbls>
            <c:dLbl>
              <c:idx val="0"/>
              <c:layout>
                <c:manualLayout>
                  <c:x val="2.3107735479102292E-3"/>
                  <c:y val="7.9129574678536412E-3"/>
                </c:manualLayout>
              </c:layout>
              <c:tx>
                <c:rich>
                  <a:bodyPr/>
                  <a:lstStyle/>
                  <a:p>
                    <a:r>
                      <a:rPr lang="en-US" sz="950"/>
                      <a:t>1,92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9129574678536412E-3"/>
                </c:manualLayout>
              </c:layout>
              <c:tx>
                <c:rich>
                  <a:bodyPr/>
                  <a:lstStyle/>
                  <a:p>
                    <a:r>
                      <a:rPr lang="en-US" sz="950"/>
                      <a:t>2,64</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08030040439047E-3"/>
                  <c:y val="1.18694362017806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9322270591394919E-3"/>
                  <c:y val="7.91295746785364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148148148148147E-3"/>
                  <c:y val="1.1904761904761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3108030040439047E-3"/>
                  <c:y val="7.91295746785364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108030040439047E-3"/>
                  <c:y val="7.91295746785364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7.912957467853641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txPr>
              <a:bodyPr/>
              <a:lstStyle/>
              <a:p>
                <a:pPr>
                  <a:defRPr sz="95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Лист1!$B$2:$B$9</c:f>
              <c:numCache>
                <c:formatCode>0.00</c:formatCode>
                <c:ptCount val="8"/>
                <c:pt idx="0">
                  <c:v>1.9200000000000021</c:v>
                </c:pt>
                <c:pt idx="1">
                  <c:v>2.64</c:v>
                </c:pt>
                <c:pt idx="2" formatCode="General">
                  <c:v>3.3499999999999988</c:v>
                </c:pt>
                <c:pt idx="3">
                  <c:v>5.76</c:v>
                </c:pt>
                <c:pt idx="4">
                  <c:v>0.30000000000000032</c:v>
                </c:pt>
                <c:pt idx="5" formatCode="General">
                  <c:v>3.4099999999999997</c:v>
                </c:pt>
                <c:pt idx="6">
                  <c:v>0.9</c:v>
                </c:pt>
                <c:pt idx="7" formatCode="General">
                  <c:v>0.85000000000000064</c:v>
                </c:pt>
              </c:numCache>
            </c:numRef>
          </c:val>
        </c:ser>
        <c:ser>
          <c:idx val="1"/>
          <c:order val="1"/>
          <c:tx>
            <c:strRef>
              <c:f>Лист1!$C$1</c:f>
              <c:strCache>
                <c:ptCount val="1"/>
                <c:pt idx="0">
                  <c:v>на 1.01.2018г.</c:v>
                </c:pt>
              </c:strCache>
            </c:strRef>
          </c:tx>
          <c:spPr>
            <a:solidFill>
              <a:srgbClr val="4BACC6">
                <a:lumMod val="20000"/>
                <a:lumOff val="80000"/>
              </a:srgbClr>
            </a:solidFill>
            <a:ln w="12700"/>
          </c:spPr>
          <c:invertIfNegative val="0"/>
          <c:dLbls>
            <c:dLbl>
              <c:idx val="0"/>
              <c:layout>
                <c:manualLayout>
                  <c:x val="6.9324090121320675E-3"/>
                  <c:y val="-8.1282272950302572E-3"/>
                </c:manualLayout>
              </c:layout>
              <c:tx>
                <c:rich>
                  <a:bodyPr/>
                  <a:lstStyle/>
                  <a:p>
                    <a:r>
                      <a:rPr lang="en-US" sz="950"/>
                      <a:t>3,74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08030040439047E-3"/>
                  <c:y val="-1.20845921450151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08030040439047E-3"/>
                  <c:y val="-8.056262996799026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9324090121320675E-3"/>
                  <c:y val="-1.20847060289570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8.056394763343424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216060080878103E-3"/>
                  <c:y val="-1.18694362017806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108030040439047E-3"/>
                  <c:y val="-8.056394763343424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008897501330541E-5"/>
                  <c:y val="-7.756658816439489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txPr>
              <a:bodyPr/>
              <a:lstStyle/>
              <a:p>
                <a:pPr>
                  <a:defRPr sz="95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Лист1!$C$2:$C$9</c:f>
              <c:numCache>
                <c:formatCode>0.00</c:formatCode>
                <c:ptCount val="8"/>
                <c:pt idx="0">
                  <c:v>3.74</c:v>
                </c:pt>
                <c:pt idx="1">
                  <c:v>3</c:v>
                </c:pt>
                <c:pt idx="2" formatCode="General">
                  <c:v>7.6899999999999995</c:v>
                </c:pt>
                <c:pt idx="3">
                  <c:v>8.33</c:v>
                </c:pt>
                <c:pt idx="4">
                  <c:v>0.83000000000000063</c:v>
                </c:pt>
                <c:pt idx="5" formatCode="General">
                  <c:v>6.44</c:v>
                </c:pt>
                <c:pt idx="6">
                  <c:v>1.81</c:v>
                </c:pt>
                <c:pt idx="7" formatCode="General">
                  <c:v>2.3699999999999997</c:v>
                </c:pt>
              </c:numCache>
            </c:numRef>
          </c:val>
        </c:ser>
        <c:dLbls>
          <c:showLegendKey val="0"/>
          <c:showVal val="0"/>
          <c:showCatName val="0"/>
          <c:showSerName val="0"/>
          <c:showPercent val="0"/>
          <c:showBubbleSize val="0"/>
        </c:dLbls>
        <c:gapWidth val="150"/>
        <c:gapDepth val="100"/>
        <c:shape val="cylinder"/>
        <c:axId val="322728848"/>
        <c:axId val="322729240"/>
        <c:axId val="0"/>
      </c:bar3DChart>
      <c:catAx>
        <c:axId val="322728848"/>
        <c:scaling>
          <c:orientation val="minMax"/>
        </c:scaling>
        <c:delete val="0"/>
        <c:axPos val="l"/>
        <c:numFmt formatCode="General" sourceLinked="1"/>
        <c:majorTickMark val="out"/>
        <c:minorTickMark val="none"/>
        <c:tickLblPos val="nextTo"/>
        <c:txPr>
          <a:bodyPr/>
          <a:lstStyle/>
          <a:p>
            <a:pPr>
              <a:defRPr sz="1050" b="1"/>
            </a:pPr>
            <a:endParaRPr lang="ru-RU"/>
          </a:p>
        </c:txPr>
        <c:crossAx val="322729240"/>
        <c:crosses val="autoZero"/>
        <c:auto val="1"/>
        <c:lblAlgn val="ctr"/>
        <c:lblOffset val="100"/>
        <c:noMultiLvlLbl val="0"/>
      </c:catAx>
      <c:valAx>
        <c:axId val="322729240"/>
        <c:scaling>
          <c:orientation val="minMax"/>
        </c:scaling>
        <c:delete val="1"/>
        <c:axPos val="b"/>
        <c:numFmt formatCode="0.00" sourceLinked="1"/>
        <c:majorTickMark val="out"/>
        <c:minorTickMark val="none"/>
        <c:tickLblPos val="nextTo"/>
        <c:crossAx val="322728848"/>
        <c:crosses val="autoZero"/>
        <c:crossBetween val="between"/>
      </c:valAx>
      <c:spPr>
        <a:noFill/>
        <a:ln w="25399">
          <a:noFill/>
        </a:ln>
      </c:spPr>
    </c:plotArea>
    <c:legend>
      <c:legendPos val="r"/>
      <c:layout>
        <c:manualLayout>
          <c:xMode val="edge"/>
          <c:yMode val="edge"/>
          <c:x val="0.50479200498551202"/>
          <c:y val="0.90622955400536909"/>
          <c:w val="0.39388903310163242"/>
          <c:h val="9.3770445994631302E-2"/>
        </c:manualLayout>
      </c:layout>
      <c:overlay val="0"/>
      <c:txPr>
        <a:bodyPr/>
        <a:lstStyle/>
        <a:p>
          <a:pPr>
            <a:defRPr sz="105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ru-RU" sz="1150"/>
              <a:t>Динамика численности вакантных рабочих мест (должнотей) и безработных граждан, зарегистрированных в службе занятости</a:t>
            </a:r>
          </a:p>
        </c:rich>
      </c:tx>
      <c:layout>
        <c:manualLayout>
          <c:xMode val="edge"/>
          <c:yMode val="edge"/>
          <c:x val="0.13160582199952267"/>
          <c:y val="2.2291603793428282E-2"/>
        </c:manualLayout>
      </c:layout>
      <c:overlay val="0"/>
    </c:title>
    <c:autoTitleDeleted val="0"/>
    <c:plotArea>
      <c:layout>
        <c:manualLayout>
          <c:layoutTarget val="inner"/>
          <c:xMode val="edge"/>
          <c:yMode val="edge"/>
          <c:x val="3.7453067633408096E-2"/>
          <c:y val="0.25042857007496011"/>
          <c:w val="0.96182757214002212"/>
          <c:h val="0.33544823142595087"/>
        </c:manualLayout>
      </c:layout>
      <c:lineChart>
        <c:grouping val="standard"/>
        <c:varyColors val="0"/>
        <c:ser>
          <c:idx val="0"/>
          <c:order val="0"/>
          <c:tx>
            <c:strRef>
              <c:f>Лист1!$B$1</c:f>
              <c:strCache>
                <c:ptCount val="1"/>
                <c:pt idx="0">
                  <c:v>Количество граждан состоявших на учете в службе занятости</c:v>
                </c:pt>
              </c:strCache>
            </c:strRef>
          </c:tx>
          <c:spPr>
            <a:ln w="38100">
              <a:solidFill>
                <a:schemeClr val="bg1">
                  <a:lumMod val="50000"/>
                </a:schemeClr>
              </a:solidFill>
              <a:prstDash val="lgDash"/>
            </a:ln>
          </c:spPr>
          <c:marker>
            <c:symbol val="diamond"/>
            <c:size val="8"/>
            <c:spPr>
              <a:solidFill>
                <a:schemeClr val="bg1">
                  <a:lumMod val="50000"/>
                </a:schemeClr>
              </a:solidFill>
              <a:ln>
                <a:solidFill>
                  <a:schemeClr val="tx1"/>
                </a:solidFill>
              </a:ln>
            </c:spPr>
          </c:marker>
          <c:dLbls>
            <c:spPr>
              <a:noFill/>
              <a:ln>
                <a:noFill/>
              </a:ln>
              <a:effectLst/>
            </c:spPr>
            <c:txPr>
              <a:bodyPr/>
              <a:lstStyle/>
              <a:p>
                <a:pPr>
                  <a:defRPr sz="95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Лист1!$A$2:$A$14</c:f>
              <c:numCache>
                <c:formatCode>dd/mm/yyyy</c:formatCode>
                <c:ptCount val="13"/>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numCache>
            </c:numRef>
          </c:cat>
          <c:val>
            <c:numRef>
              <c:f>Лист1!$B$2:$B$14</c:f>
              <c:numCache>
                <c:formatCode>General</c:formatCode>
                <c:ptCount val="13"/>
                <c:pt idx="0">
                  <c:v>5189</c:v>
                </c:pt>
                <c:pt idx="1">
                  <c:v>4849</c:v>
                </c:pt>
                <c:pt idx="2">
                  <c:v>4378</c:v>
                </c:pt>
                <c:pt idx="3">
                  <c:v>4182</c:v>
                </c:pt>
                <c:pt idx="4">
                  <c:v>3806</c:v>
                </c:pt>
                <c:pt idx="5">
                  <c:v>3728</c:v>
                </c:pt>
                <c:pt idx="6">
                  <c:v>3575</c:v>
                </c:pt>
                <c:pt idx="7">
                  <c:v>3337</c:v>
                </c:pt>
                <c:pt idx="8">
                  <c:v>2862</c:v>
                </c:pt>
                <c:pt idx="9">
                  <c:v>2675</c:v>
                </c:pt>
                <c:pt idx="10">
                  <c:v>2621</c:v>
                </c:pt>
                <c:pt idx="11">
                  <c:v>2651</c:v>
                </c:pt>
                <c:pt idx="12">
                  <c:v>2632</c:v>
                </c:pt>
              </c:numCache>
            </c:numRef>
          </c:val>
          <c:smooth val="0"/>
        </c:ser>
        <c:ser>
          <c:idx val="1"/>
          <c:order val="1"/>
          <c:tx>
            <c:strRef>
              <c:f>Лист1!$C$1</c:f>
              <c:strCache>
                <c:ptCount val="1"/>
                <c:pt idx="0">
                  <c:v>Наличие вакансий в базе данных службы занятости</c:v>
                </c:pt>
              </c:strCache>
            </c:strRef>
          </c:tx>
          <c:spPr>
            <a:ln w="38100">
              <a:solidFill>
                <a:schemeClr val="tx1">
                  <a:lumMod val="65000"/>
                  <a:lumOff val="35000"/>
                </a:schemeClr>
              </a:solidFill>
            </a:ln>
          </c:spPr>
          <c:marker>
            <c:spPr>
              <a:solidFill>
                <a:sysClr val="windowText" lastClr="000000">
                  <a:lumMod val="50000"/>
                  <a:lumOff val="50000"/>
                </a:sysClr>
              </a:solidFill>
              <a:ln>
                <a:solidFill>
                  <a:schemeClr val="tx1"/>
                </a:solidFill>
                <a:bevel/>
              </a:ln>
            </c:spPr>
          </c:marker>
          <c:dLbls>
            <c:dLbl>
              <c:idx val="0"/>
              <c:layout>
                <c:manualLayout>
                  <c:x val="1.9550342130987301E-3"/>
                  <c:y val="-0.12033694344164202"/>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550342130987483E-3"/>
                  <c:y val="-0.12033694344164202"/>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2033694344164202"/>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550342130987301E-3"/>
                  <c:y val="-0.12033694344164202"/>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12996389891696791"/>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8201368523949169E-3"/>
                  <c:y val="-4.813856751660555E-3"/>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1.4440433212996401E-2"/>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9550342130987301E-3"/>
                  <c:y val="-4.813856751660555E-3"/>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9550342130987301E-3"/>
                  <c:y val="-9.6269554753309269E-3"/>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9550342130987301E-3"/>
                  <c:y val="-4.8134777376654635E-3"/>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4.8134777376654635E-3"/>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9550342130987301E-3"/>
                  <c:y val="-3.7901399509179496E-7"/>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4.8134777376654635E-3"/>
                </c:manualLayout>
              </c:layout>
              <c:dLblPos val="b"/>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50"/>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Лист1!$A$2:$A$14</c:f>
              <c:numCache>
                <c:formatCode>dd/mm/yyyy</c:formatCode>
                <c:ptCount val="13"/>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numCache>
            </c:numRef>
          </c:cat>
          <c:val>
            <c:numRef>
              <c:f>Лист1!$C$2:$C$14</c:f>
              <c:numCache>
                <c:formatCode>General</c:formatCode>
                <c:ptCount val="13"/>
                <c:pt idx="0">
                  <c:v>1545</c:v>
                </c:pt>
                <c:pt idx="1">
                  <c:v>1781</c:v>
                </c:pt>
                <c:pt idx="2">
                  <c:v>1852</c:v>
                </c:pt>
                <c:pt idx="3">
                  <c:v>1849</c:v>
                </c:pt>
                <c:pt idx="4">
                  <c:v>1941</c:v>
                </c:pt>
                <c:pt idx="5">
                  <c:v>2330</c:v>
                </c:pt>
                <c:pt idx="6">
                  <c:v>2675</c:v>
                </c:pt>
                <c:pt idx="7">
                  <c:v>2735</c:v>
                </c:pt>
                <c:pt idx="8">
                  <c:v>2818</c:v>
                </c:pt>
                <c:pt idx="9">
                  <c:v>2832</c:v>
                </c:pt>
                <c:pt idx="10">
                  <c:v>2878</c:v>
                </c:pt>
                <c:pt idx="11">
                  <c:v>2641</c:v>
                </c:pt>
                <c:pt idx="12">
                  <c:v>2790</c:v>
                </c:pt>
              </c:numCache>
            </c:numRef>
          </c:val>
          <c:smooth val="0"/>
        </c:ser>
        <c:dLbls>
          <c:showLegendKey val="0"/>
          <c:showVal val="0"/>
          <c:showCatName val="0"/>
          <c:showSerName val="0"/>
          <c:showPercent val="0"/>
          <c:showBubbleSize val="0"/>
        </c:dLbls>
        <c:marker val="1"/>
        <c:smooth val="0"/>
        <c:axId val="322730024"/>
        <c:axId val="322730416"/>
      </c:lineChart>
      <c:dateAx>
        <c:axId val="322730024"/>
        <c:scaling>
          <c:orientation val="minMax"/>
        </c:scaling>
        <c:delete val="0"/>
        <c:axPos val="b"/>
        <c:numFmt formatCode="dd/mm/yyyy" sourceLinked="1"/>
        <c:majorTickMark val="cross"/>
        <c:minorTickMark val="none"/>
        <c:tickLblPos val="nextTo"/>
        <c:txPr>
          <a:bodyPr/>
          <a:lstStyle/>
          <a:p>
            <a:pPr>
              <a:defRPr sz="950"/>
            </a:pPr>
            <a:endParaRPr lang="ru-RU"/>
          </a:p>
        </c:txPr>
        <c:crossAx val="322730416"/>
        <c:crosses val="autoZero"/>
        <c:auto val="1"/>
        <c:lblOffset val="100"/>
        <c:baseTimeUnit val="months"/>
      </c:dateAx>
      <c:valAx>
        <c:axId val="322730416"/>
        <c:scaling>
          <c:orientation val="minMax"/>
        </c:scaling>
        <c:delete val="1"/>
        <c:axPos val="l"/>
        <c:numFmt formatCode="General" sourceLinked="1"/>
        <c:majorTickMark val="out"/>
        <c:minorTickMark val="none"/>
        <c:tickLblPos val="nextTo"/>
        <c:crossAx val="322730024"/>
        <c:crosses val="autoZero"/>
        <c:crossBetween val="between"/>
      </c:valAx>
      <c:spPr>
        <a:ln>
          <a:noFill/>
        </a:ln>
      </c:spPr>
    </c:plotArea>
    <c:legend>
      <c:legendPos val="b"/>
      <c:layout>
        <c:manualLayout>
          <c:xMode val="edge"/>
          <c:yMode val="edge"/>
          <c:x val="3.3711563180702134E-2"/>
          <c:y val="0.81549560817533184"/>
          <c:w val="0.92424066783320002"/>
          <c:h val="0.16043700313634326"/>
        </c:manualLayout>
      </c:layout>
      <c:overlay val="0"/>
      <c:txPr>
        <a:bodyPr/>
        <a:lstStyle/>
        <a:p>
          <a:pPr>
            <a:defRPr sz="105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defRPr>
            </a:pPr>
            <a:r>
              <a:rPr lang="ru-RU" sz="1300">
                <a:solidFill>
                  <a:sysClr val="windowText" lastClr="000000"/>
                </a:solidFill>
              </a:rPr>
              <a:t>Структура нерыночных услуг в общем объеме ВВП, %</a:t>
            </a:r>
          </a:p>
        </c:rich>
      </c:tx>
      <c:layout>
        <c:manualLayout>
          <c:xMode val="edge"/>
          <c:yMode val="edge"/>
          <c:x val="0.17456957945403406"/>
          <c:y val="0"/>
        </c:manualLayout>
      </c:layout>
      <c:overlay val="0"/>
    </c:title>
    <c:autoTitleDeleted val="0"/>
    <c:plotArea>
      <c:layout>
        <c:manualLayout>
          <c:layoutTarget val="inner"/>
          <c:xMode val="edge"/>
          <c:yMode val="edge"/>
          <c:x val="9.2002153576956694E-2"/>
          <c:y val="0.13503580093278139"/>
          <c:w val="0.88253481335666351"/>
          <c:h val="0.30293504978544838"/>
        </c:manualLayout>
      </c:layout>
      <c:barChart>
        <c:barDir val="col"/>
        <c:grouping val="clustered"/>
        <c:varyColors val="0"/>
        <c:ser>
          <c:idx val="0"/>
          <c:order val="0"/>
          <c:tx>
            <c:strRef>
              <c:f>Лист1!$B$1</c:f>
              <c:strCache>
                <c:ptCount val="1"/>
                <c:pt idx="0">
                  <c:v>январь-декабрь 2017 года</c:v>
                </c:pt>
              </c:strCache>
            </c:strRef>
          </c:tx>
          <c:spPr>
            <a:solidFill>
              <a:sysClr val="windowText" lastClr="000000">
                <a:lumMod val="50000"/>
                <a:lumOff val="50000"/>
              </a:sysClr>
            </a:solidFill>
            <a:ln>
              <a:solidFill>
                <a:sysClr val="windowText" lastClr="000000"/>
              </a:solidFill>
            </a:ln>
          </c:spPr>
          <c:invertIfNegative val="0"/>
          <c:dLbls>
            <c:dLbl>
              <c:idx val="0"/>
              <c:layout>
                <c:manualLayout>
                  <c:x val="0"/>
                  <c:y val="1.223666284043455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458375395383292E-3"/>
                  <c:y val="1.19049641252128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444444444445429E-3"/>
                  <c:y val="-4.1875459282208826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19047619047619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9446209656717998E-3"/>
                  <c:y val="1.527406727966056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1910237200847134E-4"/>
                  <c:y val="7.604716607239094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4382047440168761E-3"/>
                  <c:y val="7.93648754461885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95">
                <a:noFill/>
              </a:ln>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Лист1!$B$2:$B$8</c:f>
              <c:numCache>
                <c:formatCode>0.0</c:formatCode>
                <c:ptCount val="7"/>
                <c:pt idx="0">
                  <c:v>6.3</c:v>
                </c:pt>
                <c:pt idx="1">
                  <c:v>7</c:v>
                </c:pt>
                <c:pt idx="2">
                  <c:v>0.60000000000000064</c:v>
                </c:pt>
                <c:pt idx="3">
                  <c:v>0.1</c:v>
                </c:pt>
                <c:pt idx="4">
                  <c:v>4.3</c:v>
                </c:pt>
                <c:pt idx="5">
                  <c:v>1</c:v>
                </c:pt>
                <c:pt idx="6">
                  <c:v>8.3000000000000007</c:v>
                </c:pt>
              </c:numCache>
            </c:numRef>
          </c:val>
        </c:ser>
        <c:ser>
          <c:idx val="1"/>
          <c:order val="1"/>
          <c:tx>
            <c:strRef>
              <c:f>Лист1!$C$1</c:f>
              <c:strCache>
                <c:ptCount val="1"/>
                <c:pt idx="0">
                  <c:v>январь-декабрь 2018 года</c:v>
                </c:pt>
              </c:strCache>
            </c:strRef>
          </c:tx>
          <c:spPr>
            <a:solidFill>
              <a:sysClr val="window" lastClr="FFFFFF">
                <a:lumMod val="85000"/>
              </a:sysClr>
            </a:solidFill>
            <a:ln>
              <a:solidFill>
                <a:sysClr val="windowText" lastClr="000000"/>
              </a:solidFill>
            </a:ln>
          </c:spPr>
          <c:invertIfNegative val="0"/>
          <c:dLbls>
            <c:dLbl>
              <c:idx val="0"/>
              <c:layout>
                <c:manualLayout>
                  <c:x val="6.9441079480449574E-3"/>
                  <c:y val="8.5183694419927979E-3"/>
                </c:manualLayout>
              </c:layout>
              <c:tx>
                <c:rich>
                  <a:bodyPr/>
                  <a:lstStyle/>
                  <a:p>
                    <a:r>
                      <a:rPr lang="en-US"/>
                      <a:t>5,6</a:t>
                    </a:r>
                  </a:p>
                  <a:p>
                    <a:endParaRPr lang="en-US"/>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0"/>
                  <c:y val="9.8127734033248096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418803418803424E-4"/>
                  <c:y val="1.606333755534465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7.936507936507941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3508924024797643E-3"/>
                  <c:y val="1.25852701866242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27578834847675E-3"/>
                  <c:y val="6.8071827403842083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375596596804317E-2"/>
                  <c:y val="1.1904891903054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95">
                <a:noFill/>
              </a:ln>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Лист1!$C$2:$C$8</c:f>
              <c:numCache>
                <c:formatCode>0.0</c:formatCode>
                <c:ptCount val="7"/>
                <c:pt idx="0">
                  <c:v>5.6</c:v>
                </c:pt>
                <c:pt idx="1">
                  <c:v>6.4</c:v>
                </c:pt>
                <c:pt idx="2">
                  <c:v>0.60000000000000064</c:v>
                </c:pt>
                <c:pt idx="3">
                  <c:v>0.1</c:v>
                </c:pt>
                <c:pt idx="4">
                  <c:v>4</c:v>
                </c:pt>
                <c:pt idx="5">
                  <c:v>0.9</c:v>
                </c:pt>
                <c:pt idx="6">
                  <c:v>6.3</c:v>
                </c:pt>
              </c:numCache>
            </c:numRef>
          </c:val>
        </c:ser>
        <c:ser>
          <c:idx val="2"/>
          <c:order val="2"/>
          <c:tx>
            <c:strRef>
              <c:f>Лист1!$D$1</c:f>
              <c:strCache>
                <c:ptCount val="1"/>
                <c:pt idx="0">
                  <c:v>Столбец1</c:v>
                </c:pt>
              </c:strCache>
            </c:strRef>
          </c:tx>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Лист1!$D$2:$D$8</c:f>
            </c:numRef>
          </c:val>
        </c:ser>
        <c:dLbls>
          <c:showLegendKey val="0"/>
          <c:showVal val="1"/>
          <c:showCatName val="0"/>
          <c:showSerName val="0"/>
          <c:showPercent val="0"/>
          <c:showBubbleSize val="0"/>
        </c:dLbls>
        <c:gapWidth val="150"/>
        <c:axId val="208982680"/>
        <c:axId val="208983072"/>
      </c:barChart>
      <c:catAx>
        <c:axId val="208982680"/>
        <c:scaling>
          <c:orientation val="minMax"/>
        </c:scaling>
        <c:delete val="0"/>
        <c:axPos val="b"/>
        <c:numFmt formatCode="General" sourceLinked="0"/>
        <c:majorTickMark val="out"/>
        <c:minorTickMark val="none"/>
        <c:tickLblPos val="nextTo"/>
        <c:txPr>
          <a:bodyPr rot="5400000" vert="horz"/>
          <a:lstStyle/>
          <a:p>
            <a:pPr>
              <a:defRPr sz="900"/>
            </a:pPr>
            <a:endParaRPr lang="ru-RU"/>
          </a:p>
        </c:txPr>
        <c:crossAx val="208983072"/>
        <c:crosses val="autoZero"/>
        <c:auto val="1"/>
        <c:lblAlgn val="ctr"/>
        <c:lblOffset val="100"/>
        <c:noMultiLvlLbl val="0"/>
      </c:catAx>
      <c:valAx>
        <c:axId val="208983072"/>
        <c:scaling>
          <c:orientation val="minMax"/>
        </c:scaling>
        <c:delete val="0"/>
        <c:axPos val="l"/>
        <c:numFmt formatCode="0.0" sourceLinked="1"/>
        <c:majorTickMark val="out"/>
        <c:minorTickMark val="none"/>
        <c:tickLblPos val="nextTo"/>
        <c:crossAx val="208982680"/>
        <c:crosses val="autoZero"/>
        <c:crossBetween val="between"/>
      </c:valAx>
    </c:plotArea>
    <c:legend>
      <c:legendPos val="b"/>
      <c:layout>
        <c:manualLayout>
          <c:xMode val="edge"/>
          <c:yMode val="edge"/>
          <c:x val="0.1547400548872786"/>
          <c:y val="0.9047178930219929"/>
          <c:w val="0.64834594372771814"/>
          <c:h val="7.5396506471173824E-2"/>
        </c:manualLayout>
      </c:layout>
      <c:overlay val="0"/>
      <c:txPr>
        <a:bodyPr/>
        <a:lstStyle/>
        <a:p>
          <a:pPr>
            <a:defRPr sz="1050" b="1"/>
          </a:pPr>
          <a:endParaRPr lang="ru-RU"/>
        </a:p>
      </c:txPr>
    </c:legend>
    <c:plotVisOnly val="1"/>
    <c:dispBlanksAs val="gap"/>
    <c:showDLblsOverMax val="0"/>
  </c:chart>
  <c:spPr>
    <a:ln>
      <a:noFill/>
    </a:ln>
  </c:spPr>
  <c:txPr>
    <a:bodyPr/>
    <a:lstStyle/>
    <a:p>
      <a:pPr>
        <a:defRPr sz="800" b="1">
          <a:latin typeface="Times New Roman" pitchFamily="18" charset="0"/>
          <a:cs typeface="Times New Roman"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050"/>
              <a:t>Структура доходов консолидированного бюджета, млн руб. </a:t>
            </a:r>
          </a:p>
        </c:rich>
      </c:tx>
      <c:layout>
        <c:manualLayout>
          <c:xMode val="edge"/>
          <c:yMode val="edge"/>
          <c:x val="0.24746882543296597"/>
          <c:y val="0"/>
        </c:manualLayout>
      </c:layout>
      <c:overlay val="0"/>
      <c:spPr>
        <a:noFill/>
      </c:spPr>
    </c:title>
    <c:autoTitleDeleted val="0"/>
    <c:view3D>
      <c:rotX val="0"/>
      <c:rotY val="0"/>
      <c:rAngAx val="0"/>
    </c:view3D>
    <c:floor>
      <c:thickness val="0"/>
    </c:floor>
    <c:sideWall>
      <c:thickness val="0"/>
    </c:sideWall>
    <c:backWall>
      <c:thickness val="0"/>
    </c:backWall>
    <c:plotArea>
      <c:layout>
        <c:manualLayout>
          <c:layoutTarget val="inner"/>
          <c:xMode val="edge"/>
          <c:yMode val="edge"/>
          <c:x val="0.23784798684397329"/>
          <c:y val="0.22294911052785632"/>
          <c:w val="0.76215199344426265"/>
          <c:h val="0.45194868498582336"/>
        </c:manualLayout>
      </c:layout>
      <c:bar3DChart>
        <c:barDir val="col"/>
        <c:grouping val="stacked"/>
        <c:varyColors val="0"/>
        <c:ser>
          <c:idx val="0"/>
          <c:order val="0"/>
          <c:tx>
            <c:strRef>
              <c:f>Лист1!$B$1</c:f>
              <c:strCache>
                <c:ptCount val="1"/>
                <c:pt idx="0">
                  <c:v>Республиканский бюджет</c:v>
                </c:pt>
              </c:strCache>
            </c:strRef>
          </c:tx>
          <c:spPr>
            <a:solidFill>
              <a:srgbClr val="4BACC6">
                <a:lumMod val="60000"/>
                <a:lumOff val="40000"/>
              </a:srgbClr>
            </a:solidFill>
          </c:spPr>
          <c:invertIfNegative val="0"/>
          <c:dLbls>
            <c:dLbl>
              <c:idx val="0"/>
              <c:layout>
                <c:manualLayout>
                  <c:x val="6.7571258389749304E-3"/>
                  <c:y val="0"/>
                </c:manualLayout>
              </c:layout>
              <c:tx>
                <c:rich>
                  <a:bodyPr/>
                  <a:lstStyle/>
                  <a:p>
                    <a:r>
                      <a:rPr lang="en-US" b="1"/>
                      <a:t>72,8%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67,0%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#,##0.00</c:formatCode>
                <c:ptCount val="2"/>
                <c:pt idx="0">
                  <c:v>72.8</c:v>
                </c:pt>
                <c:pt idx="1">
                  <c:v>67</c:v>
                </c:pt>
              </c:numCache>
            </c:numRef>
          </c:val>
        </c:ser>
        <c:ser>
          <c:idx val="1"/>
          <c:order val="1"/>
          <c:tx>
            <c:strRef>
              <c:f>Лист1!$C$1</c:f>
              <c:strCache>
                <c:ptCount val="1"/>
                <c:pt idx="0">
                  <c:v>Местный бюджет</c:v>
                </c:pt>
              </c:strCache>
            </c:strRef>
          </c:tx>
          <c:spPr>
            <a:solidFill>
              <a:schemeClr val="accent3">
                <a:lumMod val="40000"/>
                <a:lumOff val="60000"/>
              </a:schemeClr>
            </a:solidFill>
          </c:spPr>
          <c:invertIfNegative val="0"/>
          <c:dLbls>
            <c:dLbl>
              <c:idx val="0"/>
              <c:layout>
                <c:manualLayout>
                  <c:x val="1.8370766384829267E-3"/>
                  <c:y val="0"/>
                </c:manualLayout>
              </c:layout>
              <c:tx>
                <c:rich>
                  <a:bodyPr/>
                  <a:lstStyle/>
                  <a:p>
                    <a:r>
                      <a:rPr lang="en-US" b="1"/>
                      <a:t>27,2%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33,0%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#,##0.00</c:formatCode>
                <c:ptCount val="2"/>
                <c:pt idx="0">
                  <c:v>27.2</c:v>
                </c:pt>
                <c:pt idx="1">
                  <c:v>33</c:v>
                </c:pt>
              </c:numCache>
            </c:numRef>
          </c:val>
        </c:ser>
        <c:dLbls>
          <c:showLegendKey val="0"/>
          <c:showVal val="0"/>
          <c:showCatName val="0"/>
          <c:showSerName val="0"/>
          <c:showPercent val="0"/>
          <c:showBubbleSize val="0"/>
        </c:dLbls>
        <c:gapWidth val="150"/>
        <c:shape val="cylinder"/>
        <c:axId val="322731200"/>
        <c:axId val="322731592"/>
        <c:axId val="0"/>
      </c:bar3DChart>
      <c:catAx>
        <c:axId val="322731200"/>
        <c:scaling>
          <c:orientation val="minMax"/>
        </c:scaling>
        <c:delete val="0"/>
        <c:axPos val="b"/>
        <c:numFmt formatCode="General" sourceLinked="0"/>
        <c:majorTickMark val="out"/>
        <c:minorTickMark val="none"/>
        <c:tickLblPos val="nextTo"/>
        <c:txPr>
          <a:bodyPr/>
          <a:lstStyle/>
          <a:p>
            <a:pPr>
              <a:defRPr sz="1000" b="1"/>
            </a:pPr>
            <a:endParaRPr lang="ru-RU"/>
          </a:p>
        </c:txPr>
        <c:crossAx val="322731592"/>
        <c:crosses val="autoZero"/>
        <c:auto val="1"/>
        <c:lblAlgn val="ctr"/>
        <c:lblOffset val="100"/>
        <c:noMultiLvlLbl val="0"/>
      </c:catAx>
      <c:valAx>
        <c:axId val="322731592"/>
        <c:scaling>
          <c:orientation val="minMax"/>
          <c:max val="100"/>
          <c:min val="0"/>
        </c:scaling>
        <c:delete val="0"/>
        <c:axPos val="l"/>
        <c:numFmt formatCode="#,##0.00" sourceLinked="1"/>
        <c:majorTickMark val="out"/>
        <c:minorTickMark val="none"/>
        <c:tickLblPos val="nextTo"/>
        <c:txPr>
          <a:bodyPr/>
          <a:lstStyle/>
          <a:p>
            <a:pPr>
              <a:defRPr sz="1000" b="1"/>
            </a:pPr>
            <a:endParaRPr lang="ru-RU"/>
          </a:p>
        </c:txPr>
        <c:crossAx val="322731200"/>
        <c:crosses val="autoZero"/>
        <c:crossBetween val="between"/>
        <c:majorUnit val="20"/>
      </c:valAx>
    </c:plotArea>
    <c:legend>
      <c:legendPos val="b"/>
      <c:layout>
        <c:manualLayout>
          <c:xMode val="edge"/>
          <c:yMode val="edge"/>
          <c:x val="2.9390422582719442E-2"/>
          <c:y val="0.82971316085489311"/>
          <c:w val="0.8450733492338357"/>
          <c:h val="0.1417154337189363"/>
        </c:manualLayout>
      </c:layout>
      <c:overlay val="0"/>
      <c:txPr>
        <a:bodyPr/>
        <a:lstStyle/>
        <a:p>
          <a:pPr>
            <a:defRPr sz="1100"/>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поступлений в доходную часть Консолидированного бюджета (%) </a:t>
            </a:r>
            <a:endParaRPr lang="ru-RU" sz="1200">
              <a:solidFill>
                <a:srgbClr val="FF0000"/>
              </a:solidFill>
              <a:latin typeface="Times New Roman" pitchFamily="18" charset="0"/>
              <a:cs typeface="Times New Roman" pitchFamily="18" charset="0"/>
            </a:endParaRPr>
          </a:p>
        </c:rich>
      </c:tx>
      <c:layout>
        <c:manualLayout>
          <c:xMode val="edge"/>
          <c:yMode val="edge"/>
          <c:x val="0.14882102895032859"/>
          <c:y val="0"/>
        </c:manualLayout>
      </c:layout>
      <c:overlay val="0"/>
      <c:spPr>
        <a:noFill/>
      </c:spPr>
    </c:title>
    <c:autoTitleDeleted val="0"/>
    <c:plotArea>
      <c:layout>
        <c:manualLayout>
          <c:layoutTarget val="inner"/>
          <c:xMode val="edge"/>
          <c:yMode val="edge"/>
          <c:x val="0.12302614804728494"/>
          <c:y val="0.10181635044696929"/>
          <c:w val="0.52481250370019539"/>
          <c:h val="0.75977840408325859"/>
        </c:manualLayout>
      </c:layout>
      <c:barChart>
        <c:barDir val="col"/>
        <c:grouping val="stacked"/>
        <c:varyColors val="0"/>
        <c:ser>
          <c:idx val="0"/>
          <c:order val="0"/>
          <c:tx>
            <c:strRef>
              <c:f>Лист1!$B$1</c:f>
              <c:strCache>
                <c:ptCount val="1"/>
                <c:pt idx="0">
                  <c:v>Налоговые доходы</c:v>
                </c:pt>
              </c:strCache>
            </c:strRef>
          </c:tx>
          <c:spPr>
            <a:solidFill>
              <a:schemeClr val="accent5">
                <a:lumMod val="75000"/>
              </a:schemeClr>
            </a:solidFill>
          </c:spPr>
          <c:invertIfNegative val="0"/>
          <c:dLbls>
            <c:dLbl>
              <c:idx val="0"/>
              <c:layout>
                <c:manualLayout>
                  <c:x val="-9.6118299445471372E-2"/>
                  <c:y val="-5.420054200542005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035120147874306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General</c:formatCode>
                <c:ptCount val="2"/>
                <c:pt idx="0">
                  <c:v>74.900000000000006</c:v>
                </c:pt>
                <c:pt idx="1">
                  <c:v>69.099999999999994</c:v>
                </c:pt>
              </c:numCache>
            </c:numRef>
          </c:val>
        </c:ser>
        <c:ser>
          <c:idx val="1"/>
          <c:order val="1"/>
          <c:tx>
            <c:strRef>
              <c:f>Лист1!$C$1</c:f>
              <c:strCache>
                <c:ptCount val="1"/>
                <c:pt idx="0">
                  <c:v>Неналоговые доходы</c:v>
                </c:pt>
              </c:strCache>
            </c:strRef>
          </c:tx>
          <c:spPr>
            <a:solidFill>
              <a:srgbClr val="FFFF00"/>
            </a:solidFill>
          </c:spPr>
          <c:invertIfNegative val="0"/>
          <c:dLbls>
            <c:dLbl>
              <c:idx val="0"/>
              <c:layout>
                <c:manualLayout>
                  <c:x val="8.8724584103513568E-2"/>
                  <c:y val="5.420054200542005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118915588416511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0.0</c:formatCode>
                <c:ptCount val="2"/>
                <c:pt idx="0">
                  <c:v>9.4</c:v>
                </c:pt>
                <c:pt idx="1">
                  <c:v>3.7</c:v>
                </c:pt>
              </c:numCache>
            </c:numRef>
          </c:val>
        </c:ser>
        <c:ser>
          <c:idx val="2"/>
          <c:order val="2"/>
          <c:tx>
            <c:strRef>
              <c:f>Лист1!$D$1</c:f>
              <c:strCache>
                <c:ptCount val="1"/>
                <c:pt idx="0">
                  <c:v>Доходы целевых бюджетных фондов</c:v>
                </c:pt>
              </c:strCache>
            </c:strRef>
          </c:tx>
          <c:spPr>
            <a:solidFill>
              <a:schemeClr val="accent6">
                <a:lumMod val="50000"/>
              </a:schemeClr>
            </a:solidFill>
          </c:spPr>
          <c:invertIfNegative val="0"/>
          <c:dLbls>
            <c:dLbl>
              <c:idx val="0"/>
              <c:layout>
                <c:manualLayout>
                  <c:x val="-9.11891558841651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6118299445471331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Лист1!$D$2:$D$3</c:f>
              <c:numCache>
                <c:formatCode>General</c:formatCode>
                <c:ptCount val="2"/>
                <c:pt idx="0">
                  <c:v>8.2000000000000011</c:v>
                </c:pt>
                <c:pt idx="1">
                  <c:v>17.7</c:v>
                </c:pt>
              </c:numCache>
            </c:numRef>
          </c:val>
        </c:ser>
        <c:ser>
          <c:idx val="3"/>
          <c:order val="3"/>
          <c:tx>
            <c:strRef>
              <c:f>Лист1!$E$1</c:f>
              <c:strCache>
                <c:ptCount val="1"/>
                <c:pt idx="0">
                  <c:v>Доходы от предприн. и иной принос. доход деятельности</c:v>
                </c:pt>
              </c:strCache>
            </c:strRef>
          </c:tx>
          <c:spPr>
            <a:solidFill>
              <a:schemeClr val="accent2">
                <a:lumMod val="40000"/>
                <a:lumOff val="60000"/>
              </a:schemeClr>
            </a:solidFill>
          </c:spPr>
          <c:invertIfNegative val="0"/>
          <c:dLbls>
            <c:dLbl>
              <c:idx val="0"/>
              <c:layout>
                <c:manualLayout>
                  <c:x val="9.1747594050743661E-2"/>
                  <c:y val="5.4201861130994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7246003340533E-2"/>
                  <c:y val="-2.467191601049961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Лист1!$E$2:$E$3</c:f>
              <c:numCache>
                <c:formatCode>General</c:formatCode>
                <c:ptCount val="2"/>
                <c:pt idx="0">
                  <c:v>6.6</c:v>
                </c:pt>
                <c:pt idx="1">
                  <c:v>7.3</c:v>
                </c:pt>
              </c:numCache>
            </c:numRef>
          </c:val>
        </c:ser>
        <c:ser>
          <c:idx val="4"/>
          <c:order val="4"/>
          <c:tx>
            <c:strRef>
              <c:f>Лист1!$F$1</c:f>
              <c:strCache>
                <c:ptCount val="1"/>
                <c:pt idx="0">
                  <c:v>Безвозмездные перечисления</c:v>
                </c:pt>
              </c:strCache>
            </c:strRef>
          </c:tx>
          <c:invertIfNegative val="0"/>
          <c:dLbls>
            <c:dLbl>
              <c:idx val="0"/>
              <c:layout>
                <c:manualLayout>
                  <c:x val="-9.119821348298314E-2"/>
                  <c:y val="-1.401554843667355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795371033167768E-2"/>
                  <c:y val="-1.87271246266635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Лист1!$F$2:$F$3</c:f>
              <c:numCache>
                <c:formatCode>General</c:formatCode>
                <c:ptCount val="2"/>
                <c:pt idx="0">
                  <c:v>0.9</c:v>
                </c:pt>
                <c:pt idx="1">
                  <c:v>2.2000000000000002</c:v>
                </c:pt>
              </c:numCache>
            </c:numRef>
          </c:val>
        </c:ser>
        <c:dLbls>
          <c:showLegendKey val="0"/>
          <c:showVal val="0"/>
          <c:showCatName val="0"/>
          <c:showSerName val="0"/>
          <c:showPercent val="0"/>
          <c:showBubbleSize val="0"/>
        </c:dLbls>
        <c:gapWidth val="150"/>
        <c:overlap val="100"/>
        <c:axId val="322732376"/>
        <c:axId val="322732768"/>
      </c:barChart>
      <c:catAx>
        <c:axId val="322732376"/>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322732768"/>
        <c:crosses val="autoZero"/>
        <c:auto val="1"/>
        <c:lblAlgn val="ctr"/>
        <c:lblOffset val="100"/>
        <c:noMultiLvlLbl val="0"/>
      </c:catAx>
      <c:valAx>
        <c:axId val="322732768"/>
        <c:scaling>
          <c:orientation val="minMax"/>
          <c:max val="110"/>
          <c:min val="0"/>
        </c:scaling>
        <c:delete val="0"/>
        <c:axPos val="l"/>
        <c:majorGridlines>
          <c:spPr>
            <a:ln>
              <a:noFill/>
            </a:ln>
          </c:spPr>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322732376"/>
        <c:crosses val="autoZero"/>
        <c:crossBetween val="between"/>
      </c:valAx>
    </c:plotArea>
    <c:legend>
      <c:legendPos val="b"/>
      <c:layout>
        <c:manualLayout>
          <c:xMode val="edge"/>
          <c:yMode val="edge"/>
          <c:x val="0.63597298956414983"/>
          <c:y val="0.10774235881805112"/>
          <c:w val="0.36402707556292724"/>
          <c:h val="0.80798408263483912"/>
        </c:manualLayout>
      </c:layout>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51558882746838E-2"/>
          <c:y val="4.1263941106460797E-2"/>
          <c:w val="0.59981762917933057"/>
          <c:h val="0.79068265115509262"/>
        </c:manualLayout>
      </c:layout>
      <c:barChart>
        <c:barDir val="col"/>
        <c:grouping val="clustered"/>
        <c:varyColors val="0"/>
        <c:ser>
          <c:idx val="0"/>
          <c:order val="0"/>
          <c:tx>
            <c:strRef>
              <c:f>Лист1!$B$1</c:f>
              <c:strCache>
                <c:ptCount val="1"/>
                <c:pt idx="0">
                  <c:v>Налог на доходы организаций по отрасли( подотрасли, виду деятельности)</c:v>
                </c:pt>
              </c:strCache>
            </c:strRef>
          </c:tx>
          <c:spPr>
            <a:solidFill>
              <a:sysClr val="window" lastClr="FFFFFF">
                <a:lumMod val="65000"/>
              </a:sysClr>
            </a:solidFill>
            <a:ln>
              <a:solidFill>
                <a:sysClr val="windowText" lastClr="000000"/>
              </a:solidFill>
            </a:ln>
          </c:spPr>
          <c:invertIfNegative val="0"/>
          <c:dLbls>
            <c:dLbl>
              <c:idx val="0"/>
              <c:layout>
                <c:manualLayout>
                  <c:x val="0.17910796267523421"/>
                  <c:y val="0.37427317080860689"/>
                </c:manualLayout>
              </c:layout>
              <c:tx>
                <c:rich>
                  <a:bodyPr/>
                  <a:lstStyle/>
                  <a:p>
                    <a:r>
                      <a:rPr lang="en-US" sz="800" b="1"/>
                      <a:t>117,1*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7426289333170544"/>
                  <c:y val="0.56521592458600345"/>
                </c:manualLayout>
              </c:layout>
              <c:tx>
                <c:rich>
                  <a:bodyPr/>
                  <a:lstStyle/>
                  <a:p>
                    <a:r>
                      <a:rPr lang="en-US" sz="800" b="1"/>
                      <a:t>60,7*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0.0</c:formatCode>
                <c:ptCount val="2"/>
                <c:pt idx="0">
                  <c:v>733.2</c:v>
                </c:pt>
                <c:pt idx="1">
                  <c:v>801.9</c:v>
                </c:pt>
              </c:numCache>
            </c:numRef>
          </c:val>
        </c:ser>
        <c:ser>
          <c:idx val="1"/>
          <c:order val="1"/>
          <c:tx>
            <c:strRef>
              <c:f>Лист1!$C$1</c:f>
              <c:strCache>
                <c:ptCount val="1"/>
                <c:pt idx="0">
                  <c:v>Подоходный налог с физических лиц</c:v>
                </c:pt>
              </c:strCache>
            </c:strRef>
          </c:tx>
          <c:spPr>
            <a:solidFill>
              <a:srgbClr val="8064A2">
                <a:lumMod val="40000"/>
                <a:lumOff val="60000"/>
              </a:srgbClr>
            </a:solidFill>
            <a:ln>
              <a:solidFill>
                <a:sysClr val="windowText" lastClr="000000"/>
              </a:solidFill>
            </a:ln>
          </c:spPr>
          <c:invertIfNegative val="0"/>
          <c:dLbls>
            <c:dLbl>
              <c:idx val="0"/>
              <c:layout>
                <c:manualLayout>
                  <c:x val="4.0496078154414524E-3"/>
                  <c:y val="9.5352044958344224E-3"/>
                </c:manualLayout>
              </c:layout>
              <c:tx>
                <c:rich>
                  <a:bodyPr/>
                  <a:lstStyle/>
                  <a:p>
                    <a:r>
                      <a:rPr lang="en-US" sz="800" b="1"/>
                      <a:t>99,1*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128089416004521E-2"/>
                  <c:y val="5.9483105152397034E-3"/>
                </c:manualLayout>
              </c:layout>
              <c:tx>
                <c:rich>
                  <a:bodyPr/>
                  <a:lstStyle/>
                  <a:p>
                    <a:r>
                      <a:rPr lang="en-US" sz="800" b="1"/>
                      <a:t>119,4*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0.0</c:formatCode>
                <c:ptCount val="2"/>
                <c:pt idx="0" formatCode="General">
                  <c:v>346.1</c:v>
                </c:pt>
                <c:pt idx="1">
                  <c:v>413.2</c:v>
                </c:pt>
              </c:numCache>
            </c:numRef>
          </c:val>
        </c:ser>
        <c:ser>
          <c:idx val="2"/>
          <c:order val="2"/>
          <c:tx>
            <c:strRef>
              <c:f>Лист1!$D$1</c:f>
              <c:strCache>
                <c:ptCount val="1"/>
                <c:pt idx="0">
                  <c:v>Налоги на товары и услуги, лицензионные и регистрационные сборы</c:v>
                </c:pt>
              </c:strCache>
            </c:strRef>
          </c:tx>
          <c:spPr>
            <a:solidFill>
              <a:srgbClr val="EEECE1">
                <a:lumMod val="50000"/>
              </a:srgbClr>
            </a:solidFill>
            <a:ln>
              <a:solidFill>
                <a:sysClr val="windowText" lastClr="000000"/>
              </a:solidFill>
            </a:ln>
          </c:spPr>
          <c:invertIfNegative val="0"/>
          <c:dLbls>
            <c:dLbl>
              <c:idx val="0"/>
              <c:layout>
                <c:manualLayout>
                  <c:x val="1.0130323858499138E-2"/>
                  <c:y val="6.7380766593365124E-3"/>
                </c:manualLayout>
              </c:layout>
              <c:tx>
                <c:rich>
                  <a:bodyPr/>
                  <a:lstStyle/>
                  <a:p>
                    <a:r>
                      <a:rPr lang="ru-RU" sz="800" b="1"/>
                      <a:t>в 6,5 р.*</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156803598090828E-2"/>
                  <c:y val="1.0927462895966841E-2"/>
                </c:manualLayout>
              </c:layout>
              <c:tx>
                <c:rich>
                  <a:bodyPr/>
                  <a:lstStyle/>
                  <a:p>
                    <a:r>
                      <a:rPr lang="en-US" sz="800" b="1"/>
                      <a:t>47,2*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Лист1!$D$2:$D$3</c:f>
              <c:numCache>
                <c:formatCode>0.0</c:formatCode>
                <c:ptCount val="2"/>
                <c:pt idx="0">
                  <c:v>643.20000000000005</c:v>
                </c:pt>
                <c:pt idx="1">
                  <c:v>303.89999999999969</c:v>
                </c:pt>
              </c:numCache>
            </c:numRef>
          </c:val>
        </c:ser>
        <c:ser>
          <c:idx val="3"/>
          <c:order val="3"/>
          <c:tx>
            <c:strRef>
              <c:f>Лист1!$E$1</c:f>
              <c:strCache>
                <c:ptCount val="1"/>
                <c:pt idx="0">
                  <c:v>Налог на игорную деятельность</c:v>
                </c:pt>
              </c:strCache>
            </c:strRef>
          </c:tx>
          <c:invertIfNegative val="0"/>
          <c:dLbls>
            <c:dLbl>
              <c:idx val="0"/>
              <c:layout>
                <c:manualLayout>
                  <c:x val="6.0776835853864524E-3"/>
                  <c:y val="1.4628171478565362E-2"/>
                </c:manualLayout>
              </c:layout>
              <c:tx>
                <c:rich>
                  <a:bodyPr/>
                  <a:lstStyle/>
                  <a:p>
                    <a:r>
                      <a:rPr lang="en-US" sz="800" b="1"/>
                      <a:t>63,3*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708698126021609E-6"/>
                  <c:y val="1.8171557384155861E-2"/>
                </c:manualLayout>
              </c:layout>
              <c:tx>
                <c:rich>
                  <a:bodyPr/>
                  <a:lstStyle/>
                  <a:p>
                    <a:r>
                      <a:rPr lang="en-US" sz="800" b="1"/>
                      <a:t>105,3*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Лист1!$E$2:$E$3</c:f>
              <c:numCache>
                <c:formatCode>0.0</c:formatCode>
                <c:ptCount val="2"/>
                <c:pt idx="0" formatCode="General">
                  <c:v>5.7</c:v>
                </c:pt>
                <c:pt idx="1">
                  <c:v>6</c:v>
                </c:pt>
              </c:numCache>
            </c:numRef>
          </c:val>
        </c:ser>
        <c:ser>
          <c:idx val="4"/>
          <c:order val="4"/>
          <c:tx>
            <c:strRef>
              <c:f>Лист1!$F$1</c:f>
              <c:strCache>
                <c:ptCount val="1"/>
                <c:pt idx="0">
                  <c:v>Платежи за пользование природными ресурсами</c:v>
                </c:pt>
              </c:strCache>
            </c:strRef>
          </c:tx>
          <c:spPr>
            <a:solidFill>
              <a:srgbClr val="4F81BD">
                <a:lumMod val="20000"/>
                <a:lumOff val="80000"/>
              </a:srgbClr>
            </a:solidFill>
            <a:ln>
              <a:solidFill>
                <a:sysClr val="windowText" lastClr="000000"/>
              </a:solidFill>
            </a:ln>
          </c:spPr>
          <c:invertIfNegative val="0"/>
          <c:dLbls>
            <c:dLbl>
              <c:idx val="0"/>
              <c:layout>
                <c:manualLayout>
                  <c:x val="-6.0821524703756824E-3"/>
                  <c:y val="1.1629267062337941E-2"/>
                </c:manualLayout>
              </c:layout>
              <c:tx>
                <c:rich>
                  <a:bodyPr/>
                  <a:lstStyle/>
                  <a:p>
                    <a:r>
                      <a:rPr lang="en-US" sz="800" b="1"/>
                      <a:t>121,3*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829504855524153E-3"/>
                  <c:y val="1.2171541620360521E-2"/>
                </c:manualLayout>
              </c:layout>
              <c:tx>
                <c:rich>
                  <a:bodyPr/>
                  <a:lstStyle/>
                  <a:p>
                    <a:r>
                      <a:rPr lang="en-US" sz="800" b="1"/>
                      <a:t>86,5*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Лист1!$F$2:$F$3</c:f>
              <c:numCache>
                <c:formatCode>0.0</c:formatCode>
                <c:ptCount val="2"/>
                <c:pt idx="0" formatCode="General">
                  <c:v>138.69999999999999</c:v>
                </c:pt>
                <c:pt idx="1">
                  <c:v>120</c:v>
                </c:pt>
              </c:numCache>
            </c:numRef>
          </c:val>
        </c:ser>
        <c:ser>
          <c:idx val="5"/>
          <c:order val="5"/>
          <c:tx>
            <c:strRef>
              <c:f>Лист1!$G$1</c:f>
              <c:strCache>
                <c:ptCount val="1"/>
                <c:pt idx="0">
                  <c:v>Налоги на внешнюю торговлю и внешнеэкономические операции</c:v>
                </c:pt>
              </c:strCache>
            </c:strRef>
          </c:tx>
          <c:spPr>
            <a:blipFill>
              <a:blip xmlns:r="http://schemas.openxmlformats.org/officeDocument/2006/relationships" r:embed="rId2"/>
              <a:tile tx="0" ty="0" sx="100000" sy="100000" flip="none" algn="tl"/>
            </a:blipFill>
            <a:ln>
              <a:solidFill>
                <a:sysClr val="windowText" lastClr="000000"/>
              </a:solidFill>
            </a:ln>
          </c:spPr>
          <c:invertIfNegative val="0"/>
          <c:dLbls>
            <c:dLbl>
              <c:idx val="0"/>
              <c:layout>
                <c:manualLayout>
                  <c:x val="-0.17426544698027299"/>
                  <c:y val="-0.34855516934257441"/>
                </c:manualLayout>
              </c:layout>
              <c:tx>
                <c:rich>
                  <a:bodyPr/>
                  <a:lstStyle/>
                  <a:p>
                    <a:r>
                      <a:rPr lang="en-US" sz="800" b="1"/>
                      <a:t>108,4*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7426417015598794"/>
                  <c:y val="-0.54247286656735449"/>
                </c:manualLayout>
              </c:layout>
              <c:tx>
                <c:rich>
                  <a:bodyPr/>
                  <a:lstStyle/>
                  <a:p>
                    <a:r>
                      <a:rPr lang="en-US" sz="800" b="1"/>
                      <a:t>109,4*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Лист1!$G$2:$G$3</c:f>
              <c:numCache>
                <c:formatCode>0.0</c:formatCode>
                <c:ptCount val="2"/>
                <c:pt idx="0">
                  <c:v>341</c:v>
                </c:pt>
                <c:pt idx="1">
                  <c:v>207</c:v>
                </c:pt>
              </c:numCache>
            </c:numRef>
          </c:val>
        </c:ser>
        <c:ser>
          <c:idx val="6"/>
          <c:order val="6"/>
          <c:tx>
            <c:strRef>
              <c:f>Лист1!$H$1</c:f>
              <c:strCache>
                <c:ptCount val="1"/>
                <c:pt idx="0">
                  <c:v>Прочие налоги, пошлины и сборы</c:v>
                </c:pt>
              </c:strCache>
            </c:strRef>
          </c:tx>
          <c:spPr>
            <a:blipFill>
              <a:blip xmlns:r="http://schemas.openxmlformats.org/officeDocument/2006/relationships" r:embed="rId3"/>
              <a:tile tx="0" ty="0" sx="100000" sy="100000" flip="none" algn="tl"/>
            </a:blipFill>
            <a:ln>
              <a:solidFill>
                <a:sysClr val="windowText" lastClr="000000"/>
              </a:solidFill>
            </a:ln>
          </c:spPr>
          <c:invertIfNegative val="0"/>
          <c:dLbls>
            <c:dLbl>
              <c:idx val="0"/>
              <c:layout>
                <c:manualLayout>
                  <c:x val="8.1041633249781149E-3"/>
                  <c:y val="1.29162233099241E-2"/>
                </c:manualLayout>
              </c:layout>
              <c:tx>
                <c:rich>
                  <a:bodyPr/>
                  <a:lstStyle/>
                  <a:p>
                    <a:r>
                      <a:rPr lang="en-US" sz="800" b="1"/>
                      <a:t>126,5*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212635931910163E-2"/>
                  <c:y val="1.7016701741111202E-2"/>
                </c:manualLayout>
              </c:layout>
              <c:tx>
                <c:rich>
                  <a:bodyPr/>
                  <a:lstStyle/>
                  <a:p>
                    <a:r>
                      <a:rPr lang="en-US" sz="800" b="1"/>
                      <a:t>153,8*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Лист1!$H$2:$H$3</c:f>
              <c:numCache>
                <c:formatCode>0.0</c:formatCode>
                <c:ptCount val="2"/>
                <c:pt idx="0">
                  <c:v>115.9</c:v>
                </c:pt>
                <c:pt idx="1">
                  <c:v>178.2</c:v>
                </c:pt>
              </c:numCache>
            </c:numRef>
          </c:val>
        </c:ser>
        <c:dLbls>
          <c:showLegendKey val="0"/>
          <c:showVal val="0"/>
          <c:showCatName val="0"/>
          <c:showSerName val="0"/>
          <c:showPercent val="0"/>
          <c:showBubbleSize val="0"/>
        </c:dLbls>
        <c:gapWidth val="150"/>
        <c:axId val="322733552"/>
        <c:axId val="379338880"/>
      </c:barChart>
      <c:catAx>
        <c:axId val="322733552"/>
        <c:scaling>
          <c:orientation val="minMax"/>
        </c:scaling>
        <c:delete val="0"/>
        <c:axPos val="b"/>
        <c:numFmt formatCode="General" sourceLinked="0"/>
        <c:majorTickMark val="out"/>
        <c:minorTickMark val="none"/>
        <c:tickLblPos val="nextTo"/>
        <c:txPr>
          <a:bodyPr/>
          <a:lstStyle/>
          <a:p>
            <a:pPr>
              <a:defRPr b="1"/>
            </a:pPr>
            <a:endParaRPr lang="ru-RU"/>
          </a:p>
        </c:txPr>
        <c:crossAx val="379338880"/>
        <c:crosses val="autoZero"/>
        <c:auto val="1"/>
        <c:lblAlgn val="ctr"/>
        <c:lblOffset val="100"/>
        <c:noMultiLvlLbl val="0"/>
      </c:catAx>
      <c:valAx>
        <c:axId val="379338880"/>
        <c:scaling>
          <c:orientation val="minMax"/>
          <c:max val="850"/>
        </c:scaling>
        <c:delete val="0"/>
        <c:axPos val="l"/>
        <c:numFmt formatCode="0.0" sourceLinked="1"/>
        <c:majorTickMark val="out"/>
        <c:minorTickMark val="none"/>
        <c:tickLblPos val="nextTo"/>
        <c:txPr>
          <a:bodyPr/>
          <a:lstStyle/>
          <a:p>
            <a:pPr>
              <a:defRPr b="1"/>
            </a:pPr>
            <a:endParaRPr lang="ru-RU"/>
          </a:p>
        </c:txPr>
        <c:crossAx val="322733552"/>
        <c:crosses val="autoZero"/>
        <c:crossBetween val="between"/>
        <c:majorUnit val="50"/>
      </c:valAx>
    </c:plotArea>
    <c:legend>
      <c:legendPos val="r"/>
      <c:layout>
        <c:manualLayout>
          <c:xMode val="edge"/>
          <c:yMode val="edge"/>
          <c:x val="0.67933130699090005"/>
          <c:y val="0"/>
          <c:w val="0.31772539070915001"/>
          <c:h val="0.92282958199356913"/>
        </c:manualLayout>
      </c:layout>
      <c:overlay val="0"/>
      <c:spPr>
        <a:solidFill>
          <a:schemeClr val="bg1"/>
        </a:solidFill>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a:t>2017 год </a:t>
            </a:r>
          </a:p>
        </c:rich>
      </c:tx>
      <c:layout>
        <c:manualLayout>
          <c:xMode val="edge"/>
          <c:yMode val="edge"/>
          <c:x val="0.4997207028510775"/>
          <c:y val="5.8181818181818175E-2"/>
        </c:manualLayout>
      </c:layout>
      <c:overlay val="0"/>
      <c:spPr>
        <a:solidFill>
          <a:schemeClr val="bg1"/>
        </a:solidFill>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4.3794754663300683E-2"/>
          <c:y val="0"/>
          <c:w val="0.82810923443730344"/>
          <c:h val="1"/>
        </c:manualLayout>
      </c:layout>
      <c:pie3DChart>
        <c:varyColors val="1"/>
        <c:ser>
          <c:idx val="0"/>
          <c:order val="0"/>
          <c:tx>
            <c:strRef>
              <c:f>Лист1!$B$1</c:f>
              <c:strCache>
                <c:ptCount val="1"/>
                <c:pt idx="0">
                  <c:v>2017 год</c:v>
                </c:pt>
              </c:strCache>
            </c:strRef>
          </c:tx>
          <c:explosion val="25"/>
          <c:dPt>
            <c:idx val="0"/>
            <c:bubble3D val="0"/>
            <c:explosion val="13"/>
            <c:spPr>
              <a:blipFill>
                <a:blip xmlns:r="http://schemas.openxmlformats.org/officeDocument/2006/relationships" r:embed="rId2"/>
                <a:tile tx="0" ty="0" sx="100000" sy="100000" flip="none" algn="tl"/>
              </a:blipFill>
              <a:ln>
                <a:solidFill>
                  <a:sysClr val="windowText" lastClr="000000"/>
                </a:solidFill>
              </a:ln>
            </c:spPr>
          </c:dPt>
          <c:dPt>
            <c:idx val="1"/>
            <c:bubble3D val="0"/>
            <c:explosion val="20"/>
            <c:spPr>
              <a:solidFill>
                <a:srgbClr val="4BACC6">
                  <a:lumMod val="40000"/>
                  <a:lumOff val="60000"/>
                </a:srgbClr>
              </a:solidFill>
              <a:ln>
                <a:solidFill>
                  <a:sysClr val="windowText" lastClr="000000"/>
                </a:solidFill>
              </a:ln>
            </c:spPr>
          </c:dPt>
          <c:dPt>
            <c:idx val="2"/>
            <c:bubble3D val="0"/>
            <c:explosion val="17"/>
            <c:spPr>
              <a:blipFill>
                <a:blip xmlns:r="http://schemas.openxmlformats.org/officeDocument/2006/relationships" r:embed="rId3"/>
                <a:tile tx="0" ty="0" sx="100000" sy="100000" flip="none" algn="tl"/>
              </a:blipFill>
              <a:ln>
                <a:solidFill>
                  <a:sysClr val="windowText" lastClr="000000"/>
                </a:solidFill>
              </a:ln>
            </c:spPr>
          </c:dPt>
          <c:dPt>
            <c:idx val="3"/>
            <c:bubble3D val="0"/>
            <c:explosion val="18"/>
            <c:spPr>
              <a:blipFill>
                <a:blip xmlns:r="http://schemas.openxmlformats.org/officeDocument/2006/relationships" r:embed="rId4"/>
                <a:tile tx="0" ty="0" sx="100000" sy="100000" flip="none" algn="tl"/>
              </a:blipFill>
              <a:ln>
                <a:solidFill>
                  <a:sysClr val="windowText" lastClr="000000"/>
                </a:solidFill>
              </a:ln>
            </c:spPr>
          </c:dPt>
          <c:dLbls>
            <c:dLbl>
              <c:idx val="0"/>
              <c:layout>
                <c:manualLayout>
                  <c:x val="-0.17398849952916451"/>
                  <c:y val="0.1178876640419946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935024343331243E-2"/>
                  <c:y val="-5.00195657361011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312576385967022E-2"/>
                  <c:y val="-0.10570918635170606"/>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811365042784291"/>
                  <c:y val="-6.61157718921499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163463438037982E-2"/>
                  <c:y val="-3.369102118049197E-2"/>
                </c:manualLayout>
              </c:layout>
              <c:tx>
                <c:rich>
                  <a:bodyPr/>
                  <a:lstStyle/>
                  <a:p>
                    <a:r>
                      <a:rPr lang="en-US" sz="1050"/>
                      <a:t>0,0</a:t>
                    </a:r>
                    <a:r>
                      <a:rPr lang="ru-RU" sz="1050"/>
                      <a:t>06</a:t>
                    </a:r>
                    <a:endParaRPr lang="en-US" sz="105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80.7</c:v>
                </c:pt>
                <c:pt idx="1">
                  <c:v>3.1</c:v>
                </c:pt>
                <c:pt idx="2" formatCode="0.0">
                  <c:v>2.5</c:v>
                </c:pt>
                <c:pt idx="3">
                  <c:v>13.7</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sz="1100">
          <a:latin typeface="Times New Roman" pitchFamily="18" charset="0"/>
          <a:cs typeface="Times New Roman" pitchFamily="18" charset="0"/>
        </a:defRPr>
      </a:pPr>
      <a:endParaRPr lang="ru-RU"/>
    </a:p>
  </c:txPr>
  <c:externalData r:id="rId5">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a:t>2018 год </a:t>
            </a:r>
          </a:p>
        </c:rich>
      </c:tx>
      <c:layout>
        <c:manualLayout>
          <c:xMode val="edge"/>
          <c:yMode val="edge"/>
          <c:x val="0.35156575513530897"/>
          <c:y val="0"/>
        </c:manualLayout>
      </c:layout>
      <c:overlay val="0"/>
      <c:spPr>
        <a:solidFill>
          <a:schemeClr val="bg1"/>
        </a:solidFill>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6.3263412073490816E-2"/>
          <c:y val="9.1991203802227445E-2"/>
          <c:w val="0.5418165529308836"/>
          <c:h val="0.75466553167341377"/>
        </c:manualLayout>
      </c:layout>
      <c:pie3DChart>
        <c:varyColors val="1"/>
        <c:ser>
          <c:idx val="0"/>
          <c:order val="0"/>
          <c:tx>
            <c:strRef>
              <c:f>Лист1!$B$1</c:f>
              <c:strCache>
                <c:ptCount val="1"/>
                <c:pt idx="0">
                  <c:v>2018 год</c:v>
                </c:pt>
              </c:strCache>
            </c:strRef>
          </c:tx>
          <c:explosion val="25"/>
          <c:dPt>
            <c:idx val="0"/>
            <c:bubble3D val="0"/>
            <c:explosion val="13"/>
            <c:spPr>
              <a:blipFill>
                <a:blip xmlns:r="http://schemas.openxmlformats.org/officeDocument/2006/relationships" r:embed="rId2"/>
                <a:tile tx="0" ty="0" sx="100000" sy="100000" flip="none" algn="tl"/>
              </a:blipFill>
              <a:ln>
                <a:solidFill>
                  <a:sysClr val="windowText" lastClr="000000"/>
                </a:solidFill>
              </a:ln>
            </c:spPr>
          </c:dPt>
          <c:dPt>
            <c:idx val="1"/>
            <c:bubble3D val="0"/>
            <c:explosion val="20"/>
            <c:spPr>
              <a:solidFill>
                <a:srgbClr val="4BACC6">
                  <a:lumMod val="40000"/>
                  <a:lumOff val="60000"/>
                </a:srgbClr>
              </a:solidFill>
              <a:ln>
                <a:solidFill>
                  <a:sysClr val="windowText" lastClr="000000"/>
                </a:solidFill>
              </a:ln>
            </c:spPr>
          </c:dPt>
          <c:dPt>
            <c:idx val="2"/>
            <c:bubble3D val="0"/>
            <c:explosion val="17"/>
            <c:spPr>
              <a:blipFill>
                <a:blip xmlns:r="http://schemas.openxmlformats.org/officeDocument/2006/relationships" r:embed="rId3"/>
                <a:tile tx="0" ty="0" sx="100000" sy="100000" flip="none" algn="tl"/>
              </a:blipFill>
              <a:ln>
                <a:solidFill>
                  <a:sysClr val="windowText" lastClr="000000"/>
                </a:solidFill>
              </a:ln>
            </c:spPr>
          </c:dPt>
          <c:dPt>
            <c:idx val="3"/>
            <c:bubble3D val="0"/>
            <c:explosion val="18"/>
            <c:spPr>
              <a:blipFill>
                <a:blip xmlns:r="http://schemas.openxmlformats.org/officeDocument/2006/relationships" r:embed="rId4"/>
                <a:tile tx="0" ty="0" sx="100000" sy="100000" flip="none" algn="tl"/>
              </a:blipFill>
              <a:ln>
                <a:solidFill>
                  <a:sysClr val="windowText" lastClr="000000"/>
                </a:solidFill>
              </a:ln>
            </c:spPr>
          </c:dPt>
          <c:dPt>
            <c:idx val="5"/>
            <c:bubble3D val="0"/>
            <c:spPr>
              <a:blipFill>
                <a:blip xmlns:r="http://schemas.openxmlformats.org/officeDocument/2006/relationships" r:embed="rId5"/>
                <a:tile tx="0" ty="0" sx="100000" sy="100000" flip="none" algn="tl"/>
              </a:blipFill>
            </c:spPr>
          </c:dPt>
          <c:dLbls>
            <c:dLbl>
              <c:idx val="0"/>
              <c:layout>
                <c:manualLayout>
                  <c:x val="-0.11433938757655286"/>
                  <c:y val="0.2486831038012144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0256410256410327"/>
                  <c:y val="0.1162139867651677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657431709925269E-2"/>
                  <c:y val="6.47744707587229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986704653371402E-2"/>
                  <c:y val="-9.70042258231235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803717911329461E-2"/>
                  <c:y val="-3.3691058887909416E-2"/>
                </c:manualLayout>
              </c:layout>
              <c:tx>
                <c:rich>
                  <a:bodyPr/>
                  <a:lstStyle/>
                  <a:p>
                    <a:r>
                      <a:rPr lang="en-US" sz="1050"/>
                      <a:t>3,9</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9830854476523762E-2"/>
                  <c:y val="-2.31214341450561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pt idx="4">
                  <c:v>Доходы от внешнеэкоономической деятельности</c:v>
                </c:pt>
                <c:pt idx="5">
                  <c:v>Прочие</c:v>
                </c:pt>
              </c:strCache>
            </c:strRef>
          </c:cat>
          <c:val>
            <c:numRef>
              <c:f>Лист1!$B$2:$B$7</c:f>
              <c:numCache>
                <c:formatCode>General</c:formatCode>
                <c:ptCount val="6"/>
                <c:pt idx="0">
                  <c:v>54.3</c:v>
                </c:pt>
                <c:pt idx="1">
                  <c:v>5.4</c:v>
                </c:pt>
                <c:pt idx="2" formatCode="0.0">
                  <c:v>6</c:v>
                </c:pt>
                <c:pt idx="3">
                  <c:v>23.2</c:v>
                </c:pt>
                <c:pt idx="4">
                  <c:v>3.9</c:v>
                </c:pt>
                <c:pt idx="5">
                  <c:v>7.2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405355580552469"/>
          <c:y val="0"/>
          <c:w val="0.36197819022622707"/>
          <c:h val="1"/>
        </c:manualLayout>
      </c:layout>
      <c:overlay val="0"/>
      <c:txPr>
        <a:bodyPr/>
        <a:lstStyle/>
        <a:p>
          <a:pPr>
            <a:defRPr sz="800" b="0"/>
          </a:pPr>
          <a:endParaRPr lang="ru-RU"/>
        </a:p>
      </c:txPr>
    </c:legend>
    <c:plotVisOnly val="1"/>
    <c:dispBlanksAs val="zero"/>
    <c:showDLblsOverMax val="0"/>
  </c:chart>
  <c:spPr>
    <a:ln>
      <a:noFill/>
    </a:ln>
  </c:spPr>
  <c:txPr>
    <a:bodyPr/>
    <a:lstStyle/>
    <a:p>
      <a:pPr>
        <a:defRPr sz="1100">
          <a:latin typeface="Times New Roman" pitchFamily="18" charset="0"/>
          <a:cs typeface="Times New Roman" pitchFamily="18" charset="0"/>
        </a:defRPr>
      </a:pPr>
      <a:endParaRPr lang="ru-RU"/>
    </a:p>
  </c:txPr>
  <c:externalData r:id="rId6">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300"/>
            </a:pPr>
            <a:r>
              <a:rPr lang="ru-RU" sz="1300"/>
              <a:t>Динамика расходов консолидированного бюджета за </a:t>
            </a:r>
            <a:r>
              <a:rPr lang="en-US" sz="1300"/>
              <a:t> </a:t>
            </a:r>
            <a:r>
              <a:rPr lang="ru-RU" sz="1300"/>
              <a:t>2017 - 2018 годы, млн руб.</a:t>
            </a:r>
            <a:endParaRPr lang="ru-RU" sz="1300">
              <a:solidFill>
                <a:srgbClr val="FF0000"/>
              </a:solidFill>
            </a:endParaRPr>
          </a:p>
        </c:rich>
      </c:tx>
      <c:layout>
        <c:manualLayout>
          <c:xMode val="edge"/>
          <c:yMode val="edge"/>
          <c:x val="0.15053050186908454"/>
          <c:y val="2.4377259446342791E-2"/>
        </c:manualLayout>
      </c:layout>
      <c:overlay val="0"/>
      <c:spPr>
        <a:noFill/>
      </c:spPr>
    </c:title>
    <c:autoTitleDeleted val="0"/>
    <c:plotArea>
      <c:layout>
        <c:manualLayout>
          <c:layoutTarget val="inner"/>
          <c:xMode val="edge"/>
          <c:yMode val="edge"/>
          <c:x val="0.17724193566714069"/>
          <c:y val="0.26330560095083261"/>
          <c:w val="0.76215199344426265"/>
          <c:h val="0.48968454414897133"/>
        </c:manualLayout>
      </c:layout>
      <c:barChart>
        <c:barDir val="col"/>
        <c:grouping val="stacked"/>
        <c:varyColors val="0"/>
        <c:ser>
          <c:idx val="0"/>
          <c:order val="0"/>
          <c:tx>
            <c:strRef>
              <c:f>Лист1!$B$1</c:f>
              <c:strCache>
                <c:ptCount val="1"/>
                <c:pt idx="0">
                  <c:v>Республиканский бюджет</c:v>
                </c:pt>
              </c:strCache>
            </c:strRef>
          </c:tx>
          <c:spPr>
            <a:gradFill>
              <a:gsLst>
                <a:gs pos="0">
                  <a:srgbClr val="D6B19C"/>
                </a:gs>
                <a:gs pos="30000">
                  <a:srgbClr val="D49E6C"/>
                </a:gs>
                <a:gs pos="70000">
                  <a:srgbClr val="A65528"/>
                </a:gs>
                <a:gs pos="100000">
                  <a:srgbClr val="663012"/>
                </a:gs>
              </a:gsLst>
              <a:lin ang="5400000" scaled="0"/>
            </a:gradFill>
            <a:ln>
              <a:solidFill>
                <a:sysClr val="windowText" lastClr="000000"/>
              </a:solidFill>
            </a:ln>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2017 год</c:v>
                </c:pt>
                <c:pt idx="1">
                  <c:v>2018 год</c:v>
                </c:pt>
              </c:strCache>
            </c:strRef>
          </c:cat>
          <c:val>
            <c:numRef>
              <c:f>Лист1!$B$2:$B$3</c:f>
              <c:numCache>
                <c:formatCode>#,##0.0</c:formatCode>
                <c:ptCount val="2"/>
                <c:pt idx="0">
                  <c:v>72.400000000000006</c:v>
                </c:pt>
                <c:pt idx="1">
                  <c:v>69.900000000000006</c:v>
                </c:pt>
              </c:numCache>
            </c:numRef>
          </c:val>
        </c:ser>
        <c:ser>
          <c:idx val="1"/>
          <c:order val="1"/>
          <c:tx>
            <c:strRef>
              <c:f>Лист1!$C$1</c:f>
              <c:strCache>
                <c:ptCount val="1"/>
                <c:pt idx="0">
                  <c:v>Местный бюджет</c:v>
                </c:pt>
              </c:strCache>
            </c:strRef>
          </c:tx>
          <c:spPr>
            <a:gradFill>
              <a:gsLst>
                <a:gs pos="0">
                  <a:schemeClr val="accent6">
                    <a:lumMod val="60000"/>
                    <a:lumOff val="40000"/>
                  </a:schemeClr>
                </a:gs>
                <a:gs pos="53000">
                  <a:srgbClr val="D4DEFF"/>
                </a:gs>
                <a:gs pos="83000">
                  <a:srgbClr val="D4DEFF"/>
                </a:gs>
                <a:gs pos="100000">
                  <a:srgbClr val="96AB94"/>
                </a:gs>
              </a:gsLst>
              <a:lin ang="1800000" scaled="0"/>
            </a:gradFill>
            <a:ln>
              <a:solidFill>
                <a:sysClr val="windowText" lastClr="000000"/>
              </a:solidFill>
            </a:ln>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2017 год</c:v>
                </c:pt>
                <c:pt idx="1">
                  <c:v>2018 год</c:v>
                </c:pt>
              </c:strCache>
            </c:strRef>
          </c:cat>
          <c:val>
            <c:numRef>
              <c:f>Лист1!$C$2:$C$3</c:f>
              <c:numCache>
                <c:formatCode>#,##0.0</c:formatCode>
                <c:ptCount val="2"/>
                <c:pt idx="0">
                  <c:v>27.6</c:v>
                </c:pt>
                <c:pt idx="1">
                  <c:v>30.1</c:v>
                </c:pt>
              </c:numCache>
            </c:numRef>
          </c:val>
        </c:ser>
        <c:dLbls>
          <c:showLegendKey val="0"/>
          <c:showVal val="0"/>
          <c:showCatName val="0"/>
          <c:showSerName val="0"/>
          <c:showPercent val="0"/>
          <c:showBubbleSize val="0"/>
        </c:dLbls>
        <c:gapWidth val="150"/>
        <c:overlap val="100"/>
        <c:axId val="379340840"/>
        <c:axId val="379341232"/>
      </c:barChart>
      <c:catAx>
        <c:axId val="379340840"/>
        <c:scaling>
          <c:orientation val="minMax"/>
        </c:scaling>
        <c:delete val="0"/>
        <c:axPos val="b"/>
        <c:numFmt formatCode="General" sourceLinked="0"/>
        <c:majorTickMark val="out"/>
        <c:minorTickMark val="none"/>
        <c:tickLblPos val="nextTo"/>
        <c:txPr>
          <a:bodyPr/>
          <a:lstStyle/>
          <a:p>
            <a:pPr>
              <a:defRPr sz="1000" b="1"/>
            </a:pPr>
            <a:endParaRPr lang="ru-RU"/>
          </a:p>
        </c:txPr>
        <c:crossAx val="379341232"/>
        <c:crosses val="autoZero"/>
        <c:auto val="1"/>
        <c:lblAlgn val="ctr"/>
        <c:lblOffset val="100"/>
        <c:noMultiLvlLbl val="0"/>
      </c:catAx>
      <c:valAx>
        <c:axId val="379341232"/>
        <c:scaling>
          <c:orientation val="minMax"/>
          <c:max val="100"/>
          <c:min val="0"/>
        </c:scaling>
        <c:delete val="0"/>
        <c:axPos val="l"/>
        <c:numFmt formatCode="#,##0.0" sourceLinked="1"/>
        <c:majorTickMark val="out"/>
        <c:minorTickMark val="none"/>
        <c:tickLblPos val="nextTo"/>
        <c:txPr>
          <a:bodyPr/>
          <a:lstStyle/>
          <a:p>
            <a:pPr>
              <a:defRPr sz="1000" b="1"/>
            </a:pPr>
            <a:endParaRPr lang="ru-RU"/>
          </a:p>
        </c:txPr>
        <c:crossAx val="379340840"/>
        <c:crosses val="autoZero"/>
        <c:crossBetween val="between"/>
        <c:majorUnit val="20"/>
      </c:valAx>
    </c:plotArea>
    <c:legend>
      <c:legendPos val="b"/>
      <c:layout>
        <c:manualLayout>
          <c:xMode val="edge"/>
          <c:yMode val="edge"/>
          <c:x val="6.4021997250344534E-2"/>
          <c:y val="0.87423130079754519"/>
          <c:w val="0.93303050266127163"/>
          <c:h val="0.12412430319321872"/>
        </c:manualLayout>
      </c:layout>
      <c:overlay val="0"/>
      <c:txPr>
        <a:bodyPr/>
        <a:lstStyle/>
        <a:p>
          <a:pPr>
            <a:defRPr sz="1100" b="1"/>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pPr>
            <a:r>
              <a:rPr lang="ru-RU" sz="1100"/>
              <a:t>201</a:t>
            </a:r>
            <a:r>
              <a:rPr lang="ru-RU" sz="1100" baseline="0"/>
              <a:t>7 </a:t>
            </a:r>
            <a:r>
              <a:rPr lang="ru-RU" sz="1100"/>
              <a:t>год</a:t>
            </a:r>
          </a:p>
        </c:rich>
      </c:tx>
      <c:layout>
        <c:manualLayout>
          <c:xMode val="edge"/>
          <c:yMode val="edge"/>
          <c:x val="0.64806399200099984"/>
          <c:y val="5.0438376054057102E-4"/>
        </c:manualLayout>
      </c:layout>
      <c:overlay val="0"/>
      <c:spPr>
        <a:noFill/>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0.17598454039398922"/>
          <c:y val="7.864385372881022E-2"/>
          <c:w val="0.68741022756770787"/>
          <c:h val="0.88808833106388063"/>
        </c:manualLayout>
      </c:layout>
      <c:pie3DChart>
        <c:varyColors val="1"/>
        <c:ser>
          <c:idx val="0"/>
          <c:order val="0"/>
          <c:tx>
            <c:strRef>
              <c:f>Лист1!$B$1</c:f>
              <c:strCache>
                <c:ptCount val="1"/>
                <c:pt idx="0">
                  <c:v>17</c:v>
                </c:pt>
              </c:strCache>
            </c:strRef>
          </c:tx>
          <c:explosion val="28"/>
          <c:dPt>
            <c:idx val="0"/>
            <c:bubble3D val="0"/>
            <c:explosion val="6"/>
            <c:spPr>
              <a:blipFill>
                <a:blip xmlns:r="http://schemas.openxmlformats.org/officeDocument/2006/relationships" r:embed="rId2"/>
                <a:tile tx="0" ty="0" sx="100000" sy="100000" flip="none" algn="tl"/>
              </a:blipFill>
              <a:ln>
                <a:solidFill>
                  <a:sysClr val="windowText" lastClr="000000"/>
                </a:solidFill>
              </a:ln>
            </c:spPr>
          </c:dPt>
          <c:dPt>
            <c:idx val="1"/>
            <c:bubble3D val="0"/>
            <c:spPr>
              <a:blipFill>
                <a:blip xmlns:r="http://schemas.openxmlformats.org/officeDocument/2006/relationships" r:embed="rId3"/>
                <a:tile tx="0" ty="0" sx="100000" sy="100000" flip="none" algn="tl"/>
              </a:blipFill>
              <a:ln>
                <a:solidFill>
                  <a:sysClr val="windowText" lastClr="000000"/>
                </a:solidFill>
              </a:ln>
            </c:spPr>
          </c:dPt>
          <c:dPt>
            <c:idx val="2"/>
            <c:bubble3D val="0"/>
            <c:spPr>
              <a:blipFill>
                <a:blip xmlns:r="http://schemas.openxmlformats.org/officeDocument/2006/relationships" r:embed="rId4"/>
                <a:tile tx="0" ty="0" sx="100000" sy="100000" flip="none" algn="tl"/>
              </a:blipFill>
              <a:ln>
                <a:solidFill>
                  <a:sysClr val="windowText" lastClr="000000"/>
                </a:solidFill>
              </a:ln>
            </c:spPr>
          </c:dPt>
          <c:dPt>
            <c:idx val="3"/>
            <c:bubble3D val="0"/>
            <c:spPr>
              <a:blipFill>
                <a:blip xmlns:r="http://schemas.openxmlformats.org/officeDocument/2006/relationships" r:embed="rId5"/>
                <a:tile tx="0" ty="0" sx="100000" sy="100000" flip="none" algn="tl"/>
              </a:blipFill>
              <a:ln>
                <a:solidFill>
                  <a:sysClr val="windowText" lastClr="000000"/>
                </a:solidFill>
              </a:ln>
            </c:spPr>
          </c:dPt>
          <c:dPt>
            <c:idx val="4"/>
            <c:bubble3D val="0"/>
            <c:spPr>
              <a:solidFill>
                <a:sysClr val="window" lastClr="FFFFFF">
                  <a:lumMod val="85000"/>
                </a:sysClr>
              </a:solidFill>
              <a:ln>
                <a:solidFill>
                  <a:sysClr val="windowText" lastClr="000000"/>
                </a:solidFill>
              </a:ln>
            </c:spPr>
          </c:dPt>
          <c:dPt>
            <c:idx val="5"/>
            <c:bubble3D val="0"/>
            <c:spPr>
              <a:solidFill>
                <a:schemeClr val="tx2">
                  <a:lumMod val="50000"/>
                </a:schemeClr>
              </a:solidFill>
              <a:ln>
                <a:solidFill>
                  <a:sysClr val="windowText" lastClr="000000"/>
                </a:solidFill>
              </a:ln>
            </c:spPr>
          </c:dPt>
          <c:dLbls>
            <c:dLbl>
              <c:idx val="0"/>
              <c:layout>
                <c:manualLayout>
                  <c:x val="2.0174785844077184E-2"/>
                  <c:y val="-0.1695390629362819"/>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4748002653514491"/>
                  <c:y val="6.57298263249008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685836836767212E-2"/>
                  <c:y val="5.44104638853849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188034188034191E-2"/>
                  <c:y val="-9.73962465218163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596465826957221E-2"/>
                  <c:y val="-7.39869032311542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328206767221296"/>
                  <c:y val="-5.70199848836339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42.9</c:v>
                </c:pt>
                <c:pt idx="1">
                  <c:v>14.1</c:v>
                </c:pt>
                <c:pt idx="2" formatCode="0.0">
                  <c:v>6</c:v>
                </c:pt>
                <c:pt idx="3" formatCode="0.0">
                  <c:v>26.3</c:v>
                </c:pt>
                <c:pt idx="4">
                  <c:v>5.2</c:v>
                </c:pt>
                <c:pt idx="5" formatCode="0.0">
                  <c:v>5.5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6">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2018</a:t>
            </a:r>
            <a:r>
              <a:rPr lang="ru-RU" sz="1100" baseline="0"/>
              <a:t> </a:t>
            </a:r>
            <a:r>
              <a:rPr lang="ru-RU" sz="1100"/>
              <a:t>год</a:t>
            </a:r>
          </a:p>
        </c:rich>
      </c:tx>
      <c:layout>
        <c:manualLayout>
          <c:xMode val="edge"/>
          <c:yMode val="edge"/>
          <c:x val="0.37006020250886396"/>
          <c:y val="0"/>
        </c:manualLayout>
      </c:layout>
      <c:overlay val="0"/>
      <c:spPr>
        <a:noFill/>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4.958731307248071E-2"/>
          <c:y val="0.155732618529068"/>
          <c:w val="0.54087075479201452"/>
          <c:h val="0.69303976813324852"/>
        </c:manualLayout>
      </c:layout>
      <c:pie3DChart>
        <c:varyColors val="1"/>
        <c:ser>
          <c:idx val="0"/>
          <c:order val="0"/>
          <c:tx>
            <c:strRef>
              <c:f>Лист1!$B$1</c:f>
              <c:strCache>
                <c:ptCount val="1"/>
                <c:pt idx="0">
                  <c:v>I пол 2018</c:v>
                </c:pt>
              </c:strCache>
            </c:strRef>
          </c:tx>
          <c:explosion val="25"/>
          <c:dPt>
            <c:idx val="0"/>
            <c:bubble3D val="0"/>
            <c:explosion val="1"/>
            <c:spPr>
              <a:blipFill>
                <a:blip xmlns:r="http://schemas.openxmlformats.org/officeDocument/2006/relationships" r:embed="rId2"/>
                <a:tile tx="0" ty="0" sx="100000" sy="100000" flip="none" algn="tl"/>
              </a:blipFill>
              <a:ln>
                <a:solidFill>
                  <a:sysClr val="windowText" lastClr="000000"/>
                </a:solidFill>
              </a:ln>
            </c:spPr>
          </c:dPt>
          <c:dPt>
            <c:idx val="1"/>
            <c:bubble3D val="0"/>
            <c:explosion val="17"/>
            <c:spPr>
              <a:blipFill>
                <a:blip xmlns:r="http://schemas.openxmlformats.org/officeDocument/2006/relationships" r:embed="rId3"/>
                <a:tile tx="0" ty="0" sx="100000" sy="100000" flip="none" algn="tl"/>
              </a:blipFill>
              <a:ln>
                <a:solidFill>
                  <a:sysClr val="windowText" lastClr="000000"/>
                </a:solidFill>
              </a:ln>
            </c:spPr>
          </c:dPt>
          <c:dPt>
            <c:idx val="2"/>
            <c:bubble3D val="0"/>
            <c:spPr>
              <a:blipFill>
                <a:blip xmlns:r="http://schemas.openxmlformats.org/officeDocument/2006/relationships" r:embed="rId4"/>
                <a:tile tx="0" ty="0" sx="100000" sy="100000" flip="none" algn="tl"/>
              </a:blipFill>
              <a:ln>
                <a:solidFill>
                  <a:sysClr val="windowText" lastClr="000000"/>
                </a:solidFill>
              </a:ln>
            </c:spPr>
          </c:dPt>
          <c:dPt>
            <c:idx val="3"/>
            <c:bubble3D val="0"/>
            <c:spPr>
              <a:blipFill>
                <a:blip xmlns:r="http://schemas.openxmlformats.org/officeDocument/2006/relationships" r:embed="rId5"/>
                <a:tile tx="0" ty="0" sx="100000" sy="100000" flip="none" algn="tl"/>
              </a:blipFill>
              <a:ln>
                <a:solidFill>
                  <a:sysClr val="windowText" lastClr="000000"/>
                </a:solidFill>
              </a:ln>
            </c:spPr>
          </c:dPt>
          <c:dPt>
            <c:idx val="4"/>
            <c:bubble3D val="0"/>
            <c:spPr>
              <a:solidFill>
                <a:sysClr val="window" lastClr="FFFFFF">
                  <a:lumMod val="85000"/>
                </a:sysClr>
              </a:solidFill>
              <a:ln>
                <a:solidFill>
                  <a:sysClr val="windowText" lastClr="000000"/>
                </a:solidFill>
              </a:ln>
            </c:spPr>
          </c:dPt>
          <c:dPt>
            <c:idx val="5"/>
            <c:bubble3D val="0"/>
            <c:spPr>
              <a:solidFill>
                <a:schemeClr val="tx2">
                  <a:lumMod val="50000"/>
                </a:schemeClr>
              </a:solidFill>
              <a:ln>
                <a:solidFill>
                  <a:sysClr val="windowText" lastClr="000000"/>
                </a:solidFill>
              </a:ln>
            </c:spPr>
          </c:dPt>
          <c:dLbls>
            <c:dLbl>
              <c:idx val="0"/>
              <c:layout>
                <c:manualLayout>
                  <c:x val="-9.3226432892965611E-4"/>
                  <c:y val="0.2047288769754844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567672134774692"/>
                  <c:y val="8.72610710895179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7.99486234433470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8.53190372480034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9930259571929807E-2"/>
                  <c:y val="-8.86906796224947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8514282211780704E-2"/>
                  <c:y val="-5.633467572278657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47.4</c:v>
                </c:pt>
                <c:pt idx="1">
                  <c:v>16.100000000000001</c:v>
                </c:pt>
                <c:pt idx="2" formatCode="0.0">
                  <c:v>11.8</c:v>
                </c:pt>
                <c:pt idx="3" formatCode="0.0">
                  <c:v>14.2</c:v>
                </c:pt>
                <c:pt idx="4">
                  <c:v>4.5</c:v>
                </c:pt>
                <c:pt idx="5" formatCode="0.0">
                  <c:v>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904042253880743"/>
          <c:y val="0"/>
          <c:w val="0.36527177692532031"/>
          <c:h val="0.99973028233351124"/>
        </c:manualLayout>
      </c:layout>
      <c:overlay val="0"/>
      <c:txPr>
        <a:bodyPr/>
        <a:lstStyle/>
        <a:p>
          <a:pPr>
            <a:defRPr sz="900" b="1"/>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6">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baseline="0"/>
              <a:t>2018 год</a:t>
            </a:r>
            <a:endParaRPr lang="ru-RU" sz="1100"/>
          </a:p>
        </c:rich>
      </c:tx>
      <c:layout>
        <c:manualLayout>
          <c:xMode val="edge"/>
          <c:yMode val="edge"/>
          <c:x val="0.32721582879063232"/>
          <c:y val="3.2127452599893611E-3"/>
        </c:manualLayout>
      </c:layout>
      <c:overlay val="0"/>
      <c:spPr>
        <a:noFill/>
        <a:ln w="25095">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7.5798217530501945E-4"/>
          <c:y val="0.18245764733953709"/>
          <c:w val="0.75441579417958393"/>
          <c:h val="0.81754227442881922"/>
        </c:manualLayout>
      </c:layout>
      <c:pie3DChart>
        <c:varyColors val="1"/>
        <c:ser>
          <c:idx val="0"/>
          <c:order val="0"/>
          <c:tx>
            <c:strRef>
              <c:f>Лист1!$B$1</c:f>
              <c:strCache>
                <c:ptCount val="1"/>
                <c:pt idx="0">
                  <c:v>2018 год</c:v>
                </c:pt>
              </c:strCache>
            </c:strRef>
          </c:tx>
          <c:spPr>
            <a:solidFill>
              <a:srgbClr val="F79646">
                <a:lumMod val="75000"/>
              </a:srgbClr>
            </a:solidFill>
          </c:spPr>
          <c:explosion val="10"/>
          <c:dPt>
            <c:idx val="0"/>
            <c:bubble3D val="0"/>
            <c:spPr>
              <a:blipFill>
                <a:blip xmlns:r="http://schemas.openxmlformats.org/officeDocument/2006/relationships" r:embed="rId2"/>
                <a:tile tx="0" ty="0" sx="100000" sy="100000" flip="none" algn="tl"/>
              </a:blipFill>
              <a:ln>
                <a:solidFill>
                  <a:sysClr val="window" lastClr="FFFFFF">
                    <a:lumMod val="75000"/>
                  </a:sysClr>
                </a:solidFill>
              </a:ln>
            </c:spPr>
          </c:dPt>
          <c:dPt>
            <c:idx val="1"/>
            <c:bubble3D val="0"/>
            <c:spPr>
              <a:solidFill>
                <a:sysClr val="window" lastClr="FFFFFF">
                  <a:lumMod val="75000"/>
                </a:sysClr>
              </a:solidFill>
              <a:ln>
                <a:solidFill>
                  <a:sysClr val="window" lastClr="FFFFFF">
                    <a:lumMod val="75000"/>
                  </a:sysClr>
                </a:solidFill>
              </a:ln>
            </c:spPr>
          </c:dPt>
          <c:dLbls>
            <c:numFmt formatCode="0.0%" sourceLinked="0"/>
            <c:spPr>
              <a:noFill/>
              <a:ln>
                <a:noFill/>
              </a:ln>
              <a:effectLst/>
            </c:spPr>
            <c:txPr>
              <a:bodyPr/>
              <a:lstStyle/>
              <a:p>
                <a:pPr>
                  <a:defRPr b="1"/>
                </a:pPr>
                <a:endParaRPr lang="ru-RU"/>
              </a:p>
            </c:txPr>
            <c:dLblPos val="ctr"/>
            <c:showLegendKey val="0"/>
            <c:showVal val="1"/>
            <c:showCatName val="0"/>
            <c:showSerName val="0"/>
            <c:showPercent val="1"/>
            <c:showBubbleSize val="0"/>
            <c:showLeaderLines val="0"/>
            <c:extLst>
              <c:ext xmlns:c15="http://schemas.microsoft.com/office/drawing/2012/chart" uri="{CE6537A1-D6FC-4f65-9D91-7224C49458BB}">
                <c15:layout/>
              </c:ext>
            </c:extLst>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14.298999999999999</c:v>
                </c:pt>
                <c:pt idx="1">
                  <c:v>30.802</c:v>
                </c:pt>
              </c:numCache>
            </c:numRef>
          </c:val>
        </c:ser>
        <c:dLbls>
          <c:showLegendKey val="0"/>
          <c:showVal val="1"/>
          <c:showCatName val="0"/>
          <c:showSerName val="0"/>
          <c:showPercent val="0"/>
          <c:showBubbleSize val="0"/>
          <c:showLeaderLines val="0"/>
        </c:dLbls>
      </c:pie3DChart>
      <c:spPr>
        <a:noFill/>
        <a:ln w="25398">
          <a:noFill/>
        </a:ln>
      </c:spPr>
    </c:plotArea>
    <c:legend>
      <c:legendPos val="r"/>
      <c:layout>
        <c:manualLayout>
          <c:xMode val="edge"/>
          <c:yMode val="edge"/>
          <c:x val="0.71498579206524804"/>
          <c:y val="4.0844517076874795E-2"/>
          <c:w val="0.27965814190582067"/>
          <c:h val="0.95743541491275852"/>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baseline="0"/>
              <a:t>2017 год</a:t>
            </a:r>
            <a:endParaRPr lang="ru-RU" sz="1100"/>
          </a:p>
        </c:rich>
      </c:tx>
      <c:layout>
        <c:manualLayout>
          <c:xMode val="edge"/>
          <c:yMode val="edge"/>
          <c:x val="0.31837129733784764"/>
          <c:y val="1.6561920585614873E-2"/>
        </c:manualLayout>
      </c:layout>
      <c:overlay val="0"/>
      <c:spPr>
        <a:noFill/>
        <a:ln w="25101">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3.4481627296587936E-2"/>
          <c:y val="0.17137380853709094"/>
          <c:w val="0.85169707445107123"/>
          <c:h val="0.82862619146290928"/>
        </c:manualLayout>
      </c:layout>
      <c:pie3DChart>
        <c:varyColors val="1"/>
        <c:ser>
          <c:idx val="0"/>
          <c:order val="0"/>
          <c:tx>
            <c:strRef>
              <c:f>Лист1!$B$1</c:f>
              <c:strCache>
                <c:ptCount val="1"/>
                <c:pt idx="0">
                  <c:v>2017 год</c:v>
                </c:pt>
              </c:strCache>
            </c:strRef>
          </c:tx>
          <c:spPr>
            <a:solidFill>
              <a:srgbClr val="4BACC6">
                <a:lumMod val="75000"/>
              </a:srgbClr>
            </a:solidFill>
          </c:spPr>
          <c:explosion val="2"/>
          <c:dPt>
            <c:idx val="0"/>
            <c:bubble3D val="0"/>
            <c:explosion val="9"/>
            <c:spPr>
              <a:blipFill>
                <a:blip xmlns:r="http://schemas.openxmlformats.org/officeDocument/2006/relationships" r:embed="rId2"/>
                <a:tile tx="0" ty="0" sx="100000" sy="100000" flip="none" algn="tl"/>
              </a:blipFill>
              <a:ln>
                <a:solidFill>
                  <a:sysClr val="window" lastClr="FFFFFF">
                    <a:lumMod val="75000"/>
                  </a:sysClr>
                </a:solidFill>
              </a:ln>
            </c:spPr>
          </c:dPt>
          <c:dPt>
            <c:idx val="1"/>
            <c:bubble3D val="0"/>
            <c:explosion val="6"/>
            <c:spPr>
              <a:solidFill>
                <a:sysClr val="window" lastClr="FFFFFF">
                  <a:lumMod val="75000"/>
                </a:sysClr>
              </a:solidFill>
              <a:ln>
                <a:solidFill>
                  <a:sysClr val="window" lastClr="FFFFFF">
                    <a:lumMod val="75000"/>
                  </a:sysClr>
                </a:solidFill>
              </a:ln>
            </c:spPr>
          </c:dPt>
          <c:dLbls>
            <c:dLbl>
              <c:idx val="0"/>
              <c:layout>
                <c:manualLayout>
                  <c:x val="1.1065006915629319E-2"/>
                  <c:y val="-2.3809523809523812E-2"/>
                </c:manualLayout>
              </c:layout>
              <c:numFmt formatCode="0.0%" sourceLinked="0"/>
              <c:spPr/>
              <c:txPr>
                <a:bodyPr/>
                <a:lstStyle/>
                <a:p>
                  <a:pPr algn="just">
                    <a:defRPr sz="1000" b="1"/>
                  </a:pPr>
                  <a:endParaRPr lang="ru-RU"/>
                </a:p>
              </c:txPr>
              <c:dLblPos val="ctr"/>
              <c:showLegendKey val="0"/>
              <c:showVal val="1"/>
              <c:showCatName val="0"/>
              <c:showSerName val="0"/>
              <c:showPercent val="1"/>
              <c:showBubbleSize val="0"/>
              <c:separator>; </c:separator>
              <c:extLst>
                <c:ext xmlns:c15="http://schemas.microsoft.com/office/drawing/2012/chart" uri="{CE6537A1-D6FC-4f65-9D91-7224C49458BB}">
                  <c15:layout/>
                </c:ext>
              </c:extLst>
            </c:dLbl>
            <c:dLbl>
              <c:idx val="1"/>
              <c:layout/>
              <c:numFmt formatCode="0.0%" sourceLinked="0"/>
              <c:spPr/>
              <c:txPr>
                <a:bodyPr/>
                <a:lstStyle/>
                <a:p>
                  <a:pPr algn="just">
                    <a:defRPr sz="1000" b="1"/>
                  </a:pPr>
                  <a:endParaRPr lang="ru-RU"/>
                </a:p>
              </c:txPr>
              <c:dLblPos val="ctr"/>
              <c:showLegendKey val="0"/>
              <c:showVal val="1"/>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lgn="just">
                  <a:defRPr sz="1000"/>
                </a:pPr>
                <a:endParaRPr lang="ru-RU"/>
              </a:p>
            </c:txPr>
            <c:dLblPos val="ct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12.552000000000024</c:v>
                </c:pt>
                <c:pt idx="1">
                  <c:v>32.132000000000012</c:v>
                </c:pt>
              </c:numCache>
            </c:numRef>
          </c:val>
        </c:ser>
        <c:dLbls>
          <c:showLegendKey val="0"/>
          <c:showVal val="1"/>
          <c:showCatName val="0"/>
          <c:showSerName val="0"/>
          <c:showPercent val="0"/>
          <c:showBubbleSize val="0"/>
          <c:showLeaderLines val="0"/>
        </c:dLbls>
      </c:pie3DChart>
      <c:spPr>
        <a:noFill/>
        <a:ln w="25401">
          <a:noFill/>
        </a:ln>
      </c:spPr>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t>Помесячная динамика промышленного производства </a:t>
            </a:r>
          </a:p>
          <a:p>
            <a:pPr>
              <a:defRPr/>
            </a:pPr>
            <a:r>
              <a:rPr lang="ru-RU" sz="1300"/>
              <a:t>(в сопоставимых ценах), млн</a:t>
            </a:r>
            <a:r>
              <a:rPr lang="ru-RU" sz="1300" baseline="0"/>
              <a:t> руб.</a:t>
            </a:r>
            <a:endParaRPr lang="ru-RU" sz="1300"/>
          </a:p>
        </c:rich>
      </c:tx>
      <c:layout>
        <c:manualLayout>
          <c:xMode val="edge"/>
          <c:yMode val="edge"/>
          <c:x val="0.24054004734859899"/>
          <c:y val="0"/>
        </c:manualLayout>
      </c:layout>
      <c:overlay val="0"/>
    </c:title>
    <c:autoTitleDeleted val="0"/>
    <c:plotArea>
      <c:layout>
        <c:manualLayout>
          <c:layoutTarget val="inner"/>
          <c:xMode val="edge"/>
          <c:yMode val="edge"/>
          <c:x val="6.4349201549217111E-2"/>
          <c:y val="0.19040760221177888"/>
          <c:w val="0.93565079845080312"/>
          <c:h val="0.48895915678524382"/>
        </c:manualLayout>
      </c:layout>
      <c:lineChart>
        <c:grouping val="standard"/>
        <c:varyColors val="0"/>
        <c:ser>
          <c:idx val="0"/>
          <c:order val="0"/>
          <c:tx>
            <c:strRef>
              <c:f>Лист1!$B$1</c:f>
              <c:strCache>
                <c:ptCount val="1"/>
                <c:pt idx="0">
                  <c:v>2017 год</c:v>
                </c:pt>
              </c:strCache>
            </c:strRef>
          </c:tx>
          <c:spPr>
            <a:ln w="35055">
              <a:solidFill>
                <a:schemeClr val="tx1"/>
              </a:solidFill>
            </a:ln>
          </c:spPr>
          <c:marker>
            <c:symbol val="diamond"/>
            <c:size val="8"/>
            <c:spPr>
              <a:solidFill>
                <a:schemeClr val="tx1">
                  <a:lumMod val="50000"/>
                  <a:lumOff val="50000"/>
                </a:schemeClr>
              </a:solidFill>
            </c:spPr>
          </c:marker>
          <c:dLbls>
            <c:dLbl>
              <c:idx val="0"/>
              <c:layout>
                <c:manualLayout>
                  <c:x val="-3.3138401559454196E-2"/>
                  <c:y val="7.2829131652662013E-2"/>
                </c:manualLayout>
              </c:layout>
              <c:tx>
                <c:rich>
                  <a:bodyPr/>
                  <a:lstStyle/>
                  <a:p>
                    <a:r>
                      <a:rPr lang="en-US" sz="874" i="0"/>
                      <a:t>103,4*</a:t>
                    </a:r>
                    <a:endParaRPr lang="en-US" sz="950" i="0"/>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3.5087719298245612E-2"/>
                  <c:y val="6.1624649859944126E-2"/>
                </c:manualLayout>
              </c:layout>
              <c:tx>
                <c:rich>
                  <a:bodyPr/>
                  <a:lstStyle/>
                  <a:p>
                    <a:r>
                      <a:rPr lang="en-US" sz="874" i="0"/>
                      <a:t>78,0*</a:t>
                    </a:r>
                    <a:endParaRPr lang="en-US" sz="950" i="0"/>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3.7037037037038006E-2"/>
                  <c:y val="8.403361344537813E-2"/>
                </c:manualLayout>
              </c:layout>
              <c:tx>
                <c:rich>
                  <a:bodyPr/>
                  <a:lstStyle/>
                  <a:p>
                    <a:r>
                      <a:rPr lang="en-US" sz="874" i="0"/>
                      <a:t>82,8*</a:t>
                    </a:r>
                    <a:endParaRPr lang="en-US" sz="950" i="0"/>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4.1577102132306386E-2"/>
                  <c:y val="9.1496775572736708E-2"/>
                </c:manualLayout>
              </c:layout>
              <c:tx>
                <c:rich>
                  <a:bodyPr/>
                  <a:lstStyle/>
                  <a:p>
                    <a:r>
                      <a:rPr lang="en-US" sz="874" i="0"/>
                      <a:t>78,9*</a:t>
                    </a:r>
                    <a:endParaRPr lang="en-US" sz="950" i="0"/>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3.9005766614940242E-2"/>
                  <c:y val="5.6770347145520907E-2"/>
                </c:manualLayout>
              </c:layout>
              <c:tx>
                <c:rich>
                  <a:bodyPr/>
                  <a:lstStyle/>
                  <a:p>
                    <a:r>
                      <a:rPr lang="en-US" sz="874" i="0"/>
                      <a:t>85,6*</a:t>
                    </a:r>
                    <a:endParaRPr lang="en-US" sz="950" i="0"/>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4.3192488262910833E-2"/>
                  <c:y val="6.3768115942029524E-2"/>
                </c:manualLayout>
              </c:layout>
              <c:tx>
                <c:rich>
                  <a:bodyPr/>
                  <a:lstStyle/>
                  <a:p>
                    <a:r>
                      <a:rPr lang="en-US" sz="874" i="0"/>
                      <a:t>117,8*</a:t>
                    </a:r>
                    <a:endParaRPr lang="en-US" sz="950" i="0"/>
                  </a:p>
                </c:rich>
              </c:tx>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3.6982968369830012E-2"/>
                  <c:y val="8.4464555052790768E-2"/>
                </c:manualLayout>
              </c:layout>
              <c:tx>
                <c:rich>
                  <a:bodyPr/>
                  <a:lstStyle/>
                  <a:p>
                    <a:r>
                      <a:rPr lang="en-US" sz="874" i="0"/>
                      <a:t>138,6*</a:t>
                    </a:r>
                    <a:endParaRPr lang="en-US" sz="950" i="0"/>
                  </a:p>
                </c:rich>
              </c:tx>
              <c:showLegendKey val="0"/>
              <c:showVal val="0"/>
              <c:showCatName val="0"/>
              <c:showSerName val="0"/>
              <c:showPercent val="0"/>
              <c:showBubbleSize val="0"/>
              <c:extLst>
                <c:ext xmlns:c15="http://schemas.microsoft.com/office/drawing/2012/chart" uri="{CE6537A1-D6FC-4f65-9D91-7224C49458BB}">
                  <c15:layout/>
                </c:ext>
              </c:extLst>
            </c:dLbl>
            <c:dLbl>
              <c:idx val="7"/>
              <c:layout>
                <c:manualLayout>
                  <c:x val="-2.7269650060451851E-2"/>
                  <c:y val="-5.584693191467624E-2"/>
                </c:manualLayout>
              </c:layout>
              <c:tx>
                <c:rich>
                  <a:bodyPr/>
                  <a:lstStyle/>
                  <a:p>
                    <a:r>
                      <a:rPr lang="en-US" sz="874" i="0"/>
                      <a:t>129,4*</a:t>
                    </a:r>
                    <a:endParaRPr lang="en-US" sz="950" i="0"/>
                  </a:p>
                </c:rich>
              </c:tx>
              <c:showLegendKey val="0"/>
              <c:showVal val="0"/>
              <c:showCatName val="0"/>
              <c:showSerName val="0"/>
              <c:showPercent val="0"/>
              <c:showBubbleSize val="0"/>
              <c:extLst>
                <c:ext xmlns:c15="http://schemas.microsoft.com/office/drawing/2012/chart" uri="{CE6537A1-D6FC-4f65-9D91-7224C49458BB}">
                  <c15:layout/>
                </c:ext>
              </c:extLst>
            </c:dLbl>
            <c:dLbl>
              <c:idx val="8"/>
              <c:layout>
                <c:manualLayout>
                  <c:x val="-3.4825136811530752E-2"/>
                  <c:y val="-7.2524768396045394E-2"/>
                </c:manualLayout>
              </c:layout>
              <c:tx>
                <c:rich>
                  <a:bodyPr/>
                  <a:lstStyle/>
                  <a:p>
                    <a:r>
                      <a:rPr lang="en-US" sz="874" i="0"/>
                      <a:t>142,6*</a:t>
                    </a:r>
                    <a:endParaRPr lang="en-US" sz="950" i="0"/>
                  </a:p>
                </c:rich>
              </c:tx>
              <c:showLegendKey val="0"/>
              <c:showVal val="0"/>
              <c:showCatName val="0"/>
              <c:showSerName val="0"/>
              <c:showPercent val="0"/>
              <c:showBubbleSize val="0"/>
              <c:extLst>
                <c:ext xmlns:c15="http://schemas.microsoft.com/office/drawing/2012/chart" uri="{CE6537A1-D6FC-4f65-9D91-7224C49458BB}">
                  <c15:layout/>
                </c:ext>
              </c:extLst>
            </c:dLbl>
            <c:dLbl>
              <c:idx val="9"/>
              <c:layout>
                <c:manualLayout>
                  <c:x val="-3.285910744928202E-2"/>
                  <c:y val="-5.0209040075524056E-2"/>
                </c:manualLayout>
              </c:layout>
              <c:tx>
                <c:rich>
                  <a:bodyPr/>
                  <a:lstStyle/>
                  <a:p>
                    <a:r>
                      <a:rPr lang="en-US" sz="874" i="0"/>
                      <a:t>154,2*</a:t>
                    </a:r>
                    <a:endParaRPr lang="en-US" sz="950" i="0"/>
                  </a:p>
                </c:rich>
              </c:tx>
              <c:showLegendKey val="0"/>
              <c:showVal val="0"/>
              <c:showCatName val="0"/>
              <c:showSerName val="0"/>
              <c:showPercent val="0"/>
              <c:showBubbleSize val="0"/>
              <c:extLst>
                <c:ext xmlns:c15="http://schemas.microsoft.com/office/drawing/2012/chart" uri="{CE6537A1-D6FC-4f65-9D91-7224C49458BB}">
                  <c15:layout/>
                </c:ext>
              </c:extLst>
            </c:dLbl>
            <c:dLbl>
              <c:idx val="10"/>
              <c:layout>
                <c:manualLayout>
                  <c:x val="-3.0911901081917031E-2"/>
                  <c:y val="-5.0209040075524056E-2"/>
                </c:manualLayout>
              </c:layout>
              <c:tx>
                <c:rich>
                  <a:bodyPr/>
                  <a:lstStyle/>
                  <a:p>
                    <a:r>
                      <a:rPr lang="en-US" sz="874" i="0"/>
                      <a:t>137,6*</a:t>
                    </a:r>
                    <a:endParaRPr lang="en-US" sz="950" i="0"/>
                  </a:p>
                </c:rich>
              </c:tx>
              <c:showLegendKey val="0"/>
              <c:showVal val="0"/>
              <c:showCatName val="0"/>
              <c:showSerName val="0"/>
              <c:showPercent val="0"/>
              <c:showBubbleSize val="0"/>
              <c:extLst>
                <c:ext xmlns:c15="http://schemas.microsoft.com/office/drawing/2012/chart" uri="{CE6537A1-D6FC-4f65-9D91-7224C49458BB}">
                  <c15:layout/>
                </c:ext>
              </c:extLst>
            </c:dLbl>
            <c:dLbl>
              <c:idx val="11"/>
              <c:layout>
                <c:manualLayout>
                  <c:x val="0"/>
                  <c:y val="-4.2160737812913074E-2"/>
                </c:manualLayout>
              </c:layout>
              <c:tx>
                <c:rich>
                  <a:bodyPr/>
                  <a:lstStyle/>
                  <a:p>
                    <a:r>
                      <a:rPr lang="en-US" sz="874"/>
                      <a:t>145,0*</a:t>
                    </a:r>
                  </a:p>
                </c:rich>
              </c:tx>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74" i="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637.1</c:v>
                </c:pt>
                <c:pt idx="1">
                  <c:v>575.70000000000005</c:v>
                </c:pt>
                <c:pt idx="2" formatCode="0.0">
                  <c:v>741</c:v>
                </c:pt>
                <c:pt idx="3">
                  <c:v>545.29999999999995</c:v>
                </c:pt>
                <c:pt idx="4" formatCode="0.0">
                  <c:v>620.9</c:v>
                </c:pt>
                <c:pt idx="5">
                  <c:v>831.1</c:v>
                </c:pt>
                <c:pt idx="6">
                  <c:v>894.9</c:v>
                </c:pt>
                <c:pt idx="7">
                  <c:v>1025.9000000000001</c:v>
                </c:pt>
                <c:pt idx="8">
                  <c:v>922.7</c:v>
                </c:pt>
                <c:pt idx="9" formatCode="0.0">
                  <c:v>1007.2</c:v>
                </c:pt>
                <c:pt idx="10" formatCode="0.0">
                  <c:v>995.3</c:v>
                </c:pt>
                <c:pt idx="11">
                  <c:v>1026.9000000000001</c:v>
                </c:pt>
              </c:numCache>
            </c:numRef>
          </c:val>
          <c:smooth val="0"/>
        </c:ser>
        <c:ser>
          <c:idx val="1"/>
          <c:order val="1"/>
          <c:tx>
            <c:strRef>
              <c:f>Лист1!$C$1</c:f>
              <c:strCache>
                <c:ptCount val="1"/>
                <c:pt idx="0">
                  <c:v> 2018 год</c:v>
                </c:pt>
              </c:strCache>
            </c:strRef>
          </c:tx>
          <c:spPr>
            <a:ln w="35055">
              <a:solidFill>
                <a:schemeClr val="tx1">
                  <a:lumMod val="65000"/>
                  <a:lumOff val="35000"/>
                </a:schemeClr>
              </a:solidFill>
              <a:prstDash val="dash"/>
            </a:ln>
          </c:spPr>
          <c:marker>
            <c:spPr>
              <a:solidFill>
                <a:schemeClr val="bg1">
                  <a:lumMod val="65000"/>
                </a:schemeClr>
              </a:solidFill>
              <a:ln>
                <a:solidFill>
                  <a:schemeClr val="tx1"/>
                </a:solidFill>
              </a:ln>
            </c:spPr>
          </c:marker>
          <c:dLbls>
            <c:dLbl>
              <c:idx val="0"/>
              <c:layout>
                <c:manualLayout>
                  <c:x val="-3.9281668738777212E-2"/>
                  <c:y val="-5.2489909349567022E-2"/>
                </c:manualLayout>
              </c:layout>
              <c:tx>
                <c:rich>
                  <a:bodyPr/>
                  <a:lstStyle/>
                  <a:p>
                    <a:r>
                      <a:rPr lang="en-US" sz="874" i="1"/>
                      <a:t>128,7*</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3.9957943853510612E-2"/>
                  <c:y val="-7.7286662696574693E-2"/>
                </c:manualLayout>
              </c:layout>
              <c:tx>
                <c:rich>
                  <a:bodyPr/>
                  <a:lstStyle/>
                  <a:p>
                    <a:r>
                      <a:rPr lang="en-US" sz="874" i="1"/>
                      <a:t>156,4*</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4.2061058157204026E-2"/>
                  <c:y val="-6.5259048501290259E-2"/>
                </c:manualLayout>
              </c:layout>
              <c:tx>
                <c:rich>
                  <a:bodyPr/>
                  <a:lstStyle/>
                  <a:p>
                    <a:r>
                      <a:rPr lang="en-US" sz="874" i="1"/>
                      <a:t>134,2*</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3.8063943236384602E-2"/>
                  <c:y val="-9.3529721962858248E-2"/>
                </c:manualLayout>
              </c:layout>
              <c:tx>
                <c:rich>
                  <a:bodyPr/>
                  <a:lstStyle/>
                  <a:p>
                    <a:r>
                      <a:rPr lang="en-US" sz="874" i="1"/>
                      <a:t>157,8*</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4.1869226200739497E-2"/>
                  <c:y val="-7.8595741143217712E-2"/>
                </c:manualLayout>
              </c:layout>
              <c:tx>
                <c:rich>
                  <a:bodyPr/>
                  <a:lstStyle/>
                  <a:p>
                    <a:r>
                      <a:rPr lang="en-US" sz="874" i="1"/>
                      <a:t>145,0*</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3.1545746922480092E-2"/>
                  <c:y val="-7.1913728175282438E-2"/>
                </c:manualLayout>
              </c:layout>
              <c:tx>
                <c:rich>
                  <a:bodyPr/>
                  <a:lstStyle/>
                  <a:p>
                    <a:r>
                      <a:rPr lang="en-US" sz="874" i="1"/>
                      <a:t>111,2*</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3.5282180968254896E-2"/>
                  <c:y val="-9.0973266350755949E-2"/>
                </c:manualLayout>
              </c:layout>
              <c:tx>
                <c:rich>
                  <a:bodyPr/>
                  <a:lstStyle/>
                  <a:p>
                    <a:r>
                      <a:rPr lang="en-US" sz="874" i="1"/>
                      <a:t>97,0*</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7"/>
              <c:layout>
                <c:manualLayout>
                  <c:x val="-3.9958012714282641E-2"/>
                  <c:y val="8.4465626213406725E-2"/>
                </c:manualLayout>
              </c:layout>
              <c:tx>
                <c:rich>
                  <a:bodyPr/>
                  <a:lstStyle/>
                  <a:p>
                    <a:r>
                      <a:rPr lang="en-US" sz="874" i="1"/>
                      <a:t>92,6*</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8"/>
              <c:layout>
                <c:manualLayout>
                  <c:x val="-3.5667303565416655E-2"/>
                  <c:y val="4.7789777265984087E-2"/>
                </c:manualLayout>
              </c:layout>
              <c:tx>
                <c:rich>
                  <a:bodyPr/>
                  <a:lstStyle/>
                  <a:p>
                    <a:r>
                      <a:rPr lang="en-US" sz="874" i="1"/>
                      <a:t>84,2*</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9"/>
              <c:layout>
                <c:manualLayout>
                  <c:x val="-3.3437590007586011E-2"/>
                  <c:y val="7.328415963814798E-2"/>
                </c:manualLayout>
              </c:layout>
              <c:tx>
                <c:rich>
                  <a:bodyPr/>
                  <a:lstStyle/>
                  <a:p>
                    <a:r>
                      <a:rPr lang="en-US" sz="874" i="1"/>
                      <a:t>88,7*</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10"/>
              <c:layout>
                <c:manualLayout>
                  <c:x val="-3.9831242114829427E-2"/>
                  <c:y val="0.10869419978629402"/>
                </c:manualLayout>
              </c:layout>
              <c:tx>
                <c:rich>
                  <a:bodyPr/>
                  <a:lstStyle/>
                  <a:p>
                    <a:r>
                      <a:rPr lang="en-US" sz="874" i="1"/>
                      <a:t>97,8*</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11"/>
              <c:layout>
                <c:manualLayout>
                  <c:x val="-1.2618221794918685E-2"/>
                  <c:y val="4.8606019109271432E-2"/>
                </c:manualLayout>
              </c:layout>
              <c:tx>
                <c:rich>
                  <a:bodyPr/>
                  <a:lstStyle/>
                  <a:p>
                    <a:r>
                      <a:rPr lang="en-US" sz="874" i="1"/>
                      <a:t>77,4*</a:t>
                    </a:r>
                    <a:endParaRPr lang="en-US" sz="950" i="1"/>
                  </a:p>
                </c:rich>
              </c:tx>
              <c:dLblPos val="r"/>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74"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0.0</c:formatCode>
                <c:ptCount val="12"/>
                <c:pt idx="0" formatCode="General">
                  <c:v>819.8</c:v>
                </c:pt>
                <c:pt idx="1">
                  <c:v>900.4</c:v>
                </c:pt>
                <c:pt idx="2" formatCode="General">
                  <c:v>994.3</c:v>
                </c:pt>
                <c:pt idx="3" formatCode="General">
                  <c:v>860.4</c:v>
                </c:pt>
                <c:pt idx="4" formatCode="General">
                  <c:v>900.7</c:v>
                </c:pt>
                <c:pt idx="5" formatCode="General">
                  <c:v>924.4</c:v>
                </c:pt>
                <c:pt idx="6">
                  <c:v>868.4</c:v>
                </c:pt>
                <c:pt idx="7">
                  <c:v>950</c:v>
                </c:pt>
                <c:pt idx="8" formatCode="General">
                  <c:v>776.6</c:v>
                </c:pt>
                <c:pt idx="9" formatCode="General">
                  <c:v>893.2</c:v>
                </c:pt>
                <c:pt idx="10" formatCode="General">
                  <c:v>973.3</c:v>
                </c:pt>
                <c:pt idx="11" formatCode="General">
                  <c:v>794.4</c:v>
                </c:pt>
              </c:numCache>
            </c:numRef>
          </c:val>
          <c:smooth val="0"/>
        </c:ser>
        <c:dLbls>
          <c:showLegendKey val="0"/>
          <c:showVal val="1"/>
          <c:showCatName val="0"/>
          <c:showSerName val="0"/>
          <c:showPercent val="0"/>
          <c:showBubbleSize val="0"/>
        </c:dLbls>
        <c:marker val="1"/>
        <c:smooth val="0"/>
        <c:axId val="320668392"/>
        <c:axId val="320669568"/>
      </c:lineChart>
      <c:catAx>
        <c:axId val="320668392"/>
        <c:scaling>
          <c:orientation val="minMax"/>
        </c:scaling>
        <c:delete val="0"/>
        <c:axPos val="b"/>
        <c:numFmt formatCode="General" sourceLinked="1"/>
        <c:majorTickMark val="cross"/>
        <c:minorTickMark val="none"/>
        <c:tickLblPos val="nextTo"/>
        <c:crossAx val="320669568"/>
        <c:crosses val="autoZero"/>
        <c:auto val="1"/>
        <c:lblAlgn val="ctr"/>
        <c:lblOffset val="100"/>
        <c:noMultiLvlLbl val="0"/>
      </c:catAx>
      <c:valAx>
        <c:axId val="320669568"/>
        <c:scaling>
          <c:orientation val="minMax"/>
        </c:scaling>
        <c:delete val="0"/>
        <c:axPos val="l"/>
        <c:majorGridlines/>
        <c:numFmt formatCode="General" sourceLinked="1"/>
        <c:majorTickMark val="cross"/>
        <c:minorTickMark val="none"/>
        <c:tickLblPos val="nextTo"/>
        <c:spPr>
          <a:ln>
            <a:solidFill>
              <a:sysClr val="windowText" lastClr="000000"/>
            </a:solidFill>
          </a:ln>
        </c:spPr>
        <c:txPr>
          <a:bodyPr/>
          <a:lstStyle/>
          <a:p>
            <a:pPr>
              <a:defRPr sz="828"/>
            </a:pPr>
            <a:endParaRPr lang="ru-RU"/>
          </a:p>
        </c:txPr>
        <c:crossAx val="320668392"/>
        <c:crosses val="autoZero"/>
        <c:crossBetween val="between"/>
      </c:valAx>
    </c:plotArea>
    <c:legend>
      <c:legendPos val="b"/>
      <c:layout>
        <c:manualLayout>
          <c:xMode val="edge"/>
          <c:yMode val="edge"/>
          <c:x val="6.0581032521149512E-2"/>
          <c:y val="0.90443617275111543"/>
          <c:w val="0.51626493040301302"/>
          <c:h val="7.8756859937962914E-2"/>
        </c:manualLayout>
      </c:layout>
      <c:overlay val="0"/>
      <c:spPr>
        <a:effectLst>
          <a:outerShdw blurRad="50800" dist="50800" dir="5400000" algn="ctr" rotWithShape="0">
            <a:sysClr val="window" lastClr="FFFFFF"/>
          </a:outerShdw>
        </a:effectLst>
      </c:spPr>
      <c:txPr>
        <a:bodyPr/>
        <a:lstStyle/>
        <a:p>
          <a:pPr>
            <a:defRPr sz="1012">
              <a:solidFill>
                <a:schemeClr val="tx1"/>
              </a:solidFill>
            </a:defRPr>
          </a:pPr>
          <a:endParaRPr lang="ru-RU"/>
        </a:p>
      </c:txPr>
    </c:legend>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latin typeface="Times New Roman" pitchFamily="18" charset="0"/>
                <a:cs typeface="Times New Roman" pitchFamily="18" charset="0"/>
              </a:defRPr>
            </a:pPr>
            <a:r>
              <a:rPr lang="ru-RU" sz="1199"/>
              <a:t>2017 год</a:t>
            </a:r>
            <a:endParaRPr lang="ru-RU" sz="1200" b="0"/>
          </a:p>
        </c:rich>
      </c:tx>
      <c:layout>
        <c:manualLayout>
          <c:xMode val="edge"/>
          <c:yMode val="edge"/>
          <c:x val="0.22561999315302991"/>
          <c:y val="5.0666569904568422E-2"/>
        </c:manualLayout>
      </c:layout>
      <c:overlay val="0"/>
      <c:spPr>
        <a:noFill/>
        <a:ln w="40684">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4.3280904383266587E-2"/>
          <c:y val="0.22128345310548389"/>
          <c:w val="0.51434274374238287"/>
          <c:h val="0.62984263330721646"/>
        </c:manualLayout>
      </c:layout>
      <c:pie3DChart>
        <c:varyColors val="1"/>
        <c:ser>
          <c:idx val="0"/>
          <c:order val="0"/>
          <c:tx>
            <c:strRef>
              <c:f>Лист1!$B$1</c:f>
              <c:strCache>
                <c:ptCount val="1"/>
                <c:pt idx="0">
                  <c:v>2017 год</c:v>
                </c:pt>
              </c:strCache>
            </c:strRef>
          </c:tx>
          <c:spPr>
            <a:ln>
              <a:solidFill>
                <a:sysClr val="windowText" lastClr="000000">
                  <a:lumMod val="85000"/>
                  <a:lumOff val="15000"/>
                </a:sysClr>
              </a:solidFill>
            </a:ln>
          </c:spPr>
          <c:explosion val="19"/>
          <c:dPt>
            <c:idx val="0"/>
            <c:bubble3D val="0"/>
            <c:spPr>
              <a:solidFill>
                <a:sysClr val="windowText" lastClr="000000">
                  <a:lumMod val="50000"/>
                  <a:lumOff val="50000"/>
                </a:sysClr>
              </a:solidFill>
              <a:ln>
                <a:solidFill>
                  <a:sysClr val="windowText" lastClr="000000">
                    <a:lumMod val="85000"/>
                    <a:lumOff val="15000"/>
                  </a:sysClr>
                </a:solidFill>
              </a:ln>
            </c:spPr>
          </c:dPt>
          <c:dPt>
            <c:idx val="1"/>
            <c:bubble3D val="0"/>
            <c:spPr>
              <a:blipFill>
                <a:blip xmlns:r="http://schemas.openxmlformats.org/officeDocument/2006/relationships" r:embed="rId2"/>
                <a:tile tx="0" ty="0" sx="100000" sy="100000" flip="none" algn="tl"/>
              </a:blipFill>
              <a:ln>
                <a:solidFill>
                  <a:sysClr val="windowText" lastClr="000000">
                    <a:lumMod val="85000"/>
                    <a:lumOff val="15000"/>
                  </a:sysClr>
                </a:solidFill>
              </a:ln>
            </c:spPr>
          </c:dPt>
          <c:dPt>
            <c:idx val="2"/>
            <c:bubble3D val="0"/>
            <c:spPr>
              <a:solidFill>
                <a:sysClr val="window" lastClr="FFFFFF">
                  <a:lumMod val="85000"/>
                </a:sysClr>
              </a:solidFill>
              <a:ln>
                <a:solidFill>
                  <a:sysClr val="windowText" lastClr="000000">
                    <a:lumMod val="85000"/>
                    <a:lumOff val="15000"/>
                  </a:sysClr>
                </a:solidFill>
              </a:ln>
            </c:spPr>
          </c:dPt>
          <c:dPt>
            <c:idx val="3"/>
            <c:bubble3D val="0"/>
            <c:spPr>
              <a:solidFill>
                <a:sysClr val="windowText" lastClr="000000">
                  <a:lumMod val="85000"/>
                  <a:lumOff val="15000"/>
                </a:sysClr>
              </a:solidFill>
              <a:ln>
                <a:solidFill>
                  <a:sysClr val="windowText" lastClr="000000">
                    <a:lumMod val="85000"/>
                    <a:lumOff val="15000"/>
                  </a:sysClr>
                </a:solidFill>
              </a:ln>
            </c:spPr>
          </c:dPt>
          <c:dPt>
            <c:idx val="4"/>
            <c:bubble3D val="0"/>
            <c:spPr>
              <a:blipFill>
                <a:blip xmlns:r="http://schemas.openxmlformats.org/officeDocument/2006/relationships" r:embed="rId3"/>
                <a:tile tx="0" ty="0" sx="100000" sy="100000" flip="none" algn="tl"/>
              </a:blipFill>
              <a:ln>
                <a:solidFill>
                  <a:sysClr val="windowText" lastClr="000000">
                    <a:lumMod val="85000"/>
                    <a:lumOff val="15000"/>
                  </a:sysClr>
                </a:solidFill>
              </a:ln>
            </c:spPr>
          </c:dPt>
          <c:dLbls>
            <c:dLbl>
              <c:idx val="0"/>
              <c:layout>
                <c:manualLayout>
                  <c:x val="-5.4225592808269975E-2"/>
                  <c:y val="-5.8985735478717327E-2"/>
                </c:manualLayout>
              </c:layout>
              <c:tx>
                <c:rich>
                  <a:bodyPr/>
                  <a:lstStyle/>
                  <a:p>
                    <a:r>
                      <a:rPr lang="en-US" sz="899"/>
                      <a:t>29,4%</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8.2251595083730047E-2"/>
                  <c:y val="0.10941191303052196"/>
                </c:manualLayout>
              </c:layout>
              <c:tx>
                <c:rich>
                  <a:bodyPr/>
                  <a:lstStyle/>
                  <a:p>
                    <a:r>
                      <a:rPr lang="en-US" sz="899"/>
                      <a:t>30,8%</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3.5564281658537228E-2"/>
                  <c:y val="0.12668672440041387"/>
                </c:manualLayout>
              </c:layout>
              <c:tx>
                <c:rich>
                  <a:bodyPr/>
                  <a:lstStyle/>
                  <a:p>
                    <a:r>
                      <a:rPr lang="en-US" sz="899"/>
                      <a:t>13,6%</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7.4515075859422843E-5"/>
                  <c:y val="-9.0540955107885748E-2"/>
                </c:manualLayout>
              </c:layout>
              <c:tx>
                <c:rich>
                  <a:bodyPr/>
                  <a:lstStyle/>
                  <a:p>
                    <a:r>
                      <a:rPr lang="en-US" sz="899"/>
                      <a:t>13,3%</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1.3121079239552659E-3"/>
                  <c:y val="-4.8132236482487892E-2"/>
                </c:manualLayout>
              </c:layout>
              <c:tx>
                <c:rich>
                  <a:bodyPr/>
                  <a:lstStyle/>
                  <a:p>
                    <a:r>
                      <a:rPr lang="en-US" sz="899"/>
                      <a:t>12,9%</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2.3040105244829811E-2"/>
                  <c:y val="-5.5175878134850365E-2"/>
                </c:manualLayout>
              </c:layout>
              <c:tx>
                <c:rich>
                  <a:bodyPr/>
                  <a:lstStyle/>
                  <a:p>
                    <a:r>
                      <a:rPr lang="ru-RU" sz="899"/>
                      <a:t>7,4</a:t>
                    </a:r>
                    <a:r>
                      <a:rPr lang="en-US" sz="899"/>
                      <a:t>%</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w="40684">
                <a:noFill/>
              </a:ln>
            </c:spPr>
            <c:txPr>
              <a:bodyPr/>
              <a:lstStyle/>
              <a:p>
                <a:pPr>
                  <a:defRPr sz="8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черная металлургия</c:v>
                </c:pt>
                <c:pt idx="1">
                  <c:v>электроэнергетика</c:v>
                </c:pt>
                <c:pt idx="2">
                  <c:v>легкая промышленность</c:v>
                </c:pt>
                <c:pt idx="3">
                  <c:v>пищевая промышленность</c:v>
                </c:pt>
                <c:pt idx="4">
                  <c:v>прочие</c:v>
                </c:pt>
              </c:strCache>
            </c:strRef>
          </c:cat>
          <c:val>
            <c:numRef>
              <c:f>Лист1!$B$2:$B$6</c:f>
              <c:numCache>
                <c:formatCode>0.0</c:formatCode>
                <c:ptCount val="5"/>
                <c:pt idx="0">
                  <c:v>2925.9</c:v>
                </c:pt>
                <c:pt idx="1">
                  <c:v>3066.5</c:v>
                </c:pt>
                <c:pt idx="2">
                  <c:v>1355.8</c:v>
                </c:pt>
                <c:pt idx="3">
                  <c:v>1328.8</c:v>
                </c:pt>
                <c:pt idx="4">
                  <c:v>1290.2999999999995</c:v>
                </c:pt>
              </c:numCache>
            </c:numRef>
          </c:val>
        </c:ser>
        <c:dLbls>
          <c:showLegendKey val="0"/>
          <c:showVal val="0"/>
          <c:showCatName val="0"/>
          <c:showSerName val="0"/>
          <c:showPercent val="0"/>
          <c:showBubbleSize val="0"/>
          <c:showLeaderLines val="1"/>
        </c:dLbls>
      </c:pie3DChart>
      <c:spPr>
        <a:noFill/>
        <a:ln w="25333">
          <a:noFill/>
        </a:ln>
      </c:spPr>
    </c:plotArea>
    <c:legend>
      <c:legendPos val="r"/>
      <c:legendEntry>
        <c:idx val="2"/>
        <c:txPr>
          <a:bodyPr/>
          <a:lstStyle/>
          <a:p>
            <a:pPr>
              <a:spcAft>
                <a:spcPts val="200"/>
              </a:spcAft>
              <a:defRPr sz="1100">
                <a:latin typeface="Times New Roman" pitchFamily="18" charset="0"/>
                <a:cs typeface="Times New Roman" pitchFamily="18" charset="0"/>
              </a:defRPr>
            </a:pPr>
            <a:endParaRPr lang="ru-RU"/>
          </a:p>
        </c:txPr>
      </c:legendEntry>
      <c:layout>
        <c:manualLayout>
          <c:xMode val="edge"/>
          <c:yMode val="edge"/>
          <c:x val="0.54538773562395559"/>
          <c:y val="0.22458011134258438"/>
          <c:w val="0.44389012870717376"/>
          <c:h val="0.73553563869033134"/>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3">
                <a:latin typeface="Times New Roman" pitchFamily="18" charset="0"/>
                <a:cs typeface="Times New Roman" pitchFamily="18" charset="0"/>
              </a:defRPr>
            </a:pPr>
            <a:r>
              <a:rPr lang="ru-RU" sz="1203"/>
              <a:t>2018 год</a:t>
            </a:r>
          </a:p>
        </c:rich>
      </c:tx>
      <c:layout>
        <c:manualLayout>
          <c:xMode val="edge"/>
          <c:yMode val="edge"/>
          <c:x val="0.33464252597168537"/>
          <c:y val="1.7813347102104038E-3"/>
        </c:manualLayout>
      </c:layout>
      <c:overlay val="0"/>
      <c:spPr>
        <a:noFill/>
        <a:ln w="41042">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0.11548674304933459"/>
          <c:y val="0.16554613701573717"/>
          <c:w val="0.74717483777796145"/>
          <c:h val="0.71955140382826521"/>
        </c:manualLayout>
      </c:layout>
      <c:pie3DChart>
        <c:varyColors val="1"/>
        <c:ser>
          <c:idx val="0"/>
          <c:order val="0"/>
          <c:tx>
            <c:strRef>
              <c:f>Лист1!$B$1</c:f>
              <c:strCache>
                <c:ptCount val="1"/>
                <c:pt idx="0">
                  <c:v>2018 год</c:v>
                </c:pt>
              </c:strCache>
            </c:strRef>
          </c:tx>
          <c:spPr>
            <a:ln>
              <a:solidFill>
                <a:sysClr val="windowText" lastClr="000000">
                  <a:lumMod val="85000"/>
                  <a:lumOff val="15000"/>
                </a:sysClr>
              </a:solidFill>
            </a:ln>
          </c:spPr>
          <c:explosion val="19"/>
          <c:dPt>
            <c:idx val="0"/>
            <c:bubble3D val="0"/>
            <c:explosion val="15"/>
            <c:spPr>
              <a:solidFill>
                <a:sysClr val="windowText" lastClr="000000">
                  <a:lumMod val="50000"/>
                  <a:lumOff val="50000"/>
                </a:sysClr>
              </a:solidFill>
              <a:ln>
                <a:solidFill>
                  <a:sysClr val="windowText" lastClr="000000">
                    <a:lumMod val="85000"/>
                    <a:lumOff val="15000"/>
                  </a:sysClr>
                </a:solidFill>
              </a:ln>
            </c:spPr>
          </c:dPt>
          <c:dPt>
            <c:idx val="1"/>
            <c:bubble3D val="0"/>
            <c:spPr>
              <a:blipFill>
                <a:blip xmlns:r="http://schemas.openxmlformats.org/officeDocument/2006/relationships" r:embed="rId2"/>
                <a:tile tx="0" ty="0" sx="100000" sy="100000" flip="none" algn="tl"/>
              </a:blipFill>
              <a:ln>
                <a:solidFill>
                  <a:sysClr val="windowText" lastClr="000000">
                    <a:lumMod val="85000"/>
                    <a:lumOff val="15000"/>
                  </a:sysClr>
                </a:solidFill>
              </a:ln>
            </c:spPr>
          </c:dPt>
          <c:dPt>
            <c:idx val="2"/>
            <c:bubble3D val="0"/>
            <c:explosion val="13"/>
            <c:spPr>
              <a:solidFill>
                <a:sysClr val="window" lastClr="FFFFFF">
                  <a:lumMod val="85000"/>
                </a:sysClr>
              </a:solidFill>
              <a:ln>
                <a:solidFill>
                  <a:sysClr val="windowText" lastClr="000000">
                    <a:lumMod val="85000"/>
                    <a:lumOff val="15000"/>
                  </a:sysClr>
                </a:solidFill>
              </a:ln>
            </c:spPr>
          </c:dPt>
          <c:dPt>
            <c:idx val="3"/>
            <c:bubble3D val="0"/>
            <c:spPr>
              <a:solidFill>
                <a:sysClr val="windowText" lastClr="000000">
                  <a:lumMod val="85000"/>
                  <a:lumOff val="15000"/>
                </a:sysClr>
              </a:solidFill>
              <a:ln>
                <a:solidFill>
                  <a:sysClr val="windowText" lastClr="000000">
                    <a:lumMod val="85000"/>
                    <a:lumOff val="15000"/>
                  </a:sysClr>
                </a:solidFill>
              </a:ln>
            </c:spPr>
          </c:dPt>
          <c:dPt>
            <c:idx val="4"/>
            <c:bubble3D val="0"/>
            <c:spPr>
              <a:blipFill>
                <a:blip xmlns:r="http://schemas.openxmlformats.org/officeDocument/2006/relationships" r:embed="rId3"/>
                <a:tile tx="0" ty="0" sx="100000" sy="100000" flip="none" algn="tl"/>
              </a:blipFill>
              <a:ln>
                <a:solidFill>
                  <a:sysClr val="windowText" lastClr="000000">
                    <a:lumMod val="85000"/>
                    <a:lumOff val="15000"/>
                  </a:sysClr>
                </a:solidFill>
              </a:ln>
            </c:spPr>
          </c:dPt>
          <c:dLbls>
            <c:dLbl>
              <c:idx val="0"/>
              <c:layout>
                <c:manualLayout>
                  <c:x val="-5.5230931954403685E-2"/>
                  <c:y val="-0.11974779797567218"/>
                </c:manualLayout>
              </c:layout>
              <c:tx>
                <c:rich>
                  <a:bodyPr/>
                  <a:lstStyle/>
                  <a:p>
                    <a:r>
                      <a:rPr lang="en-US" sz="902"/>
                      <a:t>35,5%</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2.1813066779826921E-2"/>
                  <c:y val="8.0667003062770068E-2"/>
                </c:manualLayout>
              </c:layout>
              <c:tx>
                <c:rich>
                  <a:bodyPr/>
                  <a:lstStyle/>
                  <a:p>
                    <a:r>
                      <a:rPr lang="en-US" sz="902">
                        <a:latin typeface="Times New Roman" pitchFamily="18" charset="0"/>
                        <a:cs typeface="Times New Roman" pitchFamily="18" charset="0"/>
                      </a:rPr>
                      <a:t>27,6%</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3.086582740031802E-2"/>
                  <c:y val="0.14597650703498127"/>
                </c:manualLayout>
              </c:layout>
              <c:tx>
                <c:rich>
                  <a:bodyPr/>
                  <a:lstStyle/>
                  <a:p>
                    <a:r>
                      <a:rPr lang="en-US" sz="902"/>
                      <a:t>11,9%</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1.9960079840320052E-2"/>
                  <c:y val="-9.2003708180292798E-2"/>
                </c:manualLayout>
              </c:layout>
              <c:tx>
                <c:rich>
                  <a:bodyPr/>
                  <a:lstStyle/>
                  <a:p>
                    <a:r>
                      <a:rPr lang="en-US" sz="902"/>
                      <a:t>12,1%</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3.7973658981250456E-2"/>
                  <c:y val="-4.6876092798385297E-2"/>
                </c:manualLayout>
              </c:layout>
              <c:tx>
                <c:rich>
                  <a:bodyPr/>
                  <a:lstStyle/>
                  <a:p>
                    <a:r>
                      <a:rPr lang="en-US" sz="902"/>
                      <a:t>12,9%</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5.4186860071472415E-2"/>
                  <c:y val="-5.4736187893767177E-2"/>
                </c:manualLayout>
              </c:layout>
              <c:tx>
                <c:rich>
                  <a:bodyPr/>
                  <a:lstStyle/>
                  <a:p>
                    <a:r>
                      <a:rPr lang="en-US" sz="902"/>
                      <a:t>8,</a:t>
                    </a:r>
                    <a:r>
                      <a:rPr lang="ru-RU" sz="902"/>
                      <a:t>3</a:t>
                    </a:r>
                    <a:r>
                      <a:rPr lang="en-US" sz="902"/>
                      <a:t>%</a:t>
                    </a:r>
                  </a:p>
                </c:rich>
              </c:tx>
              <c:dLblPos val="bestFit"/>
              <c:showLegendKey val="0"/>
              <c:showVal val="0"/>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w="41042">
                <a:noFill/>
              </a:ln>
            </c:spPr>
            <c:txPr>
              <a:bodyPr/>
              <a:lstStyle/>
              <a:p>
                <a:pPr>
                  <a:defRPr sz="902">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черная металлургия</c:v>
                </c:pt>
                <c:pt idx="1">
                  <c:v>электроэнергетика</c:v>
                </c:pt>
                <c:pt idx="2">
                  <c:v>легкая промышленность</c:v>
                </c:pt>
                <c:pt idx="3">
                  <c:v>пищевая промышленность</c:v>
                </c:pt>
                <c:pt idx="4">
                  <c:v>прочие</c:v>
                </c:pt>
              </c:strCache>
            </c:strRef>
          </c:cat>
          <c:val>
            <c:numRef>
              <c:f>Лист1!$B$2:$B$6</c:f>
              <c:numCache>
                <c:formatCode>0.0</c:formatCode>
                <c:ptCount val="5"/>
                <c:pt idx="0" formatCode="General">
                  <c:v>4632.3</c:v>
                </c:pt>
                <c:pt idx="1">
                  <c:v>3603.8</c:v>
                </c:pt>
                <c:pt idx="2">
                  <c:v>1549.8</c:v>
                </c:pt>
                <c:pt idx="3" formatCode="General">
                  <c:v>1575.8</c:v>
                </c:pt>
                <c:pt idx="4">
                  <c:v>1681.5999999999997</c:v>
                </c:pt>
              </c:numCache>
            </c:numRef>
          </c:val>
        </c:ser>
        <c:dLbls>
          <c:showLegendKey val="0"/>
          <c:showVal val="0"/>
          <c:showCatName val="0"/>
          <c:showSerName val="0"/>
          <c:showPercent val="0"/>
          <c:showBubbleSize val="0"/>
          <c:showLeaderLines val="1"/>
        </c:dLbls>
      </c:pie3DChart>
      <c:spPr>
        <a:noFill/>
        <a:ln w="25378">
          <a:noFill/>
        </a:ln>
      </c:spPr>
    </c:plotArea>
    <c:plotVisOnly val="1"/>
    <c:dispBlanksAs val="zero"/>
    <c:showDLblsOverMax val="0"/>
  </c:chart>
  <c:spPr>
    <a:ln>
      <a:noFill/>
    </a:ln>
  </c:sp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Валовая продукция сельского хозяйства в хозяйствах </a:t>
            </a:r>
          </a:p>
          <a:p>
            <a:pPr>
              <a:defRPr sz="1200"/>
            </a:pPr>
            <a:r>
              <a:rPr lang="ru-RU" sz="1200"/>
              <a:t>всех категорий за 2017-2018 годы, млн</a:t>
            </a:r>
            <a:r>
              <a:rPr lang="ru-RU" sz="1200" baseline="0"/>
              <a:t> </a:t>
            </a:r>
            <a:r>
              <a:rPr lang="ru-RU" sz="1200"/>
              <a:t>руб.</a:t>
            </a:r>
          </a:p>
        </c:rich>
      </c:tx>
      <c:layout>
        <c:manualLayout>
          <c:xMode val="edge"/>
          <c:yMode val="edge"/>
          <c:x val="0.23675741869561995"/>
          <c:y val="2.2244534869382939E-3"/>
        </c:manualLayout>
      </c:layout>
      <c:overlay val="0"/>
      <c:spPr>
        <a:noFill/>
      </c:spPr>
    </c:title>
    <c:autoTitleDeleted val="0"/>
    <c:plotArea>
      <c:layout>
        <c:manualLayout>
          <c:layoutTarget val="inner"/>
          <c:xMode val="edge"/>
          <c:yMode val="edge"/>
          <c:x val="0.35102604002137178"/>
          <c:y val="0.21490978981957998"/>
          <c:w val="0.62943001017383071"/>
          <c:h val="0.39598321863310398"/>
        </c:manualLayout>
      </c:layout>
      <c:barChart>
        <c:barDir val="col"/>
        <c:grouping val="clustered"/>
        <c:varyColors val="0"/>
        <c:ser>
          <c:idx val="0"/>
          <c:order val="0"/>
          <c:tx>
            <c:strRef>
              <c:f>Лист1!$B$1</c:f>
              <c:strCache>
                <c:ptCount val="1"/>
                <c:pt idx="0">
                  <c:v>Валовая продукция сельского хозяйства</c:v>
                </c:pt>
              </c:strCache>
            </c:strRef>
          </c:tx>
          <c:spPr>
            <a:solidFill>
              <a:sysClr val="window" lastClr="FFFFFF">
                <a:lumMod val="85000"/>
              </a:sysClr>
            </a:solidFill>
            <a:ln>
              <a:solidFill>
                <a:sysClr val="windowText" lastClr="000000"/>
              </a:solidFill>
            </a:ln>
          </c:spPr>
          <c:invertIfNegative val="0"/>
          <c:dLbls>
            <c:dLbl>
              <c:idx val="0"/>
              <c:layout>
                <c:manualLayout>
                  <c:x val="-1.3200304359349543E-4"/>
                  <c:y val="1.7444846421224382E-2"/>
                </c:manualLayout>
              </c:layout>
              <c:tx>
                <c:rich>
                  <a:bodyPr/>
                  <a:lstStyle/>
                  <a:p>
                    <a:r>
                      <a:rPr lang="en-US" sz="900" b="1">
                        <a:latin typeface="Times New Roman" pitchFamily="18" charset="0"/>
                        <a:cs typeface="Times New Roman" pitchFamily="18" charset="0"/>
                      </a:rPr>
                      <a:t>127,2*</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2.6564955754973612E-3"/>
                  <c:y val="1.4877016594424038E-2"/>
                </c:manualLayout>
              </c:layout>
              <c:tx>
                <c:rich>
                  <a:bodyPr/>
                  <a:lstStyle/>
                  <a:p>
                    <a:r>
                      <a:rPr lang="en-US" sz="900" b="1">
                        <a:latin typeface="Times New Roman" pitchFamily="18" charset="0"/>
                        <a:cs typeface="Times New Roman" pitchFamily="18" charset="0"/>
                      </a:rPr>
                      <a:t>121,6*</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8.4875562720165294E-17"/>
                  <c:y val="1.1904761904762959E-2"/>
                </c:manualLayout>
              </c:layout>
              <c:tx>
                <c:rich>
                  <a:bodyPr/>
                  <a:lstStyle/>
                  <a:p>
                    <a:r>
                      <a:rPr lang="ru-RU" sz="900" b="1">
                        <a:latin typeface="Times New Roman" pitchFamily="18" charset="0"/>
                        <a:cs typeface="Times New Roman" pitchFamily="18" charset="0"/>
                      </a:rPr>
                      <a:t>35,6*</a:t>
                    </a:r>
                    <a:endParaRPr lang="en-US" sz="90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2017 год</c:v>
                </c:pt>
                <c:pt idx="1">
                  <c:v>2018 год</c:v>
                </c:pt>
              </c:strCache>
            </c:strRef>
          </c:cat>
          <c:val>
            <c:numRef>
              <c:f>Лист1!$B$2:$B$4</c:f>
              <c:numCache>
                <c:formatCode>#,##0.0</c:formatCode>
                <c:ptCount val="2"/>
                <c:pt idx="0">
                  <c:v>2783.7</c:v>
                </c:pt>
                <c:pt idx="1">
                  <c:v>3365</c:v>
                </c:pt>
              </c:numCache>
            </c:numRef>
          </c:val>
        </c:ser>
        <c:ser>
          <c:idx val="1"/>
          <c:order val="1"/>
          <c:tx>
            <c:strRef>
              <c:f>Лист1!$C$1</c:f>
              <c:strCache>
                <c:ptCount val="1"/>
                <c:pt idx="0">
                  <c:v>продукция растениеводства</c:v>
                </c:pt>
              </c:strCache>
            </c:strRef>
          </c:tx>
          <c:spPr>
            <a:solidFill>
              <a:sysClr val="window" lastClr="FFFFFF">
                <a:lumMod val="65000"/>
              </a:sysClr>
            </a:solidFill>
            <a:ln>
              <a:solidFill>
                <a:sysClr val="windowText" lastClr="000000"/>
              </a:solidFill>
            </a:ln>
          </c:spPr>
          <c:invertIfNegative val="0"/>
          <c:dLbls>
            <c:dLbl>
              <c:idx val="0"/>
              <c:layout>
                <c:manualLayout>
                  <c:x val="-2.0226217651132402E-3"/>
                  <c:y val="1.8732253062961723E-2"/>
                </c:manualLayout>
              </c:layout>
              <c:tx>
                <c:rich>
                  <a:bodyPr/>
                  <a:lstStyle/>
                  <a:p>
                    <a:r>
                      <a:rPr lang="en-US" sz="900" b="1">
                        <a:latin typeface="Times New Roman" pitchFamily="18" charset="0"/>
                        <a:cs typeface="Times New Roman" pitchFamily="18" charset="0"/>
                      </a:rPr>
                      <a:t>125,8*</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2.6084480896054426E-3"/>
                  <c:y val="1.8114852907230243E-2"/>
                </c:manualLayout>
              </c:layout>
              <c:tx>
                <c:rich>
                  <a:bodyPr/>
                  <a:lstStyle/>
                  <a:p>
                    <a:r>
                      <a:rPr lang="en-US" sz="900" b="1">
                        <a:latin typeface="Times New Roman" pitchFamily="18" charset="0"/>
                        <a:cs typeface="Times New Roman" pitchFamily="18" charset="0"/>
                      </a:rPr>
                      <a:t>120,5*</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2.3148148148148147E-3"/>
                  <c:y val="1.1904761904762959E-2"/>
                </c:manualLayout>
              </c:layout>
              <c:tx>
                <c:rich>
                  <a:bodyPr/>
                  <a:lstStyle/>
                  <a:p>
                    <a:r>
                      <a:rPr lang="ru-RU" sz="900" b="1">
                        <a:latin typeface="Times New Roman" pitchFamily="18" charset="0"/>
                        <a:cs typeface="Times New Roman" pitchFamily="18" charset="0"/>
                      </a:rPr>
                      <a:t>29,7*</a:t>
                    </a:r>
                    <a:endParaRPr lang="en-US" sz="90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2017 год</c:v>
                </c:pt>
                <c:pt idx="1">
                  <c:v>2018 год</c:v>
                </c:pt>
              </c:strCache>
            </c:strRef>
          </c:cat>
          <c:val>
            <c:numRef>
              <c:f>Лист1!$C$2:$C$4</c:f>
              <c:numCache>
                <c:formatCode>#,##0.0</c:formatCode>
                <c:ptCount val="2"/>
                <c:pt idx="0">
                  <c:v>2259.6999999999998</c:v>
                </c:pt>
                <c:pt idx="1">
                  <c:v>2703.8</c:v>
                </c:pt>
              </c:numCache>
            </c:numRef>
          </c:val>
        </c:ser>
        <c:ser>
          <c:idx val="2"/>
          <c:order val="2"/>
          <c:tx>
            <c:strRef>
              <c:f>Лист1!$D$1</c:f>
              <c:strCache>
                <c:ptCount val="1"/>
                <c:pt idx="0">
                  <c:v>продукция животноводства</c:v>
                </c:pt>
              </c:strCache>
            </c:strRef>
          </c:tx>
          <c:spPr>
            <a:solidFill>
              <a:sysClr val="windowText" lastClr="000000">
                <a:lumMod val="65000"/>
                <a:lumOff val="35000"/>
              </a:sysClr>
            </a:solidFill>
            <a:ln>
              <a:solidFill>
                <a:sysClr val="windowText" lastClr="000000"/>
              </a:solidFill>
            </a:ln>
          </c:spPr>
          <c:invertIfNegative val="0"/>
          <c:dLbls>
            <c:dLbl>
              <c:idx val="0"/>
              <c:layout>
                <c:manualLayout>
                  <c:x val="4.3537066010071509E-3"/>
                  <c:y val="1.7806017491056897E-2"/>
                </c:manualLayout>
              </c:layout>
              <c:tx>
                <c:rich>
                  <a:bodyPr/>
                  <a:lstStyle/>
                  <a:p>
                    <a:r>
                      <a:rPr lang="en-US" sz="900"/>
                      <a:t>133,8*</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4.9261152905663895E-3"/>
                  <c:y val="1.3178417844349258E-2"/>
                </c:manualLayout>
              </c:layout>
              <c:tx>
                <c:rich>
                  <a:bodyPr/>
                  <a:lstStyle/>
                  <a:p>
                    <a:r>
                      <a:rPr lang="en-US" sz="900"/>
                      <a:t>126,6*</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2017 год</c:v>
                </c:pt>
                <c:pt idx="1">
                  <c:v>2018 год</c:v>
                </c:pt>
              </c:strCache>
            </c:strRef>
          </c:cat>
          <c:val>
            <c:numRef>
              <c:f>Лист1!$D$2:$D$4</c:f>
              <c:numCache>
                <c:formatCode>0.0</c:formatCode>
                <c:ptCount val="2"/>
                <c:pt idx="0">
                  <c:v>524</c:v>
                </c:pt>
                <c:pt idx="1">
                  <c:v>661.2</c:v>
                </c:pt>
              </c:numCache>
            </c:numRef>
          </c:val>
        </c:ser>
        <c:dLbls>
          <c:showLegendKey val="0"/>
          <c:showVal val="1"/>
          <c:showCatName val="0"/>
          <c:showSerName val="0"/>
          <c:showPercent val="0"/>
          <c:showBubbleSize val="0"/>
        </c:dLbls>
        <c:gapWidth val="150"/>
        <c:axId val="306436296"/>
        <c:axId val="306435120"/>
      </c:barChart>
      <c:catAx>
        <c:axId val="306436296"/>
        <c:scaling>
          <c:orientation val="minMax"/>
        </c:scaling>
        <c:delete val="0"/>
        <c:axPos val="b"/>
        <c:numFmt formatCode="General" sourceLinked="1"/>
        <c:majorTickMark val="out"/>
        <c:minorTickMark val="none"/>
        <c:tickLblPos val="nextTo"/>
        <c:crossAx val="306435120"/>
        <c:crosses val="autoZero"/>
        <c:auto val="1"/>
        <c:lblAlgn val="ctr"/>
        <c:lblOffset val="100"/>
        <c:noMultiLvlLbl val="0"/>
      </c:catAx>
      <c:valAx>
        <c:axId val="306435120"/>
        <c:scaling>
          <c:orientation val="minMax"/>
          <c:max val="3500"/>
        </c:scaling>
        <c:delete val="0"/>
        <c:axPos val="l"/>
        <c:numFmt formatCode="#,##0.0" sourceLinked="1"/>
        <c:majorTickMark val="out"/>
        <c:minorTickMark val="none"/>
        <c:tickLblPos val="nextTo"/>
        <c:txPr>
          <a:bodyPr/>
          <a:lstStyle/>
          <a:p>
            <a:pPr>
              <a:defRPr sz="950"/>
            </a:pPr>
            <a:endParaRPr lang="ru-RU"/>
          </a:p>
        </c:txPr>
        <c:crossAx val="306436296"/>
        <c:crosses val="autoZero"/>
        <c:crossBetween val="between"/>
      </c:valAx>
      <c:dTable>
        <c:showHorzBorder val="1"/>
        <c:showVertBorder val="1"/>
        <c:showOutline val="1"/>
        <c:showKeys val="1"/>
        <c:txPr>
          <a:bodyPr/>
          <a:lstStyle/>
          <a:p>
            <a:pPr rtl="0">
              <a:defRPr sz="950"/>
            </a:pPr>
            <a:endParaRPr lang="ru-RU"/>
          </a:p>
        </c:txPr>
      </c:dTable>
    </c:plotArea>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2">
    <c:autoUpdate val="0"/>
  </c:externalData>
  <c:userShapes r:id="rId3"/>
</c:chartSpace>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0.56433</cdr:x>
      <cdr:y>0.91213</cdr:y>
    </cdr:from>
    <cdr:to>
      <cdr:x>1</cdr:x>
      <cdr:y>1</cdr:y>
    </cdr:to>
    <cdr:sp macro="" textlink="">
      <cdr:nvSpPr>
        <cdr:cNvPr id="2" name="TextBox 1"/>
        <cdr:cNvSpPr txBox="1"/>
      </cdr:nvSpPr>
      <cdr:spPr>
        <a:xfrm xmlns:a="http://schemas.openxmlformats.org/drawingml/2006/main">
          <a:off x="3477782" y="2076449"/>
          <a:ext cx="2684893"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1">
              <a:latin typeface="Times New Roman" pitchFamily="18" charset="0"/>
              <a:cs typeface="Times New Roman" pitchFamily="18" charset="0"/>
            </a:rPr>
            <a:t>* -темп</a:t>
          </a:r>
          <a:r>
            <a:rPr lang="ru-RU" sz="1000" b="1" baseline="0">
              <a:latin typeface="Times New Roman" pitchFamily="18" charset="0"/>
              <a:cs typeface="Times New Roman" pitchFamily="18" charset="0"/>
            </a:rPr>
            <a:t> роста к предыдущему году, %</a:t>
          </a:r>
          <a:endParaRPr lang="ru-RU" sz="10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cdr:x>
      <cdr:y>0</cdr:y>
    </cdr:to>
    <cdr:pic>
      <cdr:nvPicPr>
        <cdr:cNvPr id="102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1032750" y="-2645855"/>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0.01565</cdr:x>
      <cdr:y>0.21294</cdr:y>
    </cdr:from>
    <cdr:to>
      <cdr:x>0.26858</cdr:x>
      <cdr:y>0.60647</cdr:y>
    </cdr:to>
    <cdr:sp macro="" textlink="">
      <cdr:nvSpPr>
        <cdr:cNvPr id="3" name="TextBox 2"/>
        <cdr:cNvSpPr txBox="1"/>
      </cdr:nvSpPr>
      <cdr:spPr>
        <a:xfrm xmlns:a="http://schemas.openxmlformats.org/drawingml/2006/main">
          <a:off x="91440" y="601980"/>
          <a:ext cx="1478280" cy="11125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0.1043</cdr:x>
      <cdr:y>0.2938</cdr:y>
    </cdr:from>
    <cdr:to>
      <cdr:x>0.26076</cdr:x>
      <cdr:y>0.61725</cdr:y>
    </cdr:to>
    <cdr:sp macro="" textlink="">
      <cdr:nvSpPr>
        <cdr:cNvPr id="4" name="TextBox 3"/>
        <cdr:cNvSpPr txBox="1"/>
      </cdr:nvSpPr>
      <cdr:spPr>
        <a:xfrm xmlns:a="http://schemas.openxmlformats.org/drawingml/2006/main">
          <a:off x="609600" y="83058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0.05863</cdr:x>
      <cdr:y>0.42625</cdr:y>
    </cdr:from>
    <cdr:to>
      <cdr:x>0.25928</cdr:x>
      <cdr:y>0.65174</cdr:y>
    </cdr:to>
    <cdr:sp macro="" textlink="">
      <cdr:nvSpPr>
        <cdr:cNvPr id="5" name="TextBox 4"/>
        <cdr:cNvSpPr txBox="1"/>
      </cdr:nvSpPr>
      <cdr:spPr>
        <a:xfrm xmlns:a="http://schemas.openxmlformats.org/drawingml/2006/main">
          <a:off x="342900" y="1051560"/>
          <a:ext cx="1173479" cy="5562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a:latin typeface="Times New Roman" pitchFamily="18" charset="0"/>
              <a:cs typeface="Times New Roman" pitchFamily="18" charset="0"/>
            </a:rPr>
            <a:t>*- темп роста </a:t>
          </a:r>
        </a:p>
        <a:p xmlns:a="http://schemas.openxmlformats.org/drawingml/2006/main">
          <a:pPr algn="ctr"/>
          <a:r>
            <a:rPr lang="ru-RU" sz="900">
              <a:latin typeface="Times New Roman" pitchFamily="18" charset="0"/>
              <a:cs typeface="Times New Roman" pitchFamily="18" charset="0"/>
            </a:rPr>
            <a:t> приведен к уточненным </a:t>
          </a:r>
        </a:p>
        <a:p xmlns:a="http://schemas.openxmlformats.org/drawingml/2006/main">
          <a:pPr algn="ctr"/>
          <a:r>
            <a:rPr lang="ru-RU" sz="900">
              <a:latin typeface="Times New Roman" pitchFamily="18" charset="0"/>
              <a:cs typeface="Times New Roman" pitchFamily="18" charset="0"/>
            </a:rPr>
            <a:t>данным ГСС ПМР, %</a:t>
          </a:r>
        </a:p>
      </cdr:txBody>
    </cdr:sp>
  </cdr:relSizeAnchor>
</c:userShapes>
</file>

<file path=word/drawings/drawing3.xml><?xml version="1.0" encoding="utf-8"?>
<c:userShapes xmlns:c="http://schemas.openxmlformats.org/drawingml/2006/chart">
  <cdr:relSizeAnchor xmlns:cdr="http://schemas.openxmlformats.org/drawingml/2006/chartDrawing">
    <cdr:from>
      <cdr:x>0.0634</cdr:x>
      <cdr:y>0.02151</cdr:y>
    </cdr:from>
    <cdr:to>
      <cdr:x>0.12069</cdr:x>
      <cdr:y>0.19188</cdr:y>
    </cdr:to>
    <cdr:sp macro="" textlink="">
      <cdr:nvSpPr>
        <cdr:cNvPr id="2" name="TextBox 1"/>
        <cdr:cNvSpPr txBox="1"/>
      </cdr:nvSpPr>
      <cdr:spPr>
        <a:xfrm xmlns:a="http://schemas.openxmlformats.org/drawingml/2006/main">
          <a:off x="385272" y="57150"/>
          <a:ext cx="348153" cy="4527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0.53166</cdr:y>
    </cdr:from>
    <cdr:to>
      <cdr:x>0.13308</cdr:x>
      <cdr:y>0.78099</cdr:y>
    </cdr:to>
    <cdr:sp macro="" textlink="">
      <cdr:nvSpPr>
        <cdr:cNvPr id="3" name="TextBox 2"/>
        <cdr:cNvSpPr txBox="1"/>
      </cdr:nvSpPr>
      <cdr:spPr>
        <a:xfrm xmlns:a="http://schemas.openxmlformats.org/drawingml/2006/main">
          <a:off x="0" y="1367297"/>
          <a:ext cx="830269" cy="6412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Times New Roman" pitchFamily="18" charset="0"/>
              <a:cs typeface="Times New Roman" pitchFamily="18" charset="0"/>
            </a:rPr>
            <a:t>*-темп роста</a:t>
          </a:r>
        </a:p>
        <a:p xmlns:a="http://schemas.openxmlformats.org/drawingml/2006/main">
          <a:r>
            <a:rPr lang="ru-RU" sz="900">
              <a:latin typeface="Times New Roman" pitchFamily="18" charset="0"/>
              <a:cs typeface="Times New Roman" pitchFamily="18" charset="0"/>
            </a:rPr>
            <a:t> к прошлому</a:t>
          </a:r>
        </a:p>
        <a:p xmlns:a="http://schemas.openxmlformats.org/drawingml/2006/main">
          <a:r>
            <a:rPr lang="ru-RU" sz="900">
              <a:latin typeface="Times New Roman" pitchFamily="18" charset="0"/>
              <a:cs typeface="Times New Roman" pitchFamily="18" charset="0"/>
            </a:rPr>
            <a:t> году,%</a:t>
          </a:r>
        </a:p>
      </cdr:txBody>
    </cdr:sp>
  </cdr:relSizeAnchor>
</c:userShapes>
</file>

<file path=word/drawings/drawing4.xml><?xml version="1.0" encoding="utf-8"?>
<c:userShapes xmlns:c="http://schemas.openxmlformats.org/drawingml/2006/chart">
  <cdr:relSizeAnchor xmlns:cdr="http://schemas.openxmlformats.org/drawingml/2006/chartDrawing">
    <cdr:from>
      <cdr:x>0.01236</cdr:x>
      <cdr:y>0.92517</cdr:y>
    </cdr:from>
    <cdr:to>
      <cdr:x>0.48913</cdr:x>
      <cdr:y>1</cdr:y>
    </cdr:to>
    <cdr:sp macro="" textlink="">
      <cdr:nvSpPr>
        <cdr:cNvPr id="3" name="TextBox 2"/>
        <cdr:cNvSpPr txBox="1"/>
      </cdr:nvSpPr>
      <cdr:spPr>
        <a:xfrm xmlns:a="http://schemas.openxmlformats.org/drawingml/2006/main">
          <a:off x="75817" y="2590800"/>
          <a:ext cx="2924555"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900" b="1" i="1">
              <a:latin typeface="Times New Roman" pitchFamily="18" charset="0"/>
              <a:cs typeface="Times New Roman" pitchFamily="18" charset="0"/>
            </a:rPr>
            <a:t>*- Удельный вес в общем объеме</a:t>
          </a:r>
          <a:r>
            <a:rPr lang="ru-RU" sz="900" b="1" i="1" baseline="0">
              <a:latin typeface="Times New Roman" pitchFamily="18" charset="0"/>
              <a:cs typeface="Times New Roman" pitchFamily="18" charset="0"/>
            </a:rPr>
            <a:t> </a:t>
          </a:r>
          <a:r>
            <a:rPr lang="ru-RU" sz="900" b="1" i="1">
              <a:latin typeface="Times New Roman" pitchFamily="18" charset="0"/>
              <a:cs typeface="Times New Roman" pitchFamily="18" charset="0"/>
            </a:rPr>
            <a:t> доходов, %</a:t>
          </a:r>
        </a:p>
      </cdr:txBody>
    </cdr:sp>
  </cdr:relSizeAnchor>
  <cdr:relSizeAnchor xmlns:cdr="http://schemas.openxmlformats.org/drawingml/2006/chartDrawing">
    <cdr:from>
      <cdr:x>0.12595</cdr:x>
      <cdr:y>0.22047</cdr:y>
    </cdr:from>
    <cdr:to>
      <cdr:x>0.20969</cdr:x>
      <cdr:y>0.28177</cdr:y>
    </cdr:to>
    <cdr:sp macro="" textlink="">
      <cdr:nvSpPr>
        <cdr:cNvPr id="4" name="TextBox 3"/>
        <cdr:cNvSpPr txBox="1"/>
      </cdr:nvSpPr>
      <cdr:spPr>
        <a:xfrm xmlns:a="http://schemas.openxmlformats.org/drawingml/2006/main">
          <a:off x="772614" y="617398"/>
          <a:ext cx="513670" cy="1716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*20,9</a:t>
          </a:r>
        </a:p>
      </cdr:txBody>
    </cdr:sp>
  </cdr:relSizeAnchor>
  <cdr:relSizeAnchor xmlns:cdr="http://schemas.openxmlformats.org/drawingml/2006/chartDrawing">
    <cdr:from>
      <cdr:x>0.40248</cdr:x>
      <cdr:y>0.15722</cdr:y>
    </cdr:from>
    <cdr:to>
      <cdr:x>0.48197</cdr:x>
      <cdr:y>0.21202</cdr:y>
    </cdr:to>
    <cdr:sp macro="" textlink="">
      <cdr:nvSpPr>
        <cdr:cNvPr id="5" name="TextBox 4"/>
        <cdr:cNvSpPr txBox="1"/>
      </cdr:nvSpPr>
      <cdr:spPr>
        <a:xfrm xmlns:a="http://schemas.openxmlformats.org/drawingml/2006/main">
          <a:off x="2468833" y="440260"/>
          <a:ext cx="487599" cy="15345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*33,2</a:t>
          </a:r>
        </a:p>
      </cdr:txBody>
    </cdr:sp>
  </cdr:relSizeAnchor>
  <cdr:relSizeAnchor xmlns:cdr="http://schemas.openxmlformats.org/drawingml/2006/chartDrawing">
    <cdr:from>
      <cdr:x>0.54397</cdr:x>
      <cdr:y>0.16213</cdr:y>
    </cdr:from>
    <cdr:to>
      <cdr:x>0.62906</cdr:x>
      <cdr:y>0.22486</cdr:y>
    </cdr:to>
    <cdr:sp macro="" textlink="">
      <cdr:nvSpPr>
        <cdr:cNvPr id="7" name="TextBox 6"/>
        <cdr:cNvSpPr txBox="1"/>
      </cdr:nvSpPr>
      <cdr:spPr>
        <a:xfrm xmlns:a="http://schemas.openxmlformats.org/drawingml/2006/main">
          <a:off x="3336774" y="454022"/>
          <a:ext cx="521950" cy="1756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*30,8</a:t>
          </a:r>
        </a:p>
      </cdr:txBody>
    </cdr:sp>
  </cdr:relSizeAnchor>
  <cdr:relSizeAnchor xmlns:cdr="http://schemas.openxmlformats.org/drawingml/2006/chartDrawing">
    <cdr:from>
      <cdr:x>0.67706</cdr:x>
      <cdr:y>0.25719</cdr:y>
    </cdr:from>
    <cdr:to>
      <cdr:x>0.74564</cdr:x>
      <cdr:y>0.31416</cdr:y>
    </cdr:to>
    <cdr:sp macro="" textlink="">
      <cdr:nvSpPr>
        <cdr:cNvPr id="8" name="TextBox 7"/>
        <cdr:cNvSpPr txBox="1"/>
      </cdr:nvSpPr>
      <cdr:spPr>
        <a:xfrm xmlns:a="http://schemas.openxmlformats.org/drawingml/2006/main">
          <a:off x="4153178" y="720212"/>
          <a:ext cx="420677" cy="1595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*9,4</a:t>
          </a:r>
        </a:p>
      </cdr:txBody>
    </cdr:sp>
  </cdr:relSizeAnchor>
  <cdr:relSizeAnchor xmlns:cdr="http://schemas.openxmlformats.org/drawingml/2006/chartDrawing">
    <cdr:from>
      <cdr:x>0.27662</cdr:x>
      <cdr:y>0.30225</cdr:y>
    </cdr:from>
    <cdr:to>
      <cdr:x>0.34636</cdr:x>
      <cdr:y>0.35437</cdr:y>
    </cdr:to>
    <cdr:sp macro="" textlink="">
      <cdr:nvSpPr>
        <cdr:cNvPr id="9" name="TextBox 8"/>
        <cdr:cNvSpPr txBox="1"/>
      </cdr:nvSpPr>
      <cdr:spPr>
        <a:xfrm xmlns:a="http://schemas.openxmlformats.org/drawingml/2006/main">
          <a:off x="1696785" y="846411"/>
          <a:ext cx="427792" cy="14595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*5,4</a:t>
          </a:r>
        </a:p>
      </cdr:txBody>
    </cdr:sp>
  </cdr:relSizeAnchor>
  <cdr:relSizeAnchor xmlns:cdr="http://schemas.openxmlformats.org/drawingml/2006/chartDrawing">
    <cdr:from>
      <cdr:x>0.18952</cdr:x>
      <cdr:y>0.228</cdr:y>
    </cdr:from>
    <cdr:to>
      <cdr:x>0.26843</cdr:x>
      <cdr:y>0.27688</cdr:y>
    </cdr:to>
    <cdr:sp macro="" textlink="">
      <cdr:nvSpPr>
        <cdr:cNvPr id="10" name="TextBox 9"/>
        <cdr:cNvSpPr txBox="1"/>
      </cdr:nvSpPr>
      <cdr:spPr>
        <a:xfrm xmlns:a="http://schemas.openxmlformats.org/drawingml/2006/main">
          <a:off x="1162535" y="638485"/>
          <a:ext cx="484041" cy="1368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*18,2</a:t>
          </a:r>
        </a:p>
      </cdr:txBody>
    </cdr:sp>
  </cdr:relSizeAnchor>
  <cdr:relSizeAnchor xmlns:cdr="http://schemas.openxmlformats.org/drawingml/2006/chartDrawing">
    <cdr:from>
      <cdr:x>0.45798</cdr:x>
      <cdr:y>0.15256</cdr:y>
    </cdr:from>
    <cdr:to>
      <cdr:x>0.54482</cdr:x>
      <cdr:y>0.20972</cdr:y>
    </cdr:to>
    <cdr:sp macro="" textlink="">
      <cdr:nvSpPr>
        <cdr:cNvPr id="11" name="TextBox 10"/>
        <cdr:cNvSpPr txBox="1"/>
      </cdr:nvSpPr>
      <cdr:spPr>
        <a:xfrm xmlns:a="http://schemas.openxmlformats.org/drawingml/2006/main">
          <a:off x="2809312" y="427223"/>
          <a:ext cx="532686" cy="16006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*31,3</a:t>
          </a:r>
        </a:p>
      </cdr:txBody>
    </cdr:sp>
  </cdr:relSizeAnchor>
  <cdr:relSizeAnchor xmlns:cdr="http://schemas.openxmlformats.org/drawingml/2006/chartDrawing">
    <cdr:from>
      <cdr:x>0.60184</cdr:x>
      <cdr:y>0.15856</cdr:y>
    </cdr:from>
    <cdr:to>
      <cdr:x>0.67918</cdr:x>
      <cdr:y>0.21194</cdr:y>
    </cdr:to>
    <cdr:sp macro="" textlink="">
      <cdr:nvSpPr>
        <cdr:cNvPr id="12" name="TextBox 11"/>
        <cdr:cNvSpPr txBox="1"/>
      </cdr:nvSpPr>
      <cdr:spPr>
        <a:xfrm xmlns:a="http://schemas.openxmlformats.org/drawingml/2006/main">
          <a:off x="3691757" y="444025"/>
          <a:ext cx="474411" cy="14948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*30,8</a:t>
          </a:r>
        </a:p>
      </cdr:txBody>
    </cdr:sp>
  </cdr:relSizeAnchor>
  <cdr:relSizeAnchor xmlns:cdr="http://schemas.openxmlformats.org/drawingml/2006/chartDrawing">
    <cdr:from>
      <cdr:x>0.7352</cdr:x>
      <cdr:y>0.24343</cdr:y>
    </cdr:from>
    <cdr:to>
      <cdr:x>0.82608</cdr:x>
      <cdr:y>0.30295</cdr:y>
    </cdr:to>
    <cdr:sp macro="" textlink="">
      <cdr:nvSpPr>
        <cdr:cNvPr id="13" name="TextBox 12"/>
        <cdr:cNvSpPr txBox="1"/>
      </cdr:nvSpPr>
      <cdr:spPr>
        <a:xfrm xmlns:a="http://schemas.openxmlformats.org/drawingml/2006/main">
          <a:off x="4509810" y="681694"/>
          <a:ext cx="557467" cy="1666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*13,8</a:t>
          </a:r>
        </a:p>
      </cdr:txBody>
    </cdr:sp>
  </cdr:relSizeAnchor>
  <cdr:relSizeAnchor xmlns:cdr="http://schemas.openxmlformats.org/drawingml/2006/chartDrawing">
    <cdr:from>
      <cdr:x>0.33177</cdr:x>
      <cdr:y>0.29835</cdr:y>
    </cdr:from>
    <cdr:to>
      <cdr:x>0.40639</cdr:x>
      <cdr:y>0.35215</cdr:y>
    </cdr:to>
    <cdr:sp macro="" textlink="">
      <cdr:nvSpPr>
        <cdr:cNvPr id="14" name="TextBox 13"/>
        <cdr:cNvSpPr txBox="1"/>
      </cdr:nvSpPr>
      <cdr:spPr>
        <a:xfrm xmlns:a="http://schemas.openxmlformats.org/drawingml/2006/main">
          <a:off x="2035118" y="835486"/>
          <a:ext cx="457726" cy="15065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*5,7</a:t>
          </a:r>
        </a:p>
      </cdr:txBody>
    </cdr:sp>
  </cdr:relSizeAnchor>
  <cdr:relSizeAnchor xmlns:cdr="http://schemas.openxmlformats.org/drawingml/2006/chartDrawing">
    <cdr:from>
      <cdr:x>0.82397</cdr:x>
      <cdr:y>0.31895</cdr:y>
    </cdr:from>
    <cdr:to>
      <cdr:x>0.89947</cdr:x>
      <cdr:y>0.36971</cdr:y>
    </cdr:to>
    <cdr:sp macro="" textlink="">
      <cdr:nvSpPr>
        <cdr:cNvPr id="15" name="TextBox 14"/>
        <cdr:cNvSpPr txBox="1"/>
      </cdr:nvSpPr>
      <cdr:spPr>
        <a:xfrm xmlns:a="http://schemas.openxmlformats.org/drawingml/2006/main">
          <a:off x="5054285" y="893181"/>
          <a:ext cx="463124" cy="1421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*0,3</a:t>
          </a:r>
        </a:p>
      </cdr:txBody>
    </cdr:sp>
  </cdr:relSizeAnchor>
  <cdr:relSizeAnchor xmlns:cdr="http://schemas.openxmlformats.org/drawingml/2006/chartDrawing">
    <cdr:from>
      <cdr:x>0.86815</cdr:x>
      <cdr:y>0.31612</cdr:y>
    </cdr:from>
    <cdr:to>
      <cdr:x>0.94828</cdr:x>
      <cdr:y>0.36688</cdr:y>
    </cdr:to>
    <cdr:sp macro="" textlink="">
      <cdr:nvSpPr>
        <cdr:cNvPr id="16" name="TextBox 15"/>
        <cdr:cNvSpPr txBox="1"/>
      </cdr:nvSpPr>
      <cdr:spPr>
        <a:xfrm xmlns:a="http://schemas.openxmlformats.org/drawingml/2006/main">
          <a:off x="5325295" y="885248"/>
          <a:ext cx="491525" cy="14214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*0,2</a:t>
          </a:r>
        </a:p>
      </cdr:txBody>
    </cdr:sp>
  </cdr:relSizeAnchor>
</c:userShapes>
</file>

<file path=word/drawings/drawing5.xml><?xml version="1.0" encoding="utf-8"?>
<c:userShapes xmlns:c="http://schemas.openxmlformats.org/drawingml/2006/chart">
  <cdr:relSizeAnchor xmlns:cdr="http://schemas.openxmlformats.org/drawingml/2006/chartDrawing">
    <cdr:from>
      <cdr:x>0.01747</cdr:x>
      <cdr:y>0.29295</cdr:y>
    </cdr:from>
    <cdr:to>
      <cdr:x>0.27939</cdr:x>
      <cdr:y>0.45755</cdr:y>
    </cdr:to>
    <cdr:sp macro="" textlink="">
      <cdr:nvSpPr>
        <cdr:cNvPr id="2" name="TextBox 1"/>
        <cdr:cNvSpPr txBox="1"/>
      </cdr:nvSpPr>
      <cdr:spPr>
        <a:xfrm xmlns:a="http://schemas.openxmlformats.org/drawingml/2006/main">
          <a:off x="107667" y="675270"/>
          <a:ext cx="1614128" cy="3794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50" b="1">
              <a:latin typeface="Times New Roman" pitchFamily="18" charset="0"/>
              <a:cs typeface="Times New Roman" pitchFamily="18" charset="0"/>
            </a:rPr>
            <a:t>*- Удельный вес в общем объеме инвестиций, %</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0.47761</cdr:y>
    </cdr:from>
    <cdr:to>
      <cdr:x>0.25964</cdr:x>
      <cdr:y>0.66045</cdr:y>
    </cdr:to>
    <cdr:sp macro="" textlink="">
      <cdr:nvSpPr>
        <cdr:cNvPr id="2" name="TextBox 1"/>
        <cdr:cNvSpPr txBox="1"/>
      </cdr:nvSpPr>
      <cdr:spPr>
        <a:xfrm xmlns:a="http://schemas.openxmlformats.org/drawingml/2006/main">
          <a:off x="0" y="1219200"/>
          <a:ext cx="1649538" cy="4667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950" b="1">
              <a:latin typeface="Times New Roman" pitchFamily="18" charset="0"/>
              <a:cs typeface="Times New Roman" pitchFamily="18" charset="0"/>
            </a:rPr>
            <a:t>*- Удельный вес </a:t>
          </a:r>
        </a:p>
        <a:p xmlns:a="http://schemas.openxmlformats.org/drawingml/2006/main">
          <a:pPr algn="ctr"/>
          <a:r>
            <a:rPr lang="ru-RU" sz="950" b="1">
              <a:latin typeface="Times New Roman" pitchFamily="18" charset="0"/>
              <a:cs typeface="Times New Roman" pitchFamily="18" charset="0"/>
            </a:rPr>
            <a:t>в общем объеме инвестиций,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3AFD9-B18E-483E-BADB-AAA5B7206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83</Pages>
  <Words>27110</Words>
  <Characters>154531</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grecha-m</dc:creator>
  <cp:keywords/>
  <cp:lastModifiedBy>Коваленко Кристина Ивановна</cp:lastModifiedBy>
  <cp:revision>70</cp:revision>
  <cp:lastPrinted>2019-04-23T08:23:00Z</cp:lastPrinted>
  <dcterms:created xsi:type="dcterms:W3CDTF">2019-04-10T12:55:00Z</dcterms:created>
  <dcterms:modified xsi:type="dcterms:W3CDTF">2020-03-20T14:43:00Z</dcterms:modified>
</cp:coreProperties>
</file>